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213995</wp:posOffset>
            </wp:positionV>
            <wp:extent cx="68179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17995" cy="8890"/>
                    </a:xfrm>
                    <a:prstGeom prst="rect">
                      <a:avLst/>
                    </a:prstGeom>
                    <a:noFill/>
                  </pic:spPr>
                </pic:pic>
              </a:graphicData>
            </a:graphic>
          </wp:anchor>
        </w:drawing>
      </w:r>
    </w:p>
    <w:p>
      <w:pPr>
        <w:spacing w:after="0" w:line="3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29"/>
          <w:szCs w:val="29"/>
          <w:b w:val="1"/>
          <w:bCs w:val="1"/>
          <w:color w:val="auto"/>
        </w:rPr>
        <w:t>Form 10-K</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0"/>
          <w:szCs w:val="20"/>
          <w:color w:val="auto"/>
        </w:rPr>
      </w:pPr>
    </w:p>
    <w:p>
      <w:pPr>
        <w:ind w:left="780" w:hanging="428"/>
        <w:spacing w:after="0"/>
        <w:tabs>
          <w:tab w:leader="none" w:pos="7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w:t>
      </w:r>
    </w:p>
    <w:p>
      <w:pPr>
        <w:ind w:left="780"/>
        <w:spacing w:after="0" w:line="237" w:lineRule="auto"/>
        <w:rPr>
          <w:sz w:val="20"/>
          <w:szCs w:val="20"/>
          <w:color w:val="auto"/>
        </w:rPr>
      </w:pPr>
      <w:r>
        <w:rPr>
          <w:rFonts w:ascii="Arial" w:cs="Arial" w:eastAsia="Arial" w:hAnsi="Arial"/>
          <w:sz w:val="22"/>
          <w:szCs w:val="22"/>
          <w:b w:val="1"/>
          <w:bCs w:val="1"/>
          <w:color w:val="auto"/>
        </w:rPr>
        <w:t>1934</w:t>
      </w:r>
    </w:p>
    <w:p>
      <w:pPr>
        <w:ind w:left="424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6"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ind w:left="780" w:hanging="428"/>
        <w:spacing w:after="0" w:line="225" w:lineRule="auto"/>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0"/>
          <w:szCs w:val="20"/>
          <w:b w:val="1"/>
          <w:bCs w:val="1"/>
          <w:color w:val="auto"/>
        </w:rPr>
        <w:t>TRANSITION REPORT PURSUANT TO SECTION 13 OR 15(d) OF THE SECURITIES EXCHANGE ACT OF 1934</w:t>
      </w:r>
    </w:p>
    <w:tbl>
      <w:tblPr>
        <w:tblLayout w:type="fixed"/>
        <w:tblInd w:w="4180" w:type="dxa"/>
        <w:tblCellMar>
          <w:top w:w="0" w:type="dxa"/>
          <w:left w:w="0" w:type="dxa"/>
          <w:bottom w:w="0" w:type="dxa"/>
          <w:right w:w="0" w:type="dxa"/>
        </w:tblCellMar>
      </w:tblPr>
      <w:tr>
        <w:trPr>
          <w:trHeight w:val="185"/>
        </w:trPr>
        <w:tc>
          <w:tcPr>
            <w:tcW w:w="2360" w:type="dxa"/>
            <w:vAlign w:val="bottom"/>
          </w:tcPr>
          <w:p>
            <w:pPr>
              <w:spacing w:after="0" w:line="185" w:lineRule="exact"/>
              <w:rPr>
                <w:sz w:val="20"/>
                <w:szCs w:val="20"/>
                <w:color w:val="auto"/>
              </w:rPr>
            </w:pPr>
            <w:r>
              <w:rPr>
                <w:rFonts w:ascii="Arial" w:cs="Arial" w:eastAsia="Arial" w:hAnsi="Arial"/>
                <w:sz w:val="18"/>
                <w:szCs w:val="18"/>
                <w:b w:val="1"/>
                <w:bCs w:val="1"/>
                <w:color w:val="auto"/>
                <w:w w:val="92"/>
              </w:rPr>
              <w:t>For the transition period from</w:t>
            </w:r>
          </w:p>
        </w:tc>
        <w:tc>
          <w:tcPr>
            <w:tcW w:w="460" w:type="dxa"/>
            <w:vAlign w:val="bottom"/>
            <w:tcBorders>
              <w:bottom w:val="single" w:sz="8" w:color="auto"/>
            </w:tcBorders>
          </w:tcPr>
          <w:p>
            <w:pPr>
              <w:spacing w:after="0"/>
              <w:rPr>
                <w:sz w:val="16"/>
                <w:szCs w:val="16"/>
                <w:color w:val="auto"/>
              </w:rPr>
            </w:pPr>
          </w:p>
        </w:tc>
        <w:tc>
          <w:tcPr>
            <w:tcW w:w="200" w:type="dxa"/>
            <w:vAlign w:val="bottom"/>
          </w:tcPr>
          <w:p>
            <w:pPr>
              <w:ind w:left="40"/>
              <w:spacing w:after="0" w:line="185" w:lineRule="exact"/>
              <w:rPr>
                <w:sz w:val="20"/>
                <w:szCs w:val="20"/>
                <w:color w:val="auto"/>
              </w:rPr>
            </w:pPr>
            <w:r>
              <w:rPr>
                <w:rFonts w:ascii="Arial" w:cs="Arial" w:eastAsia="Arial" w:hAnsi="Arial"/>
                <w:sz w:val="18"/>
                <w:szCs w:val="18"/>
                <w:b w:val="1"/>
                <w:bCs w:val="1"/>
                <w:color w:val="auto"/>
                <w:w w:val="82"/>
              </w:rPr>
              <w:t>to</w:t>
            </w:r>
          </w:p>
        </w:tc>
      </w:tr>
      <w:tr>
        <w:trPr>
          <w:trHeight w:val="264"/>
        </w:trPr>
        <w:tc>
          <w:tcPr>
            <w:tcW w:w="2820" w:type="dxa"/>
            <w:vAlign w:val="bottom"/>
            <w:gridSpan w:val="2"/>
          </w:tcPr>
          <w:p>
            <w:pPr>
              <w:ind w:left="280"/>
              <w:spacing w:after="0"/>
              <w:rPr>
                <w:sz w:val="20"/>
                <w:szCs w:val="20"/>
                <w:color w:val="auto"/>
              </w:rPr>
            </w:pPr>
            <w:r>
              <w:rPr>
                <w:rFonts w:ascii="Arial" w:cs="Arial" w:eastAsia="Arial" w:hAnsi="Arial"/>
                <w:sz w:val="18"/>
                <w:szCs w:val="18"/>
                <w:b w:val="1"/>
                <w:bCs w:val="1"/>
                <w:color w:val="auto"/>
                <w:w w:val="90"/>
              </w:rPr>
              <w:t>Commission File Number 1-4601</w:t>
            </w:r>
          </w:p>
        </w:tc>
        <w:tc>
          <w:tcPr>
            <w:tcW w:w="2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-179705</wp:posOffset>
            </wp:positionV>
            <wp:extent cx="285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jc w:val="center"/>
        <w:ind w:right="-359"/>
        <w:spacing w:after="0" w:line="238" w:lineRule="auto"/>
        <w:rPr>
          <w:sz w:val="20"/>
          <w:szCs w:val="20"/>
          <w:color w:val="auto"/>
        </w:rPr>
      </w:pPr>
      <w:r>
        <w:rPr>
          <w:rFonts w:ascii="Arial" w:cs="Arial" w:eastAsia="Arial" w:hAnsi="Arial"/>
          <w:sz w:val="29"/>
          <w:szCs w:val="29"/>
          <w:b w:val="1"/>
          <w:bCs w:val="1"/>
          <w:color w:val="auto"/>
        </w:rPr>
        <w:t>Schlumberger N.V. (Schlumberger Limited)</w:t>
      </w:r>
    </w:p>
    <w:p>
      <w:pPr>
        <w:jc w:val="center"/>
        <w:ind w:right="-3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1" w:lineRule="exact"/>
        <w:rPr>
          <w:sz w:val="20"/>
          <w:szCs w:val="20"/>
          <w:color w:val="auto"/>
        </w:rPr>
      </w:pPr>
    </w:p>
    <w:tbl>
      <w:tblPr>
        <w:tblLayout w:type="fixed"/>
        <w:tblInd w:w="1400" w:type="dxa"/>
        <w:tblCellMar>
          <w:top w:w="0" w:type="dxa"/>
          <w:left w:w="0" w:type="dxa"/>
          <w:bottom w:w="0" w:type="dxa"/>
          <w:right w:w="0" w:type="dxa"/>
        </w:tblCellMar>
      </w:tblPr>
      <w:tr>
        <w:trPr>
          <w:trHeight w:val="216"/>
        </w:trPr>
        <w:tc>
          <w:tcPr>
            <w:tcW w:w="44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1"/>
              </w:rPr>
              <w:t>Curaçao</w:t>
            </w:r>
          </w:p>
        </w:tc>
        <w:tc>
          <w:tcPr>
            <w:tcW w:w="39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52-0684746</w:t>
            </w:r>
          </w:p>
        </w:tc>
      </w:tr>
      <w:tr>
        <w:trPr>
          <w:trHeight w:val="216"/>
        </w:trPr>
        <w:tc>
          <w:tcPr>
            <w:tcW w:w="44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(State or other jurisdiction of</w:t>
            </w:r>
          </w:p>
        </w:tc>
        <w:tc>
          <w:tcPr>
            <w:tcW w:w="3900" w:type="dxa"/>
            <w:vAlign w:val="bottom"/>
          </w:tcPr>
          <w:p>
            <w:pPr>
              <w:jc w:val="center"/>
              <w:ind w:left="119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216"/>
        </w:trPr>
        <w:tc>
          <w:tcPr>
            <w:tcW w:w="44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1"/>
              </w:rPr>
              <w:t>incorporation or organization)</w:t>
            </w:r>
          </w:p>
        </w:tc>
        <w:tc>
          <w:tcPr>
            <w:tcW w:w="3900" w:type="dxa"/>
            <w:vAlign w:val="bottom"/>
          </w:tcPr>
          <w:p>
            <w:pPr>
              <w:spacing w:after="0"/>
              <w:rPr>
                <w:sz w:val="18"/>
                <w:szCs w:val="18"/>
                <w:color w:val="auto"/>
              </w:rPr>
            </w:pPr>
          </w:p>
        </w:tc>
      </w:tr>
      <w:tr>
        <w:trPr>
          <w:trHeight w:val="216"/>
        </w:trPr>
        <w:tc>
          <w:tcPr>
            <w:tcW w:w="446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42, rue Saint-Dominique</w:t>
            </w:r>
          </w:p>
        </w:tc>
        <w:tc>
          <w:tcPr>
            <w:tcW w:w="390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75007</w:t>
            </w:r>
          </w:p>
        </w:tc>
      </w:tr>
      <w:tr>
        <w:trPr>
          <w:trHeight w:val="216"/>
        </w:trPr>
        <w:tc>
          <w:tcPr>
            <w:tcW w:w="4460" w:type="dxa"/>
            <w:vAlign w:val="bottom"/>
          </w:tcPr>
          <w:p>
            <w:pPr>
              <w:jc w:val="center"/>
              <w:ind w:right="1190"/>
              <w:spacing w:after="0"/>
              <w:rPr>
                <w:sz w:val="20"/>
                <w:szCs w:val="20"/>
                <w:color w:val="auto"/>
              </w:rPr>
            </w:pPr>
            <w:r>
              <w:rPr>
                <w:rFonts w:ascii="Arial" w:cs="Arial" w:eastAsia="Arial" w:hAnsi="Arial"/>
                <w:sz w:val="18"/>
                <w:szCs w:val="18"/>
                <w:b w:val="1"/>
                <w:bCs w:val="1"/>
                <w:color w:val="auto"/>
                <w:w w:val="90"/>
              </w:rPr>
              <w:t>Paris, France</w:t>
            </w:r>
          </w:p>
        </w:tc>
        <w:tc>
          <w:tcPr>
            <w:tcW w:w="3900" w:type="dxa"/>
            <w:vAlign w:val="bottom"/>
          </w:tcPr>
          <w:p>
            <w:pPr>
              <w:spacing w:after="0"/>
              <w:rPr>
                <w:sz w:val="18"/>
                <w:szCs w:val="18"/>
                <w:color w:val="auto"/>
              </w:rPr>
            </w:pPr>
          </w:p>
        </w:tc>
      </w:tr>
      <w:tr>
        <w:trPr>
          <w:trHeight w:val="216"/>
        </w:trPr>
        <w:tc>
          <w:tcPr>
            <w:tcW w:w="446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5599 San Felipe, 17</w:t>
            </w:r>
            <w:r>
              <w:rPr>
                <w:rFonts w:ascii="Arial" w:cs="Arial" w:eastAsia="Arial" w:hAnsi="Arial"/>
                <w:sz w:val="15"/>
                <w:szCs w:val="15"/>
                <w:b w:val="1"/>
                <w:bCs w:val="1"/>
                <w:color w:val="auto"/>
                <w:w w:val="90"/>
              </w:rPr>
              <w:t>th</w:t>
            </w:r>
            <w:r>
              <w:rPr>
                <w:rFonts w:ascii="Arial" w:cs="Arial" w:eastAsia="Arial" w:hAnsi="Arial"/>
                <w:sz w:val="18"/>
                <w:szCs w:val="18"/>
                <w:b w:val="1"/>
                <w:bCs w:val="1"/>
                <w:color w:val="auto"/>
                <w:w w:val="90"/>
              </w:rPr>
              <w:t xml:space="preserve"> Floor</w:t>
            </w:r>
          </w:p>
        </w:tc>
        <w:tc>
          <w:tcPr>
            <w:tcW w:w="390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77056</w:t>
            </w:r>
          </w:p>
        </w:tc>
      </w:tr>
      <w:tr>
        <w:trPr>
          <w:trHeight w:val="216"/>
        </w:trPr>
        <w:tc>
          <w:tcPr>
            <w:tcW w:w="446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Houston, Texas, United States of America</w:t>
            </w:r>
          </w:p>
        </w:tc>
        <w:tc>
          <w:tcPr>
            <w:tcW w:w="3900" w:type="dxa"/>
            <w:vAlign w:val="bottom"/>
          </w:tcPr>
          <w:p>
            <w:pPr>
              <w:spacing w:after="0"/>
              <w:rPr>
                <w:sz w:val="18"/>
                <w:szCs w:val="18"/>
                <w:color w:val="auto"/>
              </w:rPr>
            </w:pPr>
          </w:p>
        </w:tc>
      </w:tr>
      <w:tr>
        <w:trPr>
          <w:trHeight w:val="216"/>
        </w:trPr>
        <w:tc>
          <w:tcPr>
            <w:tcW w:w="4460" w:type="dxa"/>
            <w:vAlign w:val="bottom"/>
          </w:tcPr>
          <w:p>
            <w:pPr>
              <w:jc w:val="center"/>
              <w:ind w:right="1210"/>
              <w:spacing w:after="0"/>
              <w:rPr>
                <w:sz w:val="20"/>
                <w:szCs w:val="20"/>
                <w:color w:val="auto"/>
              </w:rPr>
            </w:pPr>
            <w:r>
              <w:rPr>
                <w:rFonts w:ascii="Arial" w:cs="Arial" w:eastAsia="Arial" w:hAnsi="Arial"/>
                <w:sz w:val="18"/>
                <w:szCs w:val="18"/>
                <w:b w:val="1"/>
                <w:bCs w:val="1"/>
                <w:color w:val="auto"/>
                <w:w w:val="92"/>
              </w:rPr>
              <w:t>Parkstraat 83, The Hague,</w:t>
            </w:r>
          </w:p>
        </w:tc>
        <w:tc>
          <w:tcPr>
            <w:tcW w:w="3900" w:type="dxa"/>
            <w:vAlign w:val="bottom"/>
          </w:tcPr>
          <w:p>
            <w:pPr>
              <w:spacing w:after="0"/>
              <w:rPr>
                <w:sz w:val="18"/>
                <w:szCs w:val="18"/>
                <w:color w:val="auto"/>
              </w:rPr>
            </w:pPr>
          </w:p>
        </w:tc>
      </w:tr>
      <w:tr>
        <w:trPr>
          <w:trHeight w:val="216"/>
        </w:trPr>
        <w:tc>
          <w:tcPr>
            <w:tcW w:w="4460" w:type="dxa"/>
            <w:vAlign w:val="bottom"/>
          </w:tcPr>
          <w:p>
            <w:pPr>
              <w:jc w:val="center"/>
              <w:ind w:right="1210"/>
              <w:spacing w:after="0"/>
              <w:rPr>
                <w:sz w:val="20"/>
                <w:szCs w:val="20"/>
                <w:color w:val="auto"/>
              </w:rPr>
            </w:pPr>
            <w:r>
              <w:rPr>
                <w:rFonts w:ascii="Arial" w:cs="Arial" w:eastAsia="Arial" w:hAnsi="Arial"/>
                <w:sz w:val="18"/>
                <w:szCs w:val="18"/>
                <w:b w:val="1"/>
                <w:bCs w:val="1"/>
                <w:color w:val="auto"/>
                <w:w w:val="90"/>
              </w:rPr>
              <w:t>The Netherlands</w:t>
            </w:r>
          </w:p>
        </w:tc>
        <w:tc>
          <w:tcPr>
            <w:tcW w:w="3900" w:type="dxa"/>
            <w:vAlign w:val="bottom"/>
          </w:tcPr>
          <w:p>
            <w:pPr>
              <w:jc w:val="center"/>
              <w:ind w:left="1190"/>
              <w:spacing w:after="0"/>
              <w:rPr>
                <w:sz w:val="20"/>
                <w:szCs w:val="20"/>
                <w:color w:val="auto"/>
              </w:rPr>
            </w:pPr>
            <w:r>
              <w:rPr>
                <w:rFonts w:ascii="Arial" w:cs="Arial" w:eastAsia="Arial" w:hAnsi="Arial"/>
                <w:sz w:val="18"/>
                <w:szCs w:val="18"/>
                <w:b w:val="1"/>
                <w:bCs w:val="1"/>
                <w:color w:val="auto"/>
                <w:w w:val="89"/>
              </w:rPr>
              <w:t>2514 JG</w:t>
            </w:r>
          </w:p>
        </w:tc>
      </w:tr>
      <w:tr>
        <w:trPr>
          <w:trHeight w:val="234"/>
        </w:trPr>
        <w:tc>
          <w:tcPr>
            <w:tcW w:w="4460" w:type="dxa"/>
            <w:vAlign w:val="bottom"/>
          </w:tcPr>
          <w:p>
            <w:pPr>
              <w:jc w:val="center"/>
              <w:ind w:right="1210"/>
              <w:spacing w:after="0"/>
              <w:rPr>
                <w:sz w:val="20"/>
                <w:szCs w:val="20"/>
                <w:color w:val="auto"/>
              </w:rPr>
            </w:pPr>
            <w:r>
              <w:rPr>
                <w:rFonts w:ascii="Arial" w:cs="Arial" w:eastAsia="Arial" w:hAnsi="Arial"/>
                <w:sz w:val="18"/>
                <w:szCs w:val="18"/>
                <w:b w:val="1"/>
                <w:bCs w:val="1"/>
                <w:color w:val="auto"/>
                <w:w w:val="87"/>
              </w:rPr>
              <w:t>(Addresses of principal executive offices)</w:t>
            </w:r>
          </w:p>
        </w:tc>
        <w:tc>
          <w:tcPr>
            <w:tcW w:w="390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(Zip Codes)</w:t>
            </w:r>
          </w:p>
        </w:tc>
      </w:tr>
    </w:tbl>
    <w:p>
      <w:pPr>
        <w:jc w:val="center"/>
        <w:ind w:right="-35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(713) 375-3400</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1" w:lineRule="exact"/>
        <w:rPr>
          <w:sz w:val="20"/>
          <w:szCs w:val="20"/>
          <w:color w:val="auto"/>
        </w:rPr>
      </w:pPr>
    </w:p>
    <w:tbl>
      <w:tblPr>
        <w:tblLayout w:type="fixed"/>
        <w:tblInd w:w="228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264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3740" w:type="dxa"/>
            <w:vAlign w:val="bottom"/>
          </w:tcPr>
          <w:p>
            <w:pPr>
              <w:ind w:left="106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49"/>
        </w:trPr>
        <w:tc>
          <w:tcPr>
            <w:tcW w:w="4100" w:type="dxa"/>
            <w:vAlign w:val="bottom"/>
            <w:gridSpan w:val="3"/>
          </w:tcPr>
          <w:p>
            <w:pPr>
              <w:spacing w:after="0"/>
              <w:rPr>
                <w:sz w:val="20"/>
                <w:szCs w:val="20"/>
                <w:color w:val="auto"/>
              </w:rPr>
            </w:pPr>
            <w:r>
              <w:rPr>
                <w:rFonts w:ascii="Arial" w:cs="Arial" w:eastAsia="Arial" w:hAnsi="Arial"/>
                <w:sz w:val="18"/>
                <w:szCs w:val="18"/>
                <w:color w:val="auto"/>
              </w:rPr>
              <w:t>Common Stock, par value $0.01 per share</w:t>
            </w:r>
          </w:p>
        </w:tc>
        <w:tc>
          <w:tcPr>
            <w:tcW w:w="3740" w:type="dxa"/>
            <w:vAlign w:val="bottom"/>
          </w:tcPr>
          <w:p>
            <w:pPr>
              <w:ind w:left="1060"/>
              <w:spacing w:after="0"/>
              <w:rPr>
                <w:sz w:val="20"/>
                <w:szCs w:val="20"/>
                <w:color w:val="auto"/>
              </w:rPr>
            </w:pPr>
            <w:r>
              <w:rPr>
                <w:rFonts w:ascii="Arial" w:cs="Arial" w:eastAsia="Arial" w:hAnsi="Arial"/>
                <w:sz w:val="18"/>
                <w:szCs w:val="18"/>
                <w:color w:val="auto"/>
              </w:rPr>
              <w:t>New York Stock Exchange</w:t>
            </w: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Euronext Paris</w:t>
            </w: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The London Stock Exchange</w:t>
            </w:r>
          </w:p>
        </w:tc>
      </w:tr>
      <w:tr>
        <w:trPr>
          <w:trHeight w:val="230"/>
        </w:trPr>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740" w:type="dxa"/>
            <w:vAlign w:val="bottom"/>
          </w:tcPr>
          <w:p>
            <w:pPr>
              <w:ind w:left="1060"/>
              <w:spacing w:after="0"/>
              <w:rPr>
                <w:sz w:val="20"/>
                <w:szCs w:val="20"/>
                <w:color w:val="auto"/>
              </w:rPr>
            </w:pPr>
            <w:r>
              <w:rPr>
                <w:rFonts w:ascii="Arial" w:cs="Arial" w:eastAsia="Arial" w:hAnsi="Arial"/>
                <w:sz w:val="18"/>
                <w:szCs w:val="18"/>
                <w:color w:val="auto"/>
              </w:rPr>
              <w:t>SIX Swiss Exchange Ltd.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-591185</wp:posOffset>
            </wp:positionV>
            <wp:extent cx="26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None</w:t>
      </w:r>
    </w:p>
    <w:p>
      <w:pPr>
        <w:spacing w:after="0" w:line="4" w:lineRule="exact"/>
        <w:rPr>
          <w:sz w:val="20"/>
          <w:szCs w:val="20"/>
          <w:color w:val="auto"/>
        </w:rPr>
      </w:pPr>
    </w:p>
    <w:p>
      <w:pPr>
        <w:ind w:left="360" w:right="1020"/>
        <w:spacing w:after="0" w:line="22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ind w:left="360" w:right="180"/>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0"/>
          <w:szCs w:val="20"/>
          <w:color w:val="auto"/>
        </w:rPr>
      </w:pPr>
    </w:p>
    <w:p>
      <w:pPr>
        <w:ind w:left="360" w:right="180"/>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 w:lineRule="exact"/>
        <w:rPr>
          <w:sz w:val="20"/>
          <w:szCs w:val="20"/>
          <w:color w:val="auto"/>
        </w:rPr>
      </w:pPr>
    </w:p>
    <w:p>
      <w:pPr>
        <w:ind w:left="360" w:right="20"/>
        <w:spacing w:after="0" w:line="24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o</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See the definitions of “large accelerated filer,” “accelerated filer” and “smaller reporting company” in Rule 12b-2 of the Exchange Act. (Check one):</w:t>
      </w:r>
    </w:p>
    <w:p>
      <w:pPr>
        <w:spacing w:after="0" w:line="32"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w:t>
      </w:r>
    </w:p>
    <w:p>
      <w:pPr>
        <w:spacing w:after="0" w:line="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 not check if a smaller reporting company)</w:t>
      </w:r>
    </w:p>
    <w:p>
      <w:pPr>
        <w:spacing w:after="0" w:line="2"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6" w:lineRule="exact"/>
        <w:rPr>
          <w:sz w:val="20"/>
          <w:szCs w:val="20"/>
          <w:color w:val="auto"/>
        </w:rPr>
      </w:pPr>
    </w:p>
    <w:p>
      <w:pPr>
        <w:ind w:left="360" w:right="320"/>
        <w:spacing w:after="0" w:line="249" w:lineRule="auto"/>
        <w:rPr>
          <w:sz w:val="20"/>
          <w:szCs w:val="20"/>
          <w:color w:val="auto"/>
        </w:rPr>
      </w:pPr>
      <w:r>
        <w:rPr>
          <w:rFonts w:ascii="Arial" w:cs="Arial" w:eastAsia="Arial" w:hAnsi="Arial"/>
          <w:sz w:val="18"/>
          <w:szCs w:val="18"/>
          <w:color w:val="auto"/>
        </w:rPr>
        <w:t>As of June 30, 2010, the aggregate market value of the common stock of the registrant held by non-affiliates of the registrant was approximately $65.9 billion.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January 31, 2011, the number of shares of common stock outstanding was 1,360,993,901.</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 w:lineRule="exact"/>
        <w:rPr>
          <w:sz w:val="20"/>
          <w:szCs w:val="20"/>
          <w:color w:val="auto"/>
        </w:rPr>
      </w:pPr>
    </w:p>
    <w:p>
      <w:pPr>
        <w:ind w:left="360" w:right="220"/>
        <w:spacing w:after="0" w:line="290" w:lineRule="auto"/>
        <w:rPr>
          <w:sz w:val="20"/>
          <w:szCs w:val="20"/>
          <w:color w:val="auto"/>
        </w:rPr>
      </w:pPr>
      <w:r>
        <w:rPr>
          <w:rFonts w:ascii="Arial" w:cs="Arial" w:eastAsia="Arial" w:hAnsi="Arial"/>
          <w:sz w:val="17"/>
          <w:szCs w:val="17"/>
          <w:color w:val="auto"/>
        </w:rPr>
        <w:t>Portions of the following document have been incorporated herein by reference into Part III of this Form 10-K to the extent described therein: the definitive proxy statement relating to Schlumberger’s 2011 Annual General Meeting of Stockholders (“2011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77470</wp:posOffset>
            </wp:positionV>
            <wp:extent cx="6817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179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2" w:right="5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594995</wp:posOffset>
            </wp:positionH>
            <wp:positionV relativeFrom="page">
              <wp:posOffset>612140</wp:posOffset>
            </wp:positionV>
            <wp:extent cx="63030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3010" cy="8890"/>
                    </a:xfrm>
                    <a:prstGeom prst="rect">
                      <a:avLst/>
                    </a:prstGeom>
                    <a:noFill/>
                  </pic:spPr>
                </pic:pic>
              </a:graphicData>
            </a:graphic>
          </wp:anchor>
        </w:drawing>
        <w:t>SCHLUMBERGER LIMITED</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of Contents</w:t>
      </w:r>
    </w:p>
    <w:p>
      <w:pPr>
        <w:spacing w:after="0" w:line="122"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166370</wp:posOffset>
            </wp:positionV>
            <wp:extent cx="630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327"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920" w:type="dxa"/>
            <w:vAlign w:val="bottom"/>
            <w:gridSpan w:val="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r>
      <w:tr>
        <w:trPr>
          <w:trHeight w:val="196"/>
        </w:trPr>
        <w:tc>
          <w:tcPr>
            <w:tcW w:w="54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40" w:type="dxa"/>
            <w:vAlign w:val="bottom"/>
            <w:tcBorders>
              <w:top w:val="single" w:sz="8" w:color="0000EE"/>
            </w:tcBorders>
          </w:tcPr>
          <w:p>
            <w:pPr>
              <w:spacing w:after="0"/>
              <w:rPr>
                <w:sz w:val="17"/>
                <w:szCs w:val="17"/>
                <w:color w:val="auto"/>
              </w:rPr>
            </w:pPr>
          </w:p>
        </w:tc>
        <w:tc>
          <w:tcPr>
            <w:tcW w:w="1340" w:type="dxa"/>
            <w:vAlign w:val="bottom"/>
            <w:gridSpan w:val="6"/>
          </w:tcPr>
          <w:p>
            <w:pPr>
              <w:spacing w:after="0"/>
              <w:rPr>
                <w:sz w:val="17"/>
                <w:szCs w:val="17"/>
                <w:color w:val="auto"/>
              </w:rPr>
            </w:pPr>
          </w:p>
        </w:tc>
        <w:tc>
          <w:tcPr>
            <w:tcW w:w="718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Item 1A.</w:t>
              </w:r>
            </w:hyperlink>
          </w:p>
        </w:tc>
        <w:tc>
          <w:tcPr>
            <w:tcW w:w="1260" w:type="dxa"/>
            <w:vAlign w:val="bottom"/>
            <w:gridSpan w:val="4"/>
          </w:tcPr>
          <w:p>
            <w:pPr>
              <w:spacing w:after="0"/>
              <w:rPr>
                <w:sz w:val="17"/>
                <w:szCs w:val="17"/>
                <w:color w:val="auto"/>
              </w:rPr>
            </w:pPr>
          </w:p>
        </w:tc>
        <w:tc>
          <w:tcPr>
            <w:tcW w:w="7180" w:type="dxa"/>
            <w:vAlign w:val="bottom"/>
            <w:gridSpan w:val="24"/>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Item 1B.</w:t>
              </w:r>
            </w:hyperlink>
          </w:p>
        </w:tc>
        <w:tc>
          <w:tcPr>
            <w:tcW w:w="1260" w:type="dxa"/>
            <w:vAlign w:val="bottom"/>
            <w:gridSpan w:val="4"/>
          </w:tcPr>
          <w:p>
            <w:pPr>
              <w:spacing w:after="0"/>
              <w:rPr>
                <w:sz w:val="17"/>
                <w:szCs w:val="17"/>
                <w:color w:val="auto"/>
              </w:rPr>
            </w:pPr>
          </w:p>
        </w:tc>
        <w:tc>
          <w:tcPr>
            <w:tcW w:w="7180" w:type="dxa"/>
            <w:vAlign w:val="bottom"/>
            <w:gridSpan w:val="24"/>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2.</w:t>
              </w:r>
            </w:hyperlink>
          </w:p>
        </w:tc>
        <w:tc>
          <w:tcPr>
            <w:tcW w:w="120" w:type="dxa"/>
            <w:vAlign w:val="bottom"/>
            <w:tcBorders>
              <w:top w:val="single" w:sz="8" w:color="0000EE"/>
            </w:tcBorders>
            <w:gridSpan w:val="3"/>
          </w:tcPr>
          <w:p>
            <w:pPr>
              <w:spacing w:after="0"/>
              <w:rPr>
                <w:sz w:val="17"/>
                <w:szCs w:val="17"/>
                <w:color w:val="auto"/>
              </w:rPr>
            </w:pPr>
          </w:p>
        </w:tc>
        <w:tc>
          <w:tcPr>
            <w:tcW w:w="1260" w:type="dxa"/>
            <w:vAlign w:val="bottom"/>
            <w:gridSpan w:val="4"/>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13">
              <w:r>
                <w:rPr>
                  <w:rFonts w:ascii="Arial" w:cs="Arial" w:eastAsia="Arial" w:hAnsi="Arial"/>
                  <w:sz w:val="18"/>
                  <w:szCs w:val="18"/>
                  <w:color w:val="0000EE"/>
                  <w:w w:val="87"/>
                </w:rPr>
                <w:t>Properties</w:t>
              </w:r>
            </w:hyperlink>
          </w:p>
        </w:tc>
        <w:tc>
          <w:tcPr>
            <w:tcW w:w="1300" w:type="dxa"/>
            <w:vAlign w:val="bottom"/>
            <w:tcBorders>
              <w:top w:val="single" w:sz="8" w:color="0000EE"/>
            </w:tcBorders>
            <w:gridSpan w:val="10"/>
          </w:tcPr>
          <w:p>
            <w:pPr>
              <w:spacing w:after="0"/>
              <w:rPr>
                <w:sz w:val="17"/>
                <w:szCs w:val="17"/>
                <w:color w:val="auto"/>
              </w:rPr>
            </w:pPr>
          </w:p>
        </w:tc>
        <w:tc>
          <w:tcPr>
            <w:tcW w:w="5140" w:type="dxa"/>
            <w:vAlign w:val="bottom"/>
            <w:gridSpan w:val="11"/>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3.</w:t>
              </w:r>
            </w:hyperlink>
          </w:p>
        </w:tc>
        <w:tc>
          <w:tcPr>
            <w:tcW w:w="1380" w:type="dxa"/>
            <w:vAlign w:val="bottom"/>
            <w:gridSpan w:val="7"/>
          </w:tcPr>
          <w:p>
            <w:pPr>
              <w:spacing w:after="0"/>
              <w:rPr>
                <w:sz w:val="17"/>
                <w:szCs w:val="17"/>
                <w:color w:val="auto"/>
              </w:rPr>
            </w:pPr>
          </w:p>
        </w:tc>
        <w:tc>
          <w:tcPr>
            <w:tcW w:w="134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5840" w:type="dxa"/>
            <w:vAlign w:val="bottom"/>
            <w:gridSpan w:val="16"/>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Item 4.</w:t>
              </w:r>
            </w:hyperlink>
          </w:p>
        </w:tc>
        <w:tc>
          <w:tcPr>
            <w:tcW w:w="1380" w:type="dxa"/>
            <w:vAlign w:val="bottom"/>
            <w:gridSpan w:val="7"/>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[Removed and Reserved]</w:t>
              </w:r>
            </w:hyperlink>
          </w:p>
        </w:tc>
        <w:tc>
          <w:tcPr>
            <w:tcW w:w="5340" w:type="dxa"/>
            <w:vAlign w:val="bottom"/>
            <w:gridSpan w:val="1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PART II</w:t>
              </w:r>
            </w:hyperlink>
          </w:p>
        </w:tc>
        <w:tc>
          <w:tcPr>
            <w:tcW w:w="124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5.</w:t>
              </w:r>
            </w:hyperlink>
          </w:p>
        </w:tc>
        <w:tc>
          <w:tcPr>
            <w:tcW w:w="1380" w:type="dxa"/>
            <w:vAlign w:val="bottom"/>
            <w:gridSpan w:val="7"/>
          </w:tcPr>
          <w:p>
            <w:pPr>
              <w:spacing w:after="0"/>
              <w:rPr>
                <w:sz w:val="17"/>
                <w:szCs w:val="17"/>
                <w:color w:val="auto"/>
              </w:rPr>
            </w:pPr>
          </w:p>
        </w:tc>
        <w:tc>
          <w:tcPr>
            <w:tcW w:w="702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Market for Schlumberger’s Common Stock, Related Stockholder Matters and Issuer Purchases of</w:t>
              </w:r>
            </w:hyperlink>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Equity Securities</w:t>
              </w:r>
            </w:hyperlink>
          </w:p>
        </w:tc>
        <w:tc>
          <w:tcPr>
            <w:tcW w:w="5940" w:type="dxa"/>
            <w:vAlign w:val="bottom"/>
            <w:gridSpan w:val="18"/>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Item 6.</w:t>
              </w:r>
            </w:hyperlink>
          </w:p>
        </w:tc>
        <w:tc>
          <w:tcPr>
            <w:tcW w:w="1380" w:type="dxa"/>
            <w:vAlign w:val="bottom"/>
            <w:gridSpan w:val="7"/>
          </w:tcPr>
          <w:p>
            <w:pPr>
              <w:spacing w:after="0"/>
              <w:rPr>
                <w:sz w:val="17"/>
                <w:szCs w:val="17"/>
                <w:color w:val="auto"/>
              </w:rPr>
            </w:pPr>
          </w:p>
        </w:tc>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Selected Financial Data</w:t>
              </w:r>
            </w:hyperlink>
          </w:p>
        </w:tc>
        <w:tc>
          <w:tcPr>
            <w:tcW w:w="5460" w:type="dxa"/>
            <w:vAlign w:val="bottom"/>
            <w:gridSpan w:val="15"/>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600" w:type="dxa"/>
            <w:vAlign w:val="bottom"/>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7.</w:t>
              </w:r>
            </w:hyperlink>
          </w:p>
        </w:tc>
        <w:tc>
          <w:tcPr>
            <w:tcW w:w="1320" w:type="dxa"/>
            <w:vAlign w:val="bottom"/>
            <w:gridSpan w:val="5"/>
          </w:tcPr>
          <w:p>
            <w:pPr>
              <w:spacing w:after="0"/>
              <w:rPr>
                <w:sz w:val="17"/>
                <w:szCs w:val="17"/>
                <w:color w:val="auto"/>
              </w:rPr>
            </w:pPr>
          </w:p>
        </w:tc>
        <w:tc>
          <w:tcPr>
            <w:tcW w:w="7180" w:type="dxa"/>
            <w:vAlign w:val="bottom"/>
            <w:gridSpan w:val="24"/>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Item 7A.</w:t>
              </w:r>
            </w:hyperlink>
          </w:p>
        </w:tc>
        <w:tc>
          <w:tcPr>
            <w:tcW w:w="1200" w:type="dxa"/>
            <w:vAlign w:val="bottom"/>
            <w:gridSpan w:val="2"/>
          </w:tcPr>
          <w:p>
            <w:pPr>
              <w:spacing w:after="0"/>
              <w:rPr>
                <w:sz w:val="17"/>
                <w:szCs w:val="17"/>
                <w:color w:val="auto"/>
              </w:rPr>
            </w:pPr>
          </w:p>
        </w:tc>
        <w:tc>
          <w:tcPr>
            <w:tcW w:w="7180" w:type="dxa"/>
            <w:vAlign w:val="bottom"/>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Item 8.</w:t>
              </w:r>
            </w:hyperlink>
          </w:p>
        </w:tc>
        <w:tc>
          <w:tcPr>
            <w:tcW w:w="180" w:type="dxa"/>
            <w:vAlign w:val="bottom"/>
            <w:tcBorders>
              <w:top w:val="single" w:sz="8" w:color="0000EE"/>
            </w:tcBorders>
            <w:gridSpan w:val="5"/>
          </w:tcPr>
          <w:p>
            <w:pPr>
              <w:spacing w:after="0"/>
              <w:rPr>
                <w:sz w:val="17"/>
                <w:szCs w:val="17"/>
                <w:color w:val="auto"/>
              </w:rPr>
            </w:pPr>
          </w:p>
        </w:tc>
        <w:tc>
          <w:tcPr>
            <w:tcW w:w="1200" w:type="dxa"/>
            <w:vAlign w:val="bottom"/>
            <w:gridSpan w:val="2"/>
          </w:tcPr>
          <w:p>
            <w:pPr>
              <w:spacing w:after="0"/>
              <w:rPr>
                <w:sz w:val="17"/>
                <w:szCs w:val="17"/>
                <w:color w:val="auto"/>
              </w:rPr>
            </w:pPr>
          </w:p>
        </w:tc>
        <w:tc>
          <w:tcPr>
            <w:tcW w:w="33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tcPr>
          <w:p>
            <w:pPr>
              <w:spacing w:after="0"/>
              <w:rPr>
                <w:sz w:val="17"/>
                <w:szCs w:val="17"/>
                <w:color w:val="auto"/>
              </w:rPr>
            </w:pPr>
          </w:p>
        </w:tc>
        <w:tc>
          <w:tcPr>
            <w:tcW w:w="2820" w:type="dxa"/>
            <w:vAlign w:val="bottom"/>
            <w:gridSpan w:val="7"/>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76">
              <w:r>
                <w:rPr>
                  <w:rFonts w:ascii="Arial" w:cs="Arial" w:eastAsia="Arial" w:hAnsi="Arial"/>
                  <w:sz w:val="18"/>
                  <w:szCs w:val="18"/>
                  <w:color w:val="0000EE"/>
                  <w:w w:val="90"/>
                </w:rPr>
                <w:t>Item 9.</w:t>
              </w:r>
            </w:hyperlink>
          </w:p>
        </w:tc>
        <w:tc>
          <w:tcPr>
            <w:tcW w:w="1380" w:type="dxa"/>
            <w:vAlign w:val="bottom"/>
            <w:gridSpan w:val="7"/>
          </w:tcPr>
          <w:p>
            <w:pPr>
              <w:spacing w:after="0"/>
              <w:rPr>
                <w:sz w:val="17"/>
                <w:szCs w:val="17"/>
                <w:color w:val="auto"/>
              </w:rPr>
            </w:pPr>
          </w:p>
        </w:tc>
        <w:tc>
          <w:tcPr>
            <w:tcW w:w="7180" w:type="dxa"/>
            <w:vAlign w:val="bottom"/>
            <w:gridSpan w:val="24"/>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Changes in and Disagreements with Accountants on Accounting and Financial Disclosure</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Item 9A.</w:t>
              </w:r>
            </w:hyperlink>
          </w:p>
        </w:tc>
        <w:tc>
          <w:tcPr>
            <w:tcW w:w="1260" w:type="dxa"/>
            <w:vAlign w:val="bottom"/>
            <w:gridSpan w:val="4"/>
          </w:tcPr>
          <w:p>
            <w:pPr>
              <w:spacing w:after="0"/>
              <w:rPr>
                <w:sz w:val="17"/>
                <w:szCs w:val="17"/>
                <w:color w:val="auto"/>
              </w:rPr>
            </w:pPr>
          </w:p>
        </w:tc>
        <w:tc>
          <w:tcPr>
            <w:tcW w:w="178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Controls and Procedures</w:t>
              </w:r>
            </w:hyperlink>
          </w:p>
        </w:tc>
        <w:tc>
          <w:tcPr>
            <w:tcW w:w="5400" w:type="dxa"/>
            <w:vAlign w:val="bottom"/>
            <w:gridSpan w:val="14"/>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Item 9B.</w:t>
              </w:r>
            </w:hyperlink>
          </w:p>
        </w:tc>
        <w:tc>
          <w:tcPr>
            <w:tcW w:w="1260" w:type="dxa"/>
            <w:vAlign w:val="bottom"/>
            <w:gridSpan w:val="4"/>
          </w:tcPr>
          <w:p>
            <w:pPr>
              <w:spacing w:after="0"/>
              <w:rPr>
                <w:sz w:val="17"/>
                <w:szCs w:val="17"/>
                <w:color w:val="auto"/>
              </w:rPr>
            </w:pPr>
          </w:p>
        </w:tc>
        <w:tc>
          <w:tcPr>
            <w:tcW w:w="132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Other Information</w:t>
              </w:r>
            </w:hyperlink>
          </w:p>
        </w:tc>
        <w:tc>
          <w:tcPr>
            <w:tcW w:w="5860" w:type="dxa"/>
            <w:vAlign w:val="bottom"/>
            <w:gridSpan w:val="17"/>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75</w:t>
            </w:r>
          </w:p>
        </w:tc>
      </w:tr>
      <w:tr>
        <w:trPr>
          <w:trHeight w:val="412"/>
        </w:trPr>
        <w:tc>
          <w:tcPr>
            <w:tcW w:w="74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PART III</w:t>
              </w:r>
            </w:hyperlink>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192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10.</w:t>
              </w:r>
            </w:hyperlink>
          </w:p>
        </w:tc>
        <w:tc>
          <w:tcPr>
            <w:tcW w:w="7180" w:type="dxa"/>
            <w:vAlign w:val="bottom"/>
            <w:gridSpan w:val="2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Directors, Executive Officers and Corporate Governance of Schlumberger</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60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Item 11.</w:t>
              </w:r>
            </w:hyperlink>
          </w:p>
        </w:tc>
        <w:tc>
          <w:tcPr>
            <w:tcW w:w="1320" w:type="dxa"/>
            <w:vAlign w:val="bottom"/>
            <w:gridSpan w:val="5"/>
          </w:tcPr>
          <w:p>
            <w:pPr>
              <w:spacing w:after="0"/>
              <w:rPr>
                <w:sz w:val="17"/>
                <w:szCs w:val="17"/>
                <w:color w:val="auto"/>
              </w:rPr>
            </w:pPr>
          </w:p>
        </w:tc>
        <w:tc>
          <w:tcPr>
            <w:tcW w:w="534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Executive Compensation</w:t>
              </w:r>
            </w:hyperlink>
          </w:p>
        </w:tc>
        <w:tc>
          <w:tcPr>
            <w:tcW w:w="1840" w:type="dxa"/>
            <w:vAlign w:val="bottom"/>
            <w:gridSpan w:val="6"/>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40" w:type="dxa"/>
            <w:vAlign w:val="bottom"/>
            <w:gridSpan w:val="7"/>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1920" w:type="dxa"/>
            <w:vAlign w:val="bottom"/>
            <w:gridSpan w:val="8"/>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Item 12.</w:t>
              </w:r>
            </w:hyperlink>
          </w:p>
        </w:tc>
        <w:tc>
          <w:tcPr>
            <w:tcW w:w="7180" w:type="dxa"/>
            <w:vAlign w:val="bottom"/>
            <w:gridSpan w:val="24"/>
          </w:tcPr>
          <w:p>
            <w:pPr>
              <w:spacing w:after="0" w:line="196" w:lineRule="exact"/>
              <w:rPr>
                <w:rFonts w:ascii="Arial" w:cs="Arial" w:eastAsia="Arial" w:hAnsi="Arial"/>
                <w:sz w:val="18"/>
                <w:szCs w:val="18"/>
                <w:color w:val="0000EE"/>
                <w:w w:val="97"/>
              </w:rPr>
            </w:pPr>
            <w:hyperlink w:anchor="page77">
              <w:r>
                <w:rPr>
                  <w:rFonts w:ascii="Arial" w:cs="Arial" w:eastAsia="Arial" w:hAnsi="Arial"/>
                  <w:sz w:val="18"/>
                  <w:szCs w:val="18"/>
                  <w:color w:val="0000EE"/>
                  <w:w w:val="97"/>
                </w:rPr>
                <w:t>Security Ownership of Certain Beneficial Owners and Management and Related Stockholder</w:t>
              </w:r>
            </w:hyperlink>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Matters</w:t>
              </w:r>
            </w:hyperlink>
          </w:p>
        </w:tc>
        <w:tc>
          <w:tcPr>
            <w:tcW w:w="6140" w:type="dxa"/>
            <w:vAlign w:val="bottom"/>
            <w:tcBorders>
              <w:top w:val="single" w:sz="8" w:color="0000EE"/>
            </w:tcBorders>
            <w:gridSpan w:val="21"/>
          </w:tcPr>
          <w:p>
            <w:pPr>
              <w:spacing w:after="0"/>
              <w:rPr>
                <w:sz w:val="17"/>
                <w:szCs w:val="17"/>
                <w:color w:val="auto"/>
              </w:rPr>
            </w:pPr>
          </w:p>
        </w:tc>
        <w:tc>
          <w:tcPr>
            <w:tcW w:w="480" w:type="dxa"/>
            <w:vAlign w:val="bottom"/>
            <w:gridSpan w:val="2"/>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72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13.</w:t>
              </w:r>
            </w:hyperlink>
          </w:p>
        </w:tc>
        <w:tc>
          <w:tcPr>
            <w:tcW w:w="1200" w:type="dxa"/>
            <w:vAlign w:val="bottom"/>
            <w:gridSpan w:val="2"/>
          </w:tcPr>
          <w:p>
            <w:pPr>
              <w:spacing w:after="0"/>
              <w:rPr>
                <w:sz w:val="17"/>
                <w:szCs w:val="17"/>
                <w:color w:val="auto"/>
              </w:rPr>
            </w:pPr>
          </w:p>
        </w:tc>
        <w:tc>
          <w:tcPr>
            <w:tcW w:w="5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Certain Relationships and Related Transactions, and Director Independence</w:t>
              </w:r>
            </w:hyperlink>
          </w:p>
        </w:tc>
        <w:tc>
          <w:tcPr>
            <w:tcW w:w="1720" w:type="dxa"/>
            <w:vAlign w:val="bottom"/>
            <w:gridSpan w:val="5"/>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1920" w:type="dxa"/>
            <w:vAlign w:val="bottom"/>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Item 14.</w:t>
              </w:r>
            </w:hyperlink>
          </w:p>
        </w:tc>
        <w:tc>
          <w:tcPr>
            <w:tcW w:w="7180" w:type="dxa"/>
            <w:vAlign w:val="bottom"/>
            <w:gridSpan w:val="24"/>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Accounting Fees and Services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12"/>
        </w:trPr>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w w:val="98"/>
              </w:rPr>
            </w:pPr>
            <w:hyperlink w:anchor="page79">
              <w:r>
                <w:rPr>
                  <w:rFonts w:ascii="Arial" w:cs="Arial" w:eastAsia="Arial" w:hAnsi="Arial"/>
                  <w:sz w:val="18"/>
                  <w:szCs w:val="18"/>
                  <w:b w:val="1"/>
                  <w:bCs w:val="1"/>
                  <w:color w:val="0000EE"/>
                  <w:w w:val="98"/>
                </w:rPr>
                <w:t>PART IV</w:t>
              </w:r>
            </w:hyperlink>
          </w:p>
        </w:tc>
        <w:tc>
          <w:tcPr>
            <w:tcW w:w="120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96"/>
        </w:trPr>
        <w:tc>
          <w:tcPr>
            <w:tcW w:w="192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15.</w:t>
              </w:r>
            </w:hyperlink>
          </w:p>
        </w:tc>
        <w:tc>
          <w:tcPr>
            <w:tcW w:w="7180" w:type="dxa"/>
            <w:vAlign w:val="bottom"/>
            <w:gridSpan w:val="2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Exhibits and Financial Statement Schedules</w:t>
              </w:r>
            </w:hyperlink>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1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Signatures</w:t>
              </w:r>
            </w:hyperlink>
          </w:p>
        </w:tc>
        <w:tc>
          <w:tcPr>
            <w:tcW w:w="4020" w:type="dxa"/>
            <w:vAlign w:val="bottom"/>
            <w:gridSpan w:val="9"/>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79</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6420" w:type="dxa"/>
            <w:vAlign w:val="bottom"/>
            <w:gridSpan w:val="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180" w:type="dxa"/>
            <w:vAlign w:val="bottom"/>
            <w:gridSpan w:val="24"/>
          </w:tcPr>
          <w:p>
            <w:pPr>
              <w:spacing w:after="0"/>
              <w:rPr>
                <w:sz w:val="20"/>
                <w:szCs w:val="20"/>
                <w:color w:val="auto"/>
              </w:rPr>
            </w:pPr>
            <w:r>
              <w:rPr>
                <w:rFonts w:ascii="Arial" w:cs="Arial" w:eastAsia="Arial" w:hAnsi="Arial"/>
                <w:sz w:val="18"/>
                <w:szCs w:val="18"/>
                <w:color w:val="auto"/>
              </w:rPr>
              <w:t>Certifications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u w:val="single" w:color="auto"/>
          <w:color w:val="0000EE"/>
        </w:rPr>
        <w:t>EX-21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EX-32.2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15875</wp:posOffset>
            </wp:positionV>
            <wp:extent cx="63030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3010" cy="8890"/>
                    </a:xfrm>
                    <a:prstGeom prst="rect">
                      <a:avLst/>
                    </a:prstGeom>
                    <a:noFill/>
                  </pic:spPr>
                </pic:pic>
              </a:graphicData>
            </a:graphic>
          </wp:anchor>
        </w:drawing>
        <w:drawing>
          <wp:anchor simplePos="0" relativeHeight="251657728" behindDoc="1" locked="0" layoutInCell="0" allowOverlap="1">
            <wp:simplePos x="0" y="0"/>
            <wp:positionH relativeFrom="column">
              <wp:posOffset>-466090</wp:posOffset>
            </wp:positionH>
            <wp:positionV relativeFrom="paragraph">
              <wp:posOffset>159385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80" w:top="1300"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w:t>
      </w:r>
    </w:p>
    <w:p>
      <w:pPr>
        <w:spacing w:after="0" w:line="323"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PART I</w:t>
      </w:r>
    </w:p>
    <w:p>
      <w:pPr>
        <w:spacing w:after="0" w:line="230" w:lineRule="exact"/>
        <w:rPr>
          <w:sz w:val="20"/>
          <w:szCs w:val="20"/>
          <w:color w:val="auto"/>
        </w:rPr>
      </w:pPr>
    </w:p>
    <w:p>
      <w:pPr>
        <w:ind w:left="700"/>
        <w:spacing w:after="0"/>
        <w:tabs>
          <w:tab w:leader="none" w:pos="1440" w:val="left"/>
        </w:tabs>
        <w:rPr>
          <w:sz w:val="20"/>
          <w:szCs w:val="20"/>
          <w:color w:val="auto"/>
        </w:rPr>
      </w:pPr>
      <w:r>
        <w:rPr>
          <w:rFonts w:ascii="Arial" w:cs="Arial" w:eastAsia="Arial" w:hAnsi="Arial"/>
          <w:sz w:val="18"/>
          <w:szCs w:val="18"/>
          <w:b w:val="1"/>
          <w:bCs w:val="1"/>
          <w:u w:val="single" w:color="auto"/>
          <w:color w:val="auto"/>
        </w:rPr>
        <w:t>Item 1.</w:t>
        <w:tab/>
        <w:t>Business.</w:t>
      </w:r>
    </w:p>
    <w:p>
      <w:pPr>
        <w:spacing w:after="0" w:line="126" w:lineRule="exact"/>
        <w:rPr>
          <w:sz w:val="20"/>
          <w:szCs w:val="20"/>
          <w:color w:val="auto"/>
        </w:rPr>
      </w:pPr>
    </w:p>
    <w:p>
      <w:pPr>
        <w:ind w:left="700" w:right="100" w:firstLine="198"/>
        <w:spacing w:after="0" w:line="258" w:lineRule="auto"/>
        <w:rPr>
          <w:sz w:val="20"/>
          <w:szCs w:val="20"/>
          <w:color w:val="auto"/>
        </w:rPr>
      </w:pPr>
      <w:r>
        <w:rPr>
          <w:rFonts w:ascii="Arial" w:cs="Arial" w:eastAsia="Arial" w:hAnsi="Arial"/>
          <w:sz w:val="18"/>
          <w:szCs w:val="18"/>
          <w:color w:val="auto"/>
        </w:rPr>
        <w:t>All references in this report to “Registrant,” “Company,” “Schlumberger,” “we” or “our” are to Schlumberger Limited (Schlumberger N.V., incorporated in Curaçao) and its consolidated subsidiaries.</w:t>
      </w:r>
    </w:p>
    <w:p>
      <w:pPr>
        <w:spacing w:after="0" w:line="1" w:lineRule="exact"/>
        <w:rPr>
          <w:sz w:val="20"/>
          <w:szCs w:val="20"/>
          <w:color w:val="auto"/>
        </w:rPr>
      </w:pPr>
    </w:p>
    <w:p>
      <w:pPr>
        <w:ind w:left="700" w:right="320" w:firstLine="198"/>
        <w:spacing w:after="0" w:line="281" w:lineRule="auto"/>
        <w:rPr>
          <w:sz w:val="20"/>
          <w:szCs w:val="20"/>
          <w:color w:val="auto"/>
        </w:rPr>
      </w:pPr>
      <w:r>
        <w:rPr>
          <w:rFonts w:ascii="Arial" w:cs="Arial" w:eastAsia="Arial" w:hAnsi="Arial"/>
          <w:sz w:val="16"/>
          <w:szCs w:val="16"/>
          <w:color w:val="auto"/>
        </w:rPr>
        <w:t>Founded in 1926, Schlumberger is the world’s leading supplier of technology, integrated project management and information solutions to the international oil and gas exploration and production industry. Having invented wireline logging as a technique for obtaining downhole data in oil and gas wells, the Company today provides the industry’s widest range of products and services from exploration through production. As of December 31, 2010, the Company employed approximately 108,000 people of over 140 nationalities operating in approximately 80 countries. Schlumberger has principal executive offices in Paris, Houston and The Hague.</w:t>
      </w:r>
    </w:p>
    <w:p>
      <w:pPr>
        <w:spacing w:after="0" w:line="3" w:lineRule="exact"/>
        <w:rPr>
          <w:sz w:val="20"/>
          <w:szCs w:val="20"/>
          <w:color w:val="auto"/>
        </w:rPr>
      </w:pPr>
    </w:p>
    <w:p>
      <w:pPr>
        <w:ind w:left="700" w:right="120" w:firstLine="198"/>
        <w:spacing w:after="0" w:line="253" w:lineRule="auto"/>
        <w:rPr>
          <w:sz w:val="20"/>
          <w:szCs w:val="20"/>
          <w:color w:val="auto"/>
        </w:rPr>
      </w:pPr>
      <w:r>
        <w:rPr>
          <w:rFonts w:ascii="Arial" w:cs="Arial" w:eastAsia="Arial" w:hAnsi="Arial"/>
          <w:sz w:val="18"/>
          <w:szCs w:val="18"/>
          <w:color w:val="auto"/>
        </w:rPr>
        <w:t>On August 27, 2010, Schlumberger acquired all of the outstanding shares of Smith International, Inc. (“Smith”), a leading supplier of premium products and services to the oil and gas exploration and production industry. In connection with this transaction, Schlumberger issued 176 million shares of its common stock, valued at approximately $9.8 billion as of the acquisition date. As a result of this transaction, Schlumberger consists of five business segments as of December 31, 2010 – Schlumberger Oilfield Services, WesternGeco, M-I SWACO, Smith Oilfield and Distribution.</w:t>
      </w:r>
    </w:p>
    <w:p>
      <w:pPr>
        <w:spacing w:after="0" w:line="93"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b w:val="1"/>
          <w:bCs w:val="1"/>
          <w:color w:val="auto"/>
        </w:rPr>
        <w:t xml:space="preserve">Schlumberger Oilfield Services </w:t>
      </w:r>
      <w:r>
        <w:rPr>
          <w:rFonts w:ascii="Arial" w:cs="Arial" w:eastAsia="Arial" w:hAnsi="Arial"/>
          <w:sz w:val="17"/>
          <w:szCs w:val="17"/>
          <w:color w:val="auto"/>
        </w:rPr>
        <w:t>operates in each of the major oilfield service markets, managing its business through its GeoMarket*</w:t>
      </w:r>
      <w:r>
        <w:rPr>
          <w:rFonts w:ascii="Arial" w:cs="Arial" w:eastAsia="Arial" w:hAnsi="Arial"/>
          <w:sz w:val="17"/>
          <w:szCs w:val="17"/>
          <w:b w:val="1"/>
          <w:bCs w:val="1"/>
          <w:color w:val="auto"/>
        </w:rPr>
        <w:t xml:space="preserve"> </w:t>
      </w:r>
      <w:r>
        <w:rPr>
          <w:rFonts w:ascii="Arial" w:cs="Arial" w:eastAsia="Arial" w:hAnsi="Arial"/>
          <w:sz w:val="17"/>
          <w:szCs w:val="17"/>
          <w:color w:val="auto"/>
        </w:rPr>
        <w:t>regions, which are grouped into four geographic areas: North America, Latin America, Europe/CIS/Africa and Middle East &amp; Asia. The GeoMarket structure offers customers a single point of contact at the local level for field operations and brings together geographically focused teams to meet local needs and deliver customized solutions. Within this business structure, Schlumberger Oilfield Services products and services are developed by a number of technology-based product lines, or Technologies, to capitalize on technical synergies. These products and services cover the entire life cycle of the reservoir and correspond to a number of markets in which Schlumberger Oilfield Services holds leading positions. The Technologies are also responsible for overseeing operational processes, resource allocation, personnel and quality in the GeoMarkets.</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Technologies are:</w:t>
      </w:r>
    </w:p>
    <w:p>
      <w:pPr>
        <w:spacing w:after="0" w:line="131" w:lineRule="exact"/>
        <w:rPr>
          <w:sz w:val="20"/>
          <w:szCs w:val="20"/>
          <w:color w:val="auto"/>
        </w:rPr>
      </w:pPr>
    </w:p>
    <w:p>
      <w:pPr>
        <w:ind w:left="1480" w:right="40" w:hanging="382"/>
        <w:spacing w:after="0" w:line="264"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subsurface formation rocks and fluids to plan and monitor well construction, and to monitor and evaluate well production. Wireline offers both open-hole and cased-hole services as well as a range of well remediation services.</w:t>
      </w:r>
    </w:p>
    <w:p>
      <w:pPr>
        <w:spacing w:after="0" w:line="73" w:lineRule="exact"/>
        <w:rPr>
          <w:rFonts w:ascii="Arial" w:cs="Arial" w:eastAsia="Arial" w:hAnsi="Arial"/>
          <w:sz w:val="18"/>
          <w:szCs w:val="18"/>
          <w:color w:val="auto"/>
        </w:rPr>
      </w:pPr>
    </w:p>
    <w:p>
      <w:pPr>
        <w:ind w:left="1480" w:right="60" w:hanging="382"/>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&amp; Measurements – supplies engineering support, directional-drilling, measurement-while-drilling and logging-while-drilling services for all well profiles.</w:t>
      </w:r>
    </w:p>
    <w:p>
      <w:pPr>
        <w:spacing w:after="0" w:line="62" w:lineRule="exact"/>
        <w:rPr>
          <w:rFonts w:ascii="Arial" w:cs="Arial" w:eastAsia="Arial" w:hAnsi="Arial"/>
          <w:sz w:val="18"/>
          <w:szCs w:val="18"/>
          <w:color w:val="auto"/>
        </w:rPr>
      </w:pPr>
    </w:p>
    <w:p>
      <w:pPr>
        <w:ind w:left="1480" w:right="200" w:hanging="382"/>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Testing Services – provides exploration and production pressure and flow-rate measurement services both at the surface and downhole. The Technology also provides tubing-conveyed perforating services.</w:t>
      </w:r>
    </w:p>
    <w:p>
      <w:pPr>
        <w:spacing w:after="0" w:line="62" w:lineRule="exact"/>
        <w:rPr>
          <w:rFonts w:ascii="Arial" w:cs="Arial" w:eastAsia="Arial" w:hAnsi="Arial"/>
          <w:sz w:val="18"/>
          <w:szCs w:val="18"/>
          <w:color w:val="auto"/>
        </w:rPr>
      </w:pPr>
    </w:p>
    <w:p>
      <w:pPr>
        <w:ind w:left="1480" w:right="440" w:hanging="382"/>
        <w:spacing w:after="0" w:line="31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Well Services – provides services used during oil and gas well drilling and completion as well as those used to maintain optimal production throughout the life of a well. The services include pressure pumping, well cementing and stimulation operations as well as intervention activities. The Technology also develops coiled-tubing equipment and services.</w:t>
      </w:r>
    </w:p>
    <w:p>
      <w:pPr>
        <w:spacing w:after="0" w:line="38" w:lineRule="exact"/>
        <w:rPr>
          <w:rFonts w:ascii="Arial" w:cs="Arial" w:eastAsia="Arial" w:hAnsi="Arial"/>
          <w:sz w:val="16"/>
          <w:szCs w:val="16"/>
          <w:color w:val="auto"/>
        </w:rPr>
      </w:pPr>
    </w:p>
    <w:p>
      <w:pPr>
        <w:ind w:left="1480" w:right="440" w:hanging="382"/>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Completions – supplies well completion services and equipment that includes upper and lower completion systems, sand management systems and permanently installed instrumentation for all types of well completion.</w:t>
      </w:r>
    </w:p>
    <w:p>
      <w:pPr>
        <w:spacing w:after="0" w:line="38" w:lineRule="exact"/>
        <w:rPr>
          <w:rFonts w:ascii="Arial" w:cs="Arial" w:eastAsia="Arial" w:hAnsi="Arial"/>
          <w:sz w:val="17"/>
          <w:szCs w:val="17"/>
          <w:color w:val="auto"/>
        </w:rPr>
      </w:pPr>
    </w:p>
    <w:p>
      <w:pPr>
        <w:ind w:left="1480" w:right="560" w:hanging="382"/>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Artificial Lift – provides electrical submersible pumps and gas lift equipment together with associated instrumentation, engineering and production optimization services.</w:t>
      </w:r>
    </w:p>
    <w:p>
      <w:pPr>
        <w:spacing w:after="0" w:line="62" w:lineRule="exact"/>
        <w:rPr>
          <w:rFonts w:ascii="Arial" w:cs="Arial" w:eastAsia="Arial" w:hAnsi="Arial"/>
          <w:sz w:val="18"/>
          <w:szCs w:val="18"/>
          <w:color w:val="auto"/>
        </w:rPr>
      </w:pPr>
    </w:p>
    <w:p>
      <w:pPr>
        <w:ind w:left="1480" w:right="220" w:hanging="382"/>
        <w:spacing w:after="0" w:line="264"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Data &amp; Consulting Services – supplies interpretation and integration of all exploration and production data types, as well as expert consulting services for reservoir characterization, production enhancement, field development planning and multi-disciplinary reservoir and production solutions.</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w:t>
      </w:r>
    </w:p>
    <w:p>
      <w:pPr>
        <w:spacing w:after="0" w:line="200" w:lineRule="exact"/>
        <w:rPr>
          <w:sz w:val="20"/>
          <w:szCs w:val="20"/>
          <w:color w:val="auto"/>
        </w:rPr>
      </w:pPr>
    </w:p>
    <w:p>
      <w:pPr>
        <w:spacing w:after="0" w:line="245" w:lineRule="exact"/>
        <w:rPr>
          <w:sz w:val="20"/>
          <w:szCs w:val="20"/>
          <w:color w:val="auto"/>
        </w:rPr>
      </w:pPr>
    </w:p>
    <w:p>
      <w:pPr>
        <w:ind w:left="1480" w:right="300" w:hanging="382"/>
        <w:spacing w:after="0" w:line="27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(SIS) – provides consulting, software, information management and IT infrastructure services that support core oil and gas industry operational processes.</w:t>
      </w:r>
    </w:p>
    <w:p>
      <w:pPr>
        <w:spacing w:after="0" w:line="62" w:lineRule="exact"/>
        <w:rPr>
          <w:rFonts w:ascii="Arial" w:cs="Arial" w:eastAsia="Arial" w:hAnsi="Arial"/>
          <w:sz w:val="18"/>
          <w:szCs w:val="18"/>
          <w:color w:val="auto"/>
        </w:rPr>
      </w:pPr>
    </w:p>
    <w:p>
      <w:pPr>
        <w:ind w:left="1480" w:right="40" w:hanging="382"/>
        <w:spacing w:after="0" w:line="302"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Geoservices – supplies mud logging services for geological and drilling surveillance. Geological surveillance includes formation evaluation to provide information on lithology and hydrocarbons encountered while drilling. Drilling surveillance enhances safety and optimizes drilling efficiency using a range of drilling parameter measurements. Geoservices also supplies slickline services for downhole mechanical well intervention and reservoir monitoring and downhole data acquisition.</w:t>
      </w:r>
    </w:p>
    <w:p>
      <w:pPr>
        <w:spacing w:after="0" w:line="60" w:lineRule="exact"/>
        <w:rPr>
          <w:sz w:val="20"/>
          <w:szCs w:val="20"/>
          <w:color w:val="auto"/>
        </w:rPr>
      </w:pPr>
    </w:p>
    <w:p>
      <w:pPr>
        <w:ind w:left="700" w:right="180" w:firstLine="198"/>
        <w:spacing w:after="0" w:line="288" w:lineRule="auto"/>
        <w:rPr>
          <w:sz w:val="20"/>
          <w:szCs w:val="20"/>
          <w:color w:val="auto"/>
        </w:rPr>
      </w:pPr>
      <w:r>
        <w:rPr>
          <w:rFonts w:ascii="Arial" w:cs="Arial" w:eastAsia="Arial" w:hAnsi="Arial"/>
          <w:sz w:val="16"/>
          <w:szCs w:val="16"/>
          <w:color w:val="auto"/>
        </w:rPr>
        <w:t>Supporting the Technologies are various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ind w:left="700" w:right="20" w:firstLine="198"/>
        <w:spacing w:after="0" w:line="250" w:lineRule="auto"/>
        <w:rPr>
          <w:sz w:val="20"/>
          <w:szCs w:val="20"/>
          <w:color w:val="auto"/>
        </w:rPr>
      </w:pPr>
      <w:r>
        <w:rPr>
          <w:rFonts w:ascii="Arial" w:cs="Arial" w:eastAsia="Arial" w:hAnsi="Arial"/>
          <w:sz w:val="18"/>
          <w:szCs w:val="18"/>
          <w:color w:val="auto"/>
        </w:rPr>
        <w:t>Schlumberger Oilfield Services also offers customers its services through a business model known as Integrated Project Management (IPM). IPM combines the required services and products of the Technologies with drilling rig management expertise and project management skills to provide a complete solution to well construction and production improvement. IPM projects are typically of multi-year duration and include start-up costs and significant third-party components which cover services that Schlumberger does not provide directly. Projects may be fixed price in nature, contain penalties for non-performance and may also offer opportunities for bonus payments where performance exceeds agreed targets. IPM also provides specialized engineering and project management expertise when Schlumberger is requested to include these capabilities with services and products across the Technologies in a single contract. In no circumstances do IPM projects fail to respect the Schlumberger business profile that precludes any stake in the ownership of oil or gas reserves.</w:t>
      </w:r>
    </w:p>
    <w:p>
      <w:pPr>
        <w:spacing w:after="0" w:line="4" w:lineRule="exact"/>
        <w:rPr>
          <w:sz w:val="20"/>
          <w:szCs w:val="20"/>
          <w:color w:val="auto"/>
        </w:rPr>
      </w:pPr>
    </w:p>
    <w:p>
      <w:pPr>
        <w:ind w:left="700" w:firstLine="198"/>
        <w:spacing w:after="0" w:line="252" w:lineRule="auto"/>
        <w:rPr>
          <w:sz w:val="20"/>
          <w:szCs w:val="20"/>
          <w:color w:val="auto"/>
        </w:rPr>
      </w:pPr>
      <w:r>
        <w:rPr>
          <w:rFonts w:ascii="Arial" w:cs="Arial" w:eastAsia="Arial" w:hAnsi="Arial"/>
          <w:sz w:val="18"/>
          <w:szCs w:val="18"/>
          <w:color w:val="auto"/>
        </w:rPr>
        <w:t>Schlumberger Oilfield Services uses its own personnel to market its offerings.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measurement-while-drilling, logging-while-drilling and directional-drilling services, as well as fully computerized logging and geoscience software and computing services. A large proportion of Schlumberger offerings is non-rig related; consequently, revenue does not necessarily correlate to rig count fluctuations.</w:t>
      </w:r>
    </w:p>
    <w:p>
      <w:pPr>
        <w:spacing w:after="0" w:line="93" w:lineRule="exact"/>
        <w:rPr>
          <w:sz w:val="20"/>
          <w:szCs w:val="20"/>
          <w:color w:val="auto"/>
        </w:rPr>
      </w:pPr>
    </w:p>
    <w:p>
      <w:pPr>
        <w:ind w:left="700"/>
        <w:spacing w:after="0" w:line="252" w:lineRule="auto"/>
        <w:rPr>
          <w:sz w:val="20"/>
          <w:szCs w:val="20"/>
          <w:color w:val="auto"/>
        </w:rPr>
      </w:pPr>
      <w:r>
        <w:rPr>
          <w:rFonts w:ascii="Arial" w:cs="Arial" w:eastAsia="Arial" w:hAnsi="Arial"/>
          <w:sz w:val="18"/>
          <w:szCs w:val="18"/>
          <w:b w:val="1"/>
          <w:bCs w:val="1"/>
          <w:color w:val="auto"/>
        </w:rPr>
        <w:t>WesternGeco</w:t>
      </w:r>
      <w:r>
        <w:rPr>
          <w:rFonts w:ascii="Arial" w:cs="Arial" w:eastAsia="Arial" w:hAnsi="Arial"/>
          <w:sz w:val="18"/>
          <w:szCs w:val="18"/>
          <w:color w:val="auto"/>
        </w:rPr>
        <w:t>, the world’s most technologically advanced surface seismic company, provides comprehensive reservoir imaging,</w:t>
      </w:r>
      <w:r>
        <w:rPr>
          <w:rFonts w:ascii="Arial" w:cs="Arial" w:eastAsia="Arial" w:hAnsi="Arial"/>
          <w:sz w:val="18"/>
          <w:szCs w:val="18"/>
          <w:b w:val="1"/>
          <w:bCs w:val="1"/>
          <w:color w:val="auto"/>
        </w:rPr>
        <w:t xml:space="preserve"> </w:t>
      </w:r>
      <w:r>
        <w:rPr>
          <w:rFonts w:ascii="Arial" w:cs="Arial" w:eastAsia="Arial" w:hAnsi="Arial"/>
          <w:sz w:val="18"/>
          <w:szCs w:val="18"/>
          <w:color w:val="auto"/>
        </w:rPr>
        <w:t>monitoring and development services with the most extensive seismic crews and data processing centers in the industry as well as a leading multiclient seismic library. Services range from 3D and time-lapse (4D) seismic surveys to multi-component surveys for delineating prospects and reservoir management. WesternGeco benefits from full access to the Schlumberger research, development and technology organization and shares similar business risks, opportunities for growth, principal methods of competition and means of marketing as Schlumberger Oilfield Services. Seismic solutions include proprietary single-sensor technologies for enhanced reservoir description, characterization and monitoring throughout the life of the field – from exploration through enhanced recovery. Other WesternGeco solutions include development of controlled-source electromagnetic and magneto-telluric surveys and their integration with seismic data.</w:t>
      </w:r>
    </w:p>
    <w:p>
      <w:pPr>
        <w:spacing w:after="0" w:line="7" w:lineRule="exact"/>
        <w:rPr>
          <w:sz w:val="20"/>
          <w:szCs w:val="20"/>
          <w:color w:val="auto"/>
        </w:rPr>
      </w:pPr>
    </w:p>
    <w:p>
      <w:pPr>
        <w:ind w:left="700" w:right="80" w:firstLine="19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scope of technologies and services:</w:t>
      </w:r>
    </w:p>
    <w:p>
      <w:pPr>
        <w:spacing w:after="0" w:line="89" w:lineRule="exact"/>
        <w:rPr>
          <w:sz w:val="20"/>
          <w:szCs w:val="20"/>
          <w:color w:val="auto"/>
        </w:rPr>
      </w:pPr>
    </w:p>
    <w:p>
      <w:pPr>
        <w:ind w:left="1480" w:right="280" w:hanging="382"/>
        <w:spacing w:after="0" w:line="277"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provides comprehensive resources for seismic data acquisition on land and across shallow-water transition zones.</w:t>
      </w:r>
    </w:p>
    <w:p>
      <w:pPr>
        <w:spacing w:after="0" w:line="62" w:lineRule="exact"/>
        <w:rPr>
          <w:rFonts w:ascii="Arial" w:cs="Arial" w:eastAsia="Arial" w:hAnsi="Arial"/>
          <w:sz w:val="18"/>
          <w:szCs w:val="18"/>
          <w:color w:val="auto"/>
        </w:rPr>
      </w:pPr>
    </w:p>
    <w:p>
      <w:pPr>
        <w:jc w:val="both"/>
        <w:ind w:left="1480" w:right="80" w:hanging="382"/>
        <w:spacing w:after="0" w:line="264"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Marine Seismic – provides industry-standard marine seismic acquisition and processing systems as well as a unique industry-leading, fully calibrated single-sensor marine seismic system that delivers the seismic technology needed for new-generation reservoir management.</w:t>
      </w: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w:t>
      </w:r>
    </w:p>
    <w:p>
      <w:pPr>
        <w:spacing w:after="0" w:line="200" w:lineRule="exact"/>
        <w:rPr>
          <w:sz w:val="20"/>
          <w:szCs w:val="20"/>
          <w:color w:val="auto"/>
        </w:rPr>
      </w:pPr>
    </w:p>
    <w:p>
      <w:pPr>
        <w:spacing w:after="0" w:line="245" w:lineRule="exact"/>
        <w:rPr>
          <w:sz w:val="20"/>
          <w:szCs w:val="20"/>
          <w:color w:val="auto"/>
        </w:rPr>
      </w:pPr>
    </w:p>
    <w:p>
      <w:pPr>
        <w:ind w:left="1480" w:right="20" w:hanging="382"/>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Multiclient Services – supplies high-quality seismic data from the multiclient library, including industry-leading Q technology data.</w:t>
      </w:r>
    </w:p>
    <w:p>
      <w:pPr>
        <w:spacing w:after="0" w:line="62" w:lineRule="exact"/>
        <w:rPr>
          <w:rFonts w:ascii="Arial" w:cs="Arial" w:eastAsia="Arial" w:hAnsi="Arial"/>
          <w:sz w:val="18"/>
          <w:szCs w:val="18"/>
          <w:color w:val="auto"/>
        </w:rPr>
      </w:pPr>
    </w:p>
    <w:p>
      <w:pPr>
        <w:ind w:left="1480" w:right="140" w:hanging="382"/>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Reservoir Services – provides people, tools and technology to help customers capture the benefits of a completely integrated approach to locating, defining and monitoring the reservoir.</w:t>
      </w:r>
    </w:p>
    <w:p>
      <w:pPr>
        <w:spacing w:after="0" w:line="62" w:lineRule="exact"/>
        <w:rPr>
          <w:rFonts w:ascii="Arial" w:cs="Arial" w:eastAsia="Arial" w:hAnsi="Arial"/>
          <w:sz w:val="18"/>
          <w:szCs w:val="18"/>
          <w:color w:val="auto"/>
        </w:rPr>
      </w:pPr>
    </w:p>
    <w:p>
      <w:pPr>
        <w:ind w:left="1480" w:hanging="382"/>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Processing – offers extensive seismic data processing centers for complex data processing projects.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Electromagnetics – provides controlled-source electromagnetic and magneto-telluric data processing and interpretation.</w:t>
      </w:r>
    </w:p>
    <w:p>
      <w:pPr>
        <w:spacing w:after="0" w:line="138" w:lineRule="exact"/>
        <w:rPr>
          <w:sz w:val="20"/>
          <w:szCs w:val="20"/>
          <w:color w:val="auto"/>
        </w:rPr>
      </w:pPr>
    </w:p>
    <w:p>
      <w:pPr>
        <w:ind w:left="700" w:right="160"/>
        <w:spacing w:after="0" w:line="254" w:lineRule="auto"/>
        <w:rPr>
          <w:sz w:val="20"/>
          <w:szCs w:val="20"/>
          <w:color w:val="auto"/>
        </w:rPr>
      </w:pPr>
      <w:r>
        <w:rPr>
          <w:rFonts w:ascii="Arial" w:cs="Arial" w:eastAsia="Arial" w:hAnsi="Arial"/>
          <w:sz w:val="18"/>
          <w:szCs w:val="18"/>
          <w:b w:val="1"/>
          <w:bCs w:val="1"/>
          <w:color w:val="auto"/>
        </w:rPr>
        <w:t xml:space="preserve">M-I SWACO </w:t>
      </w:r>
      <w:r>
        <w:rPr>
          <w:rFonts w:ascii="Arial" w:cs="Arial" w:eastAsia="Arial" w:hAnsi="Arial"/>
          <w:sz w:val="18"/>
          <w:szCs w:val="18"/>
          <w:color w:val="auto"/>
        </w:rPr>
        <w:t>is the leading supplier of drilling fluid systems engineered to improve drilling performance by anticipating fluids-related</w:t>
      </w:r>
      <w:r>
        <w:rPr>
          <w:rFonts w:ascii="Arial" w:cs="Arial" w:eastAsia="Arial" w:hAnsi="Arial"/>
          <w:sz w:val="18"/>
          <w:szCs w:val="18"/>
          <w:b w:val="1"/>
          <w:bCs w:val="1"/>
          <w:color w:val="auto"/>
        </w:rPr>
        <w:t xml:space="preserve"> </w:t>
      </w:r>
      <w:r>
        <w:rPr>
          <w:rFonts w:ascii="Arial" w:cs="Arial" w:eastAsia="Arial" w:hAnsi="Arial"/>
          <w:sz w:val="18"/>
          <w:szCs w:val="18"/>
          <w:color w:val="auto"/>
        </w:rPr>
        <w:t>problems, fluid systems and specialty tools designed to optimize wellbore productivity, production technology solution to maximize production rates, and environmental solutions that safely manage waste volumes generated in both drilling and production operations. The M-I SWACO solutions offering blends an understanding of technology, application and service to enable its clients to achieve their project-specific goals. Operationally, these solutions are delivered through its GeoMarket regions, which are grouped into geographic areas, similar to Schlumberger Oilfield Services.</w:t>
      </w:r>
    </w:p>
    <w:p>
      <w:pPr>
        <w:ind w:left="700" w:firstLine="198"/>
        <w:spacing w:after="0" w:line="273" w:lineRule="auto"/>
        <w:rPr>
          <w:sz w:val="20"/>
          <w:szCs w:val="20"/>
          <w:color w:val="auto"/>
        </w:rPr>
      </w:pPr>
      <w:r>
        <w:rPr>
          <w:rFonts w:ascii="Arial" w:cs="Arial" w:eastAsia="Arial" w:hAnsi="Arial"/>
          <w:sz w:val="17"/>
          <w:szCs w:val="17"/>
          <w:color w:val="auto"/>
        </w:rPr>
        <w:t>M-I SWACO’s business is organized into four core solutions offerings: Drilling Solutions, Wellbore Productivity, Production Technologies and Environmental Solutions. These core offerings are organized around the operator’s exploration and production activities – drilling, completion and production. Environmental Solutions are designed to include all three of these activities, allowing M-I SWACO to leverage its environmental technologies across all three of the operator’s exploration and production activities.</w:t>
      </w:r>
    </w:p>
    <w:p>
      <w:pPr>
        <w:spacing w:after="0" w:line="82" w:lineRule="exact"/>
        <w:rPr>
          <w:sz w:val="20"/>
          <w:szCs w:val="20"/>
          <w:color w:val="auto"/>
        </w:rPr>
      </w:pPr>
    </w:p>
    <w:p>
      <w:pPr>
        <w:ind w:left="1480" w:right="280" w:hanging="382"/>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Drilling Solutions – provides a complete offering of oil-, water- and synthetic-based drilling fluids and additives as well as engineering services that include proprietary software systems, knowledge databases and laboratory capabilities.</w:t>
      </w:r>
    </w:p>
    <w:p>
      <w:pPr>
        <w:spacing w:after="0" w:line="38" w:lineRule="exact"/>
        <w:rPr>
          <w:rFonts w:ascii="Arial" w:cs="Arial" w:eastAsia="Arial" w:hAnsi="Arial"/>
          <w:sz w:val="17"/>
          <w:szCs w:val="17"/>
          <w:color w:val="auto"/>
        </w:rPr>
      </w:pPr>
    </w:p>
    <w:p>
      <w:pPr>
        <w:ind w:left="1480" w:right="640" w:hanging="382"/>
        <w:spacing w:after="0" w:line="308" w:lineRule="auto"/>
        <w:tabs>
          <w:tab w:leader="none" w:pos="14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Wellbore Productivity – consists of a suite of services, products and technical support that focus on safeguarding well completions and formation stability by assuring the optimal quality of the wellbore and fluid systems.</w:t>
      </w:r>
    </w:p>
    <w:p>
      <w:pPr>
        <w:spacing w:after="0" w:line="38" w:lineRule="exact"/>
        <w:rPr>
          <w:rFonts w:ascii="Arial" w:cs="Arial" w:eastAsia="Arial" w:hAnsi="Arial"/>
          <w:sz w:val="17"/>
          <w:szCs w:val="17"/>
          <w:color w:val="auto"/>
        </w:rPr>
      </w:pPr>
    </w:p>
    <w:p>
      <w:pPr>
        <w:ind w:left="1480" w:right="360" w:hanging="382"/>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Production Technologies – provides a line of oilfield specialty chemical, equipment and related technical services that are used to enhance the flow of hydrocarbons from the wellbore.</w:t>
      </w:r>
    </w:p>
    <w:p>
      <w:pPr>
        <w:spacing w:after="0" w:line="62" w:lineRule="exact"/>
        <w:rPr>
          <w:rFonts w:ascii="Arial" w:cs="Arial" w:eastAsia="Arial" w:hAnsi="Arial"/>
          <w:sz w:val="18"/>
          <w:szCs w:val="18"/>
          <w:color w:val="auto"/>
        </w:rPr>
      </w:pPr>
    </w:p>
    <w:p>
      <w:pPr>
        <w:jc w:val="both"/>
        <w:ind w:left="1480" w:right="420" w:hanging="382"/>
        <w:spacing w:after="0" w:line="342" w:lineRule="auto"/>
        <w:tabs>
          <w:tab w:leader="none" w:pos="1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Environmental Solutions – focuses on the best approach to safely managing waste volumes produced during the drilling, completion and production operations in a way that allows clients to achieve their environmental performance standards.</w:t>
      </w:r>
    </w:p>
    <w:p>
      <w:pPr>
        <w:spacing w:after="0" w:line="2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Prior to its acquisition of Smith, Schlumberger held a 40% interest in M-I SWACO through a joint venture with Smith.</w:t>
      </w:r>
    </w:p>
    <w:p>
      <w:pPr>
        <w:spacing w:after="0" w:line="127" w:lineRule="exact"/>
        <w:rPr>
          <w:sz w:val="20"/>
          <w:szCs w:val="20"/>
          <w:color w:val="auto"/>
        </w:rPr>
      </w:pPr>
    </w:p>
    <w:p>
      <w:pPr>
        <w:ind w:left="700" w:right="260"/>
        <w:spacing w:after="0" w:line="277" w:lineRule="auto"/>
        <w:rPr>
          <w:sz w:val="20"/>
          <w:szCs w:val="20"/>
          <w:color w:val="auto"/>
        </w:rPr>
      </w:pPr>
      <w:r>
        <w:rPr>
          <w:rFonts w:ascii="Arial" w:cs="Arial" w:eastAsia="Arial" w:hAnsi="Arial"/>
          <w:sz w:val="17"/>
          <w:szCs w:val="17"/>
          <w:b w:val="1"/>
          <w:bCs w:val="1"/>
          <w:color w:val="auto"/>
        </w:rPr>
        <w:t xml:space="preserve">Smith Oilfield </w:t>
      </w:r>
      <w:r>
        <w:rPr>
          <w:rFonts w:ascii="Arial" w:cs="Arial" w:eastAsia="Arial" w:hAnsi="Arial"/>
          <w:sz w:val="17"/>
          <w:szCs w:val="17"/>
          <w:color w:val="auto"/>
        </w:rPr>
        <w:t>provides a comprehensive suite of technologically advanced products, services and engineering used in oil and natural</w:t>
      </w:r>
      <w:r>
        <w:rPr>
          <w:rFonts w:ascii="Arial" w:cs="Arial" w:eastAsia="Arial" w:hAnsi="Arial"/>
          <w:sz w:val="17"/>
          <w:szCs w:val="17"/>
          <w:b w:val="1"/>
          <w:bCs w:val="1"/>
          <w:color w:val="auto"/>
        </w:rPr>
        <w:t xml:space="preserve"> </w:t>
      </w:r>
      <w:r>
        <w:rPr>
          <w:rFonts w:ascii="Arial" w:cs="Arial" w:eastAsia="Arial" w:hAnsi="Arial"/>
          <w:sz w:val="17"/>
          <w:szCs w:val="17"/>
          <w:color w:val="auto"/>
        </w:rPr>
        <w:t>gas development activities. Smith Oilfield is a global leader in the design, manufacture and marketing of drill bits and borehole enlargement tools and is also a leading supplier of drilling tools and services, tubular, completion services and other related downhole solutions. Smith Oilfield also leverages its proprietary suite of modeling and design software and application data together with its comprehensive product and service offerings to optimize the creation of the wellbore.</w:t>
      </w:r>
    </w:p>
    <w:p>
      <w:pPr>
        <w:spacing w:after="0" w:line="74" w:lineRule="exact"/>
        <w:rPr>
          <w:sz w:val="20"/>
          <w:szCs w:val="20"/>
          <w:color w:val="auto"/>
        </w:rPr>
      </w:pPr>
    </w:p>
    <w:p>
      <w:pPr>
        <w:ind w:left="700" w:right="160"/>
        <w:spacing w:after="0" w:line="256" w:lineRule="auto"/>
        <w:rPr>
          <w:sz w:val="20"/>
          <w:szCs w:val="20"/>
          <w:color w:val="auto"/>
        </w:rPr>
      </w:pPr>
      <w:r>
        <w:rPr>
          <w:rFonts w:ascii="Arial" w:cs="Arial" w:eastAsia="Arial" w:hAnsi="Arial"/>
          <w:sz w:val="18"/>
          <w:szCs w:val="18"/>
          <w:b w:val="1"/>
          <w:bCs w:val="1"/>
          <w:color w:val="auto"/>
        </w:rPr>
        <w:t xml:space="preserve">Distribution </w:t>
      </w:r>
      <w:r>
        <w:rPr>
          <w:rFonts w:ascii="Arial" w:cs="Arial" w:eastAsia="Arial" w:hAnsi="Arial"/>
          <w:sz w:val="18"/>
          <w:szCs w:val="18"/>
          <w:color w:val="auto"/>
        </w:rPr>
        <w:t>operations provide products and services to the energy refining, petrochemical, power generation and mining industries.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segment consists of the operations of Wilson International, Inc., a wholly-owned subsidiary, and a majority owned interest in C.E. Franklin Ltd., a publicly owned Canadian distribution company. Distribution operates an extensive network of supply branches, service centers and sales offices through which it markets pipes, valves and fittings as well as mill, safety and other maintenance products, predominantly in the United States and Canada. Additionally, the Distribution segment provides warehouse management, vendor integration and various inventory management services.</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w:t>
      </w:r>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Acquisitions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Information about acquisitions made by Schlumberger appears in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Patents</w:t>
      </w:r>
    </w:p>
    <w:p>
      <w:pPr>
        <w:spacing w:after="0" w:line="126" w:lineRule="exact"/>
        <w:rPr>
          <w:sz w:val="20"/>
          <w:szCs w:val="20"/>
          <w:color w:val="auto"/>
        </w:rPr>
      </w:pPr>
    </w:p>
    <w:p>
      <w:pPr>
        <w:ind w:left="700" w:right="440" w:firstLine="198"/>
        <w:spacing w:after="0" w:line="277" w:lineRule="auto"/>
        <w:rPr>
          <w:sz w:val="20"/>
          <w:szCs w:val="20"/>
          <w:color w:val="auto"/>
        </w:rPr>
      </w:pPr>
      <w:r>
        <w:rPr>
          <w:rFonts w:ascii="Arial" w:cs="Arial" w:eastAsia="Arial" w:hAnsi="Arial"/>
          <w:sz w:val="18"/>
          <w:szCs w:val="18"/>
          <w:color w:val="auto"/>
        </w:rPr>
        <w:t>While Schlumberger seeks and holds numerous patents covering various products and processes, no particular patent or group of patents is considered material to Schlumberger’s business.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ind w:left="700" w:right="200" w:firstLine="198"/>
        <w:spacing w:after="0" w:line="277"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126" w:lineRule="exact"/>
        <w:rPr>
          <w:sz w:val="20"/>
          <w:szCs w:val="20"/>
          <w:color w:val="auto"/>
        </w:rPr>
      </w:pPr>
    </w:p>
    <w:p>
      <w:pPr>
        <w:jc w:val="both"/>
        <w:ind w:left="700" w:firstLine="198"/>
        <w:spacing w:after="0" w:line="264" w:lineRule="auto"/>
        <w:rPr>
          <w:sz w:val="20"/>
          <w:szCs w:val="20"/>
          <w:color w:val="auto"/>
        </w:rPr>
      </w:pPr>
      <w:r>
        <w:rPr>
          <w:rFonts w:ascii="Arial" w:cs="Arial" w:eastAsia="Arial" w:hAnsi="Arial"/>
          <w:sz w:val="18"/>
          <w:szCs w:val="18"/>
          <w:color w:val="auto"/>
        </w:rPr>
        <w:t>For the year ended December 31, 2010, no single customer exceeded 10% of consolidated revenue. Other than WesternGeco, we have no significant backlog due to the nature of our businesses. The WesternGeco backlog, which is based on signed contracts with customers, was $0.9 billion at December 31, 2010 ($1.0 billion at December 31, 2009).</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Employees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2010, Schlumberger had approximately 108,000 employees.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126" w:lineRule="exact"/>
        <w:rPr>
          <w:sz w:val="20"/>
          <w:szCs w:val="20"/>
          <w:color w:val="auto"/>
        </w:rPr>
      </w:pPr>
    </w:p>
    <w:p>
      <w:pPr>
        <w:ind w:left="700" w:right="460" w:firstLine="198"/>
        <w:spacing w:after="0" w:line="277" w:lineRule="auto"/>
        <w:rPr>
          <w:sz w:val="20"/>
          <w:szCs w:val="20"/>
          <w:color w:val="auto"/>
        </w:rPr>
      </w:pPr>
      <w:r>
        <w:rPr>
          <w:rFonts w:ascii="Arial" w:cs="Arial" w:eastAsia="Arial" w:hAnsi="Arial"/>
          <w:sz w:val="18"/>
          <w:szCs w:val="18"/>
          <w:color w:val="auto"/>
        </w:rPr>
        <w:t xml:space="preserve">Financial information by business segment for the years ended December 31, 2010, 2009 and 2008 is provided in Note 17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26" w:lineRule="exact"/>
        <w:rPr>
          <w:sz w:val="20"/>
          <w:szCs w:val="20"/>
          <w:color w:val="auto"/>
        </w:rPr>
      </w:pPr>
    </w:p>
    <w:p>
      <w:pPr>
        <w:ind w:left="700" w:right="20" w:firstLine="198"/>
        <w:spacing w:after="0" w:line="288" w:lineRule="auto"/>
        <w:rPr>
          <w:sz w:val="20"/>
          <w:szCs w:val="20"/>
          <w:color w:val="auto"/>
        </w:rPr>
      </w:pPr>
      <w:r>
        <w:rPr>
          <w:rFonts w:ascii="Arial" w:cs="Arial" w:eastAsia="Arial" w:hAnsi="Arial"/>
          <w:sz w:val="16"/>
          <w:szCs w:val="16"/>
          <w:color w:val="auto"/>
        </w:rPr>
        <w:t xml:space="preserve">The Schlumberger Internet website is </w:t>
      </w:r>
      <w:r>
        <w:rPr>
          <w:rFonts w:ascii="Arial" w:cs="Arial" w:eastAsia="Arial" w:hAnsi="Arial"/>
          <w:sz w:val="16"/>
          <w:szCs w:val="16"/>
          <w:u w:val="single" w:color="auto"/>
          <w:color w:val="auto"/>
        </w:rPr>
        <w:t>www.slb.com.</w:t>
      </w:r>
      <w:r>
        <w:rPr>
          <w:rFonts w:ascii="Arial" w:cs="Arial" w:eastAsia="Arial" w:hAnsi="Arial"/>
          <w:sz w:val="16"/>
          <w:szCs w:val="16"/>
          <w:color w:val="auto"/>
        </w:rPr>
        <w:t xml:space="preserve"> Schlumberger uses its Investor Relations website, www.slb.com/ir, as a channel for routine distribution of important information, including news releases, analyst presentations, and financial information. Schlumberger makes available free of charge on or through its Investor Relations website at </w:t>
      </w:r>
      <w:r>
        <w:rPr>
          <w:rFonts w:ascii="Arial" w:cs="Arial" w:eastAsia="Arial" w:hAnsi="Arial"/>
          <w:sz w:val="16"/>
          <w:szCs w:val="16"/>
          <w:u w:val="single" w:color="auto"/>
          <w:color w:val="auto"/>
        </w:rPr>
        <w:t>www.slb.com/ir</w:t>
      </w:r>
      <w:r>
        <w:rPr>
          <w:rFonts w:ascii="Arial" w:cs="Arial" w:eastAsia="Arial" w:hAnsi="Arial"/>
          <w:sz w:val="16"/>
          <w:szCs w:val="16"/>
          <w:color w:val="auto"/>
        </w:rPr>
        <w:t xml:space="preserve"> access to its Annual Reports on</w:t>
      </w:r>
    </w:p>
    <w:p>
      <w:pPr>
        <w:ind w:left="700" w:right="20"/>
        <w:spacing w:after="0" w:line="250" w:lineRule="auto"/>
        <w:rPr>
          <w:sz w:val="20"/>
          <w:szCs w:val="20"/>
          <w:color w:val="auto"/>
        </w:rPr>
      </w:pPr>
      <w:r>
        <w:rPr>
          <w:rFonts w:ascii="Arial" w:cs="Arial" w:eastAsia="Arial" w:hAnsi="Arial"/>
          <w:sz w:val="18"/>
          <w:szCs w:val="18"/>
          <w:color w:val="auto"/>
        </w:rPr>
        <w:t xml:space="preserve">Form 10-K, Quarterly Reports on Form 10-Q, Current Reports on Form 8-K, its proxy statements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8"/>
          <w:szCs w:val="18"/>
          <w:u w:val="single" w:color="auto"/>
          <w:color w:val="auto"/>
        </w:rPr>
        <w:t>www.sec.gov.</w:t>
      </w:r>
    </w:p>
    <w:p>
      <w:pPr>
        <w:spacing w:after="0" w:line="2" w:lineRule="exact"/>
        <w:rPr>
          <w:sz w:val="20"/>
          <w:szCs w:val="20"/>
          <w:color w:val="auto"/>
        </w:rPr>
      </w:pPr>
    </w:p>
    <w:p>
      <w:pPr>
        <w:ind w:left="700" w:right="40" w:firstLine="198"/>
        <w:spacing w:after="0" w:line="250" w:lineRule="auto"/>
        <w:rPr>
          <w:sz w:val="20"/>
          <w:szCs w:val="20"/>
          <w:color w:val="auto"/>
        </w:rPr>
      </w:pPr>
      <w:r>
        <w:rPr>
          <w:rFonts w:ascii="Arial" w:cs="Arial" w:eastAsia="Arial" w:hAnsi="Arial"/>
          <w:sz w:val="18"/>
          <w:szCs w:val="18"/>
          <w:color w:val="auto"/>
        </w:rPr>
        <w:t xml:space="preserve">Schlumberger’s corporate governance materials, including Board Committee Charters, Corporate Governance Guidelines and Code of Ethics, may also be found at </w:t>
      </w:r>
      <w:r>
        <w:rPr>
          <w:rFonts w:ascii="Arial" w:cs="Arial" w:eastAsia="Arial" w:hAnsi="Arial"/>
          <w:sz w:val="18"/>
          <w:szCs w:val="18"/>
          <w:u w:val="single" w:color="auto"/>
          <w:color w:val="auto"/>
        </w:rPr>
        <w:t>www.slb.com/ir.</w:t>
      </w:r>
      <w:r>
        <w:rPr>
          <w:rFonts w:ascii="Arial" w:cs="Arial" w:eastAsia="Arial" w:hAnsi="Arial"/>
          <w:sz w:val="18"/>
          <w:szCs w:val="18"/>
          <w:color w:val="auto"/>
        </w:rPr>
        <w:t xml:space="preserve"> From time to time, corporate governance materials on our website may be updated to comply with rules issued by the SEC and the New York Stock Exchange (“NYSE”) or as desirable to promote the effective governance of Schlumberger.</w:t>
      </w:r>
    </w:p>
    <w:p>
      <w:pPr>
        <w:spacing w:after="0" w:line="2" w:lineRule="exact"/>
        <w:rPr>
          <w:sz w:val="20"/>
          <w:szCs w:val="20"/>
          <w:color w:val="auto"/>
        </w:rPr>
      </w:pPr>
    </w:p>
    <w:p>
      <w:pPr>
        <w:ind w:left="700" w:right="520" w:firstLine="198"/>
        <w:spacing w:after="0" w:line="250" w:lineRule="auto"/>
        <w:rPr>
          <w:sz w:val="20"/>
          <w:szCs w:val="20"/>
          <w:color w:val="auto"/>
        </w:rPr>
      </w:pPr>
      <w:r>
        <w:rPr>
          <w:rFonts w:ascii="Arial" w:cs="Arial" w:eastAsia="Arial" w:hAnsi="Arial"/>
          <w:sz w:val="18"/>
          <w:szCs w:val="18"/>
          <w:color w:val="auto"/>
        </w:rPr>
        <w:t>Any stockholder wishing to receive, without charge, a copy of any of Schlumberger’s SEC filings should write to the Secretary, Schlumberger Limited, 5599 San Felipe, 17th Floor, Houston, Texas 77056, USA.</w:t>
      </w:r>
    </w:p>
    <w:p>
      <w:pPr>
        <w:spacing w:after="0" w:line="1" w:lineRule="exact"/>
        <w:rPr>
          <w:sz w:val="20"/>
          <w:szCs w:val="20"/>
          <w:color w:val="auto"/>
        </w:rPr>
      </w:pPr>
    </w:p>
    <w:p>
      <w:pPr>
        <w:ind w:left="700" w:right="180" w:firstLine="198"/>
        <w:spacing w:after="0" w:line="250" w:lineRule="auto"/>
        <w:rPr>
          <w:sz w:val="20"/>
          <w:szCs w:val="20"/>
          <w:color w:val="auto"/>
        </w:rPr>
      </w:pPr>
      <w:r>
        <w:rPr>
          <w:rFonts w:ascii="Arial" w:cs="Arial" w:eastAsia="Arial" w:hAnsi="Arial"/>
          <w:sz w:val="18"/>
          <w:szCs w:val="18"/>
          <w:color w:val="auto"/>
        </w:rPr>
        <w:t>Schlumberger has filed the required certifications under Section 302 of the Sarbanes-Oxley Act of 2002 as Exhibits 31.1 and 31.2 to this Form 10-K.</w:t>
      </w:r>
    </w:p>
    <w:p>
      <w:pPr>
        <w:spacing w:after="0" w:line="1" w:lineRule="exact"/>
        <w:rPr>
          <w:sz w:val="20"/>
          <w:szCs w:val="20"/>
          <w:color w:val="auto"/>
        </w:rPr>
      </w:pPr>
    </w:p>
    <w:p>
      <w:pPr>
        <w:ind w:left="700" w:right="100" w:firstLine="198"/>
        <w:spacing w:after="0" w:line="261" w:lineRule="auto"/>
        <w:rPr>
          <w:sz w:val="20"/>
          <w:szCs w:val="20"/>
          <w:color w:val="auto"/>
        </w:rPr>
      </w:pPr>
      <w:r>
        <w:rPr>
          <w:rFonts w:ascii="Arial" w:cs="Arial" w:eastAsia="Arial" w:hAnsi="Arial"/>
          <w:sz w:val="18"/>
          <w:szCs w:val="18"/>
          <w:color w:val="auto"/>
        </w:rPr>
        <w:t>The information on our website or any other website is not incorporated by reference in this Report and should not be considered part of this Report or any other filing Schlumberger makes with the SEC.</w:t>
      </w:r>
    </w:p>
    <w:p>
      <w:pPr>
        <w:spacing w:after="0" w:line="3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1A</w:t>
      </w:r>
    </w:p>
    <w:p>
      <w:pPr>
        <w:spacing w:after="0" w:line="207"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126" w:lineRule="exact"/>
        <w:rPr>
          <w:sz w:val="20"/>
          <w:szCs w:val="20"/>
          <w:color w:val="auto"/>
        </w:rPr>
      </w:pPr>
    </w:p>
    <w:p>
      <w:pPr>
        <w:ind w:left="700" w:right="100" w:firstLine="198"/>
        <w:spacing w:after="0" w:line="279" w:lineRule="auto"/>
        <w:rPr>
          <w:sz w:val="20"/>
          <w:szCs w:val="20"/>
          <w:color w:val="auto"/>
        </w:rPr>
      </w:pPr>
      <w:r>
        <w:rPr>
          <w:rFonts w:ascii="Arial" w:cs="Arial" w:eastAsia="Arial" w:hAnsi="Arial"/>
          <w:sz w:val="17"/>
          <w:szCs w:val="17"/>
          <w:color w:val="auto"/>
        </w:rPr>
        <w:t>The following discussion of risk factors contains “forward-looking statements,” which are discussed immediately following Item 7A. of this Form 10-K. These risk factors may be important to understanding any statement in this Form 10-K or elsewhere. The following information should be read in conjunction with Item 7. Management’s Discussion and Analysis of Financial Condition and Results of Operations, and the consolidated financial statements and related notes included in this Form 10-K.</w:t>
      </w:r>
    </w:p>
    <w:p>
      <w:pPr>
        <w:spacing w:after="0" w:line="77" w:lineRule="exact"/>
        <w:rPr>
          <w:sz w:val="20"/>
          <w:szCs w:val="20"/>
          <w:color w:val="auto"/>
        </w:rPr>
      </w:pPr>
    </w:p>
    <w:p>
      <w:pPr>
        <w:ind w:left="700" w:right="20" w:firstLine="198"/>
        <w:spacing w:after="0" w:line="291" w:lineRule="auto"/>
        <w:rPr>
          <w:sz w:val="20"/>
          <w:szCs w:val="20"/>
          <w:color w:val="auto"/>
        </w:rPr>
      </w:pPr>
      <w:r>
        <w:rPr>
          <w:rFonts w:ascii="Arial" w:cs="Arial" w:eastAsia="Arial" w:hAnsi="Arial"/>
          <w:sz w:val="16"/>
          <w:szCs w:val="16"/>
          <w:i w:val="1"/>
          <w:iCs w:val="1"/>
          <w:color w:val="auto"/>
        </w:rPr>
        <w:t>We urge you to consider carefully the risks described below, as well as in other reports and materials that we file with the SEC and the other information included or incorporated by reference in Form 10-K. If any of the risks described below or elsewhere in this</w:t>
      </w:r>
    </w:p>
    <w:p>
      <w:pPr>
        <w:ind w:left="700" w:right="160"/>
        <w:spacing w:after="0" w:line="254" w:lineRule="auto"/>
        <w:rPr>
          <w:sz w:val="20"/>
          <w:szCs w:val="20"/>
          <w:color w:val="auto"/>
        </w:rPr>
      </w:pPr>
      <w:r>
        <w:rPr>
          <w:rFonts w:ascii="Arial" w:cs="Arial" w:eastAsia="Arial" w:hAnsi="Arial"/>
          <w:sz w:val="18"/>
          <w:szCs w:val="18"/>
          <w:i w:val="1"/>
          <w:iCs w:val="1"/>
          <w:color w:val="auto"/>
        </w:rPr>
        <w:t>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99" w:lineRule="exact"/>
        <w:rPr>
          <w:sz w:val="20"/>
          <w:szCs w:val="20"/>
          <w:color w:val="auto"/>
        </w:rPr>
      </w:pPr>
    </w:p>
    <w:p>
      <w:pPr>
        <w:ind w:left="700"/>
        <w:spacing w:after="0" w:line="289" w:lineRule="auto"/>
        <w:rPr>
          <w:sz w:val="20"/>
          <w:szCs w:val="20"/>
          <w:color w:val="auto"/>
        </w:rPr>
      </w:pPr>
      <w:r>
        <w:rPr>
          <w:rFonts w:ascii="Arial" w:cs="Arial" w:eastAsia="Arial" w:hAnsi="Arial"/>
          <w:sz w:val="17"/>
          <w:szCs w:val="17"/>
          <w:b w:val="1"/>
          <w:bCs w:val="1"/>
          <w:color w:val="auto"/>
        </w:rPr>
        <w:t>Demand for the majority of our services is substantially dependent on the levels of expenditures by the oil and gas industry. A substantial or an extended decline in oil and gas prices could result in lower expenditures by the oil and gas industry, which could have a material adverse effect on our financial condition, results of operations and cash flows.</w:t>
      </w:r>
    </w:p>
    <w:p>
      <w:pPr>
        <w:spacing w:after="0" w:line="68" w:lineRule="exact"/>
        <w:rPr>
          <w:sz w:val="20"/>
          <w:szCs w:val="20"/>
          <w:color w:val="auto"/>
        </w:rPr>
      </w:pPr>
    </w:p>
    <w:p>
      <w:pPr>
        <w:ind w:left="700" w:right="140" w:firstLine="198"/>
        <w:spacing w:after="0" w:line="268" w:lineRule="auto"/>
        <w:rPr>
          <w:sz w:val="20"/>
          <w:szCs w:val="20"/>
          <w:color w:val="auto"/>
        </w:rPr>
      </w:pPr>
      <w:r>
        <w:rPr>
          <w:rFonts w:ascii="Arial" w:cs="Arial" w:eastAsia="Arial" w:hAnsi="Arial"/>
          <w:sz w:val="17"/>
          <w:szCs w:val="17"/>
          <w:color w:val="auto"/>
        </w:rPr>
        <w:t>Demand for the majority of our services depends substantially on the level of expenditures by the oil and gas industry for the exploration, development and production of oil and natural gas reserves. These expenditures are generally dependent on the industry’s view of future oil and natural gas prices and are sensitive to the industry’s view of future economic growth and the resulting impact on demand for oil and natural gas. Declines, as well as anticipated declines, in oil and gas prices could also result in project modifications, delays or cancellations, general business disruptions, and delays in, or nonpayment of, amounts that are owed to us. These effects could have a material adverse effect on our results of operations and cash flows.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prices for oil and natural gas have historically been volatile and may be affected by a variety of factors, including:</w:t>
      </w:r>
    </w:p>
    <w:p>
      <w:pPr>
        <w:spacing w:after="0" w:line="116" w:lineRule="exact"/>
        <w:rPr>
          <w:sz w:val="20"/>
          <w:szCs w:val="20"/>
          <w:color w:val="auto"/>
        </w:rPr>
      </w:pPr>
    </w:p>
    <w:p>
      <w:pPr>
        <w:ind w:left="1480" w:right="180" w:hanging="382"/>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demand for hydrocarbons, which is affected by worldwide population growth, economic growth rates and general economic and business conditions;</w:t>
      </w:r>
    </w:p>
    <w:p>
      <w:pPr>
        <w:spacing w:after="0" w:line="62"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ability of the Organization of Petroleum Exporting Countries (“OPEC”) to set and maintain production levels for oil;</w:t>
      </w:r>
    </w:p>
    <w:p>
      <w:pPr>
        <w:spacing w:after="0" w:line="128" w:lineRule="exact"/>
        <w:rPr>
          <w:rFonts w:ascii="Arial" w:cs="Arial" w:eastAsia="Arial" w:hAnsi="Arial"/>
          <w:sz w:val="17"/>
          <w:szCs w:val="17"/>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excess production capacity;</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worldwide oil and gas exploration and production activity;</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31" w:lineRule="exact"/>
        <w:rPr>
          <w:sz w:val="20"/>
          <w:szCs w:val="20"/>
          <w:color w:val="auto"/>
        </w:rPr>
      </w:pPr>
    </w:p>
    <w:p>
      <w:pPr>
        <w:ind w:left="700" w:right="240" w:firstLine="198"/>
        <w:spacing w:after="0" w:line="312" w:lineRule="auto"/>
        <w:rPr>
          <w:sz w:val="20"/>
          <w:szCs w:val="20"/>
          <w:color w:val="auto"/>
        </w:rPr>
      </w:pPr>
      <w:r>
        <w:rPr>
          <w:rFonts w:ascii="Arial" w:cs="Arial" w:eastAsia="Arial" w:hAnsi="Arial"/>
          <w:sz w:val="16"/>
          <w:szCs w:val="16"/>
          <w:color w:val="auto"/>
        </w:rPr>
        <w:t>The oil and gas industry has historically experienced periodic downturns, which have been characterized by diminished demand for oilfield services and downward pressure on the prices we charge. A significant downturn in the oil and gas industry could result in a reduction in demand for oilfield services and could adversely affect our financial condition, results of operations and cash flows.</w:t>
      </w:r>
    </w:p>
    <w:p>
      <w:pPr>
        <w:spacing w:after="0" w:line="3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1A</w:t>
      </w:r>
    </w:p>
    <w:p>
      <w:pPr>
        <w:spacing w:after="0" w:line="319" w:lineRule="exact"/>
        <w:rPr>
          <w:sz w:val="20"/>
          <w:szCs w:val="20"/>
          <w:color w:val="auto"/>
        </w:rPr>
      </w:pPr>
    </w:p>
    <w:p>
      <w:pPr>
        <w:ind w:left="700"/>
        <w:spacing w:after="0" w:line="282"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71" w:lineRule="exact"/>
        <w:rPr>
          <w:sz w:val="20"/>
          <w:szCs w:val="20"/>
          <w:color w:val="auto"/>
        </w:rPr>
      </w:pPr>
    </w:p>
    <w:p>
      <w:pPr>
        <w:ind w:left="700" w:right="300" w:firstLine="198"/>
        <w:spacing w:after="0" w:line="277" w:lineRule="auto"/>
        <w:rPr>
          <w:sz w:val="20"/>
          <w:szCs w:val="20"/>
          <w:color w:val="auto"/>
        </w:rPr>
      </w:pPr>
      <w:r>
        <w:rPr>
          <w:rFonts w:ascii="Arial" w:cs="Arial" w:eastAsia="Arial" w:hAnsi="Arial"/>
          <w:sz w:val="18"/>
          <w:szCs w:val="18"/>
          <w:color w:val="auto"/>
        </w:rPr>
        <w:t>Our non-United States operations accounted for approximately 76% of our consolidated revenue in 2010, 84% in 2009 and 78% in 2008. Operations in countries other than the United States are subject to various risks, including:</w:t>
      </w:r>
    </w:p>
    <w:p>
      <w:pPr>
        <w:spacing w:after="0" w:line="76" w:lineRule="exact"/>
        <w:rPr>
          <w:sz w:val="20"/>
          <w:szCs w:val="20"/>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exposure to possible expropriation of our assets or other governmental actions;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under the United States Foreign Corrupt Practices Act or similar legislation in other countries;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controls;</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17" w:lineRule="exact"/>
        <w:rPr>
          <w:rFonts w:ascii="Arial" w:cs="Arial" w:eastAsia="Arial" w:hAnsi="Arial"/>
          <w:sz w:val="18"/>
          <w:szCs w:val="18"/>
          <w:color w:val="auto"/>
        </w:rPr>
      </w:pPr>
    </w:p>
    <w:p>
      <w:pPr>
        <w:ind w:left="1480" w:hanging="382"/>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 and devaluations.</w:t>
      </w:r>
    </w:p>
    <w:p>
      <w:pPr>
        <w:spacing w:after="0" w:line="131" w:lineRule="exact"/>
        <w:rPr>
          <w:sz w:val="20"/>
          <w:szCs w:val="20"/>
          <w:color w:val="auto"/>
        </w:rPr>
      </w:pPr>
    </w:p>
    <w:p>
      <w:pPr>
        <w:ind w:left="700" w:right="100" w:firstLine="198"/>
        <w:spacing w:after="0" w:line="267" w:lineRule="auto"/>
        <w:rPr>
          <w:sz w:val="20"/>
          <w:szCs w:val="20"/>
          <w:color w:val="auto"/>
        </w:rPr>
      </w:pPr>
      <w:r>
        <w:rPr>
          <w:rFonts w:ascii="Arial" w:cs="Arial" w:eastAsia="Arial" w:hAnsi="Arial"/>
          <w:sz w:val="17"/>
          <w:szCs w:val="17"/>
          <w:color w:val="auto"/>
        </w:rPr>
        <w:t>In addition, we are subject to risks associated with our operations in countries, including Iran, Syria, Sudan and Cuba, that are subject to trade and economic sanctions or other restrictions imposed by the United States or other governments or organizations. United States law enforcement authorities are currently conducting a grand jury investigation and an associated regulatory inquiry related to our operations in certain of these countries. Additionally, in 2009 prior to its merger with Schlumberger, Smith received an administrative subpoena with respect to its historical business practices in certain countries that are subject to United States trade and economic sanctions. If any of the risks described above materialize, or if any governmental investigation results in criminal or civil penalties or other remedial measures, it could reduce our earnings and our cash available for operations.</w:t>
      </w:r>
    </w:p>
    <w:p>
      <w:pPr>
        <w:spacing w:after="0" w:line="5" w:lineRule="exact"/>
        <w:rPr>
          <w:sz w:val="20"/>
          <w:szCs w:val="20"/>
          <w:color w:val="auto"/>
        </w:rPr>
      </w:pPr>
    </w:p>
    <w:p>
      <w:pPr>
        <w:ind w:left="700" w:right="200" w:firstLine="198"/>
        <w:spacing w:after="0" w:line="255" w:lineRule="auto"/>
        <w:rPr>
          <w:sz w:val="20"/>
          <w:szCs w:val="20"/>
          <w:color w:val="auto"/>
        </w:rPr>
      </w:pPr>
      <w:r>
        <w:rPr>
          <w:rFonts w:ascii="Arial" w:cs="Arial" w:eastAsia="Arial" w:hAnsi="Arial"/>
          <w:sz w:val="18"/>
          <w:szCs w:val="18"/>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price of our common stock.</w:t>
      </w:r>
    </w:p>
    <w:p>
      <w:pPr>
        <w:spacing w:after="0" w:line="132" w:lineRule="exact"/>
        <w:rPr>
          <w:sz w:val="20"/>
          <w:szCs w:val="20"/>
          <w:color w:val="auto"/>
        </w:rPr>
      </w:pPr>
    </w:p>
    <w:p>
      <w:pPr>
        <w:ind w:left="700" w:right="240"/>
        <w:spacing w:after="0" w:line="282" w:lineRule="auto"/>
        <w:rPr>
          <w:sz w:val="20"/>
          <w:szCs w:val="20"/>
          <w:color w:val="auto"/>
        </w:rPr>
      </w:pPr>
      <w:r>
        <w:rPr>
          <w:rFonts w:ascii="Arial" w:cs="Arial" w:eastAsia="Arial" w:hAnsi="Arial"/>
          <w:sz w:val="18"/>
          <w:szCs w:val="18"/>
          <w:b w:val="1"/>
          <w:bCs w:val="1"/>
          <w:color w:val="auto"/>
        </w:rPr>
        <w:t>Our merger with Smith will continue to be dilutive to our earnings per share in the near term, which may negatively affect the market price of our common stock.</w:t>
      </w:r>
    </w:p>
    <w:p>
      <w:pPr>
        <w:spacing w:after="0" w:line="31" w:lineRule="exact"/>
        <w:rPr>
          <w:sz w:val="20"/>
          <w:szCs w:val="20"/>
          <w:color w:val="auto"/>
        </w:rPr>
      </w:pPr>
    </w:p>
    <w:p>
      <w:pPr>
        <w:ind w:left="700" w:right="60" w:firstLine="198"/>
        <w:spacing w:after="0" w:line="342" w:lineRule="auto"/>
        <w:rPr>
          <w:sz w:val="20"/>
          <w:szCs w:val="20"/>
          <w:color w:val="auto"/>
        </w:rPr>
      </w:pPr>
      <w:r>
        <w:rPr>
          <w:rFonts w:ascii="Arial" w:cs="Arial" w:eastAsia="Arial" w:hAnsi="Arial"/>
          <w:sz w:val="16"/>
          <w:szCs w:val="16"/>
          <w:color w:val="auto"/>
        </w:rPr>
        <w:t>Our merger with Smith will continue to be dilutive to earnings per share in the near term. Future events and conditions could decrease or delay any accretion, result in dilution or cause greater dilution than is currently expected, including adverse changes in:</w:t>
      </w:r>
    </w:p>
    <w:p>
      <w:pPr>
        <w:spacing w:after="0" w:line="2" w:lineRule="exact"/>
        <w:rPr>
          <w:sz w:val="20"/>
          <w:szCs w:val="20"/>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energy market conditions;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commodity prices for oil, natural gas and natural gas liquids;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reserve levels;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results;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regulations affecting the energy business;</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capital expenditure obligations; and</w:t>
      </w:r>
    </w:p>
    <w:p>
      <w:pPr>
        <w:spacing w:after="0" w:line="76" w:lineRule="exact"/>
        <w:rPr>
          <w:rFonts w:ascii="Arial" w:cs="Arial" w:eastAsia="Arial" w:hAnsi="Arial"/>
          <w:sz w:val="18"/>
          <w:szCs w:val="18"/>
          <w:color w:val="auto"/>
        </w:rPr>
      </w:pPr>
    </w:p>
    <w:p>
      <w:pPr>
        <w:ind w:left="1480" w:hanging="382"/>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1A</w:t>
      </w:r>
    </w:p>
    <w:p>
      <w:pPr>
        <w:spacing w:after="0" w:line="200" w:lineRule="exact"/>
        <w:rPr>
          <w:sz w:val="20"/>
          <w:szCs w:val="20"/>
          <w:color w:val="auto"/>
        </w:rPr>
      </w:pPr>
    </w:p>
    <w:p>
      <w:pPr>
        <w:spacing w:after="0" w:line="24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Any dilution of, or decrease or delay of any accretion to, our earnings per share could cause the price of our common stock to decline.</w:t>
      </w:r>
    </w:p>
    <w:p>
      <w:pPr>
        <w:spacing w:after="0" w:line="258" w:lineRule="exact"/>
        <w:rPr>
          <w:sz w:val="20"/>
          <w:szCs w:val="20"/>
          <w:color w:val="auto"/>
        </w:rPr>
      </w:pPr>
    </w:p>
    <w:p>
      <w:pPr>
        <w:jc w:val="both"/>
        <w:ind w:left="700" w:right="40"/>
        <w:spacing w:after="0" w:line="266" w:lineRule="auto"/>
        <w:rPr>
          <w:sz w:val="20"/>
          <w:szCs w:val="20"/>
          <w:color w:val="auto"/>
        </w:rPr>
      </w:pPr>
      <w:r>
        <w:rPr>
          <w:rFonts w:ascii="Arial" w:cs="Arial" w:eastAsia="Arial" w:hAnsi="Arial"/>
          <w:sz w:val="18"/>
          <w:szCs w:val="18"/>
          <w:b w:val="1"/>
          <w:bCs w:val="1"/>
          <w:color w:val="auto"/>
        </w:rPr>
        <w:t>Our offshore oil and gas operations could be adversely impacted by the Deepwater Horizon drilling rig accident and resulting oil spill; changes in and compliance with restrictions or regulations on offshore drilling in the US Gulf of Mexico and in other areas around the world may adversely affect our business and operating results.</w:t>
      </w:r>
    </w:p>
    <w:p>
      <w:pPr>
        <w:spacing w:after="0" w:line="86" w:lineRule="exact"/>
        <w:rPr>
          <w:sz w:val="20"/>
          <w:szCs w:val="20"/>
          <w:color w:val="auto"/>
        </w:rPr>
      </w:pPr>
    </w:p>
    <w:p>
      <w:pPr>
        <w:ind w:left="700" w:right="100" w:firstLine="198"/>
        <w:spacing w:after="0" w:line="284" w:lineRule="auto"/>
        <w:rPr>
          <w:sz w:val="20"/>
          <w:szCs w:val="20"/>
          <w:color w:val="auto"/>
        </w:rPr>
      </w:pPr>
      <w:r>
        <w:rPr>
          <w:rFonts w:ascii="Arial" w:cs="Arial" w:eastAsia="Arial" w:hAnsi="Arial"/>
          <w:sz w:val="16"/>
          <w:szCs w:val="16"/>
          <w:color w:val="auto"/>
        </w:rPr>
        <w:t xml:space="preserve">On April 20, 2010, a fire and explosion occurred onboard the semisubmersible drilling rig </w:t>
      </w:r>
      <w:r>
        <w:rPr>
          <w:rFonts w:ascii="Arial" w:cs="Arial" w:eastAsia="Arial" w:hAnsi="Arial"/>
          <w:sz w:val="16"/>
          <w:szCs w:val="16"/>
          <w:i w:val="1"/>
          <w:iCs w:val="1"/>
          <w:color w:val="auto"/>
        </w:rPr>
        <w:t>Deepwater Horizon</w:t>
      </w:r>
      <w:r>
        <w:rPr>
          <w:rFonts w:ascii="Arial" w:cs="Arial" w:eastAsia="Arial" w:hAnsi="Arial"/>
          <w:sz w:val="16"/>
          <w:szCs w:val="16"/>
          <w:color w:val="auto"/>
        </w:rPr>
        <w:t>, owned by Transocean Ltd. and under contract to a subsidiary of BP plc. As a result of the incident and related oil spill, the Secretary of the US Department of the Interior directed the Bureau of Ocean Energy Management, Regulation and Enforcement (“BOEMRE”) to issue a suspension, until November 30, 2010, of drilling activities for specified drilling configurations and technologies. Although this moratorium was lifted on October 12, 2010, effective immediately, we cannot predict with certainty when drilling operations will fully resume in the US Gulf of Mexico. The BOEMRE has also issued new guidelines and regulations regarding safety, environmental matters, drilling equipment and decommissioning applicable to drilling in the US Gulf of Mexico, and may take other additional steps that could increase the costs of exploration and production, reduce the area of operations and result in permitting delays.</w:t>
      </w:r>
    </w:p>
    <w:p>
      <w:pPr>
        <w:spacing w:after="0" w:line="1" w:lineRule="exact"/>
        <w:rPr>
          <w:sz w:val="20"/>
          <w:szCs w:val="20"/>
          <w:color w:val="auto"/>
        </w:rPr>
      </w:pPr>
    </w:p>
    <w:p>
      <w:pPr>
        <w:ind w:left="700" w:right="100" w:firstLine="198"/>
        <w:spacing w:after="0" w:line="253" w:lineRule="auto"/>
        <w:rPr>
          <w:sz w:val="20"/>
          <w:szCs w:val="20"/>
          <w:color w:val="auto"/>
        </w:rPr>
      </w:pPr>
      <w:r>
        <w:rPr>
          <w:rFonts w:ascii="Arial" w:cs="Arial" w:eastAsia="Arial" w:hAnsi="Arial"/>
          <w:sz w:val="18"/>
          <w:szCs w:val="18"/>
          <w:color w:val="auto"/>
        </w:rPr>
        <w:t xml:space="preserve">At this time, we cannot predict with any certainty what further impact, if any,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may have on the regulation of offshore oil and gas exploration and development activity, or on the cost or availability of insurance coverage to cover the risks of such operations. Ongoing effects of and delays from the lifted suspension of drilling activity in the US Gulf of Mexico, or the enactment of new or stricter regulations in the United States and other countries where we operate, could materially adversely affect our financial condition, results of operations or cash flows.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35" w:lineRule="exact"/>
        <w:rPr>
          <w:sz w:val="20"/>
          <w:szCs w:val="20"/>
          <w:color w:val="auto"/>
        </w:rPr>
      </w:pPr>
    </w:p>
    <w:p>
      <w:pPr>
        <w:ind w:left="700" w:firstLine="198"/>
        <w:spacing w:after="0" w:line="267" w:lineRule="auto"/>
        <w:rPr>
          <w:sz w:val="20"/>
          <w:szCs w:val="20"/>
          <w:color w:val="auto"/>
        </w:rPr>
      </w:pPr>
      <w:r>
        <w:rPr>
          <w:rFonts w:ascii="Arial" w:cs="Arial" w:eastAsia="Arial" w:hAnsi="Arial"/>
          <w:sz w:val="17"/>
          <w:szCs w:val="17"/>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complex, stringent and expensive to implement. These laws may provide for “strict liability” for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5" w:lineRule="exact"/>
        <w:rPr>
          <w:sz w:val="20"/>
          <w:szCs w:val="20"/>
          <w:color w:val="auto"/>
        </w:rPr>
      </w:pPr>
    </w:p>
    <w:p>
      <w:pPr>
        <w:ind w:left="700" w:right="40" w:firstLine="198"/>
        <w:spacing w:after="0" w:line="269" w:lineRule="auto"/>
        <w:rPr>
          <w:sz w:val="20"/>
          <w:szCs w:val="20"/>
          <w:color w:val="auto"/>
        </w:rPr>
      </w:pPr>
      <w:r>
        <w:rPr>
          <w:rFonts w:ascii="Arial" w:cs="Arial" w:eastAsia="Arial" w:hAnsi="Arial"/>
          <w:sz w:val="17"/>
          <w:szCs w:val="17"/>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190" w:lineRule="exact"/>
        <w:rPr>
          <w:sz w:val="20"/>
          <w:szCs w:val="20"/>
          <w:color w:val="auto"/>
        </w:rPr>
      </w:pPr>
    </w:p>
    <w:p>
      <w:pPr>
        <w:ind w:left="700" w:right="40"/>
        <w:spacing w:after="0" w:line="282" w:lineRule="auto"/>
        <w:rPr>
          <w:sz w:val="20"/>
          <w:szCs w:val="20"/>
          <w:color w:val="auto"/>
        </w:rPr>
      </w:pPr>
      <w:r>
        <w:rPr>
          <w:rFonts w:ascii="Arial" w:cs="Arial" w:eastAsia="Arial" w:hAnsi="Arial"/>
          <w:sz w:val="18"/>
          <w:szCs w:val="18"/>
          <w:b w:val="1"/>
          <w:bCs w:val="1"/>
          <w:color w:val="auto"/>
        </w:rPr>
        <w:t>We could be subject to substantial liability claims, which would adversely affect our financial condition, results of operations and cash flows.</w:t>
      </w:r>
    </w:p>
    <w:p>
      <w:pPr>
        <w:spacing w:after="0" w:line="71" w:lineRule="exact"/>
        <w:rPr>
          <w:sz w:val="20"/>
          <w:szCs w:val="20"/>
          <w:color w:val="auto"/>
        </w:rPr>
      </w:pPr>
    </w:p>
    <w:p>
      <w:pPr>
        <w:ind w:left="700" w:right="40" w:firstLine="198"/>
        <w:spacing w:after="0" w:line="254" w:lineRule="auto"/>
        <w:rPr>
          <w:sz w:val="20"/>
          <w:szCs w:val="20"/>
          <w:color w:val="auto"/>
        </w:rPr>
      </w:pPr>
      <w:r>
        <w:rPr>
          <w:rFonts w:ascii="Arial" w:cs="Arial" w:eastAsia="Arial" w:hAnsi="Arial"/>
          <w:sz w:val="18"/>
          <w:szCs w:val="18"/>
          <w:color w:val="auto"/>
        </w:rPr>
        <w:t>Certain equipment used in the delivery of oilfield services, such as directional drilling equipment, perforating systems, subsea completion equipment, radioactive materials and explosives and well completion systems, are used in hostile environments, such as exploration, development and production applications. An accident or a failure of a product could cause personal injury, loss of life, damage to property, equipment or the environment, and suspension of operations. Our insurance may not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w:t>
      </w:r>
    </w:p>
    <w:p>
      <w:pPr>
        <w:spacing w:after="0" w:line="38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1A</w:t>
      </w:r>
    </w:p>
    <w:p>
      <w:pPr>
        <w:spacing w:after="0" w:line="323"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are in excess of policy limits or are subject to substantial deductibles, could adversely affect our financial condition, results of operations and cash flows.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If we are unable to maintain technology leadership, this could adversely affect any competitive advantage we hold.</w:t>
      </w:r>
    </w:p>
    <w:p>
      <w:pPr>
        <w:spacing w:after="0" w:line="135" w:lineRule="exact"/>
        <w:rPr>
          <w:sz w:val="20"/>
          <w:szCs w:val="20"/>
          <w:color w:val="auto"/>
        </w:rPr>
      </w:pPr>
    </w:p>
    <w:p>
      <w:pPr>
        <w:jc w:val="both"/>
        <w:ind w:left="700" w:right="40" w:firstLine="198"/>
        <w:spacing w:after="0" w:line="264" w:lineRule="auto"/>
        <w:rPr>
          <w:sz w:val="20"/>
          <w:szCs w:val="20"/>
          <w:color w:val="auto"/>
        </w:rPr>
      </w:pPr>
      <w:r>
        <w:rPr>
          <w:rFonts w:ascii="Arial" w:cs="Arial" w:eastAsia="Arial" w:hAnsi="Arial"/>
          <w:sz w:val="18"/>
          <w:szCs w:val="18"/>
          <w:color w:val="auto"/>
        </w:rPr>
        <w:t>If we are unable to develop and produce competitive technology or deliver it to our clients in the form of service offerings in a timely and cost-competitive manner in the various markets we serve, it could adversely affect our financial condition, results of operations and cash flows.</w:t>
      </w:r>
    </w:p>
    <w:p>
      <w:pPr>
        <w:spacing w:after="0" w:line="191" w:lineRule="exact"/>
        <w:rPr>
          <w:sz w:val="20"/>
          <w:szCs w:val="20"/>
          <w:color w:val="auto"/>
        </w:rPr>
      </w:pPr>
    </w:p>
    <w:p>
      <w:pPr>
        <w:ind w:left="700" w:right="240"/>
        <w:spacing w:after="0" w:line="282"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71" w:lineRule="exact"/>
        <w:rPr>
          <w:sz w:val="20"/>
          <w:szCs w:val="20"/>
          <w:color w:val="auto"/>
        </w:rPr>
      </w:pPr>
    </w:p>
    <w:p>
      <w:pPr>
        <w:ind w:left="700" w:right="20" w:firstLine="198"/>
        <w:spacing w:after="0" w:line="257" w:lineRule="auto"/>
        <w:rPr>
          <w:sz w:val="20"/>
          <w:szCs w:val="20"/>
          <w:color w:val="auto"/>
        </w:rPr>
      </w:pPr>
      <w:r>
        <w:rPr>
          <w:rFonts w:ascii="Arial" w:cs="Arial" w:eastAsia="Arial" w:hAnsi="Arial"/>
          <w:sz w:val="18"/>
          <w:szCs w:val="18"/>
          <w:color w:val="auto"/>
        </w:rPr>
        <w:t>Some of our products or services, and the processes we use to produce or provide them, have been granted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35" w:lineRule="exact"/>
        <w:rPr>
          <w:sz w:val="20"/>
          <w:szCs w:val="20"/>
          <w:color w:val="auto"/>
        </w:rPr>
      </w:pPr>
    </w:p>
    <w:p>
      <w:pPr>
        <w:ind w:left="700" w:right="200" w:firstLine="198"/>
        <w:spacing w:after="0" w:line="297"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service or product, which could adversely affect our financial condition, results of operations and cash flows. Additionally, developing non-infringing technologies would increase our costs.</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35" w:lineRule="exact"/>
        <w:rPr>
          <w:sz w:val="20"/>
          <w:szCs w:val="20"/>
          <w:color w:val="auto"/>
        </w:rPr>
      </w:pPr>
    </w:p>
    <w:p>
      <w:pPr>
        <w:ind w:left="700" w:right="80" w:firstLine="198"/>
        <w:spacing w:after="0" w:line="286" w:lineRule="auto"/>
        <w:rPr>
          <w:sz w:val="20"/>
          <w:szCs w:val="20"/>
          <w:color w:val="auto"/>
        </w:rPr>
      </w:pPr>
      <w:r>
        <w:rPr>
          <w:rFonts w:ascii="Arial" w:cs="Arial" w:eastAsia="Arial" w:hAnsi="Arial"/>
          <w:sz w:val="17"/>
          <w:szCs w:val="17"/>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135" w:lineRule="exact"/>
        <w:rPr>
          <w:sz w:val="20"/>
          <w:szCs w:val="20"/>
          <w:color w:val="auto"/>
        </w:rPr>
      </w:pPr>
    </w:p>
    <w:p>
      <w:pPr>
        <w:ind w:left="700" w:right="200" w:firstLine="198"/>
        <w:spacing w:after="0" w:line="259" w:lineRule="auto"/>
        <w:rPr>
          <w:sz w:val="20"/>
          <w:szCs w:val="20"/>
          <w:color w:val="auto"/>
        </w:rPr>
      </w:pPr>
      <w:r>
        <w:rPr>
          <w:rFonts w:ascii="Arial" w:cs="Arial" w:eastAsia="Arial" w:hAnsi="Arial"/>
          <w:sz w:val="18"/>
          <w:szCs w:val="18"/>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could adversely affect our financial condition, results of operations and cash flows.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Demand for our products and services could be reduced or eliminated by governmental regulation or a change in the law.</w:t>
      </w:r>
    </w:p>
    <w:p>
      <w:pPr>
        <w:spacing w:after="0" w:line="146" w:lineRule="exact"/>
        <w:rPr>
          <w:sz w:val="20"/>
          <w:szCs w:val="20"/>
          <w:color w:val="auto"/>
        </w:rPr>
      </w:pPr>
    </w:p>
    <w:p>
      <w:pPr>
        <w:ind w:left="700" w:right="100" w:firstLine="198"/>
        <w:spacing w:after="0" w:line="254" w:lineRule="auto"/>
        <w:rPr>
          <w:sz w:val="20"/>
          <w:szCs w:val="20"/>
          <w:color w:val="auto"/>
        </w:rPr>
      </w:pPr>
      <w:r>
        <w:rPr>
          <w:rFonts w:ascii="Arial" w:cs="Arial" w:eastAsia="Arial" w:hAnsi="Arial"/>
          <w:sz w:val="18"/>
          <w:szCs w:val="18"/>
          <w:color w:val="auto"/>
        </w:rPr>
        <w:t>International, national, and state governments and agencies are currently evaluating and promulgating climate-related legislation and regulations that are focused on restricting greenhouse gas (“GHG”) emissions. In the United States, the Environmental Protection Agency (“EPA”) is taking steps to require monitoring and reporting of GHG emissions and to regulate GHGs as pollutants under the Clean Air Act (“CAA”). The EPA’s “Mandatory Reporting of Greenhouse Gases” rule established a comprehensive scheme of regulations that require monitoring and reporting of GHG emissions that began in 2010. Furthermore, the EPA recently proposed additional GHG reporting rules specifically for the oil and gas industry. The EPA has also published a final rule, the “Endangerment Finding,” finding that GHGs in the atmosphere endanger public health and welfare, and that emissions of GHGs from mobile sources cause or</w:t>
      </w:r>
    </w:p>
    <w:p>
      <w:pPr>
        <w:spacing w:after="0" w:line="381"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1A</w:t>
      </w:r>
    </w:p>
    <w:p>
      <w:pPr>
        <w:spacing w:after="0" w:line="323" w:lineRule="exact"/>
        <w:rPr>
          <w:sz w:val="20"/>
          <w:szCs w:val="20"/>
          <w:color w:val="auto"/>
        </w:rPr>
      </w:pPr>
    </w:p>
    <w:p>
      <w:pPr>
        <w:ind w:left="700" w:right="40"/>
        <w:spacing w:after="0" w:line="283" w:lineRule="auto"/>
        <w:rPr>
          <w:sz w:val="20"/>
          <w:szCs w:val="20"/>
          <w:color w:val="auto"/>
        </w:rPr>
      </w:pPr>
      <w:r>
        <w:rPr>
          <w:rFonts w:ascii="Arial" w:cs="Arial" w:eastAsia="Arial" w:hAnsi="Arial"/>
          <w:sz w:val="16"/>
          <w:szCs w:val="16"/>
          <w:color w:val="auto"/>
        </w:rPr>
        <w:t>contribute to the GHG pollution. Following issuance of the Endangerment Finding, the EPA promulgated final motor vehicle GHG emission standards on April 1, 2010. The EPA has asserted that the final motor vehicle GHG emission standards will trigger construction and operating permit requirements for stationary sources. In addition, climate change legislation is pending in the United States Congress. These developments may curtail production and demand for fossil fuels such as oil and gas in areas of the world where our customers operate and thus adversely affect future demand for our services, which may in turn adversely affect future results of operations. Additionally, legislation to reduce greenhouse gases may have an adverse effect on our operations, including payment of additional costs due to carbon emissions. Higher carbon emission activities include transportation, including marine vessels, cement production (by third party suppliers), and electricity generation (by third party suppliers) as well as other activities. Finally, our business could be negatively affected by climate change related physical changes or changes in weather patterns, which could result in damages to or loss of our physical assets, impacts to our ability to conduct operations and/or disruption of our customers’ operations.</w:t>
      </w:r>
    </w:p>
    <w:p>
      <w:pPr>
        <w:spacing w:after="0" w:line="6"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Legislation may be introduced in the United States Congress that would authorize the EPA to regulate hydraulic fracturing. In addition, a number of states are evaluating the adoption of legislation or regulations governing hydraulic fracturing. Such legislation or regulations could reduce demand for pressure pumping services. If federal and/or state legislation or regulations were enacted, it could adversely affect our financial condition, results of operations and cash flows. We are unable to predict whether the proposed legislation, regulations, or any other proposals will ultimately be enacted.</w:t>
      </w:r>
    </w:p>
    <w:p>
      <w:pPr>
        <w:spacing w:after="0" w:line="3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1B, 2, 3, 4</w:t>
      </w:r>
    </w:p>
    <w:p>
      <w:pPr>
        <w:spacing w:after="0" w:line="207" w:lineRule="exact"/>
        <w:rPr>
          <w:sz w:val="20"/>
          <w:szCs w:val="20"/>
          <w:color w:val="auto"/>
        </w:rPr>
      </w:pPr>
    </w:p>
    <w:p>
      <w:pPr>
        <w:ind w:left="700"/>
        <w:spacing w:after="0"/>
        <w:tabs>
          <w:tab w:leader="none" w:pos="1580" w:val="left"/>
        </w:tabs>
        <w:rPr>
          <w:sz w:val="20"/>
          <w:szCs w:val="20"/>
          <w:color w:val="auto"/>
        </w:rPr>
      </w:pPr>
      <w:r>
        <w:rPr>
          <w:rFonts w:ascii="Arial" w:cs="Arial" w:eastAsia="Arial" w:hAnsi="Arial"/>
          <w:sz w:val="18"/>
          <w:szCs w:val="18"/>
          <w:b w:val="1"/>
          <w:bCs w:val="1"/>
          <w:u w:val="single" w:color="auto"/>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ind w:left="700"/>
        <w:spacing w:after="0"/>
        <w:tabs>
          <w:tab w:leader="none" w:pos="144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26" w:lineRule="exact"/>
        <w:rPr>
          <w:sz w:val="20"/>
          <w:szCs w:val="20"/>
          <w:color w:val="auto"/>
        </w:rPr>
      </w:pPr>
    </w:p>
    <w:p>
      <w:pPr>
        <w:ind w:left="700" w:right="900" w:firstLine="198"/>
        <w:spacing w:after="0" w:line="254" w:lineRule="auto"/>
        <w:rPr>
          <w:sz w:val="20"/>
          <w:szCs w:val="20"/>
          <w:color w:val="auto"/>
        </w:rPr>
      </w:pPr>
      <w:r>
        <w:rPr>
          <w:rFonts w:ascii="Arial" w:cs="Arial" w:eastAsia="Arial" w:hAnsi="Arial"/>
          <w:sz w:val="18"/>
          <w:szCs w:val="18"/>
          <w:color w:val="auto"/>
        </w:rPr>
        <w:t>Schlumberger owns or leases numerous manufacturing facilities, administrative offices, service centers, research centers, data processing centers, mines, ore, drilling fluid and production chemical processing centers, sales offices and warehouses throughout the world. Schlumberger views its principal manufacturing, mining and processing facilities, research centers and data processing centers as its “principal owned or leased facilities.”</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sets forth Schlumberger’s principal owned or leased facilities by business segment:</w:t>
      </w:r>
    </w:p>
    <w:p>
      <w:pPr>
        <w:spacing w:after="0" w:line="9" w:lineRule="exact"/>
        <w:rPr>
          <w:sz w:val="20"/>
          <w:szCs w:val="20"/>
          <w:color w:val="auto"/>
        </w:rPr>
      </w:pPr>
    </w:p>
    <w:p>
      <w:pPr>
        <w:ind w:left="700" w:right="1100" w:firstLine="198"/>
        <w:spacing w:after="0" w:line="250" w:lineRule="auto"/>
        <w:rPr>
          <w:sz w:val="20"/>
          <w:szCs w:val="20"/>
          <w:color w:val="auto"/>
        </w:rPr>
      </w:pPr>
      <w:r>
        <w:rPr>
          <w:rFonts w:ascii="Arial" w:cs="Arial" w:eastAsia="Arial" w:hAnsi="Arial"/>
          <w:sz w:val="18"/>
          <w:szCs w:val="18"/>
          <w:i w:val="1"/>
          <w:iCs w:val="1"/>
          <w:color w:val="auto"/>
        </w:rPr>
        <w:t xml:space="preserve">Oilfield Services: </w:t>
      </w:r>
      <w:r>
        <w:rPr>
          <w:rFonts w:ascii="Arial" w:cs="Arial" w:eastAsia="Arial" w:hAnsi="Arial"/>
          <w:sz w:val="18"/>
          <w:szCs w:val="18"/>
          <w:color w:val="auto"/>
        </w:rPr>
        <w:t>Beijing, China; Clamart, France; Fuchinobe, Japan; Singapore; Abingdon, Cambridge and Stonehouse,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Kingdom; Novosibirsk, Russia; and within the United States: Boston, Massachusetts; Houston, Rosharon and Sugar Land, Texas; and Lawrence, Kansas.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WesternGeco: </w:t>
      </w:r>
      <w:r>
        <w:rPr>
          <w:rFonts w:ascii="Arial" w:cs="Arial" w:eastAsia="Arial" w:hAnsi="Arial"/>
          <w:sz w:val="18"/>
          <w:szCs w:val="18"/>
          <w:color w:val="auto"/>
        </w:rPr>
        <w:t>Bergen and Oslo, Norway; Gatwick, United Kingdom; Houston, Texas, United States; and Mumbai, India.</w:t>
      </w:r>
    </w:p>
    <w:p>
      <w:pPr>
        <w:spacing w:after="0" w:line="9" w:lineRule="exact"/>
        <w:rPr>
          <w:sz w:val="20"/>
          <w:szCs w:val="20"/>
          <w:color w:val="auto"/>
        </w:rPr>
      </w:pPr>
    </w:p>
    <w:p>
      <w:pPr>
        <w:jc w:val="both"/>
        <w:ind w:left="700" w:right="840" w:firstLine="198"/>
        <w:spacing w:after="0" w:line="250" w:lineRule="auto"/>
        <w:rPr>
          <w:sz w:val="20"/>
          <w:szCs w:val="20"/>
          <w:color w:val="auto"/>
        </w:rPr>
      </w:pPr>
      <w:r>
        <w:rPr>
          <w:rFonts w:ascii="Arial" w:cs="Arial" w:eastAsia="Arial" w:hAnsi="Arial"/>
          <w:sz w:val="18"/>
          <w:szCs w:val="18"/>
          <w:i w:val="1"/>
          <w:iCs w:val="1"/>
          <w:color w:val="auto"/>
        </w:rPr>
        <w:t xml:space="preserve">M-I SWACO: </w:t>
      </w:r>
      <w:r>
        <w:rPr>
          <w:rFonts w:ascii="Arial" w:cs="Arial" w:eastAsia="Arial" w:hAnsi="Arial"/>
          <w:sz w:val="18"/>
          <w:szCs w:val="18"/>
          <w:color w:val="auto"/>
        </w:rPr>
        <w:t>Aberdeen, Edinburgh, Foss and Aberfly, Scotland; Karmoy, Norway; and within the United States: Battle Mountain and</w:t>
      </w:r>
      <w:r>
        <w:rPr>
          <w:rFonts w:ascii="Arial" w:cs="Arial" w:eastAsia="Arial" w:hAnsi="Arial"/>
          <w:sz w:val="18"/>
          <w:szCs w:val="18"/>
          <w:i w:val="1"/>
          <w:iCs w:val="1"/>
          <w:color w:val="auto"/>
        </w:rPr>
        <w:t xml:space="preserve"> </w:t>
      </w:r>
      <w:r>
        <w:rPr>
          <w:rFonts w:ascii="Arial" w:cs="Arial" w:eastAsia="Arial" w:hAnsi="Arial"/>
          <w:sz w:val="18"/>
          <w:szCs w:val="18"/>
          <w:color w:val="auto"/>
        </w:rPr>
        <w:t>Greystone, Nevada; Greybull, Wyoming; Amelia and Port Fourchon, Louisiana; Galveston and Houston, Texas; Florence, Kentucky; and Tulsa, Oklahoma.</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Smith Oilfield: </w:t>
      </w:r>
      <w:r>
        <w:rPr>
          <w:rFonts w:ascii="Arial" w:cs="Arial" w:eastAsia="Arial" w:hAnsi="Arial"/>
          <w:sz w:val="18"/>
          <w:szCs w:val="18"/>
          <w:color w:val="auto"/>
        </w:rPr>
        <w:t>Aberdeen, Scotland; Scurelle, Italy; Neuquen, Argentina; Jebel Ali, Dubai; Changzhou, China and within the United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States: Houston, Texas; Ponca City, Oklahoma; Provo, Utah; and Rancho Cucuamonga, California.</w:t>
      </w:r>
    </w:p>
    <w:p>
      <w:pPr>
        <w:spacing w:after="0" w:line="9" w:lineRule="exact"/>
        <w:rPr>
          <w:sz w:val="20"/>
          <w:szCs w:val="20"/>
          <w:color w:val="auto"/>
        </w:rPr>
      </w:pPr>
    </w:p>
    <w:p>
      <w:pPr>
        <w:ind w:left="700" w:right="1080" w:firstLine="198"/>
        <w:spacing w:after="0" w:line="261" w:lineRule="auto"/>
        <w:rPr>
          <w:sz w:val="20"/>
          <w:szCs w:val="20"/>
          <w:color w:val="auto"/>
        </w:rPr>
      </w:pPr>
      <w:r>
        <w:rPr>
          <w:rFonts w:ascii="Arial" w:cs="Arial" w:eastAsia="Arial" w:hAnsi="Arial"/>
          <w:sz w:val="18"/>
          <w:szCs w:val="18"/>
          <w:i w:val="1"/>
          <w:iCs w:val="1"/>
          <w:color w:val="auto"/>
        </w:rPr>
        <w:t xml:space="preserve">Distribution: </w:t>
      </w:r>
      <w:r>
        <w:rPr>
          <w:rFonts w:ascii="Arial" w:cs="Arial" w:eastAsia="Arial" w:hAnsi="Arial"/>
          <w:sz w:val="18"/>
          <w:szCs w:val="18"/>
          <w:color w:val="auto"/>
        </w:rPr>
        <w:t>Edmonton, Canada; and within the United States: LaPorte, Texas; Long Beach, California; and South Plainfield, New</w:t>
      </w:r>
      <w:r>
        <w:rPr>
          <w:rFonts w:ascii="Arial" w:cs="Arial" w:eastAsia="Arial" w:hAnsi="Arial"/>
          <w:sz w:val="18"/>
          <w:szCs w:val="18"/>
          <w:i w:val="1"/>
          <w:iCs w:val="1"/>
          <w:color w:val="auto"/>
        </w:rPr>
        <w:t xml:space="preserve"> </w:t>
      </w:r>
      <w:r>
        <w:rPr>
          <w:rFonts w:ascii="Arial" w:cs="Arial" w:eastAsia="Arial" w:hAnsi="Arial"/>
          <w:sz w:val="18"/>
          <w:szCs w:val="18"/>
          <w:color w:val="auto"/>
        </w:rPr>
        <w:t>Jersey.</w:t>
      </w:r>
    </w:p>
    <w:p>
      <w:pPr>
        <w:spacing w:after="0" w:line="189" w:lineRule="exact"/>
        <w:rPr>
          <w:sz w:val="20"/>
          <w:szCs w:val="20"/>
          <w:color w:val="auto"/>
        </w:rPr>
      </w:pPr>
    </w:p>
    <w:p>
      <w:pPr>
        <w:ind w:left="700"/>
        <w:spacing w:after="0"/>
        <w:tabs>
          <w:tab w:leader="none" w:pos="1440" w:val="left"/>
        </w:tabs>
        <w:rPr>
          <w:sz w:val="20"/>
          <w:szCs w:val="20"/>
          <w:color w:val="auto"/>
        </w:rPr>
      </w:pPr>
      <w:r>
        <w:rPr>
          <w:rFonts w:ascii="Arial" w:cs="Arial" w:eastAsia="Arial" w:hAnsi="Arial"/>
          <w:sz w:val="18"/>
          <w:szCs w:val="18"/>
          <w:b w:val="1"/>
          <w:bCs w:val="1"/>
          <w:u w:val="single" w:color="auto"/>
          <w:color w:val="auto"/>
        </w:rPr>
        <w:t>Item 3</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Legal Proceedings.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The information with respect to this Item 3 is set forth in Note 16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30" w:lineRule="exact"/>
        <w:rPr>
          <w:sz w:val="20"/>
          <w:szCs w:val="20"/>
          <w:color w:val="auto"/>
        </w:rPr>
      </w:pPr>
    </w:p>
    <w:p>
      <w:pPr>
        <w:ind w:left="700"/>
        <w:spacing w:after="0"/>
        <w:tabs>
          <w:tab w:leader="none" w:pos="144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7"/>
          <w:szCs w:val="17"/>
          <w:b w:val="1"/>
          <w:bCs w:val="1"/>
          <w:u w:val="single" w:color="auto"/>
          <w:color w:val="auto"/>
        </w:rPr>
        <w:t>[Removed and Reserved]</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Executive Officers of Schlumberger</w:t>
      </w:r>
    </w:p>
    <w:p>
      <w:pPr>
        <w:spacing w:after="0" w:line="126" w:lineRule="exact"/>
        <w:rPr>
          <w:sz w:val="20"/>
          <w:szCs w:val="20"/>
          <w:color w:val="auto"/>
        </w:rPr>
      </w:pPr>
    </w:p>
    <w:p>
      <w:pPr>
        <w:ind w:left="700" w:right="1180" w:firstLine="198"/>
        <w:spacing w:after="0" w:line="277" w:lineRule="auto"/>
        <w:rPr>
          <w:sz w:val="20"/>
          <w:szCs w:val="20"/>
          <w:color w:val="auto"/>
        </w:rPr>
      </w:pPr>
      <w:r>
        <w:rPr>
          <w:rFonts w:ascii="Arial" w:cs="Arial" w:eastAsia="Arial" w:hAnsi="Arial"/>
          <w:sz w:val="18"/>
          <w:szCs w:val="18"/>
          <w:color w:val="auto"/>
        </w:rPr>
        <w:t>The following table sets forth, as of January 31, 2011, the names and ages of the executive officers of Schlumberger, including all offices and positions held by each for at least the past five years.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Borders>
              <w:bottom w:val="single" w:sz="8" w:color="auto"/>
            </w:tcBorders>
          </w:tcPr>
          <w:p>
            <w:pPr>
              <w:jc w:val="center"/>
              <w:ind w:left="440"/>
              <w:spacing w:after="0"/>
              <w:rPr>
                <w:sz w:val="20"/>
                <w:szCs w:val="20"/>
                <w:color w:val="auto"/>
              </w:rPr>
            </w:pPr>
            <w:r>
              <w:rPr>
                <w:rFonts w:ascii="Arial" w:cs="Arial" w:eastAsia="Arial" w:hAnsi="Arial"/>
                <w:sz w:val="14"/>
                <w:szCs w:val="14"/>
                <w:b w:val="1"/>
                <w:bCs w:val="1"/>
                <w:color w:val="auto"/>
                <w:w w:val="90"/>
              </w:rPr>
              <w:t>Age</w:t>
            </w:r>
          </w:p>
        </w:tc>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Present Position and Five-Year Business Experience</w:t>
            </w:r>
          </w:p>
        </w:tc>
        <w:tc>
          <w:tcPr>
            <w:tcW w:w="800" w:type="dxa"/>
            <w:vAlign w:val="bottom"/>
          </w:tcPr>
          <w:p>
            <w:pPr>
              <w:spacing w:after="0"/>
              <w:rPr>
                <w:sz w:val="16"/>
                <w:szCs w:val="16"/>
                <w:color w:val="auto"/>
              </w:rPr>
            </w:pPr>
          </w:p>
        </w:tc>
      </w:tr>
      <w:tr>
        <w:trPr>
          <w:trHeight w:val="325"/>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Andrew Gould</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64</w:t>
            </w:r>
          </w:p>
        </w:tc>
        <w:tc>
          <w:tcPr>
            <w:tcW w:w="7300" w:type="dxa"/>
            <w:vAlign w:val="bottom"/>
          </w:tcPr>
          <w:p>
            <w:pPr>
              <w:ind w:left="80"/>
              <w:spacing w:after="0"/>
              <w:rPr>
                <w:sz w:val="20"/>
                <w:szCs w:val="20"/>
                <w:color w:val="auto"/>
              </w:rPr>
            </w:pPr>
            <w:r>
              <w:rPr>
                <w:rFonts w:ascii="Arial" w:cs="Arial" w:eastAsia="Arial" w:hAnsi="Arial"/>
                <w:sz w:val="16"/>
                <w:szCs w:val="16"/>
                <w:color w:val="auto"/>
              </w:rPr>
              <w:t>Chairman and Chief Executive Officer, since February 2003.</w:t>
            </w:r>
          </w:p>
        </w:tc>
        <w:tc>
          <w:tcPr>
            <w:tcW w:w="800" w:type="dxa"/>
            <w:vAlign w:val="bottom"/>
          </w:tcPr>
          <w:p>
            <w:pPr>
              <w:spacing w:after="0"/>
              <w:rPr>
                <w:sz w:val="24"/>
                <w:szCs w:val="24"/>
                <w:color w:val="auto"/>
              </w:rPr>
            </w:pPr>
          </w:p>
        </w:tc>
      </w:tr>
      <w:tr>
        <w:trPr>
          <w:trHeight w:val="280"/>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Paal Kibsgaard</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43</w:t>
            </w:r>
          </w:p>
        </w:tc>
        <w:tc>
          <w:tcPr>
            <w:tcW w:w="7300" w:type="dxa"/>
            <w:vAlign w:val="bottom"/>
          </w:tcPr>
          <w:p>
            <w:pPr>
              <w:ind w:left="80"/>
              <w:spacing w:after="0"/>
              <w:rPr>
                <w:sz w:val="20"/>
                <w:szCs w:val="20"/>
                <w:color w:val="auto"/>
              </w:rPr>
            </w:pPr>
            <w:r>
              <w:rPr>
                <w:rFonts w:ascii="Arial" w:cs="Arial" w:eastAsia="Arial" w:hAnsi="Arial"/>
                <w:sz w:val="16"/>
                <w:szCs w:val="16"/>
                <w:color w:val="auto"/>
                <w:w w:val="98"/>
              </w:rPr>
              <w:t>Chief Operating Officer since February 2010; President Reservoir Characterization Group, May 2009 to</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6"/>
              </w:rPr>
              <w:t>February 2010; Vice President Engineering, Manufacturing and Sustaining, November 2007 to May 2009;</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3"/>
              </w:rPr>
              <w:t>Vice President Personnel, April 2006 to November 2007; and President, Drilling and Measurements, January</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2003 to April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Simon Ayat</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56</w:t>
            </w:r>
          </w:p>
        </w:tc>
        <w:tc>
          <w:tcPr>
            <w:tcW w:w="7300" w:type="dxa"/>
            <w:vAlign w:val="bottom"/>
          </w:tcPr>
          <w:p>
            <w:pPr>
              <w:ind w:left="80"/>
              <w:spacing w:after="0"/>
              <w:rPr>
                <w:sz w:val="20"/>
                <w:szCs w:val="20"/>
                <w:color w:val="auto"/>
              </w:rPr>
            </w:pPr>
            <w:r>
              <w:rPr>
                <w:rFonts w:ascii="Arial" w:cs="Arial" w:eastAsia="Arial" w:hAnsi="Arial"/>
                <w:sz w:val="16"/>
                <w:szCs w:val="16"/>
                <w:color w:val="auto"/>
                <w:w w:val="94"/>
              </w:rPr>
              <w:t>Executive Vice President and Chief Financial Officer, since March 2007; Vice President Treasurer, February</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5"/>
              </w:rPr>
              <w:t>2005 to March 2007; and Vice President, Controller and Business Processes, December 2002 to February</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2005.</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Alexander Juden</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50</w:t>
            </w:r>
          </w:p>
        </w:tc>
        <w:tc>
          <w:tcPr>
            <w:tcW w:w="7300" w:type="dxa"/>
            <w:vAlign w:val="bottom"/>
          </w:tcPr>
          <w:p>
            <w:pPr>
              <w:ind w:left="80"/>
              <w:spacing w:after="0"/>
              <w:rPr>
                <w:sz w:val="20"/>
                <w:szCs w:val="20"/>
                <w:color w:val="auto"/>
              </w:rPr>
            </w:pPr>
            <w:r>
              <w:rPr>
                <w:rFonts w:ascii="Arial" w:cs="Arial" w:eastAsia="Arial" w:hAnsi="Arial"/>
                <w:sz w:val="16"/>
                <w:szCs w:val="16"/>
                <w:color w:val="auto"/>
                <w:w w:val="94"/>
              </w:rPr>
              <w:t>Secretary and General Counsel, since April 2009; Director of Compliance, February 2005 to April 2009; and</w:t>
            </w:r>
          </w:p>
        </w:tc>
        <w:tc>
          <w:tcPr>
            <w:tcW w:w="80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WesternGeco General Counsel, May 2004 to February 2005.</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Ashok Belani</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52</w:t>
            </w:r>
          </w:p>
        </w:tc>
        <w:tc>
          <w:tcPr>
            <w:tcW w:w="7300" w:type="dxa"/>
            <w:vAlign w:val="bottom"/>
          </w:tcPr>
          <w:p>
            <w:pPr>
              <w:ind w:left="80"/>
              <w:spacing w:after="0"/>
              <w:rPr>
                <w:sz w:val="20"/>
                <w:szCs w:val="20"/>
                <w:color w:val="auto"/>
              </w:rPr>
            </w:pPr>
            <w:r>
              <w:rPr>
                <w:rFonts w:ascii="Arial" w:cs="Arial" w:eastAsia="Arial" w:hAnsi="Arial"/>
                <w:sz w:val="16"/>
                <w:szCs w:val="16"/>
                <w:color w:val="auto"/>
                <w:w w:val="92"/>
              </w:rPr>
              <w:t>Vice President, Technology, since January 2011; President, Reservoir Characterization Group, since February</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2"/>
              </w:rPr>
              <w:t>2010; Vice President and Chief Technology Officer, April 2006 to February 2010; Senior Advisor, Technology,</w:t>
            </w:r>
          </w:p>
        </w:tc>
        <w:tc>
          <w:tcPr>
            <w:tcW w:w="800" w:type="dxa"/>
            <w:vAlign w:val="bottom"/>
          </w:tcPr>
          <w:p>
            <w:pPr>
              <w:spacing w:after="0"/>
              <w:rPr>
                <w:sz w:val="17"/>
                <w:szCs w:val="17"/>
                <w:color w:val="auto"/>
              </w:rPr>
            </w:pPr>
          </w:p>
        </w:tc>
      </w:tr>
      <w:tr>
        <w:trPr>
          <w:trHeight w:val="203"/>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4"/>
              </w:rPr>
              <w:t>January 2006 to April 2006; Director, President and Chief Executive Officer NPTest, May 2002 to December</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2005.</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Stephanie Cox</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42</w:t>
            </w:r>
          </w:p>
        </w:tc>
        <w:tc>
          <w:tcPr>
            <w:tcW w:w="7300" w:type="dxa"/>
            <w:vAlign w:val="bottom"/>
          </w:tcPr>
          <w:p>
            <w:pPr>
              <w:ind w:left="80"/>
              <w:spacing w:after="0"/>
              <w:rPr>
                <w:sz w:val="20"/>
                <w:szCs w:val="20"/>
                <w:color w:val="auto"/>
              </w:rPr>
            </w:pPr>
            <w:r>
              <w:rPr>
                <w:rFonts w:ascii="Arial" w:cs="Arial" w:eastAsia="Arial" w:hAnsi="Arial"/>
                <w:sz w:val="16"/>
                <w:szCs w:val="16"/>
                <w:color w:val="auto"/>
                <w:w w:val="95"/>
              </w:rPr>
              <w:t>Vice President Personnel, since May 2009; North Gulf Coast GeoMarket Manager, April 2006 to May 2009;</w:t>
            </w:r>
          </w:p>
        </w:tc>
        <w:tc>
          <w:tcPr>
            <w:tcW w:w="80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and North &amp; South America Personnel Manager, May 2004 to April 2006.</w:t>
            </w:r>
          </w:p>
        </w:tc>
        <w:tc>
          <w:tcPr>
            <w:tcW w:w="800" w:type="dxa"/>
            <w:vAlign w:val="bottom"/>
          </w:tcPr>
          <w:p>
            <w:pPr>
              <w:spacing w:after="0"/>
              <w:rPr>
                <w:sz w:val="17"/>
                <w:szCs w:val="17"/>
                <w:color w:val="auto"/>
              </w:rPr>
            </w:pPr>
          </w:p>
        </w:tc>
      </w:tr>
      <w:tr>
        <w:trPr>
          <w:trHeight w:val="284"/>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Mark Danton</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54</w:t>
            </w:r>
          </w:p>
        </w:tc>
        <w:tc>
          <w:tcPr>
            <w:tcW w:w="7300" w:type="dxa"/>
            <w:vAlign w:val="bottom"/>
          </w:tcPr>
          <w:p>
            <w:pPr>
              <w:ind w:left="80"/>
              <w:spacing w:after="0"/>
              <w:rPr>
                <w:sz w:val="20"/>
                <w:szCs w:val="20"/>
                <w:color w:val="auto"/>
              </w:rPr>
            </w:pPr>
            <w:r>
              <w:rPr>
                <w:rFonts w:ascii="Arial" w:cs="Arial" w:eastAsia="Arial" w:hAnsi="Arial"/>
                <w:sz w:val="16"/>
                <w:szCs w:val="16"/>
                <w:color w:val="auto"/>
              </w:rPr>
              <w:t>Vice President - Director of Taxes, since January 1999.</w:t>
            </w:r>
          </w:p>
        </w:tc>
        <w:tc>
          <w:tcPr>
            <w:tcW w:w="80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16"/>
                <w:szCs w:val="16"/>
                <w:color w:val="auto"/>
              </w:rPr>
              <w:t>Howard Guild</w:t>
            </w:r>
          </w:p>
        </w:tc>
        <w:tc>
          <w:tcPr>
            <w:tcW w:w="920" w:type="dxa"/>
            <w:vAlign w:val="bottom"/>
          </w:tcPr>
          <w:p>
            <w:pPr>
              <w:jc w:val="center"/>
              <w:ind w:left="440"/>
              <w:spacing w:after="0"/>
              <w:rPr>
                <w:sz w:val="20"/>
                <w:szCs w:val="20"/>
                <w:color w:val="auto"/>
              </w:rPr>
            </w:pPr>
            <w:r>
              <w:rPr>
                <w:rFonts w:ascii="Arial" w:cs="Arial" w:eastAsia="Arial" w:hAnsi="Arial"/>
                <w:sz w:val="16"/>
                <w:szCs w:val="16"/>
                <w:color w:val="auto"/>
                <w:w w:val="89"/>
              </w:rPr>
              <w:t>39</w:t>
            </w:r>
          </w:p>
        </w:tc>
        <w:tc>
          <w:tcPr>
            <w:tcW w:w="7300" w:type="dxa"/>
            <w:vAlign w:val="bottom"/>
          </w:tcPr>
          <w:p>
            <w:pPr>
              <w:ind w:left="80"/>
              <w:spacing w:after="0"/>
              <w:rPr>
                <w:sz w:val="20"/>
                <w:szCs w:val="20"/>
                <w:color w:val="auto"/>
              </w:rPr>
            </w:pPr>
            <w:r>
              <w:rPr>
                <w:rFonts w:ascii="Arial" w:cs="Arial" w:eastAsia="Arial" w:hAnsi="Arial"/>
                <w:sz w:val="16"/>
                <w:szCs w:val="16"/>
                <w:color w:val="auto"/>
                <w:w w:val="96"/>
              </w:rPr>
              <w:t>Chief Accounting Officer, since July 2005; and Director of Financial Reporting, October 2004 to July 2005.</w:t>
            </w:r>
          </w:p>
        </w:tc>
        <w:tc>
          <w:tcPr>
            <w:tcW w:w="800" w:type="dxa"/>
            <w:vAlign w:val="bottom"/>
          </w:tcPr>
          <w:p>
            <w:pPr>
              <w:spacing w:after="0"/>
              <w:rPr>
                <w:sz w:val="24"/>
                <w:szCs w:val="24"/>
                <w:color w:val="auto"/>
              </w:rPr>
            </w:pPr>
          </w:p>
        </w:tc>
      </w:tr>
      <w:tr>
        <w:trPr>
          <w:trHeight w:val="557"/>
        </w:trPr>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300" w:type="dxa"/>
            <w:vAlign w:val="bottom"/>
          </w:tcPr>
          <w:p>
            <w:pPr>
              <w:ind w:left="228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24"/>
                <w:szCs w:val="24"/>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73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 Item 4</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 w:type="dxa"/>
            <w:vAlign w:val="bottom"/>
          </w:tcPr>
          <w:p>
            <w:pPr>
              <w:spacing w:after="0"/>
              <w:rPr>
                <w:sz w:val="16"/>
                <w:szCs w:val="16"/>
                <w:color w:val="auto"/>
              </w:rPr>
            </w:pPr>
          </w:p>
        </w:tc>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Borders>
              <w:bottom w:val="single" w:sz="8" w:color="auto"/>
            </w:tcBorders>
          </w:tcPr>
          <w:p>
            <w:pPr>
              <w:jc w:val="center"/>
              <w:ind w:left="240"/>
              <w:spacing w:after="0"/>
              <w:rPr>
                <w:sz w:val="20"/>
                <w:szCs w:val="20"/>
                <w:color w:val="auto"/>
              </w:rPr>
            </w:pPr>
            <w:r>
              <w:rPr>
                <w:rFonts w:ascii="Arial" w:cs="Arial" w:eastAsia="Arial" w:hAnsi="Arial"/>
                <w:sz w:val="14"/>
                <w:szCs w:val="14"/>
                <w:b w:val="1"/>
                <w:bCs w:val="1"/>
                <w:color w:val="auto"/>
                <w:w w:val="90"/>
              </w:rPr>
              <w:t>Age</w:t>
            </w:r>
          </w:p>
        </w:tc>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Present Position and Five-Year Business Experience</w:t>
            </w:r>
          </w:p>
        </w:tc>
        <w:tc>
          <w:tcPr>
            <w:tcW w:w="800" w:type="dxa"/>
            <w:vAlign w:val="bottom"/>
          </w:tcPr>
          <w:p>
            <w:pPr>
              <w:spacing w:after="0"/>
              <w:rPr>
                <w:sz w:val="16"/>
                <w:szCs w:val="16"/>
                <w:color w:val="auto"/>
              </w:rPr>
            </w:pPr>
          </w:p>
        </w:tc>
      </w:tr>
      <w:tr>
        <w:trPr>
          <w:trHeight w:val="321"/>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Rodney Nelson</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52</w:t>
            </w:r>
          </w:p>
        </w:tc>
        <w:tc>
          <w:tcPr>
            <w:tcW w:w="7300" w:type="dxa"/>
            <w:vAlign w:val="bottom"/>
          </w:tcPr>
          <w:p>
            <w:pPr>
              <w:ind w:left="80"/>
              <w:spacing w:after="0"/>
              <w:rPr>
                <w:sz w:val="20"/>
                <w:szCs w:val="20"/>
                <w:color w:val="auto"/>
              </w:rPr>
            </w:pPr>
            <w:r>
              <w:rPr>
                <w:rFonts w:ascii="Arial" w:cs="Arial" w:eastAsia="Arial" w:hAnsi="Arial"/>
                <w:sz w:val="16"/>
                <w:szCs w:val="16"/>
                <w:color w:val="auto"/>
                <w:w w:val="92"/>
              </w:rPr>
              <w:t>Vice President Communications, Innovation and Collaboration, since October 2007; Vice President Innovation</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2"/>
              </w:rPr>
              <w:t>and Collaboration, July 2006 to October 2007; Vice President Strategic Marketing, July 2004 to July 2006; and</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Vice President Marketing Oilfield Services, February 2003 to July 2004.</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Kjell-Erik Oestdahl</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46</w:t>
            </w:r>
          </w:p>
        </w:tc>
        <w:tc>
          <w:tcPr>
            <w:tcW w:w="7300" w:type="dxa"/>
            <w:vAlign w:val="bottom"/>
          </w:tcPr>
          <w:p>
            <w:pPr>
              <w:ind w:left="80"/>
              <w:spacing w:after="0"/>
              <w:rPr>
                <w:sz w:val="20"/>
                <w:szCs w:val="20"/>
                <w:color w:val="auto"/>
              </w:rPr>
            </w:pPr>
            <w:r>
              <w:rPr>
                <w:rFonts w:ascii="Arial" w:cs="Arial" w:eastAsia="Arial" w:hAnsi="Arial"/>
                <w:sz w:val="16"/>
                <w:szCs w:val="16"/>
                <w:color w:val="auto"/>
                <w:w w:val="93"/>
              </w:rPr>
              <w:t>Vice President Operations, since January 2011; Vice President Supply Chain Services, since May 2009; Vice</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5"/>
              </w:rPr>
              <w:t>President Operations WesternGeco, January 2008 to April 2009; Chief Procurement Officer at StatoilHydro</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8"/>
              </w:rPr>
              <w:t>ASA, March 2006 to November 2007; GeoMarket Manager, NSG, from January 2005 to February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Satish Pai</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49</w:t>
            </w:r>
          </w:p>
        </w:tc>
        <w:tc>
          <w:tcPr>
            <w:tcW w:w="7300" w:type="dxa"/>
            <w:vAlign w:val="bottom"/>
          </w:tcPr>
          <w:p>
            <w:pPr>
              <w:ind w:left="80"/>
              <w:spacing w:after="0"/>
              <w:rPr>
                <w:sz w:val="20"/>
                <w:szCs w:val="20"/>
                <w:color w:val="auto"/>
              </w:rPr>
            </w:pPr>
            <w:r>
              <w:rPr>
                <w:rFonts w:ascii="Arial" w:cs="Arial" w:eastAsia="Arial" w:hAnsi="Arial"/>
                <w:sz w:val="16"/>
                <w:szCs w:val="16"/>
                <w:color w:val="auto"/>
                <w:w w:val="96"/>
              </w:rPr>
              <w:t>Vice President, Operations, Oilfield Services, since May 2008, President Europe Africa &amp; Caspian, March</w:t>
            </w:r>
          </w:p>
        </w:tc>
        <w:tc>
          <w:tcPr>
            <w:tcW w:w="80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2006 to May 2008; and Vice President Oilfield Technologies, March 2002 to March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Douglas Pferdehirt</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46</w:t>
            </w:r>
          </w:p>
        </w:tc>
        <w:tc>
          <w:tcPr>
            <w:tcW w:w="7300" w:type="dxa"/>
            <w:vAlign w:val="bottom"/>
          </w:tcPr>
          <w:p>
            <w:pPr>
              <w:ind w:left="80"/>
              <w:spacing w:after="0"/>
              <w:rPr>
                <w:sz w:val="20"/>
                <w:szCs w:val="20"/>
                <w:color w:val="auto"/>
              </w:rPr>
            </w:pPr>
            <w:r>
              <w:rPr>
                <w:rFonts w:ascii="Arial" w:cs="Arial" w:eastAsia="Arial" w:hAnsi="Arial"/>
                <w:sz w:val="16"/>
                <w:szCs w:val="16"/>
                <w:color w:val="auto"/>
                <w:w w:val="99"/>
              </w:rPr>
              <w:t>Vice President Corporate Development and Communication, since January 2011; President Reservoir</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9"/>
              </w:rPr>
              <w:t>Production Group, from April 2006 to January 2011; and Vice President Communications and Investor</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Relations, July 2003 to March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Jean-Francois Poupeau</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49</w:t>
            </w:r>
          </w:p>
        </w:tc>
        <w:tc>
          <w:tcPr>
            <w:tcW w:w="7300" w:type="dxa"/>
            <w:vAlign w:val="bottom"/>
          </w:tcPr>
          <w:p>
            <w:pPr>
              <w:ind w:left="80"/>
              <w:spacing w:after="0"/>
              <w:rPr>
                <w:sz w:val="20"/>
                <w:szCs w:val="20"/>
                <w:color w:val="auto"/>
              </w:rPr>
            </w:pPr>
            <w:r>
              <w:rPr>
                <w:rFonts w:ascii="Arial" w:cs="Arial" w:eastAsia="Arial" w:hAnsi="Arial"/>
                <w:sz w:val="16"/>
                <w:szCs w:val="16"/>
                <w:color w:val="auto"/>
                <w:w w:val="95"/>
              </w:rPr>
              <w:t>President Drilling Group, since May 2010; President Drilling &amp; Measurements, July 2007 to April 2010; Vice</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8"/>
              </w:rPr>
              <w:t>President Communications and Investor Relations, April 2006 to June 2007; and Vice President Oilfield</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Services Product Marketing, August 2004 to March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Patrick Schorn</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42</w:t>
            </w:r>
          </w:p>
        </w:tc>
        <w:tc>
          <w:tcPr>
            <w:tcW w:w="7300" w:type="dxa"/>
            <w:vAlign w:val="bottom"/>
          </w:tcPr>
          <w:p>
            <w:pPr>
              <w:ind w:left="80"/>
              <w:spacing w:after="0"/>
              <w:rPr>
                <w:sz w:val="20"/>
                <w:szCs w:val="20"/>
                <w:color w:val="auto"/>
              </w:rPr>
            </w:pPr>
            <w:r>
              <w:rPr>
                <w:rFonts w:ascii="Arial" w:cs="Arial" w:eastAsia="Arial" w:hAnsi="Arial"/>
                <w:sz w:val="16"/>
                <w:szCs w:val="16"/>
                <w:color w:val="auto"/>
                <w:w w:val="95"/>
              </w:rPr>
              <w:t>President Reservoir Production Group, since January 2011; President Well Services, May 2008 to January</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6"/>
              </w:rPr>
              <w:t>2011; President Completions, April 2006 to April 2008; Marketing Manager Well Services, August 2004 to</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March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Krishna Shivram</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48</w:t>
            </w:r>
          </w:p>
        </w:tc>
        <w:tc>
          <w:tcPr>
            <w:tcW w:w="7300" w:type="dxa"/>
            <w:vAlign w:val="bottom"/>
          </w:tcPr>
          <w:p>
            <w:pPr>
              <w:ind w:left="80"/>
              <w:spacing w:after="0"/>
              <w:rPr>
                <w:sz w:val="20"/>
                <w:szCs w:val="20"/>
                <w:color w:val="auto"/>
              </w:rPr>
            </w:pPr>
            <w:r>
              <w:rPr>
                <w:rFonts w:ascii="Arial" w:cs="Arial" w:eastAsia="Arial" w:hAnsi="Arial"/>
                <w:sz w:val="16"/>
                <w:szCs w:val="16"/>
                <w:color w:val="auto"/>
                <w:w w:val="92"/>
              </w:rPr>
              <w:t>Vice President Treasurer, since January 2011; Controller Drilling Group, May 2010 to January 2011; Manager</w:t>
            </w:r>
          </w:p>
        </w:tc>
        <w:tc>
          <w:tcPr>
            <w:tcW w:w="80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w w:val="98"/>
              </w:rPr>
              <w:t>Mergers &amp; Acquisitions, May 2009 to April 2010; Controller Oilfield Services, August 2006 to April 2009;</w:t>
            </w:r>
          </w:p>
        </w:tc>
        <w:tc>
          <w:tcPr>
            <w:tcW w:w="80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Vice President Finance WesternGeco, March 2004 to July 2006.</w:t>
            </w:r>
          </w:p>
        </w:tc>
        <w:tc>
          <w:tcPr>
            <w:tcW w:w="800" w:type="dxa"/>
            <w:vAlign w:val="bottom"/>
          </w:tcPr>
          <w:p>
            <w:pPr>
              <w:spacing w:after="0"/>
              <w:rPr>
                <w:sz w:val="17"/>
                <w:szCs w:val="17"/>
                <w:color w:val="auto"/>
              </w:rPr>
            </w:pPr>
          </w:p>
        </w:tc>
      </w:tr>
      <w:tr>
        <w:trPr>
          <w:trHeight w:val="280"/>
        </w:trPr>
        <w:tc>
          <w:tcPr>
            <w:tcW w:w="700" w:type="dxa"/>
            <w:vAlign w:val="bottom"/>
          </w:tcPr>
          <w:p>
            <w:pPr>
              <w:spacing w:after="0"/>
              <w:rPr>
                <w:sz w:val="24"/>
                <w:szCs w:val="24"/>
                <w:color w:val="auto"/>
              </w:rPr>
            </w:pPr>
          </w:p>
        </w:tc>
        <w:tc>
          <w:tcPr>
            <w:tcW w:w="1900" w:type="dxa"/>
            <w:vAlign w:val="bottom"/>
          </w:tcPr>
          <w:p>
            <w:pPr>
              <w:spacing w:after="0"/>
              <w:rPr>
                <w:sz w:val="20"/>
                <w:szCs w:val="20"/>
                <w:color w:val="auto"/>
              </w:rPr>
            </w:pPr>
            <w:r>
              <w:rPr>
                <w:rFonts w:ascii="Arial" w:cs="Arial" w:eastAsia="Arial" w:hAnsi="Arial"/>
                <w:sz w:val="16"/>
                <w:szCs w:val="16"/>
                <w:color w:val="auto"/>
              </w:rPr>
              <w:t>Malcolm Theobald</w:t>
            </w:r>
          </w:p>
        </w:tc>
        <w:tc>
          <w:tcPr>
            <w:tcW w:w="720" w:type="dxa"/>
            <w:vAlign w:val="bottom"/>
          </w:tcPr>
          <w:p>
            <w:pPr>
              <w:jc w:val="center"/>
              <w:ind w:left="240"/>
              <w:spacing w:after="0"/>
              <w:rPr>
                <w:sz w:val="20"/>
                <w:szCs w:val="20"/>
                <w:color w:val="auto"/>
              </w:rPr>
            </w:pPr>
            <w:r>
              <w:rPr>
                <w:rFonts w:ascii="Arial" w:cs="Arial" w:eastAsia="Arial" w:hAnsi="Arial"/>
                <w:sz w:val="16"/>
                <w:szCs w:val="16"/>
                <w:color w:val="auto"/>
                <w:w w:val="89"/>
              </w:rPr>
              <w:t>49</w:t>
            </w:r>
          </w:p>
        </w:tc>
        <w:tc>
          <w:tcPr>
            <w:tcW w:w="7300" w:type="dxa"/>
            <w:vAlign w:val="bottom"/>
          </w:tcPr>
          <w:p>
            <w:pPr>
              <w:ind w:left="80"/>
              <w:spacing w:after="0"/>
              <w:rPr>
                <w:sz w:val="20"/>
                <w:szCs w:val="20"/>
                <w:color w:val="auto"/>
              </w:rPr>
            </w:pPr>
            <w:r>
              <w:rPr>
                <w:rFonts w:ascii="Arial" w:cs="Arial" w:eastAsia="Arial" w:hAnsi="Arial"/>
                <w:sz w:val="16"/>
                <w:szCs w:val="16"/>
                <w:color w:val="auto"/>
                <w:w w:val="95"/>
              </w:rPr>
              <w:t>Vice President Investor Relations, since June 2007; and Global Account Director, September 2001 to June</w:t>
            </w:r>
          </w:p>
        </w:tc>
        <w:tc>
          <w:tcPr>
            <w:tcW w:w="80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300" w:type="dxa"/>
            <w:vAlign w:val="bottom"/>
          </w:tcPr>
          <w:p>
            <w:pPr>
              <w:ind w:left="80"/>
              <w:spacing w:after="0"/>
              <w:rPr>
                <w:sz w:val="20"/>
                <w:szCs w:val="20"/>
                <w:color w:val="auto"/>
              </w:rPr>
            </w:pPr>
            <w:r>
              <w:rPr>
                <w:rFonts w:ascii="Arial" w:cs="Arial" w:eastAsia="Arial" w:hAnsi="Arial"/>
                <w:sz w:val="16"/>
                <w:szCs w:val="16"/>
                <w:color w:val="auto"/>
              </w:rPr>
              <w:t>2007.</w:t>
            </w:r>
          </w:p>
        </w:tc>
        <w:tc>
          <w:tcPr>
            <w:tcW w:w="800" w:type="dxa"/>
            <w:vAlign w:val="bottom"/>
          </w:tcPr>
          <w:p>
            <w:pPr>
              <w:spacing w:after="0"/>
              <w:rPr>
                <w:sz w:val="17"/>
                <w:szCs w:val="17"/>
                <w:color w:val="auto"/>
              </w:rPr>
            </w:pPr>
          </w:p>
        </w:tc>
      </w:tr>
      <w:tr>
        <w:trPr>
          <w:trHeight w:val="341"/>
        </w:trPr>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300" w:type="dxa"/>
            <w:vAlign w:val="bottom"/>
          </w:tcPr>
          <w:p>
            <w:pPr>
              <w:ind w:left="228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24"/>
                <w:szCs w:val="24"/>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19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73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5</w:t>
      </w:r>
    </w:p>
    <w:p>
      <w:pPr>
        <w:spacing w:after="0" w:line="323" w:lineRule="exact"/>
        <w:rPr>
          <w:sz w:val="20"/>
          <w:szCs w:val="20"/>
          <w:color w:val="auto"/>
        </w:rPr>
      </w:pPr>
    </w:p>
    <w:p>
      <w:pPr>
        <w:jc w:val="center"/>
        <w:ind w:right="-699"/>
        <w:spacing w:after="0"/>
        <w:rPr>
          <w:sz w:val="20"/>
          <w:szCs w:val="20"/>
          <w:color w:val="auto"/>
        </w:rPr>
      </w:pPr>
      <w:r>
        <w:rPr>
          <w:rFonts w:ascii="Arial" w:cs="Arial" w:eastAsia="Arial" w:hAnsi="Arial"/>
          <w:sz w:val="18"/>
          <w:szCs w:val="18"/>
          <w:u w:val="single" w:color="auto"/>
          <w:color w:val="auto"/>
        </w:rPr>
        <w:t>PART II</w:t>
      </w:r>
    </w:p>
    <w:p>
      <w:pPr>
        <w:spacing w:after="0" w:line="230" w:lineRule="exact"/>
        <w:rPr>
          <w:sz w:val="20"/>
          <w:szCs w:val="20"/>
          <w:color w:val="auto"/>
        </w:rPr>
      </w:pPr>
    </w:p>
    <w:p>
      <w:pPr>
        <w:ind w:left="1320" w:right="400" w:hanging="620"/>
        <w:spacing w:after="0" w:line="271" w:lineRule="auto"/>
        <w:rPr>
          <w:sz w:val="20"/>
          <w:szCs w:val="20"/>
          <w:color w:val="auto"/>
        </w:rPr>
      </w:pPr>
      <w:r>
        <w:rPr>
          <w:rFonts w:ascii="Arial" w:cs="Arial" w:eastAsia="Arial" w:hAnsi="Arial"/>
          <w:sz w:val="18"/>
          <w:szCs w:val="18"/>
          <w:b w:val="1"/>
          <w:bCs w:val="1"/>
          <w:u w:val="single" w:color="auto"/>
          <w:color w:val="auto"/>
        </w:rPr>
        <w:t>Item 5. Market for Schlumberger’s Common Stock, Related Stockholder Matters and Issuer Purchases of Equity Securities.</w:t>
      </w:r>
    </w:p>
    <w:p>
      <w:pPr>
        <w:spacing w:after="0" w:line="122" w:lineRule="exact"/>
        <w:rPr>
          <w:sz w:val="20"/>
          <w:szCs w:val="20"/>
          <w:color w:val="auto"/>
        </w:rPr>
      </w:pPr>
    </w:p>
    <w:p>
      <w:pPr>
        <w:ind w:left="700" w:right="1080" w:firstLine="198"/>
        <w:spacing w:after="0" w:line="258" w:lineRule="auto"/>
        <w:rPr>
          <w:sz w:val="20"/>
          <w:szCs w:val="20"/>
          <w:color w:val="auto"/>
        </w:rPr>
      </w:pPr>
      <w:r>
        <w:rPr>
          <w:rFonts w:ascii="Arial" w:cs="Arial" w:eastAsia="Arial" w:hAnsi="Arial"/>
          <w:sz w:val="18"/>
          <w:szCs w:val="18"/>
          <w:color w:val="auto"/>
        </w:rPr>
        <w:t>As of January 31, 2011, there were approximately 23,924 stockholders of record. The principal United States market for Schlumberger’s common stock is the NYSE, where it is traded under the symbol “SLB”.</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Schlumberger’s common stock is also traded on the Euronext Paris, Euronext Amsterdam, London and SIX Swiss stock exchanges.</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Common Stock, Market Prices and Dividends Declared per Share</w:t>
      </w:r>
    </w:p>
    <w:p>
      <w:pPr>
        <w:spacing w:after="0" w:line="126" w:lineRule="exact"/>
        <w:rPr>
          <w:sz w:val="20"/>
          <w:szCs w:val="20"/>
          <w:color w:val="auto"/>
        </w:rPr>
      </w:pPr>
    </w:p>
    <w:p>
      <w:pPr>
        <w:ind w:left="700" w:right="340" w:firstLine="198"/>
        <w:spacing w:after="0" w:line="277" w:lineRule="auto"/>
        <w:rPr>
          <w:sz w:val="20"/>
          <w:szCs w:val="20"/>
          <w:color w:val="auto"/>
        </w:rPr>
      </w:pPr>
      <w:r>
        <w:rPr>
          <w:rFonts w:ascii="Arial" w:cs="Arial" w:eastAsia="Arial" w:hAnsi="Arial"/>
          <w:sz w:val="18"/>
          <w:szCs w:val="18"/>
          <w:color w:val="auto"/>
        </w:rPr>
        <w:t>Quarterly high and low prices for Schlumberger’s common stock as reported by the NYSE (composite transactions), together with dividends declared per share in each quarter of 2010 and 2009, were:</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Price Range</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Dividends</w:t>
            </w:r>
          </w:p>
        </w:tc>
      </w:tr>
      <w:tr>
        <w:trPr>
          <w:trHeight w:val="180"/>
        </w:trPr>
        <w:tc>
          <w:tcPr>
            <w:tcW w:w="42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High</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9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Declared</w:t>
            </w:r>
          </w:p>
        </w:tc>
      </w:tr>
      <w:tr>
        <w:trPr>
          <w:trHeight w:val="165"/>
        </w:trPr>
        <w:tc>
          <w:tcPr>
            <w:tcW w:w="4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2010</w:t>
            </w:r>
          </w:p>
        </w:tc>
        <w:tc>
          <w:tcPr>
            <w:tcW w:w="35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4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First</w:t>
            </w:r>
          </w:p>
        </w:tc>
        <w:tc>
          <w:tcPr>
            <w:tcW w:w="4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$ 72.00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$ 59.42</w:t>
            </w:r>
          </w:p>
        </w:tc>
        <w:tc>
          <w:tcPr>
            <w:tcW w:w="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0.210</w:t>
            </w:r>
          </w:p>
        </w:tc>
      </w:tr>
      <w:tr>
        <w:trPr>
          <w:trHeight w:val="149"/>
        </w:trPr>
        <w:tc>
          <w:tcPr>
            <w:tcW w:w="4280" w:type="dxa"/>
            <w:vAlign w:val="bottom"/>
          </w:tcPr>
          <w:p>
            <w:pPr>
              <w:ind w:left="280"/>
              <w:spacing w:after="0" w:line="149" w:lineRule="exact"/>
              <w:rPr>
                <w:sz w:val="20"/>
                <w:szCs w:val="20"/>
                <w:color w:val="auto"/>
              </w:rPr>
            </w:pPr>
            <w:r>
              <w:rPr>
                <w:rFonts w:ascii="Arial" w:cs="Arial" w:eastAsia="Arial" w:hAnsi="Arial"/>
                <w:sz w:val="14"/>
                <w:szCs w:val="14"/>
                <w:color w:val="auto"/>
              </w:rPr>
              <w:t>Second</w:t>
            </w:r>
          </w:p>
        </w:tc>
        <w:tc>
          <w:tcPr>
            <w:tcW w:w="41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73.99</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51.67</w:t>
            </w:r>
          </w:p>
        </w:tc>
        <w:tc>
          <w:tcPr>
            <w:tcW w:w="4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0.210</w:t>
            </w:r>
          </w:p>
        </w:tc>
      </w:tr>
      <w:tr>
        <w:trPr>
          <w:trHeight w:val="149"/>
        </w:trPr>
        <w:tc>
          <w:tcPr>
            <w:tcW w:w="4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Third</w:t>
            </w:r>
          </w:p>
        </w:tc>
        <w:tc>
          <w:tcPr>
            <w:tcW w:w="4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b w:val="1"/>
                <w:bCs w:val="1"/>
                <w:color w:val="auto"/>
              </w:rPr>
              <w:t>63.72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52.91</w:t>
            </w: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0.210</w:t>
            </w:r>
          </w:p>
        </w:tc>
      </w:tr>
      <w:tr>
        <w:trPr>
          <w:trHeight w:val="149"/>
        </w:trPr>
        <w:tc>
          <w:tcPr>
            <w:tcW w:w="4280" w:type="dxa"/>
            <w:vAlign w:val="bottom"/>
          </w:tcPr>
          <w:p>
            <w:pPr>
              <w:ind w:left="280"/>
              <w:spacing w:after="0" w:line="149" w:lineRule="exact"/>
              <w:rPr>
                <w:sz w:val="20"/>
                <w:szCs w:val="20"/>
                <w:color w:val="auto"/>
              </w:rPr>
            </w:pPr>
            <w:r>
              <w:rPr>
                <w:rFonts w:ascii="Arial" w:cs="Arial" w:eastAsia="Arial" w:hAnsi="Arial"/>
                <w:sz w:val="14"/>
                <w:szCs w:val="14"/>
                <w:color w:val="auto"/>
              </w:rPr>
              <w:t>Fourth</w:t>
            </w:r>
          </w:p>
        </w:tc>
        <w:tc>
          <w:tcPr>
            <w:tcW w:w="4100" w:type="dxa"/>
            <w:vAlign w:val="bottom"/>
            <w:gridSpan w:val="2"/>
          </w:tcPr>
          <w:p>
            <w:pPr>
              <w:jc w:val="right"/>
              <w:ind w:right="68"/>
              <w:spacing w:after="0" w:line="149" w:lineRule="exact"/>
              <w:rPr>
                <w:sz w:val="20"/>
                <w:szCs w:val="20"/>
                <w:color w:val="auto"/>
              </w:rPr>
            </w:pPr>
            <w:r>
              <w:rPr>
                <w:rFonts w:ascii="Arial" w:cs="Arial" w:eastAsia="Arial" w:hAnsi="Arial"/>
                <w:sz w:val="14"/>
                <w:szCs w:val="14"/>
                <w:b w:val="1"/>
                <w:bCs w:val="1"/>
                <w:color w:val="auto"/>
              </w:rPr>
              <w:t>84.11</w:t>
            </w: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60.57</w:t>
            </w:r>
          </w:p>
        </w:tc>
        <w:tc>
          <w:tcPr>
            <w:tcW w:w="4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0.210</w:t>
            </w: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2009</w:t>
            </w:r>
          </w:p>
        </w:tc>
        <w:tc>
          <w:tcPr>
            <w:tcW w:w="3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4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First</w:t>
            </w:r>
          </w:p>
        </w:tc>
        <w:tc>
          <w:tcPr>
            <w:tcW w:w="4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$ 49.25</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$ 35.05</w:t>
            </w:r>
          </w:p>
        </w:tc>
        <w:tc>
          <w:tcPr>
            <w:tcW w:w="4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0.210</w:t>
            </w:r>
          </w:p>
        </w:tc>
      </w:tr>
      <w:tr>
        <w:trPr>
          <w:trHeight w:val="149"/>
        </w:trPr>
        <w:tc>
          <w:tcPr>
            <w:tcW w:w="4280" w:type="dxa"/>
            <w:vAlign w:val="bottom"/>
          </w:tcPr>
          <w:p>
            <w:pPr>
              <w:ind w:left="280"/>
              <w:spacing w:after="0" w:line="149" w:lineRule="exact"/>
              <w:rPr>
                <w:sz w:val="20"/>
                <w:szCs w:val="20"/>
                <w:color w:val="auto"/>
              </w:rPr>
            </w:pPr>
            <w:r>
              <w:rPr>
                <w:rFonts w:ascii="Arial" w:cs="Arial" w:eastAsia="Arial" w:hAnsi="Arial"/>
                <w:sz w:val="14"/>
                <w:szCs w:val="14"/>
                <w:color w:val="auto"/>
              </w:rPr>
              <w:t>Second</w:t>
            </w:r>
          </w:p>
        </w:tc>
        <w:tc>
          <w:tcPr>
            <w:tcW w:w="4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63.78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39.11</w:t>
            </w:r>
          </w:p>
        </w:tc>
        <w:tc>
          <w:tcPr>
            <w:tcW w:w="460" w:type="dxa"/>
            <w:vAlign w:val="bottom"/>
          </w:tcPr>
          <w:p>
            <w:pPr>
              <w:spacing w:after="0"/>
              <w:rPr>
                <w:sz w:val="12"/>
                <w:szCs w:val="12"/>
                <w:color w:val="auto"/>
              </w:rPr>
            </w:pPr>
          </w:p>
        </w:tc>
        <w:tc>
          <w:tcPr>
            <w:tcW w:w="5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0.210</w:t>
            </w:r>
          </w:p>
        </w:tc>
      </w:tr>
      <w:tr>
        <w:trPr>
          <w:trHeight w:val="149"/>
        </w:trPr>
        <w:tc>
          <w:tcPr>
            <w:tcW w:w="42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Third</w:t>
            </w:r>
          </w:p>
        </w:tc>
        <w:tc>
          <w:tcPr>
            <w:tcW w:w="41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63.00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48.13</w:t>
            </w:r>
          </w:p>
        </w:tc>
        <w:tc>
          <w:tcPr>
            <w:tcW w:w="4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0.210</w:t>
            </w:r>
          </w:p>
        </w:tc>
      </w:tr>
      <w:tr>
        <w:trPr>
          <w:trHeight w:val="182"/>
        </w:trPr>
        <w:tc>
          <w:tcPr>
            <w:tcW w:w="4280" w:type="dxa"/>
            <w:vAlign w:val="bottom"/>
          </w:tcPr>
          <w:p>
            <w:pPr>
              <w:ind w:left="280"/>
              <w:spacing w:after="0"/>
              <w:rPr>
                <w:sz w:val="20"/>
                <w:szCs w:val="20"/>
                <w:color w:val="auto"/>
              </w:rPr>
            </w:pPr>
            <w:r>
              <w:rPr>
                <w:rFonts w:ascii="Arial" w:cs="Arial" w:eastAsia="Arial" w:hAnsi="Arial"/>
                <w:sz w:val="14"/>
                <w:szCs w:val="14"/>
                <w:color w:val="auto"/>
              </w:rPr>
              <w:t>Fourth</w:t>
            </w:r>
          </w:p>
        </w:tc>
        <w:tc>
          <w:tcPr>
            <w:tcW w:w="4100" w:type="dxa"/>
            <w:vAlign w:val="bottom"/>
            <w:gridSpan w:val="2"/>
          </w:tcPr>
          <w:p>
            <w:pPr>
              <w:jc w:val="right"/>
              <w:ind w:right="68"/>
              <w:spacing w:after="0"/>
              <w:rPr>
                <w:sz w:val="20"/>
                <w:szCs w:val="20"/>
                <w:color w:val="auto"/>
              </w:rPr>
            </w:pPr>
            <w:r>
              <w:rPr>
                <w:rFonts w:ascii="Arial" w:cs="Arial" w:eastAsia="Arial" w:hAnsi="Arial"/>
                <w:sz w:val="14"/>
                <w:szCs w:val="14"/>
                <w:color w:val="auto"/>
              </w:rPr>
              <w:t>71.10</w:t>
            </w:r>
          </w:p>
        </w:tc>
        <w:tc>
          <w:tcPr>
            <w:tcW w:w="560" w:type="dxa"/>
            <w:vAlign w:val="bottom"/>
          </w:tcPr>
          <w:p>
            <w:pPr>
              <w:jc w:val="right"/>
              <w:spacing w:after="0"/>
              <w:rPr>
                <w:sz w:val="20"/>
                <w:szCs w:val="20"/>
                <w:color w:val="auto"/>
              </w:rPr>
            </w:pPr>
            <w:r>
              <w:rPr>
                <w:rFonts w:ascii="Arial" w:cs="Arial" w:eastAsia="Arial" w:hAnsi="Arial"/>
                <w:sz w:val="14"/>
                <w:szCs w:val="14"/>
                <w:color w:val="auto"/>
              </w:rPr>
              <w:t>56.00</w:t>
            </w:r>
          </w:p>
        </w:tc>
        <w:tc>
          <w:tcPr>
            <w:tcW w:w="46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0.210</w:t>
            </w:r>
          </w:p>
        </w:tc>
      </w:tr>
    </w:tbl>
    <w:p>
      <w:pPr>
        <w:spacing w:after="0" w:line="73" w:lineRule="exact"/>
        <w:rPr>
          <w:sz w:val="20"/>
          <w:szCs w:val="20"/>
          <w:color w:val="auto"/>
        </w:rPr>
      </w:pPr>
    </w:p>
    <w:p>
      <w:pPr>
        <w:jc w:val="both"/>
        <w:ind w:left="700" w:right="80" w:firstLine="198"/>
        <w:spacing w:after="0" w:line="258" w:lineRule="auto"/>
        <w:rPr>
          <w:sz w:val="20"/>
          <w:szCs w:val="20"/>
          <w:color w:val="auto"/>
        </w:rPr>
      </w:pPr>
      <w:r>
        <w:rPr>
          <w:rFonts w:ascii="Arial" w:cs="Arial" w:eastAsia="Arial" w:hAnsi="Arial"/>
          <w:sz w:val="18"/>
          <w:szCs w:val="18"/>
          <w:color w:val="auto"/>
        </w:rPr>
        <w:t>On January 21, 2011, Schlumberger announced that its Board of Directors had approved an increase in the quarterly dividend of 19%, to $0.25.</w:t>
      </w:r>
    </w:p>
    <w:p>
      <w:pPr>
        <w:spacing w:after="0" w:line="1" w:lineRule="exact"/>
        <w:rPr>
          <w:sz w:val="20"/>
          <w:szCs w:val="20"/>
          <w:color w:val="auto"/>
        </w:rPr>
      </w:pPr>
    </w:p>
    <w:p>
      <w:pPr>
        <w:ind w:left="700" w:right="120" w:firstLine="198"/>
        <w:spacing w:after="0" w:line="250" w:lineRule="auto"/>
        <w:rPr>
          <w:sz w:val="20"/>
          <w:szCs w:val="20"/>
          <w:color w:val="auto"/>
        </w:rPr>
      </w:pPr>
      <w:r>
        <w:rPr>
          <w:rFonts w:ascii="Arial" w:cs="Arial" w:eastAsia="Arial" w:hAnsi="Arial"/>
          <w:sz w:val="18"/>
          <w:szCs w:val="18"/>
          <w:color w:val="auto"/>
        </w:rPr>
        <w:t>There are no legal restrictions on the payment of dividends or ownership or voting of such shares, except as to shares held as treasury stock. Under current legislation, stockholders are not subject to any Curaçao withholding or other Curaçao taxes attributable to the ownership of such shares.</w:t>
      </w:r>
    </w:p>
    <w:p>
      <w:pPr>
        <w:spacing w:after="0" w:line="1" w:lineRule="exact"/>
        <w:rPr>
          <w:sz w:val="20"/>
          <w:szCs w:val="20"/>
          <w:color w:val="auto"/>
        </w:rPr>
      </w:pPr>
    </w:p>
    <w:p>
      <w:pPr>
        <w:ind w:left="700" w:right="180" w:firstLine="198"/>
        <w:spacing w:after="0" w:line="288"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Standard &amp; Poor’s 500 Index (S&amp;P 500 Index) and the cumulative total return on the Philadelphia Oil Service Index (OSX) over the five-year period ending on December 31, 2010.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35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320" w:right="1700"/>
        <w:spacing w:after="0" w:line="264" w:lineRule="auto"/>
        <w:rPr>
          <w:sz w:val="20"/>
          <w:szCs w:val="20"/>
          <w:color w:val="auto"/>
        </w:rPr>
      </w:pPr>
      <w:r>
        <w:rPr>
          <w:rFonts w:ascii="Arial" w:cs="Arial" w:eastAsia="Arial" w:hAnsi="Arial"/>
          <w:sz w:val="18"/>
          <w:szCs w:val="18"/>
          <w:color w:val="auto"/>
        </w:rPr>
        <w:t>COMPARISON OF FIVE-YEAR CUMULATIVE TOTAL RETURN AMONG SCHLUMBERGER COMMON STOCK, THE S&amp;P 500 INDEX AND THE PHILADELPHIA OIL SERVICE INDEX (OSX)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64135</wp:posOffset>
            </wp:positionV>
            <wp:extent cx="4244975" cy="3258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44975"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00" w:firstLine="198"/>
        <w:spacing w:after="0" w:line="277" w:lineRule="auto"/>
        <w:rPr>
          <w:sz w:val="20"/>
          <w:szCs w:val="20"/>
          <w:color w:val="auto"/>
        </w:rPr>
      </w:pPr>
      <w:r>
        <w:rPr>
          <w:rFonts w:ascii="Arial" w:cs="Arial" w:eastAsia="Arial" w:hAnsi="Arial"/>
          <w:sz w:val="18"/>
          <w:szCs w:val="18"/>
          <w:color w:val="auto"/>
        </w:rPr>
        <w:t>Assumes $100 invested on December 31, 2005 in Schlumberger common stock, in the S&amp;P 500 Index and in the Philadelphia Oil Service Index (OSX). Reflects reinvestment of dividends on the last day of the month of payment.</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419" w:right="1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5, 6</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126" w:lineRule="exact"/>
        <w:rPr>
          <w:sz w:val="20"/>
          <w:szCs w:val="20"/>
          <w:color w:val="auto"/>
        </w:rPr>
      </w:pPr>
    </w:p>
    <w:p>
      <w:pPr>
        <w:ind w:left="700" w:right="100" w:firstLine="198"/>
        <w:spacing w:after="0" w:line="258"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Schlumberger common stock, to be acquired in the open market before December 31, 2011.</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Schlumberger’s common stock repurchase program activity for the three months ended December 31, 2010 was as follows: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4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Total</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number of</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purchased</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7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Total number</w:t>
            </w:r>
          </w:p>
        </w:tc>
        <w:tc>
          <w:tcPr>
            <w:tcW w:w="116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Average price</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as part of</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740" w:type="dxa"/>
            <w:vAlign w:val="bottom"/>
            <w:gridSpan w:val="3"/>
            <w:vMerge w:val="continue"/>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publicly</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paid per</w:t>
            </w:r>
          </w:p>
        </w:tc>
        <w:tc>
          <w:tcPr>
            <w:tcW w:w="9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announced</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86"/>
        </w:trPr>
        <w:tc>
          <w:tcPr>
            <w:tcW w:w="4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purchased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program</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169"/>
        </w:trPr>
        <w:tc>
          <w:tcPr>
            <w:tcW w:w="4160" w:type="dxa"/>
            <w:vAlign w:val="bottom"/>
          </w:tcPr>
          <w:p>
            <w:pPr>
              <w:spacing w:after="0"/>
              <w:rPr>
                <w:sz w:val="20"/>
                <w:szCs w:val="20"/>
                <w:color w:val="auto"/>
              </w:rPr>
            </w:pPr>
            <w:r>
              <w:rPr>
                <w:rFonts w:ascii="Arial" w:cs="Arial" w:eastAsia="Arial" w:hAnsi="Arial"/>
                <w:sz w:val="14"/>
                <w:szCs w:val="14"/>
                <w:color w:val="auto"/>
              </w:rPr>
              <w:t>October 1 through October 31, 2010</w:t>
            </w:r>
          </w:p>
        </w:tc>
        <w:tc>
          <w:tcPr>
            <w:tcW w:w="2640" w:type="dxa"/>
            <w:vAlign w:val="bottom"/>
            <w:gridSpan w:val="2"/>
          </w:tcPr>
          <w:p>
            <w:pPr>
              <w:jc w:val="right"/>
              <w:spacing w:after="0"/>
              <w:rPr>
                <w:sz w:val="20"/>
                <w:szCs w:val="20"/>
                <w:color w:val="auto"/>
              </w:rPr>
            </w:pPr>
            <w:r>
              <w:rPr>
                <w:rFonts w:ascii="Arial" w:cs="Arial" w:eastAsia="Arial" w:hAnsi="Arial"/>
                <w:sz w:val="14"/>
                <w:szCs w:val="14"/>
                <w:color w:val="auto"/>
              </w:rPr>
              <w:t>1,931.0</w:t>
            </w:r>
          </w:p>
        </w:tc>
        <w:tc>
          <w:tcPr>
            <w:tcW w:w="100" w:type="dxa"/>
            <w:vAlign w:val="bottom"/>
          </w:tcPr>
          <w:p>
            <w:pPr>
              <w:spacing w:after="0"/>
              <w:rPr>
                <w:sz w:val="14"/>
                <w:szCs w:val="14"/>
                <w:color w:val="auto"/>
              </w:rPr>
            </w:pP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63.04</w:t>
            </w:r>
          </w:p>
        </w:tc>
        <w:tc>
          <w:tcPr>
            <w:tcW w:w="1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1,931.0</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$ 5,176,181</w:t>
            </w:r>
          </w:p>
        </w:tc>
        <w:tc>
          <w:tcPr>
            <w:tcW w:w="0" w:type="dxa"/>
            <w:vAlign w:val="bottom"/>
          </w:tcPr>
          <w:p>
            <w:pPr>
              <w:spacing w:after="0"/>
              <w:rPr>
                <w:sz w:val="1"/>
                <w:szCs w:val="1"/>
                <w:color w:val="auto"/>
              </w:rPr>
            </w:pPr>
          </w:p>
        </w:tc>
      </w:tr>
      <w:tr>
        <w:trPr>
          <w:trHeight w:val="149"/>
        </w:trPr>
        <w:tc>
          <w:tcPr>
            <w:tcW w:w="4160" w:type="dxa"/>
            <w:vAlign w:val="bottom"/>
          </w:tcPr>
          <w:p>
            <w:pPr>
              <w:spacing w:after="0" w:line="149" w:lineRule="exact"/>
              <w:rPr>
                <w:sz w:val="20"/>
                <w:szCs w:val="20"/>
                <w:color w:val="auto"/>
              </w:rPr>
            </w:pPr>
            <w:r>
              <w:rPr>
                <w:rFonts w:ascii="Arial" w:cs="Arial" w:eastAsia="Arial" w:hAnsi="Arial"/>
                <w:sz w:val="14"/>
                <w:szCs w:val="14"/>
                <w:color w:val="auto"/>
              </w:rPr>
              <w:t>November 1 through November 30, 2010</w:t>
            </w:r>
          </w:p>
        </w:tc>
        <w:tc>
          <w:tcPr>
            <w:tcW w:w="2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w:t>
            </w:r>
          </w:p>
        </w:tc>
        <w:tc>
          <w:tcPr>
            <w:tcW w:w="100" w:type="dxa"/>
            <w:vAlign w:val="bottom"/>
          </w:tcPr>
          <w:p>
            <w:pPr>
              <w:spacing w:after="0"/>
              <w:rPr>
                <w:sz w:val="12"/>
                <w:szCs w:val="12"/>
                <w:color w:val="auto"/>
              </w:rPr>
            </w:pPr>
          </w:p>
        </w:tc>
        <w:tc>
          <w:tcPr>
            <w:tcW w:w="3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73.46</w:t>
            </w:r>
          </w:p>
        </w:tc>
        <w:tc>
          <w:tcPr>
            <w:tcW w:w="14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$ 5,099,043</w:t>
            </w:r>
          </w:p>
        </w:tc>
        <w:tc>
          <w:tcPr>
            <w:tcW w:w="0" w:type="dxa"/>
            <w:vAlign w:val="bottom"/>
          </w:tcPr>
          <w:p>
            <w:pPr>
              <w:spacing w:after="0"/>
              <w:rPr>
                <w:sz w:val="1"/>
                <w:szCs w:val="1"/>
                <w:color w:val="auto"/>
              </w:rPr>
            </w:pPr>
          </w:p>
        </w:tc>
      </w:tr>
      <w:tr>
        <w:trPr>
          <w:trHeight w:val="181"/>
        </w:trPr>
        <w:tc>
          <w:tcPr>
            <w:tcW w:w="4160" w:type="dxa"/>
            <w:vAlign w:val="bottom"/>
          </w:tcPr>
          <w:p>
            <w:pPr>
              <w:spacing w:after="0"/>
              <w:rPr>
                <w:sz w:val="20"/>
                <w:szCs w:val="20"/>
                <w:color w:val="auto"/>
              </w:rPr>
            </w:pPr>
            <w:r>
              <w:rPr>
                <w:rFonts w:ascii="Arial" w:cs="Arial" w:eastAsia="Arial" w:hAnsi="Arial"/>
                <w:sz w:val="14"/>
                <w:szCs w:val="14"/>
                <w:color w:val="auto"/>
              </w:rPr>
              <w:t>December 1 through December 31, 2010</w:t>
            </w:r>
          </w:p>
        </w:tc>
        <w:tc>
          <w:tcPr>
            <w:tcW w:w="2640" w:type="dxa"/>
            <w:vAlign w:val="bottom"/>
            <w:gridSpan w:val="2"/>
          </w:tcPr>
          <w:p>
            <w:pPr>
              <w:jc w:val="right"/>
              <w:spacing w:after="0"/>
              <w:rPr>
                <w:sz w:val="20"/>
                <w:szCs w:val="20"/>
                <w:color w:val="auto"/>
              </w:rPr>
            </w:pPr>
            <w:r>
              <w:rPr>
                <w:rFonts w:ascii="Arial" w:cs="Arial" w:eastAsia="Arial" w:hAnsi="Arial"/>
                <w:sz w:val="14"/>
                <w:szCs w:val="14"/>
                <w:color w:val="auto"/>
              </w:rPr>
              <w:t>3,074.3</w:t>
            </w:r>
          </w:p>
        </w:tc>
        <w:tc>
          <w:tcPr>
            <w:tcW w:w="100" w:type="dxa"/>
            <w:vAlign w:val="bottom"/>
          </w:tcPr>
          <w:p>
            <w:pPr>
              <w:spacing w:after="0"/>
              <w:rPr>
                <w:sz w:val="15"/>
                <w:szCs w:val="15"/>
                <w:color w:val="auto"/>
              </w:rPr>
            </w:pP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81.35</w:t>
            </w:r>
          </w:p>
        </w:tc>
        <w:tc>
          <w:tcPr>
            <w:tcW w:w="14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3,074.3</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$ 4,848,944</w:t>
            </w:r>
          </w:p>
        </w:tc>
        <w:tc>
          <w:tcPr>
            <w:tcW w:w="0" w:type="dxa"/>
            <w:vAlign w:val="bottom"/>
          </w:tcPr>
          <w:p>
            <w:pPr>
              <w:spacing w:after="0"/>
              <w:rPr>
                <w:sz w:val="1"/>
                <w:szCs w:val="1"/>
                <w:color w:val="auto"/>
              </w:rPr>
            </w:pPr>
          </w:p>
        </w:tc>
      </w:tr>
      <w:tr>
        <w:trPr>
          <w:trHeight w:val="156"/>
        </w:trPr>
        <w:tc>
          <w:tcPr>
            <w:tcW w:w="416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6,055.3</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74.14</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6,055.3</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60" w:firstLine="198"/>
        <w:spacing w:after="0" w:line="259" w:lineRule="auto"/>
        <w:rPr>
          <w:sz w:val="20"/>
          <w:szCs w:val="20"/>
          <w:color w:val="auto"/>
        </w:rPr>
      </w:pPr>
      <w:r>
        <w:rPr>
          <w:rFonts w:ascii="Arial" w:cs="Arial" w:eastAsia="Arial" w:hAnsi="Arial"/>
          <w:sz w:val="18"/>
          <w:szCs w:val="18"/>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5 as the number of shares of Schlumberger common stock received from optionholders is not material.</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Unregistered Sales of Equity Securities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26" w:lineRule="exact"/>
        <w:rPr>
          <w:sz w:val="20"/>
          <w:szCs w:val="20"/>
          <w:color w:val="auto"/>
        </w:rPr>
      </w:pPr>
    </w:p>
    <w:p>
      <w:pPr>
        <w:ind w:left="700" w:right="320" w:firstLine="198"/>
        <w:spacing w:after="0" w:line="291" w:lineRule="auto"/>
        <w:rPr>
          <w:sz w:val="20"/>
          <w:szCs w:val="20"/>
          <w:color w:val="auto"/>
        </w:rPr>
      </w:pPr>
      <w:r>
        <w:rPr>
          <w:rFonts w:ascii="Arial" w:cs="Arial" w:eastAsia="Arial" w:hAnsi="Arial"/>
          <w:sz w:val="16"/>
          <w:szCs w:val="16"/>
          <w:color w:val="auto"/>
        </w:rPr>
        <w:t>The following selected consolidated financial data should be read in conjunction with both “Item 7. Management’s Discussion and Analysis of Financial Condition and Results of Operations” and “Item 8. Financial Statements and Supplementary Data” of this</w:t>
      </w:r>
    </w:p>
    <w:p>
      <w:pPr>
        <w:ind w:left="700" w:right="100"/>
        <w:spacing w:after="0" w:line="261" w:lineRule="auto"/>
        <w:rPr>
          <w:sz w:val="20"/>
          <w:szCs w:val="20"/>
          <w:color w:val="auto"/>
        </w:rPr>
      </w:pPr>
      <w:r>
        <w:rPr>
          <w:rFonts w:ascii="Arial" w:cs="Arial" w:eastAsia="Arial" w:hAnsi="Arial"/>
          <w:sz w:val="18"/>
          <w:szCs w:val="18"/>
          <w:color w:val="auto"/>
        </w:rPr>
        <w:t>Form 10-K in order to understand factors, such as business combinations and charges and credits, which may affect the comparability of the Selected Financial Data:</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4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4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88"/>
              </w:rPr>
              <w:t>27,447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3"/>
              </w:rPr>
              <w:t>22,702</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8"/>
              </w:rPr>
              <w:t>27,163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8"/>
              </w:rPr>
              <w:t>23,277</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19,230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4,266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3,164</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5,422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5,177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 from Continuing Operations</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3.38</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2.61</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4.42</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4.20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7,233</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6,391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4,811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3,551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w w:val="88"/>
              </w:rPr>
              <w:t>51,767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3"/>
              </w:rPr>
              <w:t>33,465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8"/>
              </w:rPr>
              <w:t>32,094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88"/>
              </w:rPr>
              <w:t>27,853</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22,832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Net debt</w:t>
            </w:r>
            <w:r>
              <w:rPr>
                <w:rFonts w:ascii="Arial" w:cs="Arial" w:eastAsia="Arial" w:hAnsi="Arial"/>
                <w:sz w:val="12"/>
                <w:szCs w:val="12"/>
                <w:color w:val="auto"/>
              </w:rPr>
              <w:t>(1)</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2,638</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1,129</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1,857</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5,517</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4,355</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3,694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3,794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Schlumberger stockholders’ equity</w:t>
            </w:r>
          </w:p>
        </w:tc>
        <w:tc>
          <w:tcPr>
            <w:tcW w:w="1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88"/>
              </w:rPr>
              <w:t>31,226</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93"/>
              </w:rPr>
              <w:t>19,120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8"/>
              </w:rPr>
              <w:t>16,862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88"/>
              </w:rPr>
              <w:t>14,876</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10,420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b w:val="1"/>
                <w:bCs w:val="1"/>
                <w:color w:val="auto"/>
              </w:rPr>
              <w:t>0.84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0.84</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0.84</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0.70</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940" w:right="40" w:hanging="240"/>
        <w:spacing w:after="0" w:line="253" w:lineRule="auto"/>
        <w:tabs>
          <w:tab w:leader="none" w:pos="9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3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126" w:lineRule="exact"/>
        <w:rPr>
          <w:sz w:val="20"/>
          <w:szCs w:val="20"/>
          <w:color w:val="auto"/>
        </w:rPr>
      </w:pPr>
    </w:p>
    <w:p>
      <w:pPr>
        <w:ind w:left="700" w:right="120" w:firstLine="198"/>
        <w:spacing w:after="0" w:line="264"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Report.</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26" w:lineRule="exact"/>
        <w:rPr>
          <w:sz w:val="20"/>
          <w:szCs w:val="20"/>
          <w:color w:val="auto"/>
        </w:rPr>
      </w:pPr>
    </w:p>
    <w:p>
      <w:pPr>
        <w:ind w:left="700" w:firstLine="198"/>
        <w:spacing w:after="0" w:line="267" w:lineRule="auto"/>
        <w:rPr>
          <w:sz w:val="20"/>
          <w:szCs w:val="20"/>
          <w:color w:val="auto"/>
        </w:rPr>
      </w:pPr>
      <w:r>
        <w:rPr>
          <w:rFonts w:ascii="Arial" w:cs="Arial" w:eastAsia="Arial" w:hAnsi="Arial"/>
          <w:sz w:val="17"/>
          <w:szCs w:val="17"/>
          <w:color w:val="auto"/>
        </w:rPr>
        <w:t>After two consecutive years of falling oil demand in 2008 and 2009 induced by the global economic recession, a strong recovery occurred in 2010. Consumption averaged 87.7 million barrels per day, including an all-time peak of over 89 million barrels per day in December, and made the year-on-year increase the second largest in three decades. Oil prices remained in the range of $65-$85 per barrel for much of 2010, but recorded a spike above $90 at the end of the year. The major demand forecasts released during 2010 have continued to increase as a result of the improving economic outlook – particularly in the developing economies. On the supply side, the adherence to production quota by the OPEC countries helped keep the market balanced, although such adherence diminished slightly as the year progressed. Strength in non-OPEC production, improvement in new project developments following the investment cuts in 2009, and lower production costs helped provide additional assurance to the markets.</w:t>
      </w:r>
    </w:p>
    <w:p>
      <w:pPr>
        <w:spacing w:after="0" w:line="3" w:lineRule="exact"/>
        <w:rPr>
          <w:sz w:val="20"/>
          <w:szCs w:val="20"/>
          <w:color w:val="auto"/>
        </w:rPr>
      </w:pPr>
    </w:p>
    <w:p>
      <w:pPr>
        <w:ind w:left="700" w:right="80" w:firstLine="198"/>
        <w:spacing w:after="0" w:line="281" w:lineRule="auto"/>
        <w:rPr>
          <w:sz w:val="20"/>
          <w:szCs w:val="20"/>
          <w:color w:val="auto"/>
        </w:rPr>
      </w:pPr>
      <w:r>
        <w:rPr>
          <w:rFonts w:ascii="Arial" w:cs="Arial" w:eastAsia="Arial" w:hAnsi="Arial"/>
          <w:sz w:val="16"/>
          <w:szCs w:val="16"/>
          <w:color w:val="auto"/>
        </w:rPr>
        <w:t>Natural gas markets behaved differently. Decreasing gas demand during the recession, increasing unconventional gas production in North America, and the commissioning of a number of new large liquefied natural gas export facilities around the world led to an over-supplied market with consequent pressure on spot prices. Within the United States – the world’s largest natural gas market – natural gas storage levels have remained significantly above the five-year range since March 2010 despite lower volumes of Canadian gas imports and some power generation fuel switching from coal to gas. With natural gas price forecasts from the Energy Information Agency for 2011 slipping by nearly a third compared to initial projections made at the beginning of the year, an increasing portion of the drilling and completion activity in shale reservoirs has shifted to liquid and condensate-rich plays in North America.</w:t>
      </w:r>
    </w:p>
    <w:p>
      <w:pPr>
        <w:spacing w:after="0" w:line="5" w:lineRule="exact"/>
        <w:rPr>
          <w:sz w:val="20"/>
          <w:szCs w:val="20"/>
          <w:color w:val="auto"/>
        </w:rPr>
      </w:pPr>
    </w:p>
    <w:p>
      <w:pPr>
        <w:ind w:left="700" w:right="260" w:firstLine="198"/>
        <w:spacing w:after="0" w:line="265" w:lineRule="auto"/>
        <w:rPr>
          <w:sz w:val="20"/>
          <w:szCs w:val="20"/>
          <w:color w:val="auto"/>
        </w:rPr>
      </w:pPr>
      <w:r>
        <w:rPr>
          <w:rFonts w:ascii="Arial" w:cs="Arial" w:eastAsia="Arial" w:hAnsi="Arial"/>
          <w:sz w:val="17"/>
          <w:szCs w:val="17"/>
          <w:color w:val="auto"/>
        </w:rPr>
        <w:t>Within this market, Schlumberger Oilfield Services full-year revenue in 2010 of $22.08 billion grew 8% versus 2009, driven by recovery in the North America natural gas market through increasing demand and stronger pricing for pressure pumping services. The North America Area also benefited from greater activity in liquids-rich plays in a number of basins. Offshore, the tragic Macondo accident in the US Gulf of Mexico led to a shutdown in deepwater operations that severely impacted US offshore activity and led to slowdowns in other parts of the world, although these were being absorbed as the fourth quarter developed. The Middle East and Asia Area revenue climbed 7% from a number of factors including increasing wireline logging and expanded IPM work. Latin America revenue grew by 2%, with rapid growth in Brazil overcoming weaker activity in Mexico as poor weather, increasing security concerns and reduced client budgets impacted operations. Europe/CIS/Africa revenue decreased 4% versus 2009. Among the Technologies, growth was primarily seen in Well Services activities, both in volume and in price although the acquisition of Geoservices also contributed to the increase.</w:t>
      </w:r>
    </w:p>
    <w:p>
      <w:pPr>
        <w:spacing w:after="0" w:line="2" w:lineRule="exact"/>
        <w:rPr>
          <w:sz w:val="20"/>
          <w:szCs w:val="20"/>
          <w:color w:val="auto"/>
        </w:rPr>
      </w:pPr>
    </w:p>
    <w:p>
      <w:pPr>
        <w:ind w:left="700" w:right="60" w:firstLine="198"/>
        <w:spacing w:after="0" w:line="265" w:lineRule="auto"/>
        <w:rPr>
          <w:sz w:val="20"/>
          <w:szCs w:val="20"/>
          <w:color w:val="auto"/>
        </w:rPr>
      </w:pPr>
      <w:r>
        <w:rPr>
          <w:rFonts w:ascii="Arial" w:cs="Arial" w:eastAsia="Arial" w:hAnsi="Arial"/>
          <w:sz w:val="17"/>
          <w:szCs w:val="17"/>
          <w:color w:val="auto"/>
        </w:rPr>
        <w:t>In addition to growing activity, results were underpinned through continuing market penetration of new-technology services such as Scope* advanced logging-while-drilling measurements, Scanner* wireline technologies, and ACTive* coiled-tubing services. Scanner services were boosted by the commercial introduction of the latest family member, the Dielectric Scanner* tool, which was unveiled during the year. As a unique industry service capable of measuring saturation in a variety of reservoir applications, the service completed a two-year pilot project in Saudi Arabia targeted at reservoir monitoring, where 35 logs were recorded in various fields, both on land and offshore, to assess water flooding sweep efficiency as an aid to field development planning.</w:t>
      </w:r>
    </w:p>
    <w:p>
      <w:pPr>
        <w:spacing w:after="0" w:line="1" w:lineRule="exact"/>
        <w:rPr>
          <w:sz w:val="20"/>
          <w:szCs w:val="20"/>
          <w:color w:val="auto"/>
        </w:rPr>
      </w:pPr>
    </w:p>
    <w:p>
      <w:pPr>
        <w:jc w:val="both"/>
        <w:ind w:left="700" w:right="60" w:firstLine="198"/>
        <w:spacing w:after="0" w:line="250" w:lineRule="auto"/>
        <w:rPr>
          <w:sz w:val="20"/>
          <w:szCs w:val="20"/>
          <w:color w:val="auto"/>
        </w:rPr>
      </w:pPr>
      <w:r>
        <w:rPr>
          <w:rFonts w:ascii="Arial" w:cs="Arial" w:eastAsia="Arial" w:hAnsi="Arial"/>
          <w:sz w:val="18"/>
          <w:szCs w:val="18"/>
          <w:color w:val="auto"/>
        </w:rPr>
        <w:t>In reservoir production, ACTive real-time coiled tubing services saw growth, particularly with ACTive conveyance of Wireline Flow Scanner* production logging technology, and with fiber-optic continuous measurements of temperature and pressure along the well bore. Growing deployment of integrated technologies such as these confirms exciting growth possibilities across the Schlumberger technology portfolio particularly in horizontal and extended-reach wells.</w:t>
      </w:r>
    </w:p>
    <w:p>
      <w:pPr>
        <w:spacing w:after="0" w:line="2" w:lineRule="exact"/>
        <w:rPr>
          <w:sz w:val="20"/>
          <w:szCs w:val="20"/>
          <w:color w:val="auto"/>
        </w:rPr>
      </w:pPr>
    </w:p>
    <w:p>
      <w:pPr>
        <w:ind w:left="700" w:right="120" w:firstLine="198"/>
        <w:spacing w:after="0" w:line="253" w:lineRule="auto"/>
        <w:rPr>
          <w:sz w:val="20"/>
          <w:szCs w:val="20"/>
          <w:color w:val="auto"/>
        </w:rPr>
      </w:pPr>
      <w:r>
        <w:rPr>
          <w:rFonts w:ascii="Arial" w:cs="Arial" w:eastAsia="Arial" w:hAnsi="Arial"/>
          <w:sz w:val="18"/>
          <w:szCs w:val="18"/>
          <w:color w:val="auto"/>
        </w:rPr>
        <w:t>It was however drilling services that displayed early evidence of the opportunities provided by the acquisitions of Geoservices and Smith International that were announced during the first quarter. These successes included the completion of a remote three-well exploration project offshore Greenland that used Schlumberger technologies combined with Smith and M-I SWACO products and services as well as Geoservices mud logging. In Brazil, a similar combination of services helped one well record substantial increases in rates of penetration, while meeting all</w:t>
      </w:r>
    </w:p>
    <w:p>
      <w:pPr>
        <w:spacing w:after="0" w:line="38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120"/>
        <w:spacing w:after="0" w:line="256" w:lineRule="auto"/>
        <w:rPr>
          <w:sz w:val="20"/>
          <w:szCs w:val="20"/>
          <w:color w:val="auto"/>
        </w:rPr>
      </w:pPr>
      <w:r>
        <w:rPr>
          <w:rFonts w:ascii="Arial" w:cs="Arial" w:eastAsia="Arial" w:hAnsi="Arial"/>
          <w:sz w:val="18"/>
          <w:szCs w:val="18"/>
          <w:color w:val="auto"/>
        </w:rPr>
        <w:t>directional drilling goals. In this particular case the integrated nature of the bottomhole assembly demonstrated how technology optimization can impact performance in the high-cost deepwater drilling environment. A third such operation offshore Indonesia further displayed the value of integrated bottomhole assemblies.</w:t>
      </w:r>
    </w:p>
    <w:p>
      <w:pPr>
        <w:ind w:left="700" w:firstLine="198"/>
        <w:spacing w:after="0" w:line="265" w:lineRule="auto"/>
        <w:rPr>
          <w:sz w:val="20"/>
          <w:szCs w:val="20"/>
          <w:color w:val="auto"/>
        </w:rPr>
      </w:pPr>
      <w:r>
        <w:rPr>
          <w:rFonts w:ascii="Arial" w:cs="Arial" w:eastAsia="Arial" w:hAnsi="Arial"/>
          <w:sz w:val="17"/>
          <w:szCs w:val="17"/>
          <w:color w:val="auto"/>
        </w:rPr>
        <w:t>WesternGeco revenue of $1.99 billion in 2010 was 6% lower than 2009 primarily as a result of lower Marine activity and weaker pricing. While Land activity was also weaker, strong Multiclient sales, particularly in the fourth quarter, were able to offset some of these effects. New seismic technology scored some significant successes with penetration of marine single-vessel, full-azimuth coil shooting surveys into a number of the major offshore basins around the world. Coil shooting, unique to Schlumberger, brings better illumination of complex pre-salt, sub-salt and sub-basalt formations in a variety of environments.</w:t>
      </w:r>
    </w:p>
    <w:p>
      <w:pPr>
        <w:spacing w:after="0" w:line="1" w:lineRule="exact"/>
        <w:rPr>
          <w:sz w:val="20"/>
          <w:szCs w:val="20"/>
          <w:color w:val="auto"/>
        </w:rPr>
      </w:pPr>
    </w:p>
    <w:p>
      <w:pPr>
        <w:ind w:left="700" w:firstLine="198"/>
        <w:spacing w:after="0" w:line="281" w:lineRule="auto"/>
        <w:rPr>
          <w:sz w:val="20"/>
          <w:szCs w:val="20"/>
          <w:color w:val="auto"/>
        </w:rPr>
      </w:pPr>
      <w:r>
        <w:rPr>
          <w:rFonts w:ascii="Arial" w:cs="Arial" w:eastAsia="Arial" w:hAnsi="Arial"/>
          <w:sz w:val="16"/>
          <w:szCs w:val="16"/>
          <w:color w:val="auto"/>
        </w:rPr>
        <w:t>The integration of Geoservices and Smith International proceeded smoothly during the year. The complementary nature of many of the product and service lines concerned helped the process while a network of integration teams and Area coordinators rapidly identified revenue and cost-synergy opportunities that contributed to results in 2010 and that augur well for 2011. Total Schlumberger 2010 results reflect four months activity from the acquired Smith businesses, which contributed revenue of $3.30 billion.</w:t>
      </w:r>
    </w:p>
    <w:p>
      <w:pPr>
        <w:spacing w:after="0" w:line="3" w:lineRule="exact"/>
        <w:rPr>
          <w:sz w:val="20"/>
          <w:szCs w:val="20"/>
          <w:color w:val="auto"/>
        </w:rPr>
      </w:pPr>
    </w:p>
    <w:p>
      <w:pPr>
        <w:jc w:val="both"/>
        <w:ind w:left="700" w:right="20" w:firstLine="198"/>
        <w:spacing w:after="0" w:line="281" w:lineRule="auto"/>
        <w:rPr>
          <w:sz w:val="20"/>
          <w:szCs w:val="20"/>
          <w:color w:val="auto"/>
        </w:rPr>
      </w:pPr>
      <w:r>
        <w:rPr>
          <w:rFonts w:ascii="Arial" w:cs="Arial" w:eastAsia="Arial" w:hAnsi="Arial"/>
          <w:sz w:val="16"/>
          <w:szCs w:val="16"/>
          <w:color w:val="auto"/>
        </w:rPr>
        <w:t>In a related move, Schlumberger signed a letter of intent with Eurasia to swap certain assets in Russia to build critical mass in drilling services. Under the terms of this agreement, Eurasia will acquire a number of Schlumberger-owned drilling rigs, while Schlumberger will acquire a range of Eurasia service assets including directional drilling, measurement-while-drilling, well cementing and drilling fluids.</w:t>
      </w:r>
    </w:p>
    <w:p>
      <w:pPr>
        <w:spacing w:after="0" w:line="2" w:lineRule="exact"/>
        <w:rPr>
          <w:sz w:val="20"/>
          <w:szCs w:val="20"/>
          <w:color w:val="auto"/>
        </w:rPr>
      </w:pPr>
    </w:p>
    <w:p>
      <w:pPr>
        <w:ind w:left="700" w:right="120"/>
        <w:spacing w:after="0" w:line="281" w:lineRule="auto"/>
        <w:rPr>
          <w:sz w:val="20"/>
          <w:szCs w:val="20"/>
          <w:color w:val="auto"/>
        </w:rPr>
      </w:pPr>
      <w:r>
        <w:rPr>
          <w:rFonts w:ascii="Arial" w:cs="Arial" w:eastAsia="Arial" w:hAnsi="Arial"/>
          <w:sz w:val="16"/>
          <w:szCs w:val="16"/>
          <w:color w:val="auto"/>
        </w:rPr>
        <w:t>Further, both companies agreed to enter a strategic alliance upon completion of the transaction whereby Schlumberger will become the preferred supplier of drilling services to Eurasia Drilling for up to 200 rigs for a 5-year period. This agreement not only increases the market for our services across the rig fleet of the largest Russian drilling company, it also encourages the development of fit-for-purpose bottom-hole assembly technology development as drilling intensity increases in Russia in order to sustain hydrocarbon production.</w:t>
      </w:r>
    </w:p>
    <w:p>
      <w:pPr>
        <w:spacing w:after="0" w:line="3" w:lineRule="exact"/>
        <w:rPr>
          <w:sz w:val="20"/>
          <w:szCs w:val="20"/>
          <w:color w:val="auto"/>
        </w:rPr>
      </w:pPr>
    </w:p>
    <w:p>
      <w:pPr>
        <w:ind w:left="700" w:right="60" w:firstLine="198"/>
        <w:spacing w:after="0" w:line="250" w:lineRule="auto"/>
        <w:rPr>
          <w:sz w:val="20"/>
          <w:szCs w:val="20"/>
          <w:color w:val="auto"/>
        </w:rPr>
      </w:pPr>
      <w:r>
        <w:rPr>
          <w:rFonts w:ascii="Arial" w:cs="Arial" w:eastAsia="Arial" w:hAnsi="Arial"/>
          <w:sz w:val="18"/>
          <w:szCs w:val="18"/>
          <w:color w:val="auto"/>
        </w:rPr>
        <w:t>Two years ago we began a program called “Excellence in Execution”. This was designed to create a step change in our service quality and efficiency and, in deepwater, was aimed at enabling clients to reduce the risk and cost of their deepwater operations. The program, in addition to equipment and procedural improvements, provides for competency certification of all personnel involved in deepwater operations. We have been encouraged by the initial results of this multiyear initiative, as well as by our customers’ acceptance of it. While additional control and oversight will undoubtedly add cost, this will be offset in the long run by improvements in operating procedures and technology. We therefore welcome current efforts to better understand and control the risks associated with deepwater operations.</w:t>
      </w:r>
    </w:p>
    <w:p>
      <w:pPr>
        <w:spacing w:after="0" w:line="3" w:lineRule="exact"/>
        <w:rPr>
          <w:sz w:val="20"/>
          <w:szCs w:val="20"/>
          <w:color w:val="auto"/>
        </w:rPr>
      </w:pPr>
    </w:p>
    <w:p>
      <w:pPr>
        <w:ind w:left="700" w:right="60" w:firstLine="198"/>
        <w:spacing w:after="0" w:line="250" w:lineRule="auto"/>
        <w:rPr>
          <w:sz w:val="20"/>
          <w:szCs w:val="20"/>
          <w:color w:val="auto"/>
        </w:rPr>
      </w:pPr>
      <w:r>
        <w:rPr>
          <w:rFonts w:ascii="Arial" w:cs="Arial" w:eastAsia="Arial" w:hAnsi="Arial"/>
          <w:sz w:val="18"/>
          <w:szCs w:val="18"/>
          <w:color w:val="auto"/>
        </w:rPr>
        <w:t>For 2011, economic projections for world real GDP growth are converging towards a median estimate of 4.2%, slightly lower than the 2010 level, and still with a significant level of uncertainty. A large gap exists between GDP growth rates of Organization for Economic Cooperation and Development (OECD) and non-OECD countries – particularly in China and in other developing Asian economies. However there is remarkable agreement on various oil demand forecasts for 2011, which all lie within 1.4 million barrels per day of each other.</w:t>
      </w:r>
    </w:p>
    <w:p>
      <w:pPr>
        <w:spacing w:after="0" w:line="2" w:lineRule="exact"/>
        <w:rPr>
          <w:sz w:val="20"/>
          <w:szCs w:val="20"/>
          <w:color w:val="auto"/>
        </w:rPr>
      </w:pPr>
    </w:p>
    <w:p>
      <w:pPr>
        <w:ind w:left="700" w:right="120" w:firstLine="198"/>
        <w:spacing w:after="0" w:line="281" w:lineRule="auto"/>
        <w:rPr>
          <w:sz w:val="20"/>
          <w:szCs w:val="20"/>
          <w:color w:val="auto"/>
        </w:rPr>
      </w:pPr>
      <w:r>
        <w:rPr>
          <w:rFonts w:ascii="Arial" w:cs="Arial" w:eastAsia="Arial" w:hAnsi="Arial"/>
          <w:sz w:val="16"/>
          <w:szCs w:val="16"/>
          <w:color w:val="auto"/>
        </w:rPr>
        <w:t>As we look forward to 2011 it is therefore important to remember that the primary driver of our business has always been, and will remain, the demand for oil and gas. Oil prices have moved into a range that will encourage increased investment, particularly in exploration, which remains the swing factor in operators’ budgets. While we do not anticipate any substantial recovery in deepwater US Gulf of Mexico, we do expect a marked increase in deepwater activity in the rest of the world. These factors, coupled with increases in development activity and production enhancement in many other areas, promise stronger growth rates as the year unfolds.</w:t>
      </w:r>
    </w:p>
    <w:p>
      <w:pPr>
        <w:spacing w:after="0" w:line="3" w:lineRule="exact"/>
        <w:rPr>
          <w:sz w:val="20"/>
          <w:szCs w:val="20"/>
          <w:color w:val="auto"/>
        </w:rPr>
      </w:pPr>
    </w:p>
    <w:p>
      <w:pPr>
        <w:ind w:left="700" w:right="520" w:firstLine="198"/>
        <w:spacing w:after="0" w:line="281" w:lineRule="auto"/>
        <w:rPr>
          <w:sz w:val="20"/>
          <w:szCs w:val="20"/>
          <w:color w:val="auto"/>
        </w:rPr>
      </w:pPr>
      <w:r>
        <w:rPr>
          <w:rFonts w:ascii="Arial" w:cs="Arial" w:eastAsia="Arial" w:hAnsi="Arial"/>
          <w:sz w:val="16"/>
          <w:szCs w:val="16"/>
          <w:color w:val="auto"/>
        </w:rPr>
        <w:t>For natural gas, activity in the United States is likely to remain strong – at least through the first half of the year – due to the commitments necessary to retain leases, the backlog of wells to be completed, and the contribution of natural gas liquids to overall project economics. Increased service capacity, however, will negatively affect pricing at some stage during the year.</w:t>
      </w:r>
    </w:p>
    <w:p>
      <w:pPr>
        <w:spacing w:after="0" w:line="2" w:lineRule="exact"/>
        <w:rPr>
          <w:sz w:val="20"/>
          <w:szCs w:val="20"/>
          <w:color w:val="auto"/>
        </w:rPr>
      </w:pPr>
    </w:p>
    <w:p>
      <w:pPr>
        <w:ind w:left="700" w:right="100" w:firstLine="198"/>
        <w:spacing w:after="0" w:line="265" w:lineRule="auto"/>
        <w:rPr>
          <w:sz w:val="20"/>
          <w:szCs w:val="20"/>
          <w:color w:val="auto"/>
        </w:rPr>
      </w:pPr>
      <w:r>
        <w:rPr>
          <w:rFonts w:ascii="Arial" w:cs="Arial" w:eastAsia="Arial" w:hAnsi="Arial"/>
          <w:sz w:val="17"/>
          <w:szCs w:val="17"/>
          <w:color w:val="auto"/>
        </w:rPr>
        <w:t>Overseas, the governing factor on gas activity, particularly in the Middle East, will be the ability of many nations to use gas as a substitute for oil to meet increased local energy demand, thus freeing up more liquids for export. Elsewhere the long lead time necessary to execute large gas projects for LNG exports will ensure that a certain level of activity is maintained.</w:t>
      </w:r>
    </w:p>
    <w:p>
      <w:pPr>
        <w:spacing w:after="0" w:line="1" w:lineRule="exact"/>
        <w:rPr>
          <w:sz w:val="20"/>
          <w:szCs w:val="20"/>
          <w:color w:val="auto"/>
        </w:rPr>
      </w:pPr>
    </w:p>
    <w:p>
      <w:pPr>
        <w:ind w:left="700" w:right="160" w:firstLine="198"/>
        <w:spacing w:after="0" w:line="261" w:lineRule="auto"/>
        <w:rPr>
          <w:sz w:val="20"/>
          <w:szCs w:val="20"/>
          <w:color w:val="auto"/>
        </w:rPr>
      </w:pPr>
      <w:r>
        <w:rPr>
          <w:rFonts w:ascii="Arial" w:cs="Arial" w:eastAsia="Arial" w:hAnsi="Arial"/>
          <w:sz w:val="18"/>
          <w:szCs w:val="18"/>
          <w:color w:val="auto"/>
        </w:rPr>
        <w:t>Unconventional gas resources will continue to attract considerable interest outside North America. The leading activity will continue to be in conventional gas in tight, or low permeability, reservoirs, and in coal-bed methane</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900" w:right="380" w:hanging="197"/>
        <w:spacing w:after="0" w:line="291" w:lineRule="auto"/>
        <w:rPr>
          <w:sz w:val="20"/>
          <w:szCs w:val="20"/>
          <w:color w:val="auto"/>
        </w:rPr>
      </w:pPr>
      <w:r>
        <w:rPr>
          <w:rFonts w:ascii="Arial" w:cs="Arial" w:eastAsia="Arial" w:hAnsi="Arial"/>
          <w:sz w:val="16"/>
          <w:szCs w:val="16"/>
          <w:color w:val="auto"/>
        </w:rPr>
        <w:t>developments. There will be exploration activity around the potential that shale gas offers in many other parts of the world. Increased activity coupled with the greater technology needs of higher exploration, deepwater, and tight gas activity – particularly</w:t>
      </w:r>
    </w:p>
    <w:p>
      <w:pPr>
        <w:ind w:left="700" w:right="340"/>
        <w:spacing w:after="0" w:line="323" w:lineRule="auto"/>
        <w:rPr>
          <w:sz w:val="20"/>
          <w:szCs w:val="20"/>
          <w:color w:val="auto"/>
        </w:rPr>
      </w:pPr>
      <w:r>
        <w:rPr>
          <w:rFonts w:ascii="Arial" w:cs="Arial" w:eastAsia="Arial" w:hAnsi="Arial"/>
          <w:sz w:val="16"/>
          <w:szCs w:val="16"/>
          <w:color w:val="auto"/>
        </w:rPr>
        <w:t>outside North America – will make 2011 a stronger year for Schlumberger. The importance of risk reduction and the minimization of drilling cost make the acquisitions of Geoservices and Smith major contributors to our future growth in this scenario.</w:t>
      </w:r>
    </w:p>
    <w:p>
      <w:pPr>
        <w:spacing w:after="0" w:line="44" w:lineRule="exact"/>
        <w:rPr>
          <w:sz w:val="20"/>
          <w:szCs w:val="20"/>
          <w:color w:val="auto"/>
        </w:rPr>
      </w:pPr>
    </w:p>
    <w:p>
      <w:pPr>
        <w:ind w:left="700" w:right="720" w:firstLine="198"/>
        <w:spacing w:after="0" w:line="277" w:lineRule="auto"/>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Fourth Quarter 2010 Results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16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6"/>
          </w:tcPr>
          <w:p>
            <w:pPr>
              <w:jc w:val="right"/>
              <w:ind w:right="180"/>
              <w:spacing w:after="0" w:line="142" w:lineRule="exact"/>
              <w:rPr>
                <w:sz w:val="20"/>
                <w:szCs w:val="20"/>
                <w:color w:val="auto"/>
              </w:rPr>
            </w:pPr>
            <w:r>
              <w:rPr>
                <w:rFonts w:ascii="Arial" w:cs="Arial" w:eastAsia="Arial" w:hAnsi="Arial"/>
                <w:sz w:val="14"/>
                <w:szCs w:val="14"/>
                <w:b w:val="1"/>
                <w:bCs w:val="1"/>
                <w:color w:val="auto"/>
                <w:w w:val="95"/>
              </w:rPr>
              <w:t>Fourth Quarter 2010</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color w:val="auto"/>
                <w:w w:val="92"/>
              </w:rPr>
              <w:t>Third Quarter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rPr>
              <w:t>Income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300" w:type="dxa"/>
            <w:vAlign w:val="bottom"/>
          </w:tcPr>
          <w:p>
            <w:pPr>
              <w:spacing w:after="0"/>
              <w:rPr>
                <w:sz w:val="12"/>
                <w:szCs w:val="12"/>
                <w:color w:val="auto"/>
              </w:rPr>
            </w:pP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before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taxes</w:t>
            </w:r>
          </w:p>
        </w:tc>
        <w:tc>
          <w:tcPr>
            <w:tcW w:w="760" w:type="dxa"/>
            <w:vAlign w:val="bottom"/>
            <w:gridSpan w:val="4"/>
          </w:tcPr>
          <w:p>
            <w:pPr>
              <w:ind w:left="100"/>
              <w:spacing w:after="0"/>
              <w:rPr>
                <w:sz w:val="20"/>
                <w:szCs w:val="20"/>
                <w:color w:val="auto"/>
              </w:rPr>
            </w:pPr>
            <w:r>
              <w:rPr>
                <w:rFonts w:ascii="Arial" w:cs="Arial" w:eastAsia="Arial" w:hAnsi="Arial"/>
                <w:sz w:val="14"/>
                <w:szCs w:val="14"/>
                <w:color w:val="auto"/>
              </w:rPr>
              <w:t>Revenue</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taxes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160" w:type="dxa"/>
            <w:vAlign w:val="bottom"/>
          </w:tcPr>
          <w:p>
            <w:pPr>
              <w:spacing w:after="0"/>
              <w:rPr>
                <w:sz w:val="3"/>
                <w:szCs w:val="3"/>
                <w:color w:val="auto"/>
              </w:rPr>
            </w:pPr>
          </w:p>
        </w:tc>
        <w:tc>
          <w:tcPr>
            <w:tcW w:w="27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North America</w:t>
            </w:r>
          </w:p>
        </w:tc>
        <w:tc>
          <w:tcPr>
            <w:tcW w:w="2840" w:type="dxa"/>
            <w:vAlign w:val="bottom"/>
            <w:gridSpan w:val="2"/>
          </w:tcPr>
          <w:p>
            <w:pPr>
              <w:ind w:left="2760"/>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1,604</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385</w:t>
            </w:r>
          </w:p>
        </w:tc>
        <w:tc>
          <w:tcPr>
            <w:tcW w:w="18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1,259</w:t>
            </w:r>
          </w:p>
        </w:tc>
        <w:tc>
          <w:tcPr>
            <w:tcW w:w="14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Latin America</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1,050</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Europe/CIS/Africa</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1,783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Middle East &amp; Asia</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Elims/Other</w:t>
            </w: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Borders>
              <w:top w:val="single" w:sz="8" w:color="auto"/>
            </w:tcBorders>
            <w:shd w:val="clear" w:color="auto" w:fill="CCEEFF"/>
          </w:tcPr>
          <w:p>
            <w:pPr>
              <w:spacing w:after="0"/>
              <w:rPr>
                <w:sz w:val="12"/>
                <w:szCs w:val="12"/>
                <w:color w:val="auto"/>
              </w:rPr>
            </w:pPr>
          </w:p>
        </w:tc>
        <w:tc>
          <w:tcPr>
            <w:tcW w:w="2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6,009</w:t>
            </w:r>
          </w:p>
        </w:tc>
        <w:tc>
          <w:tcPr>
            <w:tcW w:w="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1,331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5,537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8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WESTERNGECO</w:t>
            </w: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560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478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M-I SWACO</w:t>
            </w:r>
            <w:r>
              <w:rPr>
                <w:rFonts w:ascii="Arial" w:cs="Arial" w:eastAsia="Arial" w:hAnsi="Arial"/>
                <w:sz w:val="12"/>
                <w:szCs w:val="12"/>
                <w:b w:val="1"/>
                <w:bCs w:val="1"/>
                <w:color w:val="auto"/>
              </w:rPr>
              <w:t>(1)</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1,185</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SMITH OILFIELD</w:t>
            </w:r>
            <w:r>
              <w:rPr>
                <w:rFonts w:ascii="Arial" w:cs="Arial" w:eastAsia="Arial" w:hAnsi="Arial"/>
                <w:sz w:val="12"/>
                <w:szCs w:val="12"/>
                <w:b w:val="1"/>
                <w:bCs w:val="1"/>
                <w:i w:val="1"/>
                <w:iCs w:val="1"/>
                <w:color w:val="auto"/>
              </w:rPr>
              <w:t>(1)</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729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DISTRIBUTION</w:t>
            </w:r>
            <w:r>
              <w:rPr>
                <w:rFonts w:ascii="Arial" w:cs="Arial" w:eastAsia="Arial" w:hAnsi="Arial"/>
                <w:sz w:val="12"/>
                <w:szCs w:val="12"/>
                <w:b w:val="1"/>
                <w:bCs w:val="1"/>
                <w:i w:val="1"/>
                <w:iCs w:val="1"/>
                <w:color w:val="auto"/>
              </w:rPr>
              <w:t>(1)</w:t>
            </w:r>
          </w:p>
        </w:tc>
        <w:tc>
          <w:tcPr>
            <w:tcW w:w="27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576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9,059</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1,720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6,825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w w:val="91"/>
              </w:rPr>
              <w:t>1,226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r>
              <w:rPr>
                <w:rFonts w:ascii="Arial" w:cs="Arial" w:eastAsia="Arial" w:hAnsi="Arial"/>
                <w:sz w:val="12"/>
                <w:szCs w:val="12"/>
                <w:color w:val="auto"/>
              </w:rPr>
              <w:t>(2)</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line="149" w:lineRule="exact"/>
              <w:rPr>
                <w:sz w:val="20"/>
                <w:szCs w:val="20"/>
                <w:color w:val="auto"/>
              </w:rPr>
            </w:pPr>
            <w:r>
              <w:rPr>
                <w:rFonts w:ascii="Arial" w:cs="Arial" w:eastAsia="Arial" w:hAnsi="Arial"/>
                <w:sz w:val="14"/>
                <w:szCs w:val="14"/>
                <w:color w:val="auto"/>
              </w:rPr>
              <w:t>Interest income</w:t>
            </w:r>
            <w:r>
              <w:rPr>
                <w:rFonts w:ascii="Arial" w:cs="Arial" w:eastAsia="Arial" w:hAnsi="Arial"/>
                <w:sz w:val="12"/>
                <w:szCs w:val="12"/>
                <w:color w:val="auto"/>
              </w:rPr>
              <w:t>(3)</w:t>
            </w:r>
          </w:p>
        </w:tc>
        <w:tc>
          <w:tcPr>
            <w:tcW w:w="2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(4)</w:t>
            </w:r>
          </w:p>
        </w:tc>
        <w:tc>
          <w:tcPr>
            <w:tcW w:w="2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60" w:type="dxa"/>
            <w:vAlign w:val="bottom"/>
          </w:tcPr>
          <w:p>
            <w:pPr>
              <w:spacing w:after="0"/>
              <w:rPr>
                <w:sz w:val="20"/>
                <w:szCs w:val="20"/>
                <w:color w:val="auto"/>
              </w:rPr>
            </w:pPr>
            <w:r>
              <w:rPr>
                <w:rFonts w:ascii="Arial" w:cs="Arial" w:eastAsia="Arial" w:hAnsi="Arial"/>
                <w:sz w:val="14"/>
                <w:szCs w:val="14"/>
                <w:color w:val="auto"/>
              </w:rPr>
              <w:t>Charges &amp; credits</w:t>
            </w:r>
            <w:r>
              <w:rPr>
                <w:rFonts w:ascii="Arial" w:cs="Arial" w:eastAsia="Arial" w:hAnsi="Arial"/>
                <w:sz w:val="12"/>
                <w:szCs w:val="12"/>
                <w:color w:val="auto"/>
              </w:rPr>
              <w:t>(5)</w:t>
            </w:r>
          </w:p>
        </w:tc>
        <w:tc>
          <w:tcPr>
            <w:tcW w:w="2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(180)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shd w:val="clear" w:color="auto" w:fill="000000"/>
          </w:tcPr>
          <w:p>
            <w:pPr>
              <w:spacing w:after="0"/>
              <w:rPr>
                <w:sz w:val="2"/>
                <w:szCs w:val="2"/>
                <w:color w:val="auto"/>
              </w:rPr>
            </w:pPr>
          </w:p>
        </w:tc>
        <w:tc>
          <w:tcPr>
            <w:tcW w:w="27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840" w:type="dxa"/>
            <w:vAlign w:val="bottom"/>
            <w:gridSpan w:val="2"/>
            <w:shd w:val="clear" w:color="auto" w:fill="CCEEFF"/>
          </w:tcPr>
          <w:p>
            <w:pPr>
              <w:ind w:left="2760"/>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9,067</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1,335</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6,845</w:t>
            </w:r>
          </w:p>
        </w:tc>
        <w:tc>
          <w:tcPr>
            <w:tcW w:w="1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1,940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40" w:right="220" w:hanging="240"/>
        <w:spacing w:after="0" w:line="230" w:lineRule="auto"/>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The third quarter of 2010 includes one month of post-merger activity following the Smith transaction on August 27, 2010. See Note 4 to the </w:t>
      </w:r>
      <w:r>
        <w:rPr>
          <w:rFonts w:ascii="Arial" w:cs="Arial" w:eastAsia="Arial" w:hAnsi="Arial"/>
          <w:sz w:val="14"/>
          <w:szCs w:val="14"/>
          <w:i w:val="1"/>
          <w:iCs w:val="1"/>
          <w:color w:val="auto"/>
        </w:rPr>
        <w:t>Consolidated Financial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Statements </w:t>
      </w:r>
      <w:r>
        <w:rPr>
          <w:rFonts w:ascii="Arial" w:cs="Arial" w:eastAsia="Arial" w:hAnsi="Arial"/>
          <w:sz w:val="14"/>
          <w:szCs w:val="14"/>
          <w:color w:val="auto"/>
        </w:rPr>
        <w:t>for further details.</w:t>
      </w:r>
    </w:p>
    <w:p>
      <w:pPr>
        <w:ind w:left="940" w:right="140" w:hanging="240"/>
        <w:spacing w:after="0" w:line="221" w:lineRule="auto"/>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Comprised principally of corporate expenses not allocated to the segments, interest on postretirement medical benefits, stock-based compensation costs, amortization expense associated with intangible assets recorded as a result of the merger with Smith and certain other nonoperating items.</w:t>
      </w:r>
    </w:p>
    <w:p>
      <w:pPr>
        <w:ind w:left="940" w:hanging="240"/>
        <w:spacing w:after="0" w:line="221" w:lineRule="auto"/>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interest income included in the segments’ income (fourth quarter 2010 – $1 million; third quarter 2010 – $2 million).</w:t>
      </w:r>
    </w:p>
    <w:p>
      <w:pPr>
        <w:ind w:left="940" w:hanging="240"/>
        <w:spacing w:after="0" w:line="221" w:lineRule="auto"/>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interest expense included in the segments’ income (fourth quarter 2010 - $2 million; third quarter 2010 – $- million).</w:t>
      </w:r>
    </w:p>
    <w:p>
      <w:pPr>
        <w:ind w:left="940" w:hanging="240"/>
        <w:spacing w:after="0"/>
        <w:tabs>
          <w:tab w:leader="none" w:pos="9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Oilfield Services</w:t>
      </w:r>
    </w:p>
    <w:p>
      <w:pPr>
        <w:spacing w:after="0" w:line="126" w:lineRule="exact"/>
        <w:rPr>
          <w:sz w:val="20"/>
          <w:szCs w:val="20"/>
          <w:color w:val="auto"/>
        </w:rPr>
      </w:pPr>
    </w:p>
    <w:p>
      <w:pPr>
        <w:ind w:left="700" w:right="20" w:firstLine="198"/>
        <w:spacing w:after="0" w:line="284" w:lineRule="auto"/>
        <w:rPr>
          <w:sz w:val="20"/>
          <w:szCs w:val="20"/>
          <w:color w:val="auto"/>
        </w:rPr>
      </w:pPr>
      <w:r>
        <w:rPr>
          <w:rFonts w:ascii="Arial" w:cs="Arial" w:eastAsia="Arial" w:hAnsi="Arial"/>
          <w:sz w:val="16"/>
          <w:szCs w:val="16"/>
          <w:color w:val="auto"/>
        </w:rPr>
        <w:t>Fourth-quarter revenue of $6.01 billion increased 9% sequentially. Sequentially, North America Area revenue increased 27% on strong activity on land in the US and Canada as well as from the early payout of an IPM gain share project. In the Middle East &amp; Asia Area, revenue grew on year-end equipment, Schlumberger Information Solutions (SIS) software sales, and on higher activity in the Iraq, East Asia and Indonesia GeoMarkets. Europe/CIS/Africa Area revenue increased from stronger activity in the North Sea, West &amp; South Africa, Caspian and Continental Europe GeoMarkets, as well as from year-end SIS software sales. These increases were partially offset by a decrease in Latin America Area revenue primarily due to continuing weakness in the Mexico/Central America GeoMarket.</w:t>
      </w:r>
    </w:p>
    <w:p>
      <w:pPr>
        <w:spacing w:after="0" w:line="5" w:lineRule="exact"/>
        <w:rPr>
          <w:sz w:val="20"/>
          <w:szCs w:val="20"/>
          <w:color w:val="auto"/>
        </w:rPr>
      </w:pPr>
    </w:p>
    <w:p>
      <w:pPr>
        <w:ind w:left="700" w:right="80" w:firstLine="198"/>
        <w:spacing w:after="0" w:line="323" w:lineRule="auto"/>
        <w:rPr>
          <w:sz w:val="20"/>
          <w:szCs w:val="20"/>
          <w:color w:val="auto"/>
        </w:rPr>
      </w:pPr>
      <w:r>
        <w:rPr>
          <w:rFonts w:ascii="Arial" w:cs="Arial" w:eastAsia="Arial" w:hAnsi="Arial"/>
          <w:sz w:val="16"/>
          <w:szCs w:val="16"/>
          <w:color w:val="auto"/>
        </w:rPr>
        <w:t>All Technologies recorded sequential growth, most notably Well Services due to continuing strong activity in North America, and SIS and Artificial Lift from year-end sales. IPM revenue also increased as a result of the early payout on the IPM project in North America.</w:t>
      </w:r>
    </w:p>
    <w:p>
      <w:pPr>
        <w:spacing w:after="0" w:line="32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540" w:firstLine="198"/>
        <w:spacing w:after="0" w:line="264" w:lineRule="auto"/>
        <w:rPr>
          <w:sz w:val="20"/>
          <w:szCs w:val="20"/>
          <w:color w:val="auto"/>
        </w:rPr>
      </w:pPr>
      <w:r>
        <w:rPr>
          <w:rFonts w:ascii="Arial" w:cs="Arial" w:eastAsia="Arial" w:hAnsi="Arial"/>
          <w:sz w:val="18"/>
          <w:szCs w:val="18"/>
          <w:color w:val="auto"/>
        </w:rPr>
        <w:t>Fourth-quarter pretax operating income of $1.33 billion increased 21% sequentially. Pretax operating margin increased 224 bps sequentially to 22.1% primarily driven by the robust performance in North America and strong contributions from the year-end equipment and software sales.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 America</w:t>
      </w:r>
    </w:p>
    <w:p>
      <w:pPr>
        <w:spacing w:after="0" w:line="126" w:lineRule="exact"/>
        <w:rPr>
          <w:sz w:val="20"/>
          <w:szCs w:val="20"/>
          <w:color w:val="auto"/>
        </w:rPr>
      </w:pPr>
    </w:p>
    <w:p>
      <w:pPr>
        <w:jc w:val="center"/>
        <w:ind w:left="900" w:right="40"/>
        <w:spacing w:after="0" w:line="286" w:lineRule="auto"/>
        <w:rPr>
          <w:sz w:val="20"/>
          <w:szCs w:val="20"/>
          <w:color w:val="auto"/>
        </w:rPr>
      </w:pPr>
      <w:r>
        <w:rPr>
          <w:rFonts w:ascii="Arial" w:cs="Arial" w:eastAsia="Arial" w:hAnsi="Arial"/>
          <w:sz w:val="16"/>
          <w:szCs w:val="16"/>
          <w:color w:val="auto"/>
        </w:rPr>
        <w:t>Fourth-quarter revenue of $1.60 billion increased 27% sequentially and pretax operating income of $385 million was 75% higher. Sequentially, revenue in US land grew 24% versus a 4% increase in rig count due to a combination of additional service capacity, improved utilization, and high service intensity that mostly benefited Well Services technologies. Canada revenue grew from higher land activity for Well Services, although this was partially offset by a slowdown in offshore activity that impacted Drilling &amp; Measurements</w:t>
      </w:r>
    </w:p>
    <w:p>
      <w:pPr>
        <w:spacing w:after="0" w:line="2" w:lineRule="exact"/>
        <w:rPr>
          <w:sz w:val="20"/>
          <w:szCs w:val="20"/>
          <w:color w:val="auto"/>
        </w:rPr>
      </w:pPr>
    </w:p>
    <w:p>
      <w:pPr>
        <w:ind w:left="700" w:right="160"/>
        <w:spacing w:after="0" w:line="250" w:lineRule="auto"/>
        <w:rPr>
          <w:sz w:val="20"/>
          <w:szCs w:val="20"/>
          <w:color w:val="auto"/>
        </w:rPr>
      </w:pPr>
      <w:r>
        <w:rPr>
          <w:rFonts w:ascii="Arial" w:cs="Arial" w:eastAsia="Arial" w:hAnsi="Arial"/>
          <w:sz w:val="18"/>
          <w:szCs w:val="18"/>
          <w:color w:val="auto"/>
        </w:rPr>
        <w:t>services. The US Gulf of Mexico revenue increased through a modest improvement in shelf activity and from Completion Systems equipment sales. An $87 million early payout relating to services on an IPM gain share project – triggered by the customer’s sale of the field – also contributed to Area growth.</w:t>
      </w:r>
    </w:p>
    <w:p>
      <w:pPr>
        <w:spacing w:after="0" w:line="1" w:lineRule="exact"/>
        <w:rPr>
          <w:sz w:val="20"/>
          <w:szCs w:val="20"/>
          <w:color w:val="auto"/>
        </w:rPr>
      </w:pPr>
    </w:p>
    <w:p>
      <w:pPr>
        <w:ind w:left="700" w:right="240" w:firstLine="198"/>
        <w:spacing w:after="0" w:line="255" w:lineRule="auto"/>
        <w:rPr>
          <w:sz w:val="20"/>
          <w:szCs w:val="20"/>
          <w:color w:val="auto"/>
        </w:rPr>
      </w:pPr>
      <w:r>
        <w:rPr>
          <w:rFonts w:ascii="Arial" w:cs="Arial" w:eastAsia="Arial" w:hAnsi="Arial"/>
          <w:sz w:val="18"/>
          <w:szCs w:val="18"/>
          <w:color w:val="auto"/>
        </w:rPr>
        <w:t>Pretax operating margin for the Area increased 658 bps sequentially to 24.0%. This increase was largely driven by US land through stronger activity and increased efficiency for Well Services operations. The IPM gain share payout contributed approximately $55 million to Area pretax operating income.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Latin America</w:t>
      </w:r>
    </w:p>
    <w:p>
      <w:pPr>
        <w:spacing w:after="0" w:line="126" w:lineRule="exact"/>
        <w:rPr>
          <w:sz w:val="20"/>
          <w:szCs w:val="20"/>
          <w:color w:val="auto"/>
        </w:rPr>
      </w:pPr>
    </w:p>
    <w:p>
      <w:pPr>
        <w:ind w:left="700" w:right="120" w:firstLine="198"/>
        <w:spacing w:after="0" w:line="258" w:lineRule="auto"/>
        <w:rPr>
          <w:sz w:val="20"/>
          <w:szCs w:val="20"/>
          <w:color w:val="auto"/>
        </w:rPr>
      </w:pPr>
      <w:r>
        <w:rPr>
          <w:rFonts w:ascii="Arial" w:cs="Arial" w:eastAsia="Arial" w:hAnsi="Arial"/>
          <w:sz w:val="18"/>
          <w:szCs w:val="18"/>
          <w:color w:val="auto"/>
        </w:rPr>
        <w:t>Fourth-quarter revenue of $1.05 billion decreased 2% versus the prior quarter. Pretax operating income of $174 million increased 9% compared to the third quarter of 2010.</w:t>
      </w:r>
    </w:p>
    <w:p>
      <w:pPr>
        <w:spacing w:after="0" w:line="1" w:lineRule="exact"/>
        <w:rPr>
          <w:sz w:val="20"/>
          <w:szCs w:val="20"/>
          <w:color w:val="auto"/>
        </w:rPr>
      </w:pPr>
    </w:p>
    <w:p>
      <w:pPr>
        <w:ind w:left="700" w:right="60" w:firstLine="198"/>
        <w:spacing w:after="0" w:line="265" w:lineRule="auto"/>
        <w:rPr>
          <w:sz w:val="20"/>
          <w:szCs w:val="20"/>
          <w:color w:val="auto"/>
        </w:rPr>
      </w:pPr>
      <w:r>
        <w:rPr>
          <w:rFonts w:ascii="Arial" w:cs="Arial" w:eastAsia="Arial" w:hAnsi="Arial"/>
          <w:sz w:val="17"/>
          <w:szCs w:val="17"/>
          <w:color w:val="auto"/>
        </w:rPr>
        <w:t>Sequentially, the Brazil GeoMarket achieved record high revenue on strong deepwater activity, while revenue in the Peru/Colombia/Ecuador GeoMarket grew from higher gain share on IPM activity in Colombia and from Testing Services equipment sales in Peru. These increases, however, were insufficient to offset a significant revenue drop in the Mexico/Central America GeoMarket where continuing security issues and client budgetary constraints further reduced IPM activity levels.</w:t>
      </w:r>
    </w:p>
    <w:p>
      <w:pPr>
        <w:spacing w:after="0" w:line="1" w:lineRule="exact"/>
        <w:rPr>
          <w:sz w:val="20"/>
          <w:szCs w:val="20"/>
          <w:color w:val="auto"/>
        </w:rPr>
      </w:pPr>
    </w:p>
    <w:p>
      <w:pPr>
        <w:ind w:left="700" w:right="1160" w:firstLine="198"/>
        <w:spacing w:after="0" w:line="261" w:lineRule="auto"/>
        <w:rPr>
          <w:sz w:val="20"/>
          <w:szCs w:val="20"/>
          <w:color w:val="auto"/>
        </w:rPr>
      </w:pPr>
      <w:r>
        <w:rPr>
          <w:rFonts w:ascii="Arial" w:cs="Arial" w:eastAsia="Arial" w:hAnsi="Arial"/>
          <w:sz w:val="18"/>
          <w:szCs w:val="18"/>
          <w:color w:val="auto"/>
        </w:rPr>
        <w:t>Pretax operating margin improved 171 bps sequentially to 16.6% primarily due to a more favorable revenue mix in the Peru/Colombia/Ecuador and Venezuela/Trinidad &amp; Tobago GeoMarkets.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Europe/CIS/Africa</w:t>
      </w:r>
    </w:p>
    <w:p>
      <w:pPr>
        <w:spacing w:after="0" w:line="126" w:lineRule="exact"/>
        <w:rPr>
          <w:sz w:val="20"/>
          <w:szCs w:val="20"/>
          <w:color w:val="auto"/>
        </w:rPr>
      </w:pPr>
    </w:p>
    <w:p>
      <w:pPr>
        <w:ind w:left="700" w:right="120" w:firstLine="198"/>
        <w:spacing w:after="0" w:line="258" w:lineRule="auto"/>
        <w:rPr>
          <w:sz w:val="20"/>
          <w:szCs w:val="20"/>
          <w:color w:val="auto"/>
        </w:rPr>
      </w:pPr>
      <w:r>
        <w:rPr>
          <w:rFonts w:ascii="Arial" w:cs="Arial" w:eastAsia="Arial" w:hAnsi="Arial"/>
          <w:sz w:val="18"/>
          <w:szCs w:val="18"/>
          <w:color w:val="auto"/>
        </w:rPr>
        <w:t>Fourth-quarter revenue of $1.78 billion increased 3% compared to the third quarter of 2010. Pretax operating income of $339 million increased 7% sequentially.</w:t>
      </w:r>
    </w:p>
    <w:p>
      <w:pPr>
        <w:spacing w:after="0" w:line="1" w:lineRule="exact"/>
        <w:rPr>
          <w:sz w:val="20"/>
          <w:szCs w:val="20"/>
          <w:color w:val="auto"/>
        </w:rPr>
      </w:pPr>
    </w:p>
    <w:p>
      <w:pPr>
        <w:ind w:left="700" w:firstLine="198"/>
        <w:spacing w:after="0" w:line="265" w:lineRule="auto"/>
        <w:rPr>
          <w:sz w:val="20"/>
          <w:szCs w:val="20"/>
          <w:color w:val="auto"/>
        </w:rPr>
      </w:pPr>
      <w:r>
        <w:rPr>
          <w:rFonts w:ascii="Arial" w:cs="Arial" w:eastAsia="Arial" w:hAnsi="Arial"/>
          <w:sz w:val="17"/>
          <w:szCs w:val="17"/>
          <w:color w:val="auto"/>
        </w:rPr>
        <w:t>Sequentially, revenue in the North Sea GeoMarket increased primarily from higher activity in Norway and from year-end SIS software sales. In the West &amp; South Africa GeoMarket, revenue grew on stronger activity that benefited Wireline and Drilling &amp; Measurements services and on higher Completion Systems equipment sales. Caspian GeoMarket revenue increased from the startup of several projects that resulted in higher demand for Drilling &amp; Measurements, Testing Services and Wireline technologies as well as from a Well Services equipment sale. Continental Europe revenue grew on higher activity for Well Services and Testing Services technologies and on year-end SIS software sales. These increases, however, were partially offset by a decrease in Nigeria &amp; Gulf of Guinea GeoMarket revenue from lower Completion Systems equipment sales and from delays that reduced demand for Wireline services. Russia revenue was also lower with the onset of the winter slowdown.</w:t>
      </w:r>
    </w:p>
    <w:p>
      <w:pPr>
        <w:spacing w:after="0" w:line="2" w:lineRule="exact"/>
        <w:rPr>
          <w:sz w:val="20"/>
          <w:szCs w:val="20"/>
          <w:color w:val="auto"/>
        </w:rPr>
      </w:pPr>
    </w:p>
    <w:p>
      <w:pPr>
        <w:ind w:left="700" w:right="240" w:firstLine="198"/>
        <w:spacing w:after="0" w:line="254" w:lineRule="auto"/>
        <w:rPr>
          <w:sz w:val="20"/>
          <w:szCs w:val="20"/>
          <w:color w:val="auto"/>
        </w:rPr>
      </w:pPr>
      <w:r>
        <w:rPr>
          <w:rFonts w:ascii="Arial" w:cs="Arial" w:eastAsia="Arial" w:hAnsi="Arial"/>
          <w:sz w:val="18"/>
          <w:szCs w:val="18"/>
          <w:color w:val="auto"/>
        </w:rPr>
        <w:t>Pretax operating margin improved sequentially by 74 bps to 19.0% primarily from a stronger mix of high-margin Wireline and Drilling &amp; Measurements services in the North Sea and West &amp; South Africa GeoMarkets as well as from year-end SIS software sales across much of the Area. These increases were partially offset by the impact of the activity weakness in the Nigeria &amp; Gulf of Guinea GeoMarket.</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Middle East &amp; Asia</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Fourth-quarter revenue of $1.49 billion increased 6% sequentially. Pretax operating income of $434 million increased 2% sequentially.</w:t>
      </w:r>
    </w:p>
    <w:p>
      <w:pPr>
        <w:spacing w:after="0" w:line="200" w:lineRule="exact"/>
        <w:rPr>
          <w:sz w:val="20"/>
          <w:szCs w:val="20"/>
          <w:color w:val="auto"/>
        </w:rPr>
      </w:pPr>
    </w:p>
    <w:p>
      <w:pPr>
        <w:spacing w:after="0" w:line="23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40" w:firstLine="198"/>
        <w:spacing w:after="0" w:line="253" w:lineRule="auto"/>
        <w:rPr>
          <w:sz w:val="20"/>
          <w:szCs w:val="20"/>
          <w:color w:val="auto"/>
        </w:rPr>
      </w:pPr>
      <w:r>
        <w:rPr>
          <w:rFonts w:ascii="Arial" w:cs="Arial" w:eastAsia="Arial" w:hAnsi="Arial"/>
          <w:sz w:val="18"/>
          <w:szCs w:val="18"/>
          <w:color w:val="auto"/>
        </w:rPr>
        <w:t>Sequentially, revenue growth resulted from the continued ramp up of IPM activity in Iraq and the start of new offshore projects in East Asia. Year-end sales of Artificial Lift and Completion Systems equipment, Well Services products, and SIS software also contributed to Area growth. These increases were partially offset by lower revenue in the Australia/Papua New Guinea GeoMarket resulting from offshore project completions and delays in land activity due to severe flooding, and by lower activity in the Qatar GeoMarket that reduced demand for Wireline and Drilling &amp; Measurements services.</w:t>
      </w:r>
    </w:p>
    <w:p>
      <w:pPr>
        <w:spacing w:after="0" w:line="4" w:lineRule="exact"/>
        <w:rPr>
          <w:sz w:val="20"/>
          <w:szCs w:val="20"/>
          <w:color w:val="auto"/>
        </w:rPr>
      </w:pPr>
    </w:p>
    <w:p>
      <w:pPr>
        <w:ind w:left="700" w:right="140" w:firstLine="198"/>
        <w:spacing w:after="0" w:line="255" w:lineRule="auto"/>
        <w:rPr>
          <w:sz w:val="20"/>
          <w:szCs w:val="20"/>
          <w:color w:val="auto"/>
        </w:rPr>
      </w:pPr>
      <w:r>
        <w:rPr>
          <w:rFonts w:ascii="Arial" w:cs="Arial" w:eastAsia="Arial" w:hAnsi="Arial"/>
          <w:sz w:val="18"/>
          <w:szCs w:val="18"/>
          <w:color w:val="auto"/>
        </w:rPr>
        <w:t>Pretax operating margin decreased 119 bps sequentially to 29.1% as the positive contribution from the year-end sales and a more favorable revenue mix in the Arabian GeoMarket were insufficient to offset the impact of the lower activity in the Australia/Papua New Guinea GeoMarket and startup costs in Iraq.</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WesternGeco</w:t>
      </w:r>
    </w:p>
    <w:p>
      <w:pPr>
        <w:spacing w:after="0" w:line="126" w:lineRule="exact"/>
        <w:rPr>
          <w:sz w:val="20"/>
          <w:szCs w:val="20"/>
          <w:color w:val="auto"/>
        </w:rPr>
      </w:pPr>
    </w:p>
    <w:p>
      <w:pPr>
        <w:ind w:left="700" w:right="700" w:firstLine="198"/>
        <w:spacing w:after="0" w:line="258" w:lineRule="auto"/>
        <w:rPr>
          <w:sz w:val="20"/>
          <w:szCs w:val="20"/>
          <w:color w:val="auto"/>
        </w:rPr>
      </w:pPr>
      <w:r>
        <w:rPr>
          <w:rFonts w:ascii="Arial" w:cs="Arial" w:eastAsia="Arial" w:hAnsi="Arial"/>
          <w:sz w:val="18"/>
          <w:szCs w:val="18"/>
          <w:color w:val="auto"/>
        </w:rPr>
        <w:t>Fourth-quarter revenue of $560 million increased 17% sequentially. Pretax operating income of $113 million increased 183% sequentially.</w:t>
      </w:r>
    </w:p>
    <w:p>
      <w:pPr>
        <w:spacing w:after="0" w:line="1" w:lineRule="exact"/>
        <w:rPr>
          <w:sz w:val="20"/>
          <w:szCs w:val="20"/>
          <w:color w:val="auto"/>
        </w:rPr>
      </w:pPr>
    </w:p>
    <w:p>
      <w:pPr>
        <w:ind w:left="700" w:right="460" w:firstLine="198"/>
        <w:spacing w:after="0" w:line="250" w:lineRule="auto"/>
        <w:rPr>
          <w:sz w:val="20"/>
          <w:szCs w:val="20"/>
          <w:color w:val="auto"/>
        </w:rPr>
      </w:pPr>
      <w:r>
        <w:rPr>
          <w:rFonts w:ascii="Arial" w:cs="Arial" w:eastAsia="Arial" w:hAnsi="Arial"/>
          <w:sz w:val="18"/>
          <w:szCs w:val="18"/>
          <w:color w:val="auto"/>
        </w:rPr>
        <w:t>Sequentially, revenue growth was driven by Multiclient, which recorded strong year-end sales from the US Gulf of Mexico. This increase was partially offset by a decrease in Marine revenue due to the seasonal slow-down in activity. Land and Data Processing revenues were flat sequentially.</w:t>
      </w:r>
    </w:p>
    <w:p>
      <w:pPr>
        <w:spacing w:after="0" w:line="1" w:lineRule="exact"/>
        <w:rPr>
          <w:sz w:val="20"/>
          <w:szCs w:val="20"/>
          <w:color w:val="auto"/>
        </w:rPr>
      </w:pPr>
    </w:p>
    <w:p>
      <w:pPr>
        <w:ind w:left="700" w:right="380" w:firstLine="198"/>
        <w:spacing w:after="0" w:line="261" w:lineRule="auto"/>
        <w:rPr>
          <w:sz w:val="20"/>
          <w:szCs w:val="20"/>
          <w:color w:val="auto"/>
        </w:rPr>
      </w:pPr>
      <w:r>
        <w:rPr>
          <w:rFonts w:ascii="Arial" w:cs="Arial" w:eastAsia="Arial" w:hAnsi="Arial"/>
          <w:sz w:val="18"/>
          <w:szCs w:val="18"/>
          <w:color w:val="auto"/>
        </w:rPr>
        <w:t>Pretax operating margin increased 11.8 percentage points sequentially to 20.2% as the result of the high Multiclient sales partially offset by the impact of the lower Marine activity.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Full-Year 2010 Results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3"/>
          </w:tcPr>
          <w:p>
            <w:pPr>
              <w:jc w:val="right"/>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2"/>
                <w:szCs w:val="12"/>
                <w:color w:val="auto"/>
              </w:rPr>
            </w:pP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taxes</w:t>
            </w:r>
          </w:p>
        </w:tc>
        <w:tc>
          <w:tcPr>
            <w:tcW w:w="120" w:type="dxa"/>
            <w:vAlign w:val="bottom"/>
          </w:tcPr>
          <w:p>
            <w:pPr>
              <w:spacing w:after="0"/>
              <w:rPr>
                <w:sz w:val="16"/>
                <w:szCs w:val="16"/>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w w:val="89"/>
              </w:rPr>
              <w:t>Revenue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taxes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North America</w:t>
            </w:r>
          </w:p>
        </w:tc>
        <w:tc>
          <w:tcPr>
            <w:tcW w:w="1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5,010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802</w:t>
            </w:r>
          </w:p>
        </w:tc>
        <w:tc>
          <w:tcPr>
            <w:tcW w:w="1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3,707</w:t>
            </w:r>
          </w:p>
        </w:tc>
        <w:tc>
          <w:tcPr>
            <w:tcW w:w="26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Latin America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4,321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Europe/CIS/Africa</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1,269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7,150</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1,707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Middle East &amp; Asia</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5,586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1,696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Elims/Other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22,079</w:t>
            </w: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4,475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20,518</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4,326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WESTERNGECO</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1,987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267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2,122</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M-I SWACO</w:t>
            </w:r>
            <w:r>
              <w:rPr>
                <w:rFonts w:ascii="Arial" w:cs="Arial" w:eastAsia="Arial" w:hAnsi="Arial"/>
                <w:sz w:val="12"/>
                <w:szCs w:val="12"/>
                <w:b w:val="1"/>
                <w:bCs w:val="1"/>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SMITH OILFIELD</w:t>
            </w:r>
            <w:r>
              <w:rPr>
                <w:rFonts w:ascii="Arial" w:cs="Arial" w:eastAsia="Arial" w:hAnsi="Arial"/>
                <w:sz w:val="12"/>
                <w:szCs w:val="12"/>
                <w:b w:val="1"/>
                <w:bCs w:val="1"/>
                <w:color w:val="auto"/>
              </w:rPr>
              <w:t>(1)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957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DISTRIBUTION</w:t>
            </w:r>
            <w:r>
              <w:rPr>
                <w:rFonts w:ascii="Arial" w:cs="Arial" w:eastAsia="Arial" w:hAnsi="Arial"/>
                <w:sz w:val="12"/>
                <w:szCs w:val="12"/>
                <w:b w:val="1"/>
                <w:bCs w:val="1"/>
                <w:color w:val="auto"/>
              </w:rPr>
              <w:t>(1)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Corporate</w:t>
            </w:r>
            <w:r>
              <w:rPr>
                <w:rFonts w:ascii="Arial" w:cs="Arial" w:eastAsia="Arial" w:hAnsi="Arial"/>
                <w:sz w:val="12"/>
                <w:szCs w:val="12"/>
                <w:color w:val="auto"/>
              </w:rPr>
              <w:t>(2)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(405)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r>
              <w:rPr>
                <w:rFonts w:ascii="Arial" w:cs="Arial" w:eastAsia="Arial" w:hAnsi="Arial"/>
                <w:sz w:val="12"/>
                <w:szCs w:val="12"/>
                <w:color w:val="auto"/>
              </w:rPr>
              <w:t>(3)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(202)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r>
              <w:rPr>
                <w:rFonts w:ascii="Arial" w:cs="Arial" w:eastAsia="Arial" w:hAnsi="Arial"/>
                <w:sz w:val="12"/>
                <w:szCs w:val="12"/>
                <w:color w:val="auto"/>
              </w:rPr>
              <w:t>(5)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0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7"/>
              </w:rPr>
              <w:t>27,447</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5,156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22,702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3,934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40" w:right="140" w:hanging="240"/>
        <w:spacing w:after="0" w:line="230"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2010 includes four months of post-merger activity following the transaction with Smith on August 27, 2010. See Note 4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for further details.</w:t>
      </w:r>
    </w:p>
    <w:p>
      <w:pPr>
        <w:ind w:left="940" w:right="140" w:hanging="240"/>
        <w:spacing w:after="0" w:line="221"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Comprised principally of corporate expenses not allocated to the segments, interest on postretirement medical benefits, stock-based compensation costs, amortization expense associated with intangible assets recorded as a result of the merger with Smith and certain other nonoperating items.</w:t>
      </w:r>
    </w:p>
    <w:p>
      <w:pPr>
        <w:ind w:left="940" w:hanging="240"/>
        <w:spacing w:after="0" w:line="221"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interest income included in the segments’ income (2010 – $7 million; 2009 – $10 million).</w:t>
      </w:r>
    </w:p>
    <w:p>
      <w:pPr>
        <w:ind w:left="940" w:hanging="240"/>
        <w:spacing w:after="0" w:line="221" w:lineRule="auto"/>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Excludes interest expense included in the segments’ income (2010 – $5 million; 2009 – $33 million).</w:t>
      </w:r>
    </w:p>
    <w:p>
      <w:pPr>
        <w:ind w:left="940" w:hanging="240"/>
        <w:spacing w:after="0"/>
        <w:tabs>
          <w:tab w:leader="none" w:pos="9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Oilfield Services</w:t>
      </w:r>
    </w:p>
    <w:p>
      <w:pPr>
        <w:spacing w:after="0" w:line="126" w:lineRule="exact"/>
        <w:rPr>
          <w:sz w:val="20"/>
          <w:szCs w:val="20"/>
          <w:color w:val="auto"/>
        </w:rPr>
      </w:pPr>
    </w:p>
    <w:p>
      <w:pPr>
        <w:ind w:left="700" w:right="120" w:firstLine="198"/>
        <w:spacing w:after="0" w:line="277" w:lineRule="auto"/>
        <w:rPr>
          <w:sz w:val="20"/>
          <w:szCs w:val="20"/>
          <w:color w:val="auto"/>
        </w:rPr>
      </w:pPr>
      <w:r>
        <w:rPr>
          <w:rFonts w:ascii="Arial" w:cs="Arial" w:eastAsia="Arial" w:hAnsi="Arial"/>
          <w:sz w:val="18"/>
          <w:szCs w:val="18"/>
          <w:color w:val="auto"/>
        </w:rPr>
        <w:t>Full-year 2010 revenue of $22.08 billion was 8% higher than 2009. Revenue growth was strongest in the North America Area mostly as a result of higher activity and pricing for Well Services technologies in US Land but partially offset by</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20"/>
        <w:spacing w:after="0" w:line="267" w:lineRule="auto"/>
        <w:rPr>
          <w:sz w:val="20"/>
          <w:szCs w:val="20"/>
          <w:color w:val="auto"/>
        </w:rPr>
      </w:pPr>
      <w:r>
        <w:rPr>
          <w:rFonts w:ascii="Arial" w:cs="Arial" w:eastAsia="Arial" w:hAnsi="Arial"/>
          <w:sz w:val="17"/>
          <w:szCs w:val="17"/>
          <w:color w:val="auto"/>
        </w:rPr>
        <w:t>reduced activity in the US Gulf of Mexico. Latin America revenue increased on strong activity in the Brazil and Peru/Ecuador/Colombia GeoMarkets partially offset by reduced IPM activity in Mexico/Central America due to client budgetary constraints. Middle East &amp; Asia Area revenue grew from higher drilling activity in the Australia/Papua New Guinea, China/Japan/Korea and East Asia GeoMarkets as well as from increased IPM activity and strong demand for Well Services technologies in the Middle Eastern GeoMarkets. The addition of Geoservices also contributed to the increased revenue. These increases were partially offset by a decrease in Europe/CIS/Africa revenue as reduced activity in the North Africa, Libya, Caspian and Continental GeoMarkets and generally lower pricing across the Area offset higher activity in Russia.</w:t>
      </w:r>
    </w:p>
    <w:p>
      <w:pPr>
        <w:spacing w:after="0" w:line="5" w:lineRule="exact"/>
        <w:rPr>
          <w:sz w:val="20"/>
          <w:szCs w:val="20"/>
          <w:color w:val="auto"/>
        </w:rPr>
      </w:pPr>
    </w:p>
    <w:p>
      <w:pPr>
        <w:ind w:left="700" w:right="280" w:firstLine="198"/>
        <w:spacing w:after="0" w:line="255" w:lineRule="auto"/>
        <w:rPr>
          <w:sz w:val="20"/>
          <w:szCs w:val="20"/>
          <w:color w:val="auto"/>
        </w:rPr>
      </w:pPr>
      <w:r>
        <w:rPr>
          <w:rFonts w:ascii="Arial" w:cs="Arial" w:eastAsia="Arial" w:hAnsi="Arial"/>
          <w:sz w:val="18"/>
          <w:szCs w:val="18"/>
          <w:color w:val="auto"/>
        </w:rPr>
        <w:t>Year-on-year, pretax operating margin declined 82 bps to 20.3% as a significant improvement in North America Area performance was insufficient to offset the reduced activity and weaker pricing in the Europe/CIS/Africa Area and lower IPM activity in Latin America.</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 America</w:t>
      </w:r>
    </w:p>
    <w:p>
      <w:pPr>
        <w:spacing w:after="0" w:line="126" w:lineRule="exact"/>
        <w:rPr>
          <w:sz w:val="20"/>
          <w:szCs w:val="20"/>
          <w:color w:val="auto"/>
        </w:rPr>
      </w:pPr>
    </w:p>
    <w:p>
      <w:pPr>
        <w:ind w:left="700" w:right="120" w:firstLine="198"/>
        <w:spacing w:after="0" w:line="254" w:lineRule="auto"/>
        <w:rPr>
          <w:sz w:val="20"/>
          <w:szCs w:val="20"/>
          <w:color w:val="auto"/>
        </w:rPr>
      </w:pPr>
      <w:r>
        <w:rPr>
          <w:rFonts w:ascii="Arial" w:cs="Arial" w:eastAsia="Arial" w:hAnsi="Arial"/>
          <w:sz w:val="18"/>
          <w:szCs w:val="18"/>
          <w:color w:val="auto"/>
        </w:rPr>
        <w:t>Revenue of $5.01 billion was 35% higher than last year primarily due to strong activity in unconventional oil and gas reservoirs, improved pricing in US Land for Well Services technologies and improved activity levels in oil basins in Canada. These increases were partially offset by a decrease in the US Gulf of Mexico revenue as a six-month moratorium on drilling and lingering uncertainty about rules for operating resulted in the stoppage of deepwater drilling activity.</w:t>
      </w:r>
    </w:p>
    <w:p>
      <w:pPr>
        <w:spacing w:after="0" w:line="2" w:lineRule="exact"/>
        <w:rPr>
          <w:sz w:val="20"/>
          <w:szCs w:val="20"/>
          <w:color w:val="auto"/>
        </w:rPr>
      </w:pPr>
    </w:p>
    <w:p>
      <w:pPr>
        <w:ind w:left="700" w:right="440" w:firstLine="198"/>
        <w:spacing w:after="0" w:line="261" w:lineRule="auto"/>
        <w:rPr>
          <w:sz w:val="20"/>
          <w:szCs w:val="20"/>
          <w:color w:val="auto"/>
        </w:rPr>
      </w:pPr>
      <w:r>
        <w:rPr>
          <w:rFonts w:ascii="Arial" w:cs="Arial" w:eastAsia="Arial" w:hAnsi="Arial"/>
          <w:sz w:val="18"/>
          <w:szCs w:val="18"/>
          <w:color w:val="auto"/>
        </w:rPr>
        <w:t>Year-on-year, pretax operating margin increased 10 percentage points to 16.0% mostly due to the stronger activity and improved pricing in the US land, partially offset by the impact of the activity slow-down in the US Gulf of Mexico.</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Latin America</w:t>
      </w:r>
    </w:p>
    <w:p>
      <w:pPr>
        <w:spacing w:after="0" w:line="126" w:lineRule="exact"/>
        <w:rPr>
          <w:sz w:val="20"/>
          <w:szCs w:val="20"/>
          <w:color w:val="auto"/>
        </w:rPr>
      </w:pPr>
    </w:p>
    <w:p>
      <w:pPr>
        <w:ind w:left="700" w:right="40" w:firstLine="198"/>
        <w:spacing w:after="0" w:line="253" w:lineRule="auto"/>
        <w:rPr>
          <w:sz w:val="20"/>
          <w:szCs w:val="20"/>
          <w:color w:val="auto"/>
        </w:rPr>
      </w:pPr>
      <w:r>
        <w:rPr>
          <w:rFonts w:ascii="Arial" w:cs="Arial" w:eastAsia="Arial" w:hAnsi="Arial"/>
          <w:sz w:val="18"/>
          <w:szCs w:val="18"/>
          <w:color w:val="auto"/>
        </w:rPr>
        <w:t>Revenue of $4.32 billion was 2% higher than the previous year. Growth was strongest in the Brazil GeoMarket where higher offshore activity increased demand for Wireline and Drilling &amp; Measurements services technologies. Revenue also increased significantly in the Peru/Ecuador/Colombia GeoMarket due to strong IPM activity and higher Artificial Lift systems sales. The addition of Geoservices also contributed to the growth. These increases were partially offset by a decrease in the Mexico/Central America GeoMarket revenue as client budgetary constraints reduced IPM activity.</w:t>
      </w:r>
    </w:p>
    <w:p>
      <w:pPr>
        <w:spacing w:after="0" w:line="4" w:lineRule="exact"/>
        <w:rPr>
          <w:sz w:val="20"/>
          <w:szCs w:val="20"/>
          <w:color w:val="auto"/>
        </w:rPr>
      </w:pPr>
    </w:p>
    <w:p>
      <w:pPr>
        <w:ind w:left="700" w:right="400" w:firstLine="198"/>
        <w:spacing w:after="0" w:line="261" w:lineRule="auto"/>
        <w:rPr>
          <w:sz w:val="20"/>
          <w:szCs w:val="20"/>
          <w:color w:val="auto"/>
        </w:rPr>
      </w:pPr>
      <w:r>
        <w:rPr>
          <w:rFonts w:ascii="Arial" w:cs="Arial" w:eastAsia="Arial" w:hAnsi="Arial"/>
          <w:sz w:val="18"/>
          <w:szCs w:val="18"/>
          <w:color w:val="auto"/>
        </w:rPr>
        <w:t>Year-on-year, pretax operating margin decreased 110 bps to 16.7% primarily due to the reduced activity levels in Mexico/Central America partially offset by the impact of lower costs in Venezuela/Trinidad &amp; Tobago.</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Europe/CIS/Africa</w:t>
      </w:r>
    </w:p>
    <w:p>
      <w:pPr>
        <w:spacing w:after="0" w:line="126" w:lineRule="exact"/>
        <w:rPr>
          <w:sz w:val="20"/>
          <w:szCs w:val="20"/>
          <w:color w:val="auto"/>
        </w:rPr>
      </w:pPr>
    </w:p>
    <w:p>
      <w:pPr>
        <w:jc w:val="both"/>
        <w:ind w:left="700" w:right="80" w:firstLine="198"/>
        <w:spacing w:after="0" w:line="271" w:lineRule="auto"/>
        <w:rPr>
          <w:sz w:val="20"/>
          <w:szCs w:val="20"/>
          <w:color w:val="auto"/>
        </w:rPr>
      </w:pPr>
      <w:r>
        <w:rPr>
          <w:rFonts w:ascii="Arial" w:cs="Arial" w:eastAsia="Arial" w:hAnsi="Arial"/>
          <w:sz w:val="17"/>
          <w:szCs w:val="17"/>
          <w:color w:val="auto"/>
        </w:rPr>
        <w:t>Revenue of $6.88 billion was 4% lower year-on-year. This decrease was largely attributable to lower pricing across much of the Area and reduced activity in the North Africa, Libya, Caspian and Continental Europe GeoMarkets. These decreases were partially offset by increases in Russia due to higher IPM activity. The addition of Geoservices also contributed to Area revenue.</w:t>
      </w:r>
    </w:p>
    <w:p>
      <w:pPr>
        <w:ind w:left="700" w:right="440" w:firstLine="198"/>
        <w:spacing w:after="0" w:line="261" w:lineRule="auto"/>
        <w:rPr>
          <w:sz w:val="20"/>
          <w:szCs w:val="20"/>
          <w:color w:val="auto"/>
        </w:rPr>
      </w:pPr>
      <w:r>
        <w:rPr>
          <w:rFonts w:ascii="Arial" w:cs="Arial" w:eastAsia="Arial" w:hAnsi="Arial"/>
          <w:sz w:val="18"/>
          <w:szCs w:val="18"/>
          <w:color w:val="auto"/>
        </w:rPr>
        <w:t>Year-on-year, pretax operating margin decreased 543 bps to 18.4% primarily due to the lower overall activity levels and reduced pricing.</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Middle East &amp; Asia</w:t>
      </w:r>
    </w:p>
    <w:p>
      <w:pPr>
        <w:spacing w:after="0" w:line="126" w:lineRule="exact"/>
        <w:rPr>
          <w:sz w:val="20"/>
          <w:szCs w:val="20"/>
          <w:color w:val="auto"/>
        </w:rPr>
      </w:pPr>
    </w:p>
    <w:p>
      <w:pPr>
        <w:ind w:left="700" w:right="80" w:firstLine="198"/>
        <w:spacing w:after="0" w:line="271" w:lineRule="auto"/>
        <w:rPr>
          <w:sz w:val="20"/>
          <w:szCs w:val="20"/>
          <w:color w:val="auto"/>
        </w:rPr>
      </w:pPr>
      <w:r>
        <w:rPr>
          <w:rFonts w:ascii="Arial" w:cs="Arial" w:eastAsia="Arial" w:hAnsi="Arial"/>
          <w:sz w:val="17"/>
          <w:szCs w:val="17"/>
          <w:color w:val="auto"/>
        </w:rPr>
        <w:t>Revenue of $5.59 billion was 7% higher than the previous year primarily due to strong drilling activity in Asia, particularly in the Australia/Papua New Guinea, China/Japan/Korea and East Asia GeoMarkets, and to increased IPM activity and strong demand for Well Services technologies in the Middle Eastern GeoMarkets. The addition of Geoservices also increased Area revenue.</w:t>
      </w:r>
    </w:p>
    <w:p>
      <w:pPr>
        <w:ind w:left="900"/>
        <w:spacing w:after="0"/>
        <w:rPr>
          <w:sz w:val="20"/>
          <w:szCs w:val="20"/>
          <w:color w:val="auto"/>
        </w:rPr>
      </w:pPr>
      <w:r>
        <w:rPr>
          <w:rFonts w:ascii="Arial" w:cs="Arial" w:eastAsia="Arial" w:hAnsi="Arial"/>
          <w:sz w:val="17"/>
          <w:szCs w:val="17"/>
          <w:color w:val="auto"/>
        </w:rPr>
        <w:t>Year-on-year, pretax operating margin decreased 199 bps to 30.4% primarily due the impact of lower pricing across the Area.</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WesternGeco</w:t>
      </w:r>
    </w:p>
    <w:p>
      <w:pPr>
        <w:spacing w:after="0" w:line="126" w:lineRule="exact"/>
        <w:rPr>
          <w:sz w:val="20"/>
          <w:szCs w:val="20"/>
          <w:color w:val="auto"/>
        </w:rPr>
      </w:pPr>
    </w:p>
    <w:p>
      <w:pPr>
        <w:ind w:left="700" w:firstLine="198"/>
        <w:spacing w:after="0" w:line="264" w:lineRule="auto"/>
        <w:rPr>
          <w:sz w:val="20"/>
          <w:szCs w:val="20"/>
          <w:color w:val="auto"/>
        </w:rPr>
      </w:pPr>
      <w:r>
        <w:rPr>
          <w:rFonts w:ascii="Arial" w:cs="Arial" w:eastAsia="Arial" w:hAnsi="Arial"/>
          <w:sz w:val="18"/>
          <w:szCs w:val="18"/>
          <w:color w:val="auto"/>
        </w:rPr>
        <w:t>Full-year 2010 revenue of $1.99 billion was 6% lower than the prior year primarily due to reduced activity and pricing in Marine. This decrease was partially offset by an increase in Multiclient revenue as the result of increased acquisition and sales of wide-azimuth surveys in the US Gulf of Mexico.</w:t>
      </w: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firstLine="198"/>
        <w:spacing w:after="0" w:line="264" w:lineRule="auto"/>
        <w:rPr>
          <w:sz w:val="20"/>
          <w:szCs w:val="20"/>
          <w:color w:val="auto"/>
        </w:rPr>
      </w:pPr>
      <w:r>
        <w:rPr>
          <w:rFonts w:ascii="Arial" w:cs="Arial" w:eastAsia="Arial" w:hAnsi="Arial"/>
          <w:sz w:val="18"/>
          <w:szCs w:val="18"/>
          <w:color w:val="auto"/>
        </w:rPr>
        <w:t>Year-on-year, pretax operating margin decreased 194 bps to 13.4% as the result of the lower pricing and activity in Marine and reduced profitability in Land and Data Processing. These decreases were partially offset by an improvement in Multiclient margins on the increased activity.</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Full-Year 2009 Results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0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color w:val="auto"/>
              </w:rPr>
              <w:t>2008</w:t>
            </w:r>
          </w:p>
        </w:tc>
        <w:tc>
          <w:tcPr>
            <w:tcW w:w="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w w:val="96"/>
              </w:rPr>
              <w:t>Income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gridSpan w:val="2"/>
          </w:tcPr>
          <w:p>
            <w:pPr>
              <w:jc w:val="right"/>
              <w:spacing w:after="0" w:line="119" w:lineRule="exact"/>
              <w:rPr>
                <w:sz w:val="20"/>
                <w:szCs w:val="20"/>
                <w:color w:val="auto"/>
              </w:rPr>
            </w:pPr>
            <w:r>
              <w:rPr>
                <w:rFonts w:ascii="Arial" w:cs="Arial" w:eastAsia="Arial" w:hAnsi="Arial"/>
                <w:sz w:val="13"/>
                <w:szCs w:val="13"/>
                <w:color w:val="auto"/>
                <w:w w:val="98"/>
              </w:rPr>
              <w:t>Income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2"/>
                <w:szCs w:val="12"/>
                <w:color w:val="auto"/>
              </w:rPr>
            </w:pP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8"/>
              </w:rPr>
              <w:t>before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taxes</w:t>
            </w:r>
          </w:p>
        </w:tc>
        <w:tc>
          <w:tcPr>
            <w:tcW w:w="120" w:type="dxa"/>
            <w:vAlign w:val="bottom"/>
          </w:tcPr>
          <w:p>
            <w:pPr>
              <w:spacing w:after="0"/>
              <w:rPr>
                <w:sz w:val="16"/>
                <w:szCs w:val="16"/>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color w:val="auto"/>
                <w:w w:val="89"/>
              </w:rPr>
              <w:t>Revenue</w:t>
            </w:r>
          </w:p>
        </w:tc>
        <w:tc>
          <w:tcPr>
            <w:tcW w:w="20" w:type="dxa"/>
            <w:vAlign w:val="bottom"/>
          </w:tcPr>
          <w:p>
            <w:pPr>
              <w:spacing w:after="0"/>
              <w:rPr>
                <w:sz w:val="16"/>
                <w:szCs w:val="16"/>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2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North America</w:t>
            </w:r>
          </w:p>
        </w:tc>
        <w:tc>
          <w:tcPr>
            <w:tcW w:w="2920" w:type="dxa"/>
            <w:vAlign w:val="bottom"/>
            <w:gridSpan w:val="2"/>
          </w:tcPr>
          <w:p>
            <w:pPr>
              <w:ind w:left="28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3,707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5,914</w:t>
            </w:r>
          </w:p>
        </w:tc>
        <w:tc>
          <w:tcPr>
            <w:tcW w:w="2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9"/>
              </w:rPr>
              <w:t>$ 1,371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Latin America</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Europe/CIS/Africa</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7,150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1,707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8,180</w:t>
            </w:r>
          </w:p>
        </w:tc>
        <w:tc>
          <w:tcPr>
            <w:tcW w:w="2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Middle East &amp; Asia</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Elims/Other</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234</w:t>
            </w:r>
          </w:p>
        </w:tc>
        <w:tc>
          <w:tcPr>
            <w:tcW w:w="2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Borders>
              <w:top w:val="single" w:sz="8" w:color="auto"/>
            </w:tcBorders>
            <w:shd w:val="clear" w:color="auto" w:fill="CCEEFF"/>
          </w:tcPr>
          <w:p>
            <w:pPr>
              <w:spacing w:after="0"/>
              <w:rPr>
                <w:sz w:val="12"/>
                <w:szCs w:val="12"/>
                <w:color w:val="auto"/>
              </w:rPr>
            </w:pPr>
          </w:p>
        </w:tc>
        <w:tc>
          <w:tcPr>
            <w:tcW w:w="2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20,518</w:t>
            </w:r>
          </w:p>
        </w:tc>
        <w:tc>
          <w:tcPr>
            <w:tcW w:w="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4,326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4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24,282</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20" w:type="dxa"/>
            <w:vAlign w:val="bottom"/>
            <w:gridSpan w:val="2"/>
          </w:tcPr>
          <w:p>
            <w:pPr>
              <w:spacing w:after="0" w:line="155" w:lineRule="exact"/>
              <w:rPr>
                <w:sz w:val="20"/>
                <w:szCs w:val="20"/>
                <w:color w:val="auto"/>
              </w:rPr>
            </w:pPr>
            <w:r>
              <w:rPr>
                <w:rFonts w:ascii="Arial" w:cs="Arial" w:eastAsia="Arial" w:hAnsi="Arial"/>
                <w:sz w:val="14"/>
                <w:szCs w:val="14"/>
                <w:b w:val="1"/>
                <w:bCs w:val="1"/>
                <w:i w:val="1"/>
                <w:iCs w:val="1"/>
                <w:color w:val="auto"/>
              </w:rPr>
              <w:t>WESTERNGECO</w:t>
            </w:r>
          </w:p>
        </w:tc>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2,122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Arial" w:cs="Arial" w:eastAsia="Arial" w:hAnsi="Arial"/>
                <w:sz w:val="14"/>
                <w:szCs w:val="14"/>
                <w:color w:val="auto"/>
              </w:rPr>
              <w:t>326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2,838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836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r>
              <w:rPr>
                <w:rFonts w:ascii="Arial" w:cs="Arial" w:eastAsia="Arial" w:hAnsi="Arial"/>
                <w:sz w:val="12"/>
                <w:szCs w:val="12"/>
                <w:color w:val="auto"/>
              </w:rPr>
              <w:t>(1)</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Interest income</w:t>
            </w:r>
            <w:r>
              <w:rPr>
                <w:rFonts w:ascii="Arial" w:cs="Arial" w:eastAsia="Arial" w:hAnsi="Arial"/>
                <w:sz w:val="12"/>
                <w:szCs w:val="12"/>
                <w:color w:val="auto"/>
              </w:rPr>
              <w:t>(2)</w:t>
            </w: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(3)</w:t>
            </w:r>
          </w:p>
        </w:tc>
        <w:tc>
          <w:tcPr>
            <w:tcW w:w="2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Charges &amp; credits</w:t>
            </w:r>
            <w:r>
              <w:rPr>
                <w:rFonts w:ascii="Arial" w:cs="Arial" w:eastAsia="Arial" w:hAnsi="Arial"/>
                <w:sz w:val="12"/>
                <w:szCs w:val="12"/>
                <w:color w:val="auto"/>
              </w:rPr>
              <w:t>(4)</w:t>
            </w: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2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rPr>
                <w:sz w:val="12"/>
                <w:szCs w:val="12"/>
                <w:color w:val="auto"/>
              </w:rPr>
            </w:pPr>
          </w:p>
        </w:tc>
        <w:tc>
          <w:tcPr>
            <w:tcW w:w="2920" w:type="dxa"/>
            <w:vAlign w:val="bottom"/>
            <w:gridSpan w:val="2"/>
            <w:shd w:val="clear" w:color="auto" w:fill="CCEEFF"/>
          </w:tcPr>
          <w:p>
            <w:pPr>
              <w:ind w:left="28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22,702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3,934</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27,163</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$ 6,852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40" w:right="280" w:hanging="240"/>
        <w:spacing w:after="0" w:line="230" w:lineRule="auto"/>
        <w:tabs>
          <w:tab w:leader="none" w:pos="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Comprised principally of corporate expenses not allocated to the segments, interest on postretirement medical benefits, stock-based compensation costs and certain other nonoperating items.</w:t>
      </w:r>
    </w:p>
    <w:p>
      <w:pPr>
        <w:ind w:left="940" w:hanging="240"/>
        <w:spacing w:after="0" w:line="221" w:lineRule="auto"/>
        <w:tabs>
          <w:tab w:leader="none" w:pos="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interest income included in the segments’ income (2009 – $10 million; 2008 – $7 million).</w:t>
      </w:r>
    </w:p>
    <w:p>
      <w:pPr>
        <w:ind w:left="940" w:hanging="240"/>
        <w:spacing w:after="0" w:line="221" w:lineRule="auto"/>
        <w:tabs>
          <w:tab w:leader="none" w:pos="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Excludes interest expense included in the segments’ income (2009 – $33 million; 2008 – $30 million).</w:t>
      </w:r>
    </w:p>
    <w:p>
      <w:pPr>
        <w:ind w:left="940" w:hanging="240"/>
        <w:spacing w:after="0"/>
        <w:tabs>
          <w:tab w:leader="none" w:pos="9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Charges and credits are described in detail in Note 3 to the </w:t>
      </w:r>
      <w:r>
        <w:rPr>
          <w:rFonts w:ascii="Arial" w:cs="Arial" w:eastAsia="Arial" w:hAnsi="Arial"/>
          <w:sz w:val="14"/>
          <w:szCs w:val="14"/>
          <w:i w:val="1"/>
          <w:iCs w:val="1"/>
          <w:color w:val="auto"/>
        </w:rPr>
        <w:t>Consolidated Financial Statements.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Oilfield Services</w:t>
      </w:r>
    </w:p>
    <w:p>
      <w:pPr>
        <w:spacing w:after="0" w:line="126" w:lineRule="exact"/>
        <w:rPr>
          <w:sz w:val="20"/>
          <w:szCs w:val="20"/>
          <w:color w:val="auto"/>
        </w:rPr>
      </w:pPr>
    </w:p>
    <w:p>
      <w:pPr>
        <w:ind w:left="700" w:right="200" w:firstLine="198"/>
        <w:spacing w:after="0" w:line="283" w:lineRule="auto"/>
        <w:rPr>
          <w:sz w:val="20"/>
          <w:szCs w:val="20"/>
          <w:color w:val="auto"/>
        </w:rPr>
      </w:pPr>
      <w:r>
        <w:rPr>
          <w:rFonts w:ascii="Arial" w:cs="Arial" w:eastAsia="Arial" w:hAnsi="Arial"/>
          <w:sz w:val="16"/>
          <w:szCs w:val="16"/>
          <w:color w:val="auto"/>
        </w:rPr>
        <w:t>Full-year 2009 revenue of $20.52 billion declined 16% versus 2008. Lower natural gas prices and unfavorable market fundamentals resulted in a 37% decline in North America revenue, primarily in the US Land and Canada GeoMarkets. Europe/CIS/Africa revenue decreased 13% mainly due to the weakening of local currencies against the US dollar and reduced activity in the Russia, North Sea, West &amp; South Africa and Caspian GeoMarkets as well as in Framo, which was partially offset by increased activity in the North Africa GeoMarket. Middle East &amp; Asia revenue also fell by 9% primarily due to decreases in the East Asia, East Mediterranean, Arabian and Australia/Papua New Guinea GeoMarkets. Latin America revenue was only marginally lower than last year as the impact of the weakening of local currencies against the US dollar and much lower activity in Venezuela/Trinidad &amp; Tobago and Peru/Colombia/Ecuador were nearly offset by stronger activity in Mexico/Central America and Brazil. Weakening of local currencies against the US dollar reduced 2009 revenue by approximately 4%. Across the Areas, all of the Technologies recorded revenue declines except Testing Services. IPM recorded revenue growth compared to the same period last year.</w:t>
      </w:r>
    </w:p>
    <w:p>
      <w:pPr>
        <w:spacing w:after="0" w:line="6" w:lineRule="exact"/>
        <w:rPr>
          <w:sz w:val="20"/>
          <w:szCs w:val="20"/>
          <w:color w:val="auto"/>
        </w:rPr>
      </w:pPr>
    </w:p>
    <w:p>
      <w:pPr>
        <w:ind w:left="700" w:right="520" w:firstLine="198"/>
        <w:spacing w:after="0" w:line="261" w:lineRule="auto"/>
        <w:rPr>
          <w:sz w:val="20"/>
          <w:szCs w:val="20"/>
          <w:color w:val="auto"/>
        </w:rPr>
      </w:pPr>
      <w:r>
        <w:rPr>
          <w:rFonts w:ascii="Arial" w:cs="Arial" w:eastAsia="Arial" w:hAnsi="Arial"/>
          <w:sz w:val="18"/>
          <w:szCs w:val="18"/>
          <w:color w:val="auto"/>
        </w:rPr>
        <w:t>Full-year 2009 pretax operating margin decreased 5.7 percentage points to 21.1%, on the significant drop in activity and pricing pressure experienced across all the Areas, but most notably in North America.</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North America</w:t>
      </w:r>
    </w:p>
    <w:p>
      <w:pPr>
        <w:spacing w:after="0" w:line="126" w:lineRule="exact"/>
        <w:rPr>
          <w:sz w:val="20"/>
          <w:szCs w:val="20"/>
          <w:color w:val="auto"/>
        </w:rPr>
      </w:pPr>
    </w:p>
    <w:p>
      <w:pPr>
        <w:ind w:left="700" w:right="80" w:firstLine="198"/>
        <w:spacing w:after="0" w:line="279" w:lineRule="auto"/>
        <w:rPr>
          <w:sz w:val="20"/>
          <w:szCs w:val="20"/>
          <w:color w:val="auto"/>
        </w:rPr>
      </w:pPr>
      <w:r>
        <w:rPr>
          <w:rFonts w:ascii="Arial" w:cs="Arial" w:eastAsia="Arial" w:hAnsi="Arial"/>
          <w:sz w:val="17"/>
          <w:szCs w:val="17"/>
          <w:color w:val="auto"/>
        </w:rPr>
        <w:t>Revenue of $3.71 billion was 37% lower than last year with reductions across the entire Area. The decreases were highest in US Land and Canada, where lower natural gas prices resulted in a steep drop in activity and consequent pressure on pricing. Canada revenue was also lower as the result of the weakening of the Canadian dollar against the US dollar. Revenue in the US Gulf of Mexico GeoMarket was severely impacted by weaker shelf drilling activity and strong pricing pressure.</w:t>
      </w:r>
    </w:p>
    <w:p>
      <w:pPr>
        <w:spacing w:after="0" w:line="77" w:lineRule="exact"/>
        <w:rPr>
          <w:sz w:val="20"/>
          <w:szCs w:val="20"/>
          <w:color w:val="auto"/>
        </w:rPr>
      </w:pPr>
    </w:p>
    <w:p>
      <w:pPr>
        <w:ind w:left="700" w:right="120" w:firstLine="198"/>
        <w:spacing w:after="0" w:line="277" w:lineRule="auto"/>
        <w:rPr>
          <w:sz w:val="20"/>
          <w:szCs w:val="20"/>
          <w:color w:val="auto"/>
        </w:rPr>
      </w:pPr>
      <w:r>
        <w:rPr>
          <w:rFonts w:ascii="Arial" w:cs="Arial" w:eastAsia="Arial" w:hAnsi="Arial"/>
          <w:sz w:val="18"/>
          <w:szCs w:val="18"/>
          <w:color w:val="auto"/>
        </w:rPr>
        <w:t>Pretax operating margin fell 17.3 percentage points to 5.8% due to the significant decline in activity levels across the Area, combined with the severe pricing erosion.</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Latin America</w:t>
      </w:r>
    </w:p>
    <w:p>
      <w:pPr>
        <w:spacing w:after="0" w:line="126" w:lineRule="exact"/>
        <w:rPr>
          <w:sz w:val="20"/>
          <w:szCs w:val="20"/>
          <w:color w:val="auto"/>
        </w:rPr>
      </w:pPr>
    </w:p>
    <w:p>
      <w:pPr>
        <w:ind w:left="700" w:right="1060" w:firstLine="198"/>
        <w:spacing w:after="0" w:line="269" w:lineRule="auto"/>
        <w:rPr>
          <w:sz w:val="20"/>
          <w:szCs w:val="20"/>
          <w:color w:val="auto"/>
        </w:rPr>
      </w:pPr>
      <w:r>
        <w:rPr>
          <w:rFonts w:ascii="Arial" w:cs="Arial" w:eastAsia="Arial" w:hAnsi="Arial"/>
          <w:sz w:val="17"/>
          <w:szCs w:val="17"/>
          <w:color w:val="auto"/>
        </w:rPr>
        <w:t>Revenue of $4.22 billion was marginally lower compared to 2008. The weakening of local currencies against the US dollar reduced 2009 revenue by approximately 3%. In addition, Venezuela/Trinidad &amp; Tobago revenue fell due to significantly reduced customer spending while Peru/Colombia/Ecuador revenue was lower due to reduced gain share in IPM projects. These decreases were mostly offset by higher IPM activity in Mexico/Central America and increased offshore activity in Brazil.</w:t>
      </w:r>
    </w:p>
    <w:p>
      <w:pPr>
        <w:spacing w:after="0" w:line="2" w:lineRule="exact"/>
        <w:rPr>
          <w:sz w:val="20"/>
          <w:szCs w:val="20"/>
          <w:color w:val="auto"/>
        </w:rPr>
      </w:pPr>
    </w:p>
    <w:p>
      <w:pPr>
        <w:ind w:left="700" w:right="1260" w:firstLine="198"/>
        <w:spacing w:after="0" w:line="261" w:lineRule="auto"/>
        <w:rPr>
          <w:sz w:val="20"/>
          <w:szCs w:val="20"/>
          <w:color w:val="auto"/>
        </w:rPr>
      </w:pPr>
      <w:r>
        <w:rPr>
          <w:rFonts w:ascii="Arial" w:cs="Arial" w:eastAsia="Arial" w:hAnsi="Arial"/>
          <w:sz w:val="18"/>
          <w:szCs w:val="18"/>
          <w:color w:val="auto"/>
        </w:rPr>
        <w:t>Pretax operating margin decreased 245 bps to 17.8% primarily as the result of the sharp activity decline in Venezuela/Trinidad &amp; Tobago and the lower gain share in Peru/Colombia/Ecuador.</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Europe/CIS/Africa</w:t>
      </w:r>
    </w:p>
    <w:p>
      <w:pPr>
        <w:spacing w:after="0" w:line="126" w:lineRule="exact"/>
        <w:rPr>
          <w:sz w:val="20"/>
          <w:szCs w:val="20"/>
          <w:color w:val="auto"/>
        </w:rPr>
      </w:pPr>
    </w:p>
    <w:p>
      <w:pPr>
        <w:ind w:left="700" w:right="1000" w:firstLine="198"/>
        <w:spacing w:after="0" w:line="268" w:lineRule="auto"/>
        <w:rPr>
          <w:sz w:val="20"/>
          <w:szCs w:val="20"/>
          <w:color w:val="auto"/>
        </w:rPr>
      </w:pPr>
      <w:r>
        <w:rPr>
          <w:rFonts w:ascii="Arial" w:cs="Arial" w:eastAsia="Arial" w:hAnsi="Arial"/>
          <w:sz w:val="17"/>
          <w:szCs w:val="17"/>
          <w:color w:val="auto"/>
        </w:rPr>
        <w:t>Revenue of $7.15 billion was 13% lower than last year largely due to the weakening of local currencies against the US dollar, which reduced revenue by approximately 7%. In addition, revenue was negatively impacted by reduced customer spending that resulted in significantly lower activity and pricing erosion in Russia and the North Sea. Revenue in the West &amp; South Africa and Caspian GeoMarkets and in Framo was also negatively impacted by lower activity levels. These decreases were partially offset by a revenue increase in the North Africa GeoMarket due to strong Testing Services product sales.</w:t>
      </w:r>
    </w:p>
    <w:p>
      <w:pPr>
        <w:spacing w:after="0" w:line="3" w:lineRule="exact"/>
        <w:rPr>
          <w:sz w:val="20"/>
          <w:szCs w:val="20"/>
          <w:color w:val="auto"/>
        </w:rPr>
      </w:pPr>
    </w:p>
    <w:p>
      <w:pPr>
        <w:ind w:left="700" w:right="960" w:firstLine="198"/>
        <w:spacing w:after="0" w:line="261" w:lineRule="auto"/>
        <w:rPr>
          <w:sz w:val="20"/>
          <w:szCs w:val="20"/>
          <w:color w:val="auto"/>
        </w:rPr>
      </w:pPr>
      <w:r>
        <w:rPr>
          <w:rFonts w:ascii="Arial" w:cs="Arial" w:eastAsia="Arial" w:hAnsi="Arial"/>
          <w:sz w:val="18"/>
          <w:szCs w:val="18"/>
          <w:color w:val="auto"/>
        </w:rPr>
        <w:t>Pretax operating margins declined 357 bps to 23.9% on a combination of the overall lower activity and heavy pricing pressure across the Area.</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Middle East &amp; Asia</w:t>
      </w:r>
    </w:p>
    <w:p>
      <w:pPr>
        <w:spacing w:after="0" w:line="126" w:lineRule="exact"/>
        <w:rPr>
          <w:sz w:val="20"/>
          <w:szCs w:val="20"/>
          <w:color w:val="auto"/>
        </w:rPr>
      </w:pPr>
    </w:p>
    <w:p>
      <w:pPr>
        <w:ind w:left="700" w:right="1080" w:firstLine="198"/>
        <w:spacing w:after="0" w:line="253" w:lineRule="auto"/>
        <w:rPr>
          <w:sz w:val="20"/>
          <w:szCs w:val="20"/>
          <w:color w:val="auto"/>
        </w:rPr>
      </w:pPr>
      <w:r>
        <w:rPr>
          <w:rFonts w:ascii="Arial" w:cs="Arial" w:eastAsia="Arial" w:hAnsi="Arial"/>
          <w:sz w:val="18"/>
          <w:szCs w:val="18"/>
          <w:color w:val="auto"/>
        </w:rPr>
        <w:t>Revenue of $5.23 billion was 9% below 2008. Revenue was down across much of the Middle East, especially in the East Mediterranean and Arabian GeoMarkets, due to reduced demand for Drilling &amp; Measurements, Wireline and Testing Services technologies. Revenue in Asia also fell, primarily due to a decrease in offshore exploration activity, which was most significant in the East Asia and Australia/Papua New Guinea GeoMarkets, resulting in lower demand for Testing Services and Wireline technologies as well as Completion Systems products.</w:t>
      </w:r>
    </w:p>
    <w:p>
      <w:pPr>
        <w:spacing w:after="0" w:line="4" w:lineRule="exact"/>
        <w:rPr>
          <w:sz w:val="20"/>
          <w:szCs w:val="20"/>
          <w:color w:val="auto"/>
        </w:rPr>
      </w:pPr>
    </w:p>
    <w:p>
      <w:pPr>
        <w:ind w:left="700" w:right="800" w:firstLine="198"/>
        <w:spacing w:after="0" w:line="261" w:lineRule="auto"/>
        <w:rPr>
          <w:sz w:val="20"/>
          <w:szCs w:val="20"/>
          <w:color w:val="auto"/>
        </w:rPr>
      </w:pPr>
      <w:r>
        <w:rPr>
          <w:rFonts w:ascii="Arial" w:cs="Arial" w:eastAsia="Arial" w:hAnsi="Arial"/>
          <w:sz w:val="18"/>
          <w:szCs w:val="18"/>
          <w:color w:val="auto"/>
        </w:rPr>
        <w:t>Pretax operating margin decreased 268 bps to 32.4% primarily as a result of the lower overall activity and a less favorable revenue mix across the Area.</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WesternGeco</w:t>
      </w:r>
    </w:p>
    <w:p>
      <w:pPr>
        <w:spacing w:after="0" w:line="126" w:lineRule="exact"/>
        <w:rPr>
          <w:sz w:val="20"/>
          <w:szCs w:val="20"/>
          <w:color w:val="auto"/>
        </w:rPr>
      </w:pPr>
    </w:p>
    <w:p>
      <w:pPr>
        <w:ind w:left="700" w:right="1120" w:firstLine="198"/>
        <w:spacing w:after="0" w:line="253" w:lineRule="auto"/>
        <w:rPr>
          <w:sz w:val="20"/>
          <w:szCs w:val="20"/>
          <w:color w:val="auto"/>
        </w:rPr>
      </w:pPr>
      <w:r>
        <w:rPr>
          <w:rFonts w:ascii="Arial" w:cs="Arial" w:eastAsia="Arial" w:hAnsi="Arial"/>
          <w:sz w:val="18"/>
          <w:szCs w:val="18"/>
          <w:color w:val="auto"/>
        </w:rPr>
        <w:t>Full-year revenue of $2.12 billion was 25% lower than 2008. Revenue decreased across all product lines, with the largest declines experienced in Marine and Multiclient. Marine revenue declined due to lower activity combined with reduced pricing as the result of weak market conditions. Multiclient revenue decreased primarily in North America, as customers continued to reduce discretionary spending. Land revenue fell on lower crew utilization, while Data Processing revenue was down reflecting lower activity primarily in Europe/Africa and in North America.</w:t>
      </w:r>
    </w:p>
    <w:p>
      <w:pPr>
        <w:spacing w:after="0" w:line="4" w:lineRule="exact"/>
        <w:rPr>
          <w:sz w:val="20"/>
          <w:szCs w:val="20"/>
          <w:color w:val="auto"/>
        </w:rPr>
      </w:pPr>
    </w:p>
    <w:p>
      <w:pPr>
        <w:ind w:left="700" w:right="1160" w:firstLine="198"/>
        <w:spacing w:after="0" w:line="261" w:lineRule="auto"/>
        <w:rPr>
          <w:sz w:val="20"/>
          <w:szCs w:val="20"/>
          <w:color w:val="auto"/>
        </w:rPr>
      </w:pPr>
      <w:r>
        <w:rPr>
          <w:rFonts w:ascii="Arial" w:cs="Arial" w:eastAsia="Arial" w:hAnsi="Arial"/>
          <w:sz w:val="18"/>
          <w:szCs w:val="18"/>
          <w:color w:val="auto"/>
        </w:rPr>
        <w:t>Pretax margin decreased 14.1 percentage points to 15.4% primarily due to the weaker Marine activity and pricing as well as lower Multiclient sales.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and other income consisted of the following:</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3780" w:type="dxa"/>
            <w:vAlign w:val="bottom"/>
            <w:tcBorders>
              <w:top w:val="single" w:sz="8" w:color="auto"/>
            </w:tcBorders>
          </w:tcPr>
          <w:p>
            <w:pPr>
              <w:spacing w:after="0"/>
              <w:rPr>
                <w:sz w:val="16"/>
                <w:szCs w:val="16"/>
                <w:color w:val="auto"/>
              </w:rPr>
            </w:pPr>
          </w:p>
        </w:tc>
        <w:tc>
          <w:tcPr>
            <w:tcW w:w="4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2009</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7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Interest income</w:t>
            </w:r>
          </w:p>
        </w:tc>
        <w:tc>
          <w:tcPr>
            <w:tcW w:w="4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61</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$ 119</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 SWACO</w:t>
            </w:r>
          </w:p>
        </w:tc>
        <w:tc>
          <w:tcPr>
            <w:tcW w:w="4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780" w:type="dxa"/>
            <w:vAlign w:val="bottom"/>
          </w:tcPr>
          <w:p>
            <w:pPr>
              <w:spacing w:after="0" w:line="149" w:lineRule="exact"/>
              <w:rPr>
                <w:sz w:val="20"/>
                <w:szCs w:val="20"/>
                <w:color w:val="auto"/>
              </w:rPr>
            </w:pPr>
            <w:r>
              <w:rPr>
                <w:rFonts w:ascii="Arial" w:cs="Arial" w:eastAsia="Arial" w:hAnsi="Arial"/>
                <w:sz w:val="14"/>
                <w:szCs w:val="14"/>
                <w:color w:val="auto"/>
              </w:rPr>
              <w:t>Others</w:t>
            </w:r>
          </w:p>
        </w:tc>
        <w:tc>
          <w:tcPr>
            <w:tcW w:w="4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4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4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214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273</w:t>
            </w:r>
          </w:p>
        </w:tc>
        <w:tc>
          <w:tcPr>
            <w:tcW w:w="2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$ 412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540" w:type="dxa"/>
            <w:vAlign w:val="bottom"/>
            <w:vMerge w:val="restart"/>
          </w:tcPr>
          <w:p>
            <w:pPr>
              <w:jc w:val="right"/>
              <w:ind w:right="3230"/>
              <w:spacing w:after="0"/>
              <w:rPr>
                <w:sz w:val="20"/>
                <w:szCs w:val="20"/>
                <w:color w:val="auto"/>
              </w:rPr>
            </w:pPr>
            <w:r>
              <w:rPr>
                <w:rFonts w:ascii="Arial" w:cs="Arial" w:eastAsia="Arial" w:hAnsi="Arial"/>
                <w:sz w:val="13"/>
                <w:szCs w:val="13"/>
                <w:color w:val="auto"/>
              </w:rPr>
              <w:t>24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780" w:type="dxa"/>
            <w:vAlign w:val="bottom"/>
            <w:tcBorders>
              <w:bottom w:val="single" w:sz="8" w:color="808080"/>
            </w:tcBorders>
          </w:tcPr>
          <w:p>
            <w:pPr>
              <w:spacing w:after="0"/>
              <w:rPr>
                <w:sz w:val="18"/>
                <w:szCs w:val="18"/>
                <w:color w:val="auto"/>
              </w:rPr>
            </w:pPr>
          </w:p>
        </w:tc>
        <w:tc>
          <w:tcPr>
            <w:tcW w:w="45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Interest Income</w:t>
      </w:r>
    </w:p>
    <w:p>
      <w:pPr>
        <w:spacing w:after="0" w:line="126" w:lineRule="exact"/>
        <w:rPr>
          <w:sz w:val="20"/>
          <w:szCs w:val="20"/>
          <w:color w:val="auto"/>
        </w:rPr>
      </w:pPr>
    </w:p>
    <w:p>
      <w:pPr>
        <w:ind w:left="700" w:right="380" w:firstLine="198"/>
        <w:spacing w:after="0" w:line="258" w:lineRule="auto"/>
        <w:rPr>
          <w:sz w:val="20"/>
          <w:szCs w:val="20"/>
          <w:color w:val="auto"/>
        </w:rPr>
      </w:pPr>
      <w:r>
        <w:rPr>
          <w:rFonts w:ascii="Arial" w:cs="Arial" w:eastAsia="Arial" w:hAnsi="Arial"/>
          <w:sz w:val="18"/>
          <w:szCs w:val="18"/>
          <w:color w:val="auto"/>
        </w:rPr>
        <w:t>The average return on investments decreased to 1.2% in 2010 from 1.4% in 2009 and the weighted average investment balance of $4.0 billion in 2010 decreased $0.5 billion compared to 2009.</w:t>
      </w:r>
    </w:p>
    <w:p>
      <w:pPr>
        <w:spacing w:after="0" w:line="1" w:lineRule="exact"/>
        <w:rPr>
          <w:sz w:val="20"/>
          <w:szCs w:val="20"/>
          <w:color w:val="auto"/>
        </w:rPr>
      </w:pPr>
    </w:p>
    <w:p>
      <w:pPr>
        <w:ind w:left="700" w:right="380" w:firstLine="198"/>
        <w:spacing w:after="0" w:line="261" w:lineRule="auto"/>
        <w:rPr>
          <w:sz w:val="20"/>
          <w:szCs w:val="20"/>
          <w:color w:val="auto"/>
        </w:rPr>
      </w:pPr>
      <w:r>
        <w:rPr>
          <w:rFonts w:ascii="Arial" w:cs="Arial" w:eastAsia="Arial" w:hAnsi="Arial"/>
          <w:sz w:val="18"/>
          <w:szCs w:val="18"/>
          <w:color w:val="auto"/>
        </w:rPr>
        <w:t>The average return on investments decreased to 1.4% in 2009 from 3.5% in 2008 and the weighted average investment balance of $4.5 billion in 2009 increased $1.1 billion compared to 2008.</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Equity in Net Earnings of Affiliated Companies</w:t>
      </w:r>
    </w:p>
    <w:p>
      <w:pPr>
        <w:spacing w:after="0" w:line="126" w:lineRule="exact"/>
        <w:rPr>
          <w:sz w:val="20"/>
          <w:szCs w:val="20"/>
          <w:color w:val="auto"/>
        </w:rPr>
      </w:pPr>
    </w:p>
    <w:p>
      <w:pPr>
        <w:jc w:val="both"/>
        <w:ind w:left="700" w:right="40" w:firstLine="198"/>
        <w:spacing w:after="0" w:line="312" w:lineRule="auto"/>
        <w:rPr>
          <w:sz w:val="20"/>
          <w:szCs w:val="20"/>
          <w:color w:val="auto"/>
        </w:rPr>
      </w:pPr>
      <w:r>
        <w:rPr>
          <w:rFonts w:ascii="Arial" w:cs="Arial" w:eastAsia="Arial" w:hAnsi="Arial"/>
          <w:sz w:val="16"/>
          <w:szCs w:val="16"/>
          <w:color w:val="auto"/>
        </w:rPr>
        <w:t>Equity income from the M-I SWACO joint venture in 2010 represents eight months of equity income through the closing of the Smith transaction. The decrease in equity income relating to this joint venture from 2008 to 2009 was attributable to a significant decline in M-I SWACO activity levels, primarily in its United States and Europe/Africa regions, as well as increased pricing pressures.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26" w:lineRule="exact"/>
        <w:rPr>
          <w:sz w:val="20"/>
          <w:szCs w:val="20"/>
          <w:color w:val="auto"/>
        </w:rPr>
      </w:pPr>
    </w:p>
    <w:p>
      <w:pPr>
        <w:jc w:val="both"/>
        <w:ind w:left="700" w:right="60" w:firstLine="198"/>
        <w:spacing w:after="0" w:line="291" w:lineRule="auto"/>
        <w:rPr>
          <w:sz w:val="20"/>
          <w:szCs w:val="20"/>
          <w:color w:val="auto"/>
        </w:rPr>
      </w:pPr>
      <w:r>
        <w:rPr>
          <w:rFonts w:ascii="Arial" w:cs="Arial" w:eastAsia="Arial" w:hAnsi="Arial"/>
          <w:sz w:val="16"/>
          <w:szCs w:val="16"/>
          <w:color w:val="auto"/>
        </w:rPr>
        <w:t>Interest expense of $207 million in 2010 decreased by $14 million compared to 2009 due to a decline in the weighted average borrowing rates, from 3.9% to 3.2%. The weighted average debt balance of $6.4 billion in 2010 increased $0.8 billion compared to 2009.</w:t>
      </w:r>
    </w:p>
    <w:p>
      <w:pPr>
        <w:ind w:left="700" w:right="560" w:firstLine="198"/>
        <w:spacing w:after="0" w:line="261" w:lineRule="auto"/>
        <w:rPr>
          <w:sz w:val="20"/>
          <w:szCs w:val="20"/>
          <w:color w:val="auto"/>
        </w:rPr>
      </w:pPr>
      <w:r>
        <w:rPr>
          <w:rFonts w:ascii="Arial" w:cs="Arial" w:eastAsia="Arial" w:hAnsi="Arial"/>
          <w:sz w:val="18"/>
          <w:szCs w:val="18"/>
          <w:color w:val="auto"/>
        </w:rPr>
        <w:t>Interest expense of $221 million in 2009 decreased by $26 million compared to 2008 primarily due to a decline in the weighted average borrowing rates, from 4.5% to 3.9%.</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Gross margin was 21.7%, 24.0% and 30.2% in 2010, 2009 and 2008, respectively.</w:t>
      </w:r>
    </w:p>
    <w:p>
      <w:pPr>
        <w:spacing w:after="0" w:line="23" w:lineRule="exact"/>
        <w:rPr>
          <w:sz w:val="20"/>
          <w:szCs w:val="20"/>
          <w:color w:val="auto"/>
        </w:rPr>
      </w:pPr>
    </w:p>
    <w:p>
      <w:pPr>
        <w:jc w:val="both"/>
        <w:ind w:left="700" w:right="80" w:firstLine="198"/>
        <w:spacing w:after="0" w:line="250" w:lineRule="auto"/>
        <w:rPr>
          <w:sz w:val="20"/>
          <w:szCs w:val="20"/>
          <w:color w:val="auto"/>
        </w:rPr>
      </w:pPr>
      <w:r>
        <w:rPr>
          <w:rFonts w:ascii="Arial" w:cs="Arial" w:eastAsia="Arial" w:hAnsi="Arial"/>
          <w:sz w:val="18"/>
          <w:szCs w:val="18"/>
          <w:color w:val="auto"/>
        </w:rPr>
        <w:t>The decline in gross margin in 2010 compared to 2009 was primarily attributable to the inclusion of the acquired Smith businesses as well as pricing pressure for Oilfield Services, particularly in the Europe/CIS/Africa Area, partially offset by improved activity levels and pricing in the North America Area.</w:t>
      </w:r>
    </w:p>
    <w:p>
      <w:pPr>
        <w:spacing w:after="0" w:line="1" w:lineRule="exact"/>
        <w:rPr>
          <w:sz w:val="20"/>
          <w:szCs w:val="20"/>
          <w:color w:val="auto"/>
        </w:rPr>
      </w:pPr>
    </w:p>
    <w:p>
      <w:pPr>
        <w:ind w:left="700" w:right="280" w:firstLine="198"/>
        <w:spacing w:after="0" w:line="265" w:lineRule="auto"/>
        <w:rPr>
          <w:sz w:val="20"/>
          <w:szCs w:val="20"/>
          <w:color w:val="auto"/>
        </w:rPr>
      </w:pPr>
      <w:r>
        <w:rPr>
          <w:rFonts w:ascii="Arial" w:cs="Arial" w:eastAsia="Arial" w:hAnsi="Arial"/>
          <w:sz w:val="17"/>
          <w:szCs w:val="17"/>
          <w:color w:val="auto"/>
        </w:rPr>
        <w:t>The decline in gross margin in 2009 compared to 2008 was primarily attributable to lower activity coupled with the impact of a significant reduction in pricing across all of Oilfield Services, most notably in North America and Europe/CIS/Africa. Weaker Marine activity and pricing and reduced Multiclient sales in WesternGeco also contributed to the margin decline.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were as follows: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2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680" w:type="dxa"/>
            <w:vAlign w:val="bottom"/>
            <w:gridSpan w:val="3"/>
          </w:tcPr>
          <w:p>
            <w:pPr>
              <w:jc w:val="right"/>
              <w:ind w:right="160"/>
              <w:spacing w:after="0"/>
              <w:rPr>
                <w:sz w:val="20"/>
                <w:szCs w:val="20"/>
                <w:color w:val="auto"/>
              </w:rPr>
            </w:pPr>
            <w:r>
              <w:rPr>
                <w:rFonts w:ascii="Arial" w:cs="Arial" w:eastAsia="Arial" w:hAnsi="Arial"/>
                <w:sz w:val="14"/>
                <w:szCs w:val="14"/>
                <w:color w:val="auto"/>
              </w:rPr>
              <w:t>2009</w:t>
            </w:r>
          </w:p>
        </w:tc>
        <w:tc>
          <w:tcPr>
            <w:tcW w:w="500" w:type="dxa"/>
            <w:vAlign w:val="bottom"/>
            <w:gridSpan w:val="3"/>
          </w:tcPr>
          <w:p>
            <w:pPr>
              <w:jc w:val="right"/>
              <w:ind w:right="60"/>
              <w:spacing w:after="0"/>
              <w:rPr>
                <w:sz w:val="20"/>
                <w:szCs w:val="20"/>
                <w:color w:val="auto"/>
              </w:rPr>
            </w:pPr>
            <w:r>
              <w:rPr>
                <w:rFonts w:ascii="Arial" w:cs="Arial" w:eastAsia="Arial" w:hAnsi="Arial"/>
                <w:sz w:val="14"/>
                <w:szCs w:val="14"/>
                <w:color w:val="auto"/>
              </w:rPr>
              <w:t>2008</w:t>
            </w:r>
          </w:p>
        </w:tc>
      </w:tr>
      <w:tr>
        <w:trPr>
          <w:trHeight w:val="165"/>
        </w:trPr>
        <w:tc>
          <w:tcPr>
            <w:tcW w:w="6220" w:type="dxa"/>
            <w:vAlign w:val="bottom"/>
          </w:tcPr>
          <w:p>
            <w:pPr>
              <w:spacing w:after="0"/>
              <w:rPr>
                <w:sz w:val="20"/>
                <w:szCs w:val="20"/>
                <w:color w:val="auto"/>
              </w:rPr>
            </w:pPr>
            <w:r>
              <w:rPr>
                <w:rFonts w:ascii="Arial" w:cs="Arial" w:eastAsia="Arial" w:hAnsi="Arial"/>
                <w:sz w:val="14"/>
                <w:szCs w:val="14"/>
                <w:color w:val="auto"/>
              </w:rPr>
              <w:t>Research &amp; engineering</w:t>
            </w:r>
          </w:p>
        </w:tc>
        <w:tc>
          <w:tcPr>
            <w:tcW w:w="2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3.3%</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3.5%</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3.0%</w:t>
            </w:r>
          </w:p>
        </w:tc>
      </w:tr>
      <w:tr>
        <w:trPr>
          <w:trHeight w:val="186"/>
        </w:trPr>
        <w:tc>
          <w:tcPr>
            <w:tcW w:w="6220" w:type="dxa"/>
            <w:vAlign w:val="bottom"/>
          </w:tcPr>
          <w:p>
            <w:pPr>
              <w:spacing w:after="0"/>
              <w:rPr>
                <w:sz w:val="20"/>
                <w:szCs w:val="20"/>
                <w:color w:val="auto"/>
              </w:rPr>
            </w:pPr>
            <w:r>
              <w:rPr>
                <w:rFonts w:ascii="Arial" w:cs="Arial" w:eastAsia="Arial" w:hAnsi="Arial"/>
                <w:sz w:val="14"/>
                <w:szCs w:val="14"/>
                <w:color w:val="auto"/>
              </w:rPr>
              <w:t>General &amp; administrative</w:t>
            </w:r>
          </w:p>
        </w:tc>
        <w:tc>
          <w:tcPr>
            <w:tcW w:w="25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2.4%</w:t>
            </w:r>
          </w:p>
        </w:tc>
        <w:tc>
          <w:tcPr>
            <w:tcW w:w="680" w:type="dxa"/>
            <w:vAlign w:val="bottom"/>
            <w:gridSpan w:val="3"/>
          </w:tcPr>
          <w:p>
            <w:pPr>
              <w:jc w:val="right"/>
              <w:ind w:right="100"/>
              <w:spacing w:after="0"/>
              <w:rPr>
                <w:sz w:val="20"/>
                <w:szCs w:val="20"/>
                <w:color w:val="auto"/>
              </w:rPr>
            </w:pPr>
            <w:r>
              <w:rPr>
                <w:rFonts w:ascii="Arial" w:cs="Arial" w:eastAsia="Arial" w:hAnsi="Arial"/>
                <w:sz w:val="14"/>
                <w:szCs w:val="14"/>
                <w:color w:val="auto"/>
              </w:rPr>
              <w:t>2.4%</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2.1%</w:t>
            </w:r>
          </w:p>
        </w:tc>
      </w:tr>
      <w:tr>
        <w:trPr>
          <w:trHeight w:val="323"/>
        </w:trPr>
        <w:tc>
          <w:tcPr>
            <w:tcW w:w="6220" w:type="dxa"/>
            <w:vAlign w:val="bottom"/>
          </w:tcPr>
          <w:p>
            <w:pPr>
              <w:ind w:left="200"/>
              <w:spacing w:after="0"/>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expenditures were as follows:</w:t>
            </w:r>
          </w:p>
        </w:tc>
        <w:tc>
          <w:tcPr>
            <w:tcW w:w="2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(Stated in millions)</w:t>
            </w:r>
          </w:p>
        </w:tc>
        <w:tc>
          <w:tcPr>
            <w:tcW w:w="2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622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2009</w:t>
            </w:r>
          </w:p>
        </w:tc>
        <w:tc>
          <w:tcPr>
            <w:tcW w:w="1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r>
      <w:tr>
        <w:trPr>
          <w:trHeight w:val="165"/>
        </w:trPr>
        <w:tc>
          <w:tcPr>
            <w:tcW w:w="6220" w:type="dxa"/>
            <w:vAlign w:val="bottom"/>
            <w:shd w:val="clear" w:color="auto" w:fill="CCEEFF"/>
          </w:tcPr>
          <w:p>
            <w:pPr>
              <w:spacing w:after="0"/>
              <w:rPr>
                <w:sz w:val="20"/>
                <w:szCs w:val="20"/>
                <w:color w:val="auto"/>
              </w:rPr>
            </w:pPr>
            <w:r>
              <w:rPr>
                <w:rFonts w:ascii="Arial" w:cs="Arial" w:eastAsia="Arial" w:hAnsi="Arial"/>
                <w:sz w:val="14"/>
                <w:szCs w:val="14"/>
                <w:color w:val="auto"/>
              </w:rPr>
              <w:t>Oilfield Services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$ 748</w:t>
            </w: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$ 679</w:t>
            </w: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$ 686</w:t>
            </w:r>
          </w:p>
        </w:tc>
        <w:tc>
          <w:tcPr>
            <w:tcW w:w="100" w:type="dxa"/>
            <w:vAlign w:val="bottom"/>
            <w:shd w:val="clear" w:color="auto" w:fill="CCEEFF"/>
          </w:tcPr>
          <w:p>
            <w:pPr>
              <w:spacing w:after="0"/>
              <w:rPr>
                <w:sz w:val="14"/>
                <w:szCs w:val="14"/>
                <w:color w:val="auto"/>
              </w:rPr>
            </w:pPr>
          </w:p>
        </w:tc>
      </w:tr>
      <w:tr>
        <w:trPr>
          <w:trHeight w:val="149"/>
        </w:trPr>
        <w:tc>
          <w:tcPr>
            <w:tcW w:w="6220" w:type="dxa"/>
            <w:vAlign w:val="bottom"/>
          </w:tcPr>
          <w:p>
            <w:pPr>
              <w:spacing w:after="0" w:line="149" w:lineRule="exact"/>
              <w:rPr>
                <w:sz w:val="20"/>
                <w:szCs w:val="20"/>
                <w:color w:val="auto"/>
              </w:rPr>
            </w:pPr>
            <w:r>
              <w:rPr>
                <w:rFonts w:ascii="Arial" w:cs="Arial" w:eastAsia="Arial" w:hAnsi="Arial"/>
                <w:sz w:val="14"/>
                <w:szCs w:val="14"/>
                <w:color w:val="auto"/>
              </w:rPr>
              <w:t>WesternGeco</w:t>
            </w:r>
          </w:p>
        </w:tc>
        <w:tc>
          <w:tcPr>
            <w:tcW w:w="2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w:t>
            </w:r>
          </w:p>
        </w:tc>
        <w:tc>
          <w:tcPr>
            <w:tcW w:w="1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r>
      <w:tr>
        <w:trPr>
          <w:trHeight w:val="149"/>
        </w:trPr>
        <w:tc>
          <w:tcPr>
            <w:tcW w:w="6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Acquired Smith businesses</w:t>
            </w:r>
          </w:p>
        </w:tc>
        <w:tc>
          <w:tcPr>
            <w:tcW w:w="2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9"/>
        </w:trPr>
        <w:tc>
          <w:tcPr>
            <w:tcW w:w="6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2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r>
      <w:tr>
        <w:trPr>
          <w:trHeight w:val="149"/>
        </w:trPr>
        <w:tc>
          <w:tcPr>
            <w:tcW w:w="622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$ 919</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$ 802</w:t>
            </w: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$ 819</w:t>
            </w:r>
          </w:p>
        </w:tc>
        <w:tc>
          <w:tcPr>
            <w:tcW w:w="100" w:type="dxa"/>
            <w:vAlign w:val="bottom"/>
            <w:shd w:val="clear" w:color="auto" w:fill="CCEEFF"/>
          </w:tcPr>
          <w:p>
            <w:pPr>
              <w:spacing w:after="0"/>
              <w:rPr>
                <w:sz w:val="12"/>
                <w:szCs w:val="12"/>
                <w:color w:val="auto"/>
              </w:rPr>
            </w:pPr>
          </w:p>
        </w:tc>
      </w:tr>
      <w:tr>
        <w:trPr>
          <w:trHeight w:val="20"/>
        </w:trPr>
        <w:tc>
          <w:tcPr>
            <w:tcW w:w="6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Schlumberger effective tax rate was 17.3% in 2010, 19.6% in 2009, and 20.9% in 2008.</w:t>
      </w:r>
    </w:p>
    <w:p>
      <w:pPr>
        <w:spacing w:after="0" w:line="23" w:lineRule="exact"/>
        <w:rPr>
          <w:sz w:val="20"/>
          <w:szCs w:val="20"/>
          <w:color w:val="auto"/>
        </w:rPr>
      </w:pPr>
    </w:p>
    <w:p>
      <w:pPr>
        <w:ind w:left="700" w:right="140" w:firstLine="198"/>
        <w:spacing w:after="0" w:line="302" w:lineRule="auto"/>
        <w:rPr>
          <w:sz w:val="20"/>
          <w:szCs w:val="20"/>
          <w:color w:val="auto"/>
        </w:rPr>
      </w:pPr>
      <w:r>
        <w:rPr>
          <w:rFonts w:ascii="Arial" w:cs="Arial" w:eastAsia="Arial" w:hAnsi="Arial"/>
          <w:sz w:val="16"/>
          <w:szCs w:val="16"/>
          <w:color w:val="auto"/>
        </w:rPr>
        <w:t>The Schlumberger effective tax rate is sensitive to the geographic mix of earnings. When the percentage of pretax earnings generated outside of North America increases, the Schlumberger effective tax rate will generally decrease. Conversely, when the percentage of pretax earnings generated outside of North America decreases, the Schlumberger effective tax rate will generally increase.</w:t>
      </w:r>
    </w:p>
    <w:p>
      <w:pPr>
        <w:spacing w:after="0" w:line="345"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800" w:firstLine="198"/>
        <w:spacing w:after="0" w:line="285" w:lineRule="auto"/>
        <w:rPr>
          <w:sz w:val="20"/>
          <w:szCs w:val="20"/>
          <w:color w:val="auto"/>
        </w:rPr>
      </w:pPr>
      <w:r>
        <w:rPr>
          <w:rFonts w:ascii="Arial" w:cs="Arial" w:eastAsia="Arial" w:hAnsi="Arial"/>
          <w:sz w:val="16"/>
          <w:szCs w:val="16"/>
          <w:color w:val="auto"/>
        </w:rPr>
        <w:t xml:space="preserve">The effective tax rate for 2010 was significantly impacted by the charges and credits described in Note 3 to the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The effective tax rate for 2009 was also impacted by charges, but to a much lesser extent. Excluding charges and credits,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tax rate in 2010 was approximately 20.6% compared to 19.2% in 2009. This increase is largely attributable to the geographic mix of earnings as well as the inclusion of four months results from the merger with Smith. Smith, which as a US company has a US tax rate applicable to its worldwide operations and as such, will serve to increase Schlumberger’s overall effective tax rate.</w:t>
      </w:r>
    </w:p>
    <w:p>
      <w:pPr>
        <w:spacing w:after="0" w:line="2" w:lineRule="exact"/>
        <w:rPr>
          <w:sz w:val="20"/>
          <w:szCs w:val="20"/>
          <w:color w:val="auto"/>
        </w:rPr>
      </w:pPr>
    </w:p>
    <w:p>
      <w:pPr>
        <w:ind w:left="700" w:right="820" w:firstLine="198"/>
        <w:spacing w:after="0" w:line="254" w:lineRule="auto"/>
        <w:rPr>
          <w:sz w:val="20"/>
          <w:szCs w:val="20"/>
          <w:color w:val="auto"/>
        </w:rPr>
      </w:pPr>
      <w:r>
        <w:rPr>
          <w:rFonts w:ascii="Arial" w:cs="Arial" w:eastAsia="Arial" w:hAnsi="Arial"/>
          <w:sz w:val="18"/>
          <w:szCs w:val="18"/>
          <w:color w:val="auto"/>
        </w:rPr>
        <w:t>The decrease in the Schlumberger effective tax rate in 2009 as compared to 2008 was primarily attributable to the geographic mix of earnings. Schlumberger generated a lower proportion of its pretax earnings in North America in 2009 as compared to 2008. In addition, outside North America, various GeoMarkets with lower tax rates contributed a greater percentage to pretax earnings in 2009 as compared to 2008.</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26" w:lineRule="exact"/>
        <w:rPr>
          <w:sz w:val="20"/>
          <w:szCs w:val="20"/>
          <w:color w:val="auto"/>
        </w:rPr>
      </w:pPr>
    </w:p>
    <w:p>
      <w:pPr>
        <w:ind w:left="700" w:right="1340" w:firstLine="198"/>
        <w:spacing w:after="0" w:line="291" w:lineRule="auto"/>
        <w:rPr>
          <w:sz w:val="20"/>
          <w:szCs w:val="20"/>
          <w:color w:val="auto"/>
        </w:rPr>
      </w:pPr>
      <w:r>
        <w:rPr>
          <w:rFonts w:ascii="Arial" w:cs="Arial" w:eastAsia="Arial" w:hAnsi="Arial"/>
          <w:sz w:val="16"/>
          <w:szCs w:val="16"/>
          <w:color w:val="auto"/>
        </w:rPr>
        <w:t xml:space="preserve">Schlumberger recorded significant charges and credits in continuing operations during 2010, 2009 and 2008. These charges and credits, which are summarized below, are more fully described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ind w:left="900"/>
        <w:spacing w:after="0"/>
        <w:rPr>
          <w:sz w:val="20"/>
          <w:szCs w:val="20"/>
          <w:color w:val="auto"/>
        </w:rPr>
      </w:pPr>
      <w:r>
        <w:rPr>
          <w:rFonts w:ascii="Arial" w:cs="Arial" w:eastAsia="Arial" w:hAnsi="Arial"/>
          <w:sz w:val="18"/>
          <w:szCs w:val="18"/>
          <w:color w:val="auto"/>
        </w:rPr>
        <w:t>The following is a summary of the 2010 charges and credits: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7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Non-</w:t>
            </w: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5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Pretax</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Tax</w:t>
            </w:r>
          </w:p>
        </w:tc>
        <w:tc>
          <w:tcPr>
            <w:tcW w:w="940" w:type="dxa"/>
            <w:vAlign w:val="bottom"/>
            <w:gridSpan w:val="4"/>
          </w:tcPr>
          <w:p>
            <w:pPr>
              <w:ind w:left="18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rPr>
              <w:t>Net</w:t>
            </w:r>
          </w:p>
        </w:tc>
        <w:tc>
          <w:tcPr>
            <w:tcW w:w="34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Restructuring and Merger-related Charges: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Severance and other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3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40" w:type="dxa"/>
            <w:vAlign w:val="bottom"/>
          </w:tcPr>
          <w:p>
            <w:pPr>
              <w:spacing w:after="0"/>
              <w:rPr>
                <w:sz w:val="12"/>
                <w:szCs w:val="12"/>
                <w:color w:val="auto"/>
              </w:rPr>
            </w:pPr>
          </w:p>
        </w:tc>
        <w:tc>
          <w:tcPr>
            <w:tcW w:w="344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Impairment relating to WesternGeco’s first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generation Q-Land acquisition system</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tcPr>
          <w:p>
            <w:pPr>
              <w:spacing w:after="0"/>
              <w:rPr>
                <w:sz w:val="12"/>
                <w:szCs w:val="12"/>
                <w:color w:val="auto"/>
              </w:rPr>
            </w:pPr>
          </w:p>
        </w:tc>
        <w:tc>
          <w:tcPr>
            <w:tcW w:w="344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WesternGeco-related charges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2"/>
                <w:szCs w:val="12"/>
                <w:color w:val="auto"/>
              </w:rPr>
            </w:pPr>
          </w:p>
        </w:tc>
        <w:tc>
          <w:tcPr>
            <w:tcW w:w="3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Professional fees and other</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40" w:type="dxa"/>
            <w:vAlign w:val="bottom"/>
          </w:tcPr>
          <w:p>
            <w:pPr>
              <w:spacing w:after="0"/>
              <w:rPr>
                <w:sz w:val="12"/>
                <w:szCs w:val="12"/>
                <w:color w:val="auto"/>
              </w:rPr>
            </w:pPr>
          </w:p>
        </w:tc>
        <w:tc>
          <w:tcPr>
            <w:tcW w:w="344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Merger-related employee benefits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140" w:type="dxa"/>
            <w:vAlign w:val="bottom"/>
            <w:shd w:val="clear" w:color="auto" w:fill="CCEEFF"/>
          </w:tcPr>
          <w:p>
            <w:pPr>
              <w:spacing w:after="0"/>
              <w:rPr>
                <w:sz w:val="12"/>
                <w:szCs w:val="12"/>
                <w:color w:val="auto"/>
              </w:rPr>
            </w:pPr>
          </w:p>
        </w:tc>
        <w:tc>
          <w:tcPr>
            <w:tcW w:w="3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line="149" w:lineRule="exact"/>
              <w:rPr>
                <w:sz w:val="20"/>
                <w:szCs w:val="20"/>
                <w:color w:val="auto"/>
              </w:rPr>
            </w:pPr>
            <w:r>
              <w:rPr>
                <w:rFonts w:ascii="Arial" w:cs="Arial" w:eastAsia="Arial" w:hAnsi="Arial"/>
                <w:sz w:val="14"/>
                <w:szCs w:val="14"/>
                <w:color w:val="auto"/>
              </w:rPr>
              <w:t>Inventory fair value adjustments</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40" w:type="dxa"/>
            <w:vAlign w:val="bottom"/>
          </w:tcPr>
          <w:p>
            <w:pPr>
              <w:spacing w:after="0"/>
              <w:rPr>
                <w:sz w:val="12"/>
                <w:szCs w:val="12"/>
                <w:color w:val="auto"/>
              </w:rPr>
            </w:pPr>
          </w:p>
        </w:tc>
        <w:tc>
          <w:tcPr>
            <w:tcW w:w="344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Mexico restructuring</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40" w:type="dxa"/>
            <w:vAlign w:val="bottom"/>
            <w:shd w:val="clear" w:color="auto" w:fill="CCEEFF"/>
          </w:tcPr>
          <w:p>
            <w:pPr>
              <w:spacing w:after="0"/>
              <w:rPr>
                <w:sz w:val="12"/>
                <w:szCs w:val="12"/>
                <w:color w:val="auto"/>
              </w:rPr>
            </w:pPr>
          </w:p>
        </w:tc>
        <w:tc>
          <w:tcPr>
            <w:tcW w:w="3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Repurchase of bonds</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Total restructuring and merger-related charges</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14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gridSpan w:val="2"/>
          </w:tcPr>
          <w:p>
            <w:pPr>
              <w:spacing w:after="0" w:line="155" w:lineRule="exact"/>
              <w:rPr>
                <w:sz w:val="20"/>
                <w:szCs w:val="20"/>
                <w:color w:val="auto"/>
              </w:rPr>
            </w:pPr>
            <w:r>
              <w:rPr>
                <w:rFonts w:ascii="Arial" w:cs="Arial" w:eastAsia="Arial" w:hAnsi="Arial"/>
                <w:sz w:val="14"/>
                <w:szCs w:val="14"/>
                <w:color w:val="auto"/>
              </w:rPr>
              <w:t>Gain on investment in M-I SWACO</w:t>
            </w: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5"/>
              </w:rPr>
              <w:t>(1,270)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(32)</w:t>
            </w: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(1,238)</w:t>
            </w:r>
          </w:p>
        </w:tc>
        <w:tc>
          <w:tcPr>
            <w:tcW w:w="140" w:type="dxa"/>
            <w:vAlign w:val="bottom"/>
          </w:tcPr>
          <w:p>
            <w:pPr>
              <w:spacing w:after="0"/>
              <w:rPr>
                <w:sz w:val="13"/>
                <w:szCs w:val="13"/>
                <w:color w:val="auto"/>
              </w:rPr>
            </w:pPr>
          </w:p>
        </w:tc>
        <w:tc>
          <w:tcPr>
            <w:tcW w:w="3440" w:type="dxa"/>
            <w:vAlign w:val="bottom"/>
          </w:tcPr>
          <w:p>
            <w:pPr>
              <w:ind w:left="120"/>
              <w:spacing w:after="0" w:line="155" w:lineRule="exact"/>
              <w:rPr>
                <w:sz w:val="20"/>
                <w:szCs w:val="20"/>
                <w:color w:val="auto"/>
              </w:rPr>
            </w:pPr>
            <w:r>
              <w:rPr>
                <w:rFonts w:ascii="Arial" w:cs="Arial" w:eastAsia="Arial" w:hAnsi="Arial"/>
                <w:sz w:val="14"/>
                <w:szCs w:val="14"/>
                <w:i w:val="1"/>
                <w:iCs w:val="1"/>
                <w:color w:val="auto"/>
              </w:rPr>
              <w:t>Gain on Investment in M-I SWACO</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Impact of elimination of tax deduction related to Medicare</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i w:val="1"/>
                <w:iCs w:val="1"/>
                <w:color w:val="auto"/>
              </w:rPr>
              <w:t>Taxes on income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Part D subsidy</w:t>
            </w:r>
          </w:p>
        </w:tc>
        <w:tc>
          <w:tcPr>
            <w:tcW w:w="8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(621)</w:t>
            </w: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42</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(663</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summary of the 2009 charges: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Non-</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4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Tax</w:t>
            </w:r>
          </w:p>
        </w:tc>
        <w:tc>
          <w:tcPr>
            <w:tcW w:w="9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controlling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Net</w:t>
            </w:r>
          </w:p>
        </w:tc>
        <w:tc>
          <w:tcPr>
            <w:tcW w:w="37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Workforce reductions</w:t>
            </w: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$ 17</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37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Postretirement benefits curtailment</w:t>
            </w: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122</w:t>
            </w:r>
          </w:p>
        </w:tc>
        <w:tc>
          <w:tcPr>
            <w:tcW w:w="3760" w:type="dxa"/>
            <w:vAlign w:val="bottom"/>
          </w:tcPr>
          <w:p>
            <w:pPr>
              <w:ind w:left="280"/>
              <w:spacing w:after="0"/>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$ 31</w:t>
            </w:r>
          </w:p>
        </w:tc>
        <w:tc>
          <w:tcPr>
            <w:tcW w:w="3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207</w:t>
            </w:r>
          </w:p>
        </w:tc>
        <w:tc>
          <w:tcPr>
            <w:tcW w:w="3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summary of the 2008 charges: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Non-</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70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4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2"/>
                <w:szCs w:val="12"/>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w:t>
            </w:r>
          </w:p>
        </w:tc>
        <w:tc>
          <w:tcPr>
            <w:tcW w:w="8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controlling</w:t>
            </w:r>
          </w:p>
        </w:tc>
        <w:tc>
          <w:tcPr>
            <w:tcW w:w="1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Net</w:t>
            </w:r>
          </w:p>
        </w:tc>
        <w:tc>
          <w:tcPr>
            <w:tcW w:w="37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Income Statement Classification</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6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2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vMerge w:val="continue"/>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Workforce reductions</w:t>
            </w:r>
          </w:p>
        </w:tc>
        <w:tc>
          <w:tcPr>
            <w:tcW w:w="1280" w:type="dxa"/>
            <w:vAlign w:val="bottom"/>
            <w:gridSpan w:val="2"/>
            <w:shd w:val="clear" w:color="auto" w:fill="CCEEFF"/>
          </w:tcPr>
          <w:p>
            <w:pPr>
              <w:ind w:left="11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$ 65</w:t>
            </w: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370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Interest and other income, net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280" w:type="dxa"/>
            <w:vAlign w:val="bottom"/>
            <w:gridSpan w:val="2"/>
          </w:tcPr>
          <w:p>
            <w:pPr>
              <w:ind w:left="11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w w:val="89"/>
              </w:rPr>
              <w:t>17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80"/>
              </w:rPr>
              <w:t>$ 93</w:t>
            </w:r>
          </w:p>
        </w:tc>
        <w:tc>
          <w:tcPr>
            <w:tcW w:w="3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37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Cash Flow</w:t>
      </w:r>
    </w:p>
    <w:p>
      <w:pPr>
        <w:spacing w:after="0" w:line="126" w:lineRule="exact"/>
        <w:rPr>
          <w:sz w:val="20"/>
          <w:szCs w:val="20"/>
          <w:color w:val="auto"/>
        </w:rPr>
      </w:pPr>
    </w:p>
    <w:p>
      <w:pPr>
        <w:ind w:left="700" w:firstLine="198"/>
        <w:spacing w:after="0" w:line="256"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ind w:left="900"/>
        <w:spacing w:after="0"/>
        <w:rPr>
          <w:sz w:val="20"/>
          <w:szCs w:val="20"/>
          <w:color w:val="auto"/>
        </w:rPr>
      </w:pPr>
      <w:r>
        <w:rPr>
          <w:rFonts w:ascii="Arial" w:cs="Arial" w:eastAsia="Arial" w:hAnsi="Arial"/>
          <w:sz w:val="18"/>
          <w:szCs w:val="18"/>
          <w:color w:val="auto"/>
        </w:rPr>
        <w:t>Details of Net Debt follow:</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840" w:type="dxa"/>
            <w:vAlign w:val="bottom"/>
            <w:gridSpan w:val="2"/>
          </w:tcPr>
          <w:p>
            <w:pPr>
              <w:spacing w:after="0" w:line="149" w:lineRule="exact"/>
              <w:rPr>
                <w:sz w:val="20"/>
                <w:szCs w:val="20"/>
                <w:color w:val="auto"/>
              </w:rPr>
            </w:pPr>
            <w:r>
              <w:rPr>
                <w:rFonts w:ascii="Arial" w:cs="Arial" w:eastAsia="Arial" w:hAnsi="Arial"/>
                <w:sz w:val="14"/>
                <w:szCs w:val="14"/>
                <w:color w:val="auto"/>
              </w:rPr>
              <w:t>Net Debt,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(126)</w:t>
            </w:r>
          </w:p>
        </w:tc>
        <w:tc>
          <w:tcPr>
            <w:tcW w:w="820" w:type="dxa"/>
            <w:vAlign w:val="bottom"/>
            <w:gridSpan w:val="4"/>
          </w:tcPr>
          <w:p>
            <w:pPr>
              <w:jc w:val="right"/>
              <w:ind w:right="79"/>
              <w:spacing w:after="0" w:line="149" w:lineRule="exact"/>
              <w:rPr>
                <w:sz w:val="20"/>
                <w:szCs w:val="20"/>
                <w:color w:val="auto"/>
              </w:rPr>
            </w:pPr>
            <w:r>
              <w:rPr>
                <w:rFonts w:ascii="Arial" w:cs="Arial" w:eastAsia="Arial" w:hAnsi="Arial"/>
                <w:sz w:val="14"/>
                <w:szCs w:val="14"/>
                <w:color w:val="auto"/>
              </w:rPr>
              <w:t>$ (1,129)</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4,266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3,142</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5,460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2,759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2,476</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Gain on M-I SWACO investment</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(1,270)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Pension and other postretirement benefits expense</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Pension and other postretirement benefits curtailment charge</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Pension and other postretirement benefits funding</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4"/>
              </w:rPr>
              <w:t>(1,149)</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(103)</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Stock -based compensation expense</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Other non-cash items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162</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Decrease (increase) in working capital</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(204)</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(2,914)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4"/>
              </w:rPr>
              <w:t>(2,395)</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(3,723)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Multiclient seismic data capitalized</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(326)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(230)</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Dividends paid</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(1,040)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w w:val="94"/>
              </w:rPr>
              <w:t>(1,006)</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(1,717)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(500)</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Proceeds from employee stock plans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Net debt assumed in merger with Smith</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(1,829)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Geoservices acquisition, net of debt acquired</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(1,033)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Other business acquisitions and minority interest investments</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(212)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(514)</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Conversion of debentures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20" w:type="dxa"/>
            <w:vAlign w:val="bottom"/>
          </w:tcPr>
          <w:p>
            <w:pPr>
              <w:ind w:left="180"/>
              <w:spacing w:after="0" w:line="149" w:lineRule="exact"/>
              <w:rPr>
                <w:sz w:val="20"/>
                <w:szCs w:val="20"/>
                <w:color w:val="auto"/>
              </w:rPr>
            </w:pPr>
            <w:r>
              <w:rPr>
                <w:rFonts w:ascii="Arial" w:cs="Arial" w:eastAsia="Arial" w:hAnsi="Arial"/>
                <w:sz w:val="14"/>
                <w:szCs w:val="14"/>
                <w:color w:val="auto"/>
              </w:rPr>
              <w:t>Translation effect on net debt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(59)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820" w:type="dxa"/>
            <w:vAlign w:val="bottom"/>
          </w:tcPr>
          <w:p>
            <w:pPr>
              <w:ind w:left="180"/>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(86)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549</w:t>
            </w:r>
          </w:p>
        </w:tc>
        <w:tc>
          <w:tcPr>
            <w:tcW w:w="16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Debt, end of year</w:t>
            </w:r>
          </w:p>
        </w:tc>
        <w:tc>
          <w:tcPr>
            <w:tcW w:w="580" w:type="dxa"/>
            <w:vAlign w:val="bottom"/>
            <w:tcBorders>
              <w:top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w w:val="89"/>
              </w:rPr>
              <w:t>$ (2,638)</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(1,129</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vMerge w:val="restart"/>
          </w:tcPr>
          <w:p>
            <w:pPr>
              <w:spacing w:after="0"/>
              <w:rPr>
                <w:sz w:val="20"/>
                <w:szCs w:val="20"/>
                <w:color w:val="auto"/>
              </w:rPr>
            </w:pPr>
            <w:r>
              <w:rPr>
                <w:rFonts w:ascii="Arial" w:cs="Arial" w:eastAsia="Arial" w:hAnsi="Arial"/>
                <w:sz w:val="14"/>
                <w:szCs w:val="14"/>
                <w:color w:val="auto"/>
              </w:rPr>
              <w:t>(1) Includes multiclient seismic data costs.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7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Components of Net Debt</w:t>
            </w:r>
          </w:p>
        </w:tc>
        <w:tc>
          <w:tcPr>
            <w:tcW w:w="58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Dec. 31</w:t>
            </w:r>
          </w:p>
        </w:tc>
        <w:tc>
          <w:tcPr>
            <w:tcW w:w="180" w:type="dxa"/>
            <w:vAlign w:val="bottom"/>
          </w:tcPr>
          <w:p>
            <w:pPr>
              <w:spacing w:after="0"/>
              <w:rPr>
                <w:sz w:val="10"/>
                <w:szCs w:val="10"/>
                <w:color w:val="auto"/>
              </w:rPr>
            </w:pPr>
          </w:p>
        </w:tc>
        <w:tc>
          <w:tcPr>
            <w:tcW w:w="640" w:type="dxa"/>
            <w:vAlign w:val="bottom"/>
            <w:gridSpan w:val="3"/>
          </w:tcPr>
          <w:p>
            <w:pPr>
              <w:jc w:val="right"/>
              <w:ind w:right="139"/>
              <w:spacing w:after="0" w:line="119" w:lineRule="exact"/>
              <w:rPr>
                <w:sz w:val="20"/>
                <w:szCs w:val="20"/>
                <w:color w:val="auto"/>
              </w:rPr>
            </w:pPr>
            <w:r>
              <w:rPr>
                <w:rFonts w:ascii="Arial" w:cs="Arial" w:eastAsia="Arial" w:hAnsi="Arial"/>
                <w:sz w:val="13"/>
                <w:szCs w:val="13"/>
                <w:b w:val="1"/>
                <w:bCs w:val="1"/>
                <w:color w:val="auto"/>
                <w:w w:val="96"/>
              </w:rPr>
              <w:t>Dec. 31</w:t>
            </w:r>
          </w:p>
        </w:tc>
        <w:tc>
          <w:tcPr>
            <w:tcW w:w="12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6"/>
              </w:rPr>
              <w:t>Dec. 31</w:t>
            </w: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8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840" w:type="dxa"/>
            <w:vAlign w:val="bottom"/>
            <w:gridSpan w:val="2"/>
          </w:tcPr>
          <w:p>
            <w:pPr>
              <w:spacing w:after="0"/>
              <w:rPr>
                <w:sz w:val="20"/>
                <w:szCs w:val="20"/>
                <w:color w:val="auto"/>
              </w:rPr>
            </w:pPr>
            <w:r>
              <w:rPr>
                <w:rFonts w:ascii="Arial" w:cs="Arial" w:eastAsia="Arial" w:hAnsi="Arial"/>
                <w:sz w:val="14"/>
                <w:szCs w:val="14"/>
                <w:color w:val="auto"/>
              </w:rPr>
              <w:t>Cash</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1,764</w:t>
            </w:r>
          </w:p>
        </w:tc>
        <w:tc>
          <w:tcPr>
            <w:tcW w:w="10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617</w:t>
            </w: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   609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4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3,999</w:t>
            </w:r>
          </w:p>
        </w:tc>
        <w:tc>
          <w:tcPr>
            <w:tcW w:w="16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840" w:type="dxa"/>
            <w:vAlign w:val="bottom"/>
            <w:gridSpan w:val="2"/>
          </w:tcPr>
          <w:p>
            <w:pPr>
              <w:spacing w:after="0" w:line="153" w:lineRule="exact"/>
              <w:rPr>
                <w:sz w:val="20"/>
                <w:szCs w:val="20"/>
                <w:color w:val="auto"/>
              </w:rPr>
            </w:pPr>
            <w:r>
              <w:rPr>
                <w:rFonts w:ascii="Arial" w:cs="Arial" w:eastAsia="Arial" w:hAnsi="Arial"/>
                <w:sz w:val="14"/>
                <w:szCs w:val="14"/>
                <w:color w:val="auto"/>
              </w:rPr>
              <w:t>Fixed income investments, held to maturity</w:t>
            </w:r>
          </w:p>
        </w:tc>
        <w:tc>
          <w:tcPr>
            <w:tcW w:w="8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484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738</w:t>
            </w:r>
          </w:p>
        </w:tc>
        <w:tc>
          <w:tcPr>
            <w:tcW w:w="160" w:type="dxa"/>
            <w:vAlign w:val="bottom"/>
          </w:tcPr>
          <w:p>
            <w:pPr>
              <w:spacing w:after="0"/>
              <w:rPr>
                <w:sz w:val="13"/>
                <w:szCs w:val="13"/>
                <w:color w:val="auto"/>
              </w:rPr>
            </w:pPr>
          </w:p>
        </w:tc>
        <w:tc>
          <w:tcPr>
            <w:tcW w:w="58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470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840" w:type="dxa"/>
            <w:vAlign w:val="bottom"/>
            <w:gridSpan w:val="2"/>
          </w:tcPr>
          <w:p>
            <w:pPr>
              <w:spacing w:after="0" w:line="149" w:lineRule="exact"/>
              <w:rPr>
                <w:sz w:val="20"/>
                <w:szCs w:val="20"/>
                <w:color w:val="auto"/>
              </w:rPr>
            </w:pPr>
            <w:r>
              <w:rPr>
                <w:rFonts w:ascii="Arial" w:cs="Arial" w:eastAsia="Arial" w:hAnsi="Arial"/>
                <w:sz w:val="14"/>
                <w:szCs w:val="14"/>
                <w:color w:val="auto"/>
              </w:rPr>
              <w:t>Short-term borrowings and current</w:t>
            </w:r>
          </w:p>
        </w:tc>
        <w:tc>
          <w:tcPr>
            <w:tcW w:w="80" w:type="dxa"/>
            <w:vAlign w:val="bottom"/>
          </w:tcPr>
          <w:p>
            <w:pPr>
              <w:spacing w:after="0"/>
              <w:rPr>
                <w:sz w:val="12"/>
                <w:szCs w:val="12"/>
                <w:color w:val="auto"/>
              </w:rPr>
            </w:pPr>
          </w:p>
        </w:tc>
        <w:tc>
          <w:tcPr>
            <w:tcW w:w="5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(2,595)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40" w:type="dxa"/>
            <w:vAlign w:val="bottom"/>
            <w:gridSpan w:val="2"/>
          </w:tcPr>
          <w:p>
            <w:pPr>
              <w:spacing w:after="0" w:line="149" w:lineRule="exact"/>
              <w:rPr>
                <w:sz w:val="20"/>
                <w:szCs w:val="20"/>
                <w:color w:val="auto"/>
              </w:rPr>
            </w:pPr>
            <w:r>
              <w:rPr>
                <w:rFonts w:ascii="Arial" w:cs="Arial" w:eastAsia="Arial" w:hAnsi="Arial"/>
                <w:sz w:val="14"/>
                <w:szCs w:val="14"/>
                <w:color w:val="auto"/>
              </w:rPr>
              <w:t>portion of long-term debt</w:t>
            </w: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(804)</w:t>
            </w: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45"/>
        </w:trPr>
        <w:tc>
          <w:tcPr>
            <w:tcW w:w="7840" w:type="dxa"/>
            <w:vAlign w:val="bottom"/>
            <w:gridSpan w:val="2"/>
          </w:tcPr>
          <w:p>
            <w:pPr>
              <w:spacing w:after="0" w:line="145" w:lineRule="exact"/>
              <w:rPr>
                <w:sz w:val="20"/>
                <w:szCs w:val="20"/>
                <w:color w:val="auto"/>
              </w:rPr>
            </w:pPr>
            <w:r>
              <w:rPr>
                <w:rFonts w:ascii="Arial" w:cs="Arial" w:eastAsia="Arial" w:hAnsi="Arial"/>
                <w:sz w:val="14"/>
                <w:szCs w:val="14"/>
                <w:color w:val="auto"/>
              </w:rPr>
              <w:t>Convertible debentures</w:t>
            </w: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79"/>
              <w:spacing w:after="0" w:line="145" w:lineRule="exact"/>
              <w:rPr>
                <w:sz w:val="20"/>
                <w:szCs w:val="20"/>
                <w:color w:val="auto"/>
              </w:rPr>
            </w:pPr>
            <w:r>
              <w:rPr>
                <w:rFonts w:ascii="Arial" w:cs="Arial" w:eastAsia="Arial" w:hAnsi="Arial"/>
                <w:sz w:val="14"/>
                <w:szCs w:val="14"/>
                <w:color w:val="auto"/>
              </w:rPr>
              <w:t>(321)</w:t>
            </w:r>
          </w:p>
        </w:tc>
        <w:tc>
          <w:tcPr>
            <w:tcW w:w="640" w:type="dxa"/>
            <w:vAlign w:val="bottom"/>
            <w:gridSpan w:val="3"/>
          </w:tcPr>
          <w:p>
            <w:pPr>
              <w:jc w:val="right"/>
              <w:spacing w:after="0" w:line="145"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5"/>
        </w:trPr>
        <w:tc>
          <w:tcPr>
            <w:tcW w:w="784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(5,517)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tcPr>
          <w:p>
            <w:pPr>
              <w:jc w:val="right"/>
              <w:ind w:right="79"/>
              <w:spacing w:after="0"/>
              <w:rPr>
                <w:sz w:val="20"/>
                <w:szCs w:val="20"/>
                <w:color w:val="auto"/>
              </w:rPr>
            </w:pPr>
            <w:r>
              <w:rPr>
                <w:rFonts w:ascii="Arial" w:cs="Arial" w:eastAsia="Arial" w:hAnsi="Arial"/>
                <w:sz w:val="14"/>
                <w:szCs w:val="14"/>
                <w:color w:val="auto"/>
                <w:w w:val="94"/>
              </w:rPr>
              <w:t>(4,355)</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(3,372)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w w:val="89"/>
              </w:rPr>
              <w:t>$ (2,638)</w:t>
            </w:r>
          </w:p>
        </w:tc>
        <w:tc>
          <w:tcPr>
            <w:tcW w:w="1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(1,129</w:t>
            </w:r>
          </w:p>
        </w:tc>
        <w:tc>
          <w:tcPr>
            <w:tcW w:w="6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Key liquidity events during 2010, 2009 and 2008 included:</w:t>
      </w:r>
    </w:p>
    <w:p>
      <w:pPr>
        <w:spacing w:after="0" w:line="131" w:lineRule="exact"/>
        <w:rPr>
          <w:sz w:val="20"/>
          <w:szCs w:val="20"/>
          <w:color w:val="auto"/>
        </w:rPr>
      </w:pPr>
    </w:p>
    <w:p>
      <w:pPr>
        <w:ind w:left="1480" w:hanging="382"/>
        <w:spacing w:after="0" w:line="264"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a result of the Smith merger, Schlumberger assumed net debt of $1.8 billion. This amount consisted of $2.2 billion of debt (including a $0.4 billion adjustment to increase Smith’s long-term fixed rate debt to its estimated fair value) and $0.4 billion of cash.</w:t>
      </w:r>
    </w:p>
    <w:p>
      <w:pPr>
        <w:spacing w:after="0" w:line="73" w:lineRule="exact"/>
        <w:rPr>
          <w:rFonts w:ascii="Arial" w:cs="Arial" w:eastAsia="Arial" w:hAnsi="Arial"/>
          <w:sz w:val="18"/>
          <w:szCs w:val="18"/>
          <w:color w:val="auto"/>
        </w:rPr>
      </w:pPr>
    </w:p>
    <w:p>
      <w:pPr>
        <w:ind w:left="1480" w:right="820" w:hanging="382"/>
        <w:spacing w:after="0" w:line="277"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second quarter of 2010, Schlumberger completed the acquisition of Geoservices for cash of $0.9 billion. Schlumberger assumed net debt of $0.1 billion in connection with this transaction.</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200" w:lineRule="exact"/>
        <w:rPr>
          <w:sz w:val="20"/>
          <w:szCs w:val="20"/>
          <w:color w:val="auto"/>
        </w:rPr>
      </w:pPr>
    </w:p>
    <w:p>
      <w:pPr>
        <w:spacing w:after="0" w:line="245" w:lineRule="exact"/>
        <w:rPr>
          <w:sz w:val="20"/>
          <w:szCs w:val="20"/>
          <w:color w:val="auto"/>
        </w:rPr>
      </w:pPr>
    </w:p>
    <w:p>
      <w:pPr>
        <w:ind w:left="1480" w:hanging="382"/>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third and fourth quarters of 2010, Schlumberger repurchased the following debt:</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8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88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6.50%</w:t>
            </w:r>
          </w:p>
        </w:tc>
        <w:tc>
          <w:tcPr>
            <w:tcW w:w="8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Notes due 2012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6.75%</w:t>
            </w:r>
          </w:p>
        </w:tc>
        <w:tc>
          <w:tcPr>
            <w:tcW w:w="886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2011</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9.75%</w:t>
            </w:r>
          </w:p>
        </w:tc>
        <w:tc>
          <w:tcPr>
            <w:tcW w:w="88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Senior Notes due 2019</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6.00%</w:t>
            </w:r>
          </w:p>
        </w:tc>
        <w:tc>
          <w:tcPr>
            <w:tcW w:w="886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2016</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8.625% Senior Notes due 2014</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8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premium paid in excess of the carrying value to repurchase the $1.275 billion of debt was approximately $67 million.</w:t>
      </w:r>
    </w:p>
    <w:p>
      <w:pPr>
        <w:spacing w:after="0" w:line="142" w:lineRule="exact"/>
        <w:rPr>
          <w:sz w:val="20"/>
          <w:szCs w:val="20"/>
          <w:color w:val="auto"/>
        </w:rPr>
      </w:pPr>
    </w:p>
    <w:p>
      <w:pPr>
        <w:ind w:left="1480" w:right="200" w:hanging="382"/>
        <w:spacing w:after="0" w:line="264"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During the first quarter of 2009, Schlumberger entered into a €3.0 billion Euro Medium Term Note program. This program provides for the issuance of various types of debt instruments such as fixed or floating rate notes in Euro, US dollar or other currencies.</w:t>
      </w:r>
    </w:p>
    <w:p>
      <w:pPr>
        <w:spacing w:after="0" w:line="87" w:lineRule="exact"/>
        <w:rPr>
          <w:sz w:val="20"/>
          <w:szCs w:val="20"/>
          <w:color w:val="auto"/>
        </w:rPr>
      </w:pPr>
    </w:p>
    <w:p>
      <w:pPr>
        <w:ind w:left="1380" w:right="280"/>
        <w:spacing w:after="0" w:line="259" w:lineRule="auto"/>
        <w:rPr>
          <w:sz w:val="20"/>
          <w:szCs w:val="20"/>
          <w:color w:val="auto"/>
        </w:rPr>
      </w:pPr>
      <w:r>
        <w:rPr>
          <w:rFonts w:ascii="Arial" w:cs="Arial" w:eastAsia="Arial" w:hAnsi="Arial"/>
          <w:sz w:val="18"/>
          <w:szCs w:val="18"/>
          <w:color w:val="auto"/>
        </w:rPr>
        <w:t>Schlumberger issued €1.0 billion 2.75% Guaranteed Notes due 2015 in the fourth quarter of 2010 under this program. Schlumberger entered into agreements to swap these euro notes for US dollars on the date of issue until maturity, effectively making this a US denominated debt on which Schlumberger will pay interest in US dollars at a rate of 2.56%. The proceeds from these notes will be used for general corporate purposes.</w:t>
      </w:r>
    </w:p>
    <w:p>
      <w:pPr>
        <w:spacing w:after="0" w:line="92" w:lineRule="exact"/>
        <w:rPr>
          <w:sz w:val="20"/>
          <w:szCs w:val="20"/>
          <w:color w:val="auto"/>
        </w:rPr>
      </w:pPr>
    </w:p>
    <w:p>
      <w:pPr>
        <w:ind w:left="1380" w:right="280"/>
        <w:spacing w:after="0" w:line="302" w:lineRule="auto"/>
        <w:rPr>
          <w:sz w:val="20"/>
          <w:szCs w:val="20"/>
          <w:color w:val="auto"/>
        </w:rPr>
      </w:pPr>
      <w:r>
        <w:rPr>
          <w:rFonts w:ascii="Arial" w:cs="Arial" w:eastAsia="Arial" w:hAnsi="Arial"/>
          <w:sz w:val="16"/>
          <w:szCs w:val="16"/>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were used to refinance existing debt obligations and for general corporate purposes.</w:t>
      </w:r>
    </w:p>
    <w:p>
      <w:pPr>
        <w:spacing w:after="0" w:line="60" w:lineRule="exact"/>
        <w:rPr>
          <w:sz w:val="20"/>
          <w:szCs w:val="20"/>
          <w:color w:val="auto"/>
        </w:rPr>
      </w:pPr>
    </w:p>
    <w:p>
      <w:pPr>
        <w:ind w:left="1480" w:right="60" w:hanging="382"/>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third quarter of 2009, Schlumberger issued $450 million of 3.00% Guaranteed Notes due 2013. The proceeds from these notes were used to refinance existing debt obligations.</w:t>
      </w:r>
    </w:p>
    <w:p>
      <w:pPr>
        <w:spacing w:after="0" w:line="62" w:lineRule="exact"/>
        <w:rPr>
          <w:rFonts w:ascii="Arial" w:cs="Arial" w:eastAsia="Arial" w:hAnsi="Arial"/>
          <w:sz w:val="18"/>
          <w:szCs w:val="18"/>
          <w:color w:val="auto"/>
        </w:rPr>
      </w:pPr>
    </w:p>
    <w:p>
      <w:pPr>
        <w:ind w:left="1480" w:right="280" w:hanging="382"/>
        <w:spacing w:after="0" w:line="259"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September 2008, Schlumberger issued €500 million 5.25% Guaranteed Notes due 2013. Schlumberger entered into agreements to swap these Euro notes for US dollars on the date of issue until maturity, effectively making this a US dollar denominated debt on which Schlumberger will pay interest in US dollars at a rate of 4.74%. The proceeds from these notes were used to repay commercial paper borrowings.</w:t>
      </w:r>
    </w:p>
    <w:p>
      <w:pPr>
        <w:spacing w:after="0" w:line="78" w:lineRule="exact"/>
        <w:rPr>
          <w:rFonts w:ascii="Arial" w:cs="Arial" w:eastAsia="Arial" w:hAnsi="Arial"/>
          <w:sz w:val="18"/>
          <w:szCs w:val="18"/>
          <w:color w:val="auto"/>
        </w:rPr>
      </w:pPr>
    </w:p>
    <w:p>
      <w:pPr>
        <w:ind w:left="1480" w:right="220" w:hanging="382"/>
        <w:spacing w:after="0" w:line="264"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April 20, 2006, the Schlumberger Board of Directors approved a share repurchase program of up to 40 million shares of common stock to be acquired in the open market before April 2010, subject to market conditions. This program was completed during the second quarter of 2008.</w:t>
      </w:r>
    </w:p>
    <w:p>
      <w:pPr>
        <w:spacing w:after="0" w:line="87" w:lineRule="exact"/>
        <w:rPr>
          <w:sz w:val="20"/>
          <w:szCs w:val="20"/>
          <w:color w:val="auto"/>
        </w:rPr>
      </w:pPr>
    </w:p>
    <w:p>
      <w:pPr>
        <w:ind w:left="1380" w:right="300"/>
        <w:spacing w:after="0" w:line="264" w:lineRule="auto"/>
        <w:rPr>
          <w:sz w:val="20"/>
          <w:szCs w:val="20"/>
          <w:color w:val="auto"/>
        </w:rPr>
      </w:pPr>
      <w:r>
        <w:rPr>
          <w:rFonts w:ascii="Arial" w:cs="Arial" w:eastAsia="Arial" w:hAnsi="Arial"/>
          <w:sz w:val="18"/>
          <w:szCs w:val="18"/>
          <w:color w:val="auto"/>
        </w:rPr>
        <w:t>On April 17, 2008, the Schlumberger Board of Directors approved an $8 billion share repurchase program for shares of Schlumberger common stock, to be acquired in the open market before December 31, 2011, of which $3.15 billion had been repurchased as of December 31, 2010.</w:t>
      </w:r>
    </w:p>
    <w:p>
      <w:pPr>
        <w:spacing w:after="0" w:line="8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 following table summarizes the activity under these share repurchase programs during 2010, 2009 and 2008:</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thousands except per share amounts and prices)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9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Total cost</w:t>
            </w:r>
          </w:p>
        </w:tc>
        <w:tc>
          <w:tcPr>
            <w:tcW w:w="3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Total number</w:t>
            </w:r>
          </w:p>
        </w:tc>
        <w:tc>
          <w:tcPr>
            <w:tcW w:w="3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of shares</w:t>
            </w:r>
          </w:p>
        </w:tc>
        <w:tc>
          <w:tcPr>
            <w:tcW w:w="36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of shares</w:t>
            </w:r>
          </w:p>
        </w:tc>
        <w:tc>
          <w:tcPr>
            <w:tcW w:w="3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price paid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000" w:type="dxa"/>
            <w:vAlign w:val="bottom"/>
            <w:gridSpan w:val="2"/>
          </w:tcPr>
          <w:p>
            <w:pPr>
              <w:ind w:left="360"/>
              <w:spacing w:after="0"/>
              <w:rPr>
                <w:sz w:val="20"/>
                <w:szCs w:val="20"/>
                <w:color w:val="auto"/>
              </w:rPr>
            </w:pPr>
            <w:r>
              <w:rPr>
                <w:rFonts w:ascii="Arial" w:cs="Arial" w:eastAsia="Arial" w:hAnsi="Arial"/>
                <w:sz w:val="14"/>
                <w:szCs w:val="14"/>
                <w:b w:val="1"/>
                <w:bCs w:val="1"/>
                <w:color w:val="auto"/>
                <w:w w:val="87"/>
              </w:rPr>
              <w:t>purchased</w:t>
            </w:r>
          </w:p>
        </w:tc>
        <w:tc>
          <w:tcPr>
            <w:tcW w:w="3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purchased</w:t>
            </w:r>
          </w:p>
        </w:tc>
        <w:tc>
          <w:tcPr>
            <w:tcW w:w="3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9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jc w:val="right"/>
              <w:ind w:right="5568"/>
              <w:spacing w:after="0" w:line="149" w:lineRule="exact"/>
              <w:rPr>
                <w:sz w:val="20"/>
                <w:szCs w:val="20"/>
                <w:color w:val="auto"/>
              </w:rPr>
            </w:pPr>
            <w:r>
              <w:rPr>
                <w:rFonts w:ascii="Arial" w:cs="Arial" w:eastAsia="Arial" w:hAnsi="Arial"/>
                <w:sz w:val="14"/>
                <w:szCs w:val="14"/>
                <w:color w:val="auto"/>
                <w:w w:val="76"/>
              </w:rPr>
              <w:t>2010</w:t>
            </w:r>
          </w:p>
        </w:tc>
        <w:tc>
          <w:tcPr>
            <w:tcW w:w="4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1,716,675</w:t>
            </w:r>
          </w:p>
        </w:tc>
        <w:tc>
          <w:tcPr>
            <w:tcW w:w="1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26,624.8</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jc w:val="right"/>
              <w:ind w:right="5568"/>
              <w:spacing w:after="0" w:line="149" w:lineRule="exact"/>
              <w:rPr>
                <w:sz w:val="20"/>
                <w:szCs w:val="20"/>
                <w:color w:val="auto"/>
              </w:rPr>
            </w:pPr>
            <w:r>
              <w:rPr>
                <w:rFonts w:ascii="Arial" w:cs="Arial" w:eastAsia="Arial" w:hAnsi="Arial"/>
                <w:sz w:val="14"/>
                <w:szCs w:val="14"/>
                <w:color w:val="auto"/>
                <w:w w:val="76"/>
              </w:rPr>
              <w:t>2009</w:t>
            </w:r>
          </w:p>
        </w:tc>
        <w:tc>
          <w:tcPr>
            <w:tcW w:w="420" w:type="dxa"/>
            <w:vAlign w:val="bottom"/>
          </w:tcPr>
          <w:p>
            <w:pPr>
              <w:ind w:left="3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500,097</w:t>
            </w:r>
          </w:p>
        </w:tc>
        <w:tc>
          <w:tcPr>
            <w:tcW w:w="1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7,825.0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jc w:val="right"/>
              <w:ind w:right="5568"/>
              <w:spacing w:after="0" w:line="149" w:lineRule="exact"/>
              <w:rPr>
                <w:sz w:val="20"/>
                <w:szCs w:val="20"/>
                <w:color w:val="auto"/>
              </w:rPr>
            </w:pPr>
            <w:r>
              <w:rPr>
                <w:rFonts w:ascii="Arial" w:cs="Arial" w:eastAsia="Arial" w:hAnsi="Arial"/>
                <w:sz w:val="14"/>
                <w:szCs w:val="14"/>
                <w:color w:val="auto"/>
                <w:w w:val="76"/>
              </w:rPr>
              <w:t>2008</w:t>
            </w:r>
          </w:p>
        </w:tc>
        <w:tc>
          <w:tcPr>
            <w:tcW w:w="4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1,818,841</w:t>
            </w:r>
          </w:p>
        </w:tc>
        <w:tc>
          <w:tcPr>
            <w:tcW w:w="1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21,064.7</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80" w:right="140" w:hanging="382"/>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flow provided by operations was $5.5 billion in 2010, $5.3 billion in 2009 and $6.9 billion in 2008. The decline in cash flow from operations in 2009 as compared to 2008 was primarily driven by the decrease in net</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1480" w:right="280"/>
        <w:spacing w:after="0" w:line="277" w:lineRule="auto"/>
        <w:rPr>
          <w:sz w:val="20"/>
          <w:szCs w:val="20"/>
          <w:color w:val="auto"/>
        </w:rPr>
      </w:pPr>
      <w:r>
        <w:rPr>
          <w:rFonts w:ascii="Arial" w:cs="Arial" w:eastAsia="Arial" w:hAnsi="Arial"/>
          <w:sz w:val="18"/>
          <w:szCs w:val="18"/>
          <w:color w:val="auto"/>
        </w:rPr>
        <w:t>income experienced in 2009 and the significant pension plan contributions made during 2009, offset by an improvement in working capital requirements.</w:t>
      </w:r>
    </w:p>
    <w:p>
      <w:pPr>
        <w:spacing w:after="0" w:line="76" w:lineRule="exact"/>
        <w:rPr>
          <w:sz w:val="20"/>
          <w:szCs w:val="20"/>
          <w:color w:val="auto"/>
        </w:rPr>
      </w:pPr>
    </w:p>
    <w:p>
      <w:pPr>
        <w:ind w:left="1380" w:right="80"/>
        <w:spacing w:after="0" w:line="312" w:lineRule="auto"/>
        <w:rPr>
          <w:sz w:val="20"/>
          <w:szCs w:val="20"/>
          <w:color w:val="auto"/>
        </w:rPr>
      </w:pPr>
      <w:r>
        <w:rPr>
          <w:rFonts w:ascii="Arial" w:cs="Arial" w:eastAsia="Arial" w:hAnsi="Arial"/>
          <w:sz w:val="16"/>
          <w:szCs w:val="16"/>
          <w:color w:val="auto"/>
        </w:rPr>
        <w:t>At times in recent periods, Schlumberger has experienced delays in payments from certain of its customers. Schlumberger operates in approximately 80 countries. At December 31, 2010, only three of those countries individually accounted for greater than 5% of Schlumberger’s accounts receivable balance of which only one, the United States, represented greater than 10%.</w:t>
      </w:r>
    </w:p>
    <w:p>
      <w:pPr>
        <w:spacing w:after="0" w:line="52" w:lineRule="exact"/>
        <w:rPr>
          <w:sz w:val="20"/>
          <w:szCs w:val="20"/>
          <w:color w:val="auto"/>
        </w:rPr>
      </w:pPr>
    </w:p>
    <w:p>
      <w:pPr>
        <w:ind w:left="1480" w:hanging="382"/>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Dividends paid during 2010, 2009 and 2008 were $1.04 billion, $1.01 billion and $0.96 billion, respectively.</w:t>
      </w:r>
    </w:p>
    <w:p>
      <w:pPr>
        <w:spacing w:after="0" w:line="131" w:lineRule="exact"/>
        <w:rPr>
          <w:sz w:val="20"/>
          <w:szCs w:val="20"/>
          <w:color w:val="auto"/>
        </w:rPr>
      </w:pPr>
    </w:p>
    <w:p>
      <w:pPr>
        <w:ind w:left="1380" w:right="360"/>
        <w:spacing w:after="0" w:line="277" w:lineRule="auto"/>
        <w:rPr>
          <w:sz w:val="20"/>
          <w:szCs w:val="20"/>
          <w:color w:val="auto"/>
        </w:rPr>
      </w:pPr>
      <w:r>
        <w:rPr>
          <w:rFonts w:ascii="Arial" w:cs="Arial" w:eastAsia="Arial" w:hAnsi="Arial"/>
          <w:sz w:val="18"/>
          <w:szCs w:val="18"/>
          <w:color w:val="auto"/>
        </w:rPr>
        <w:t>In January 2011, Schlumberger announced that its Board of Directors had approved an increase in the quarterly dividend of 19%, to $0.25.</w:t>
      </w:r>
    </w:p>
    <w:p>
      <w:pPr>
        <w:spacing w:after="0" w:line="76" w:lineRule="exact"/>
        <w:rPr>
          <w:sz w:val="20"/>
          <w:szCs w:val="20"/>
          <w:color w:val="auto"/>
        </w:rPr>
      </w:pPr>
    </w:p>
    <w:p>
      <w:pPr>
        <w:ind w:left="1480" w:right="80" w:hanging="382"/>
        <w:spacing w:after="0" w:line="259"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were $2.9 billion in 2010, $2.4 billion in 2009 and $3.7 billion in 2008. Capital expenditures in 2008 reflected the record activity levels experienced in that year. The decrease in capital expenditures in 2009 as compared to 2008 is primarily due to the significant activity decline during 2009. Capital expenditures are expected to approach $4.0 billion for the full year 2011.</w:t>
      </w:r>
    </w:p>
    <w:p>
      <w:pPr>
        <w:spacing w:after="0" w:line="78" w:lineRule="exact"/>
        <w:rPr>
          <w:rFonts w:ascii="Arial" w:cs="Arial" w:eastAsia="Arial" w:hAnsi="Arial"/>
          <w:sz w:val="18"/>
          <w:szCs w:val="18"/>
          <w:color w:val="auto"/>
        </w:rPr>
      </w:pPr>
    </w:p>
    <w:p>
      <w:pPr>
        <w:jc w:val="both"/>
        <w:ind w:left="1480" w:right="40" w:hanging="382"/>
        <w:spacing w:after="0" w:line="264" w:lineRule="auto"/>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2010, 2009 and 2008 Schlumberger made contributions of $868 million, $1.1 billion and $290 million, respectively, to its postretirement benefit plans. The US pension plans were 95% funded at December 31, 2010 based on the projected benefit obligation. This compares to 92% funded at December 31, 2009.</w:t>
      </w:r>
    </w:p>
    <w:p>
      <w:pPr>
        <w:spacing w:after="0" w:line="87" w:lineRule="exact"/>
        <w:rPr>
          <w:sz w:val="20"/>
          <w:szCs w:val="20"/>
          <w:color w:val="auto"/>
        </w:rPr>
      </w:pPr>
    </w:p>
    <w:p>
      <w:pPr>
        <w:ind w:left="1380" w:right="340"/>
        <w:spacing w:after="0" w:line="277" w:lineRule="auto"/>
        <w:rPr>
          <w:sz w:val="20"/>
          <w:szCs w:val="20"/>
          <w:color w:val="auto"/>
        </w:rPr>
      </w:pPr>
      <w:r>
        <w:rPr>
          <w:rFonts w:ascii="Arial" w:cs="Arial" w:eastAsia="Arial" w:hAnsi="Arial"/>
          <w:sz w:val="18"/>
          <w:szCs w:val="18"/>
          <w:color w:val="auto"/>
        </w:rPr>
        <w:t>Schlumberger’s international defined benefit pension plans are a combined 92% funded at December 31, 2010 based on the projected benefit obligation. This compares to 85% funded at December 31, 2009.</w:t>
      </w:r>
    </w:p>
    <w:p>
      <w:pPr>
        <w:spacing w:after="0" w:line="76" w:lineRule="exact"/>
        <w:rPr>
          <w:sz w:val="20"/>
          <w:szCs w:val="20"/>
          <w:color w:val="auto"/>
        </w:rPr>
      </w:pPr>
    </w:p>
    <w:p>
      <w:pPr>
        <w:ind w:left="1380" w:right="120"/>
        <w:spacing w:after="0" w:line="277" w:lineRule="auto"/>
        <w:rPr>
          <w:sz w:val="20"/>
          <w:szCs w:val="20"/>
          <w:color w:val="auto"/>
        </w:rPr>
      </w:pPr>
      <w:r>
        <w:rPr>
          <w:rFonts w:ascii="Arial" w:cs="Arial" w:eastAsia="Arial" w:hAnsi="Arial"/>
          <w:sz w:val="18"/>
          <w:szCs w:val="18"/>
          <w:color w:val="auto"/>
        </w:rPr>
        <w:t>Schlumberger currently anticipates contributing approximately $600 million to $650 million to its postretirement benefit plans in 2011, subject to market and business conditions.</w:t>
      </w:r>
    </w:p>
    <w:p>
      <w:pPr>
        <w:spacing w:after="0" w:line="76" w:lineRule="exact"/>
        <w:rPr>
          <w:sz w:val="20"/>
          <w:szCs w:val="20"/>
          <w:color w:val="auto"/>
        </w:rPr>
      </w:pPr>
    </w:p>
    <w:p>
      <w:pPr>
        <w:jc w:val="both"/>
        <w:ind w:left="1480" w:right="100" w:hanging="382"/>
        <w:spacing w:after="0" w:line="264"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2010 and 2008, certain holders of Schlumberger Limited 1.5% Series A Convertible Debentures due June 1, 2023 and 2.125% Series B Convertible Debentures due June 1, 2023 converted their debentures into Schlumberger common stock. The following table summarizes these conversions:</w:t>
      </w:r>
    </w:p>
    <w:p>
      <w:pPr>
        <w:spacing w:after="0" w:line="92"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33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9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2"/>
          </w:tcPr>
          <w:p>
            <w:pPr>
              <w:jc w:val="right"/>
              <w:ind w:right="868"/>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80"/>
        </w:trPr>
        <w:tc>
          <w:tcPr>
            <w:tcW w:w="3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89"/>
              </w:rPr>
              <w:t>Conversions</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w w:val="88"/>
              </w:rPr>
              <w:t>Shares issued</w:t>
            </w:r>
          </w:p>
        </w:tc>
        <w:tc>
          <w:tcPr>
            <w:tcW w:w="3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Conversions</w:t>
            </w:r>
          </w:p>
        </w:tc>
        <w:tc>
          <w:tcPr>
            <w:tcW w:w="3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w w:val="92"/>
              </w:rPr>
              <w:t>Shares issued</w:t>
            </w:r>
          </w:p>
        </w:tc>
        <w:tc>
          <w:tcPr>
            <w:tcW w:w="100" w:type="dxa"/>
            <w:vAlign w:val="bottom"/>
          </w:tcPr>
          <w:p>
            <w:pPr>
              <w:spacing w:after="0"/>
              <w:rPr>
                <w:sz w:val="15"/>
                <w:szCs w:val="15"/>
                <w:color w:val="auto"/>
              </w:rPr>
            </w:pPr>
          </w:p>
        </w:tc>
      </w:tr>
      <w:tr>
        <w:trPr>
          <w:trHeight w:val="165"/>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1.5% Series A debentures</w:t>
            </w:r>
          </w:p>
        </w:tc>
        <w:tc>
          <w:tcPr>
            <w:tcW w:w="206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9.76</w:t>
            </w:r>
          </w:p>
        </w:tc>
        <w:tc>
          <w:tcPr>
            <w:tcW w:w="100" w:type="dxa"/>
            <w:vAlign w:val="bottom"/>
            <w:shd w:val="clear" w:color="auto" w:fill="CCEEFF"/>
          </w:tcPr>
          <w:p>
            <w:pPr>
              <w:spacing w:after="0"/>
              <w:rPr>
                <w:sz w:val="14"/>
                <w:szCs w:val="14"/>
                <w:color w:val="auto"/>
              </w:rPr>
            </w:pPr>
          </w:p>
        </w:tc>
      </w:tr>
      <w:tr>
        <w:trPr>
          <w:trHeight w:val="169"/>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2.125% Series B debentures</w:t>
            </w:r>
          </w:p>
        </w:tc>
        <w:tc>
          <w:tcPr>
            <w:tcW w:w="1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3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4"/>
                <w:szCs w:val="14"/>
                <w:color w:val="auto"/>
              </w:rPr>
            </w:pPr>
          </w:p>
        </w:tc>
      </w:tr>
      <w:tr>
        <w:trPr>
          <w:trHeight w:val="149"/>
        </w:trPr>
        <w:tc>
          <w:tcPr>
            <w:tcW w:w="334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7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1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12.12</w:t>
            </w:r>
          </w:p>
        </w:tc>
        <w:tc>
          <w:tcPr>
            <w:tcW w:w="100" w:type="dxa"/>
            <w:vAlign w:val="bottom"/>
            <w:shd w:val="clear" w:color="auto" w:fill="CCEEFF"/>
          </w:tcPr>
          <w:p>
            <w:pPr>
              <w:spacing w:after="0"/>
              <w:rPr>
                <w:sz w:val="12"/>
                <w:szCs w:val="12"/>
                <w:color w:val="auto"/>
              </w:rPr>
            </w:pPr>
          </w:p>
        </w:tc>
      </w:tr>
      <w:tr>
        <w:trPr>
          <w:trHeight w:val="20"/>
        </w:trPr>
        <w:tc>
          <w:tcPr>
            <w:tcW w:w="3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60" w:firstLine="198"/>
        <w:spacing w:after="0" w:line="254" w:lineRule="auto"/>
        <w:rPr>
          <w:sz w:val="20"/>
          <w:szCs w:val="20"/>
          <w:color w:val="auto"/>
        </w:rPr>
      </w:pPr>
      <w:r>
        <w:rPr>
          <w:rFonts w:ascii="Arial" w:cs="Arial" w:eastAsia="Arial" w:hAnsi="Arial"/>
          <w:sz w:val="18"/>
          <w:szCs w:val="18"/>
          <w:color w:val="auto"/>
        </w:rPr>
        <w:t>At December 31, 2008, there were no outstanding Series A debentures. There were $321 million outstanding Series B debentures at December 31, 2009. During 2010, $320 million of the 2.125% Series B Convertible Debentures due June 1, 2023 were converted by holders into 8.0 million shares of Schlumberger common stock and the remaining $1 million of outstanding Series B debentures were redeemed for cash.</w:t>
      </w:r>
    </w:p>
    <w:p>
      <w:pPr>
        <w:spacing w:after="0" w:line="2" w:lineRule="exact"/>
        <w:rPr>
          <w:sz w:val="20"/>
          <w:szCs w:val="20"/>
          <w:color w:val="auto"/>
        </w:rPr>
      </w:pPr>
    </w:p>
    <w:p>
      <w:pPr>
        <w:ind w:left="700" w:right="20" w:firstLine="198"/>
        <w:spacing w:after="0" w:line="250" w:lineRule="auto"/>
        <w:rPr>
          <w:sz w:val="20"/>
          <w:szCs w:val="20"/>
          <w:color w:val="auto"/>
        </w:rPr>
      </w:pPr>
      <w:r>
        <w:rPr>
          <w:rFonts w:ascii="Arial" w:cs="Arial" w:eastAsia="Arial" w:hAnsi="Arial"/>
          <w:sz w:val="18"/>
          <w:szCs w:val="18"/>
          <w:color w:val="auto"/>
        </w:rPr>
        <w:t>As of December 31, 2010, Schlumberger had approximately $5.0 billion of cash and short-term investments on hand. Schlumberger had separate committed debt facility agreements aggregating $6.0 billion with commercial banks, of which $3.7 billion was available and unused as of December 31, 2010. This included $4.9 billion of committed facilities which support commercial paper borrowings in the United States and Europe. Schlumberger believes that these amounts are sufficient to meet future business requirements for at least the next twelve months.</w:t>
      </w:r>
    </w:p>
    <w:p>
      <w:pPr>
        <w:spacing w:after="0" w:line="2" w:lineRule="exact"/>
        <w:rPr>
          <w:sz w:val="20"/>
          <w:szCs w:val="20"/>
          <w:color w:val="auto"/>
        </w:rPr>
      </w:pPr>
    </w:p>
    <w:p>
      <w:pPr>
        <w:ind w:left="700" w:right="140" w:firstLine="198"/>
        <w:spacing w:after="0" w:line="265" w:lineRule="auto"/>
        <w:rPr>
          <w:sz w:val="20"/>
          <w:szCs w:val="20"/>
          <w:color w:val="auto"/>
        </w:rPr>
      </w:pPr>
      <w:r>
        <w:rPr>
          <w:rFonts w:ascii="Arial" w:cs="Arial" w:eastAsia="Arial" w:hAnsi="Arial"/>
          <w:sz w:val="17"/>
          <w:szCs w:val="17"/>
          <w:color w:val="auto"/>
        </w:rPr>
        <w:t>Schlumberger’s total outstanding debt at December 31, 2010 was $8.1 billion and included approximately $1.9 billion of commercial paper borrowings. The total outstanding debt increased approximately $2.6 billion compared to December 31, 2009.</w:t>
      </w:r>
    </w:p>
    <w:p>
      <w:pPr>
        <w:ind w:left="700" w:right="240" w:firstLine="198"/>
        <w:spacing w:after="0" w:line="261" w:lineRule="auto"/>
        <w:rPr>
          <w:sz w:val="20"/>
          <w:szCs w:val="20"/>
          <w:color w:val="auto"/>
        </w:rPr>
      </w:pPr>
      <w:r>
        <w:rPr>
          <w:rFonts w:ascii="Arial" w:cs="Arial" w:eastAsia="Arial" w:hAnsi="Arial"/>
          <w:sz w:val="18"/>
          <w:szCs w:val="18"/>
          <w:color w:val="auto"/>
        </w:rPr>
        <w:t>On January 10, 2011, Schlumberger issued $1.1 billion of 4.200% Senior Notes due 2021 and $500 million of 2.650% Senior Notes due 2016.</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Summary of Major Contractual Obligations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55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4"/>
          </w:tcPr>
          <w:p>
            <w:pPr>
              <w:jc w:val="right"/>
              <w:ind w:right="248"/>
              <w:spacing w:after="0" w:line="142" w:lineRule="exact"/>
              <w:rPr>
                <w:sz w:val="20"/>
                <w:szCs w:val="20"/>
                <w:color w:val="auto"/>
              </w:rPr>
            </w:pPr>
            <w:r>
              <w:rPr>
                <w:rFonts w:ascii="Arial" w:cs="Arial" w:eastAsia="Arial" w:hAnsi="Arial"/>
                <w:sz w:val="14"/>
                <w:szCs w:val="14"/>
                <w:b w:val="1"/>
                <w:bCs w:val="1"/>
                <w:color w:val="auto"/>
              </w:rPr>
              <w:t>Payment Period</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2012 – 2013</w:t>
            </w:r>
          </w:p>
        </w:tc>
        <w:tc>
          <w:tcPr>
            <w:tcW w:w="30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2014 – 2015</w:t>
            </w:r>
          </w:p>
        </w:tc>
        <w:tc>
          <w:tcPr>
            <w:tcW w:w="920" w:type="dxa"/>
            <w:vAlign w:val="bottom"/>
            <w:gridSpan w:val="3"/>
          </w:tcPr>
          <w:p>
            <w:pPr>
              <w:ind w:left="280"/>
              <w:spacing w:after="0"/>
              <w:rPr>
                <w:sz w:val="20"/>
                <w:szCs w:val="20"/>
                <w:color w:val="auto"/>
              </w:rPr>
            </w:pPr>
            <w:r>
              <w:rPr>
                <w:rFonts w:ascii="Arial" w:cs="Arial" w:eastAsia="Arial" w:hAnsi="Arial"/>
                <w:sz w:val="14"/>
                <w:szCs w:val="14"/>
                <w:b w:val="1"/>
                <w:bCs w:val="1"/>
                <w:color w:val="auto"/>
                <w:w w:val="91"/>
              </w:rPr>
              <w:t>After 2015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580" w:type="dxa"/>
            <w:vAlign w:val="bottom"/>
            <w:shd w:val="clear" w:color="auto" w:fill="CCEEFF"/>
          </w:tcPr>
          <w:p>
            <w:pPr>
              <w:spacing w:after="0"/>
              <w:rPr>
                <w:sz w:val="20"/>
                <w:szCs w:val="20"/>
                <w:color w:val="auto"/>
              </w:rPr>
            </w:pPr>
            <w:r>
              <w:rPr>
                <w:rFonts w:ascii="Arial" w:cs="Arial" w:eastAsia="Arial" w:hAnsi="Arial"/>
                <w:sz w:val="14"/>
                <w:szCs w:val="14"/>
                <w:color w:val="auto"/>
              </w:rPr>
              <w:t>Debt</w:t>
            </w:r>
            <w:r>
              <w:rPr>
                <w:rFonts w:ascii="Arial" w:cs="Arial" w:eastAsia="Arial" w:hAnsi="Arial"/>
                <w:sz w:val="12"/>
                <w:szCs w:val="12"/>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8,112</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$ 2,595</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w:t>
            </w:r>
          </w:p>
        </w:tc>
        <w:tc>
          <w:tcPr>
            <w:tcW w:w="56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line="149" w:lineRule="exact"/>
              <w:rPr>
                <w:sz w:val="20"/>
                <w:szCs w:val="20"/>
                <w:color w:val="auto"/>
              </w:rPr>
            </w:pPr>
            <w:r>
              <w:rPr>
                <w:rFonts w:ascii="Arial" w:cs="Arial" w:eastAsia="Arial" w:hAnsi="Arial"/>
                <w:sz w:val="14"/>
                <w:szCs w:val="14"/>
                <w:color w:val="auto"/>
              </w:rPr>
              <w:t>Operating Leases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1,334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409</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Obligations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1,848</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5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11,320</w:t>
            </w: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$ 4,768</w:t>
            </w:r>
          </w:p>
        </w:tc>
        <w:tc>
          <w:tcPr>
            <w:tcW w:w="2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2,043</w:t>
            </w:r>
          </w:p>
        </w:tc>
        <w:tc>
          <w:tcPr>
            <w:tcW w:w="3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3,138</w:t>
            </w:r>
          </w:p>
        </w:tc>
        <w:tc>
          <w:tcPr>
            <w:tcW w:w="2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940" w:hanging="247"/>
        <w:spacing w:after="0"/>
        <w:tabs>
          <w:tab w:leader="none" w:pos="9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Excludes future payments for interest.</w:t>
      </w:r>
    </w:p>
    <w:p>
      <w:pPr>
        <w:ind w:left="940" w:right="320" w:hanging="247"/>
        <w:spacing w:after="0" w:line="314" w:lineRule="auto"/>
        <w:tabs>
          <w:tab w:leader="none" w:pos="9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an estimate of contractual obligations in the ordinary course of business. Although these contractual obligations are considered enforceable and legally binding, the terms generally allow Schlumberger the option to reschedule and adjust its requirements based on business needs prior to the delivery of goods.</w:t>
      </w:r>
    </w:p>
    <w:p>
      <w:pPr>
        <w:spacing w:after="0" w:line="50" w:lineRule="exact"/>
        <w:rPr>
          <w:sz w:val="20"/>
          <w:szCs w:val="20"/>
          <w:color w:val="auto"/>
        </w:rPr>
      </w:pPr>
    </w:p>
    <w:p>
      <w:pPr>
        <w:ind w:left="700" w:right="400" w:firstLine="198"/>
        <w:spacing w:after="0" w:line="258" w:lineRule="auto"/>
        <w:rPr>
          <w:sz w:val="20"/>
          <w:szCs w:val="20"/>
          <w:color w:val="auto"/>
        </w:rPr>
      </w:pPr>
      <w:r>
        <w:rPr>
          <w:rFonts w:ascii="Arial" w:cs="Arial" w:eastAsia="Arial" w:hAnsi="Arial"/>
          <w:sz w:val="18"/>
          <w:szCs w:val="18"/>
          <w:color w:val="auto"/>
        </w:rPr>
        <w:t xml:space="preserve">Refer to Note 18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for details regarding Schlumberger’s pension and other postretirement benefit obligations.</w:t>
      </w:r>
    </w:p>
    <w:p>
      <w:pPr>
        <w:spacing w:after="0" w:line="1" w:lineRule="exact"/>
        <w:rPr>
          <w:sz w:val="20"/>
          <w:szCs w:val="20"/>
          <w:color w:val="auto"/>
        </w:rPr>
      </w:pPr>
    </w:p>
    <w:p>
      <w:pPr>
        <w:ind w:left="700" w:right="100" w:firstLine="198"/>
        <w:spacing w:after="0" w:line="250" w:lineRule="auto"/>
        <w:rPr>
          <w:sz w:val="20"/>
          <w:szCs w:val="20"/>
          <w:color w:val="auto"/>
        </w:rPr>
      </w:pPr>
      <w:r>
        <w:rPr>
          <w:rFonts w:ascii="Arial" w:cs="Arial" w:eastAsia="Arial" w:hAnsi="Arial"/>
          <w:sz w:val="18"/>
          <w:szCs w:val="18"/>
          <w:color w:val="auto"/>
        </w:rPr>
        <w:t xml:space="preserve">As discussed in Note 14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included in the Schlumberger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2010 is approximately $1.17 billion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2" w:lineRule="exact"/>
        <w:rPr>
          <w:sz w:val="20"/>
          <w:szCs w:val="20"/>
          <w:color w:val="auto"/>
        </w:rPr>
      </w:pPr>
    </w:p>
    <w:p>
      <w:pPr>
        <w:ind w:left="700" w:firstLine="198"/>
        <w:spacing w:after="0" w:line="255" w:lineRule="auto"/>
        <w:rPr>
          <w:sz w:val="20"/>
          <w:szCs w:val="20"/>
          <w:color w:val="auto"/>
        </w:rPr>
      </w:pPr>
      <w:r>
        <w:rPr>
          <w:rFonts w:ascii="Arial" w:cs="Arial" w:eastAsia="Arial" w:hAnsi="Arial"/>
          <w:sz w:val="18"/>
          <w:szCs w:val="18"/>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Estimates</w:t>
      </w:r>
    </w:p>
    <w:p>
      <w:pPr>
        <w:spacing w:after="0" w:line="126" w:lineRule="exact"/>
        <w:rPr>
          <w:sz w:val="20"/>
          <w:szCs w:val="20"/>
          <w:color w:val="auto"/>
        </w:rPr>
      </w:pPr>
    </w:p>
    <w:p>
      <w:pPr>
        <w:ind w:left="700" w:right="180" w:firstLine="198"/>
        <w:spacing w:after="0" w:line="253" w:lineRule="auto"/>
        <w:rPr>
          <w:sz w:val="20"/>
          <w:szCs w:val="20"/>
          <w:color w:val="auto"/>
        </w:rPr>
      </w:pPr>
      <w:r>
        <w:rPr>
          <w:rFonts w:ascii="Arial" w:cs="Arial" w:eastAsia="Arial" w:hAnsi="Arial"/>
          <w:sz w:val="18"/>
          <w:szCs w:val="18"/>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 w:lineRule="exact"/>
        <w:rPr>
          <w:sz w:val="20"/>
          <w:szCs w:val="20"/>
          <w:color w:val="auto"/>
        </w:rPr>
      </w:pPr>
    </w:p>
    <w:p>
      <w:pPr>
        <w:jc w:val="both"/>
        <w:ind w:left="700" w:right="320" w:firstLine="198"/>
        <w:spacing w:after="0" w:line="302" w:lineRule="auto"/>
        <w:rPr>
          <w:sz w:val="20"/>
          <w:szCs w:val="20"/>
          <w:color w:val="auto"/>
        </w:rPr>
      </w:pPr>
      <w:r>
        <w:rPr>
          <w:rFonts w:ascii="Arial" w:cs="Arial" w:eastAsia="Arial" w:hAnsi="Arial"/>
          <w:sz w:val="16"/>
          <w:szCs w:val="16"/>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Multiclient Seismic Data</w:t>
      </w:r>
    </w:p>
    <w:p>
      <w:pPr>
        <w:spacing w:after="0" w:line="131" w:lineRule="exact"/>
        <w:rPr>
          <w:sz w:val="20"/>
          <w:szCs w:val="20"/>
          <w:color w:val="auto"/>
        </w:rPr>
      </w:pPr>
    </w:p>
    <w:p>
      <w:pPr>
        <w:ind w:left="700" w:right="100" w:firstLine="198"/>
        <w:spacing w:after="0" w:line="253" w:lineRule="auto"/>
        <w:rPr>
          <w:sz w:val="20"/>
          <w:szCs w:val="20"/>
          <w:color w:val="auto"/>
        </w:rPr>
      </w:pPr>
      <w:r>
        <w:rPr>
          <w:rFonts w:ascii="Arial" w:cs="Arial" w:eastAsia="Arial" w:hAnsi="Arial"/>
          <w:sz w:val="18"/>
          <w:szCs w:val="18"/>
          <w:color w:val="auto"/>
        </w:rPr>
        <w:t xml:space="preserve">The WesternGeco segment capitalizes the costs associated with obtaining multiclient seismic data. The carrying value of the multiclient seismic data library at December 31, 2010 and 2009 was $394 million and $288 million, respectively. Such costs are charged to </w:t>
      </w:r>
      <w:r>
        <w:rPr>
          <w:rFonts w:ascii="Arial" w:cs="Arial" w:eastAsia="Arial" w:hAnsi="Arial"/>
          <w:sz w:val="18"/>
          <w:szCs w:val="18"/>
          <w:i w:val="1"/>
          <w:iCs w:val="1"/>
          <w:color w:val="auto"/>
        </w:rPr>
        <w:t>Cost of revenue</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under no circumstances will an individual survey carry a net book value greater than a 4-year straight-line amortized value.</w:t>
      </w:r>
    </w:p>
    <w:p>
      <w:pPr>
        <w:spacing w:after="0" w:line="4" w:lineRule="exact"/>
        <w:rPr>
          <w:sz w:val="20"/>
          <w:szCs w:val="20"/>
          <w:color w:val="auto"/>
        </w:rPr>
      </w:pPr>
    </w:p>
    <w:p>
      <w:pPr>
        <w:ind w:left="700" w:right="20" w:firstLine="198"/>
        <w:spacing w:after="0" w:line="252" w:lineRule="auto"/>
        <w:rPr>
          <w:sz w:val="20"/>
          <w:szCs w:val="20"/>
          <w:color w:val="auto"/>
        </w:rPr>
      </w:pPr>
      <w:r>
        <w:rPr>
          <w:rFonts w:ascii="Arial" w:cs="Arial" w:eastAsia="Arial" w:hAnsi="Arial"/>
          <w:sz w:val="18"/>
          <w:szCs w:val="18"/>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primarily based on two pools of surveys: United States and non-United States. The United States and non-United States pools were determined to be the most appropriate level at which to perform the impairment review based upon a number of factors including (i) various macroeconomic factors that</w:t>
      </w:r>
    </w:p>
    <w:p>
      <w:pPr>
        <w:spacing w:after="0" w:line="3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influence the ability to successfully market surveys and (ii) the focus of the sales force and related costs. Certain larger surveys, which are typically prefunded by customers, are analyzed for impairment on a survey by survey basis.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Doubtful Accounts</w:t>
      </w:r>
    </w:p>
    <w:p>
      <w:pPr>
        <w:spacing w:after="0" w:line="131" w:lineRule="exact"/>
        <w:rPr>
          <w:sz w:val="20"/>
          <w:szCs w:val="20"/>
          <w:color w:val="auto"/>
        </w:rPr>
      </w:pPr>
    </w:p>
    <w:p>
      <w:pPr>
        <w:ind w:left="700" w:right="40" w:firstLine="198"/>
        <w:spacing w:after="0" w:line="276" w:lineRule="auto"/>
        <w:rPr>
          <w:sz w:val="20"/>
          <w:szCs w:val="20"/>
          <w:color w:val="auto"/>
        </w:rPr>
      </w:pPr>
      <w:r>
        <w:rPr>
          <w:rFonts w:ascii="Arial" w:cs="Arial" w:eastAsia="Arial" w:hAnsi="Arial"/>
          <w:sz w:val="17"/>
          <w:szCs w:val="17"/>
          <w:color w:val="auto"/>
        </w:rPr>
        <w:t>Schlumberger maintains an allowance for doubtful accounts in order to record accounts receivable at their net realizable value. Judgment is involved in recording and making adjustments to this reserve. Allowances have been recorded for receivables believed to be uncollectible, including amounts for the resolution of potential credit and other collection issues such as disputed invoices. Depending on how such potential issues are resolved, or if the financial condition of Schlumberger customers were to deteriorate resulting in an impairment of their ability to make payments, adjustments to the allowance may be required.</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Inventory Reserves</w:t>
      </w:r>
    </w:p>
    <w:p>
      <w:pPr>
        <w:spacing w:after="0" w:line="131" w:lineRule="exact"/>
        <w:rPr>
          <w:sz w:val="20"/>
          <w:szCs w:val="20"/>
          <w:color w:val="auto"/>
        </w:rPr>
      </w:pPr>
    </w:p>
    <w:p>
      <w:pPr>
        <w:ind w:left="700" w:right="100" w:firstLine="198"/>
        <w:spacing w:after="0" w:line="259" w:lineRule="auto"/>
        <w:rPr>
          <w:sz w:val="20"/>
          <w:szCs w:val="20"/>
          <w:color w:val="auto"/>
        </w:rPr>
      </w:pPr>
      <w:r>
        <w:rPr>
          <w:rFonts w:ascii="Arial" w:cs="Arial" w:eastAsia="Arial" w:hAnsi="Arial"/>
          <w:sz w:val="18"/>
          <w:szCs w:val="18"/>
          <w:color w:val="auto"/>
        </w:rPr>
        <w:t>Inventory is recorded at the lower of cost or net realizable value. Schlumberger maintains a reserve for excess and obsolete inventory. This requires management to make assumptions about future demand and market conditions. If actual future demand or market conditions are less favorable than those projected by management, additional provisions for excess or obsolete inventory may be required.</w:t>
      </w:r>
    </w:p>
    <w:p>
      <w:pPr>
        <w:spacing w:after="0" w:line="20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131" w:lineRule="exact"/>
        <w:rPr>
          <w:sz w:val="20"/>
          <w:szCs w:val="20"/>
          <w:color w:val="auto"/>
        </w:rPr>
      </w:pPr>
    </w:p>
    <w:p>
      <w:pPr>
        <w:ind w:left="700" w:right="80" w:firstLine="198"/>
        <w:spacing w:after="0" w:line="253"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Goodwill is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left="700" w:right="180" w:firstLine="198"/>
        <w:spacing w:after="0" w:line="250" w:lineRule="auto"/>
        <w:rPr>
          <w:sz w:val="20"/>
          <w:szCs w:val="20"/>
          <w:color w:val="auto"/>
        </w:rPr>
      </w:pPr>
      <w:r>
        <w:rPr>
          <w:rFonts w:ascii="Arial" w:cs="Arial" w:eastAsia="Arial" w:hAnsi="Arial"/>
          <w:sz w:val="18"/>
          <w:szCs w:val="18"/>
          <w:color w:val="auto"/>
        </w:rPr>
        <w:t>For purposes of performing the impairment test for goodwill, Schlumberger’s reporting units are primarily the geographic areas comprising the Oilfield Services segment in addition to the WesternGeco, M-I SWACO, Smith Oilfield and Distribution segments. Schlumberger estimates the fair value of these reporting units using a discounted cash flow analysis and/or applying various market multiples. Determining the fair value of a reporting unit is a matter of judgment and often involves the use of significant estimates and assumptions. Schlumberger’s estimate of the fair value of each of its reporting units comprising Oilfield Services as well as its WesternGeco reporting unit were substantially in excess of their respective carrying values at the time of their annual goodwill impairment tests for 2010. Due to the fact that the M-I SWACO, Smith Oilfield and Distribution reporting units were acquired on August 27, 2010, just prior to their annual goodwill impairment tests, the fair value of these reporting units approximated their carrying value.</w:t>
      </w:r>
    </w:p>
    <w:p>
      <w:pPr>
        <w:spacing w:after="0" w:line="4" w:lineRule="exact"/>
        <w:rPr>
          <w:sz w:val="20"/>
          <w:szCs w:val="20"/>
          <w:color w:val="auto"/>
        </w:rPr>
      </w:pPr>
    </w:p>
    <w:p>
      <w:pPr>
        <w:ind w:left="700" w:right="20" w:firstLine="198"/>
        <w:spacing w:after="0" w:line="268" w:lineRule="auto"/>
        <w:rPr>
          <w:sz w:val="20"/>
          <w:szCs w:val="20"/>
          <w:color w:val="auto"/>
        </w:rPr>
      </w:pPr>
      <w:r>
        <w:rPr>
          <w:rFonts w:ascii="Arial" w:cs="Arial" w:eastAsia="Arial" w:hAnsi="Arial"/>
          <w:sz w:val="17"/>
          <w:szCs w:val="17"/>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Income Taxes</w:t>
      </w:r>
    </w:p>
    <w:p>
      <w:pPr>
        <w:spacing w:after="0" w:line="131" w:lineRule="exact"/>
        <w:rPr>
          <w:sz w:val="20"/>
          <w:szCs w:val="20"/>
          <w:color w:val="auto"/>
        </w:rPr>
      </w:pPr>
    </w:p>
    <w:p>
      <w:pPr>
        <w:ind w:left="700" w:firstLine="198"/>
        <w:spacing w:after="0" w:line="259" w:lineRule="auto"/>
        <w:rPr>
          <w:sz w:val="20"/>
          <w:szCs w:val="20"/>
          <w:color w:val="auto"/>
        </w:rPr>
      </w:pPr>
      <w:r>
        <w:rPr>
          <w:rFonts w:ascii="Arial" w:cs="Arial" w:eastAsia="Arial" w:hAnsi="Arial"/>
          <w:sz w:val="18"/>
          <w:szCs w:val="18"/>
          <w:color w:val="auto"/>
        </w:rPr>
        <w:t>Schlumberger’s tax filings are subject to regular audit by the tax authorities in most of the over 100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w:t>
      </w:r>
    </w:p>
    <w:p>
      <w:pPr>
        <w:spacing w:after="0" w:line="37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840"/>
        <w:spacing w:after="0" w:line="312" w:lineRule="auto"/>
        <w:rPr>
          <w:sz w:val="20"/>
          <w:szCs w:val="20"/>
          <w:color w:val="auto"/>
        </w:rPr>
      </w:pPr>
      <w:r>
        <w:rPr>
          <w:rFonts w:ascii="Arial" w:cs="Arial" w:eastAsia="Arial" w:hAnsi="Arial"/>
          <w:sz w:val="16"/>
          <w:szCs w:val="16"/>
          <w:color w:val="auto"/>
        </w:rPr>
        <w:t>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Pension and Postretirement Benefits</w:t>
      </w:r>
    </w:p>
    <w:p>
      <w:pPr>
        <w:spacing w:after="0" w:line="77" w:lineRule="exact"/>
        <w:rPr>
          <w:sz w:val="20"/>
          <w:szCs w:val="20"/>
          <w:color w:val="auto"/>
        </w:rPr>
      </w:pPr>
    </w:p>
    <w:p>
      <w:pPr>
        <w:ind w:left="700" w:right="1020" w:firstLine="198"/>
        <w:spacing w:after="0" w:line="269" w:lineRule="auto"/>
        <w:rPr>
          <w:sz w:val="20"/>
          <w:szCs w:val="20"/>
          <w:color w:val="auto"/>
        </w:rPr>
      </w:pPr>
      <w:r>
        <w:rPr>
          <w:rFonts w:ascii="Arial" w:cs="Arial" w:eastAsia="Arial" w:hAnsi="Arial"/>
          <w:sz w:val="17"/>
          <w:szCs w:val="17"/>
          <w:color w:val="auto"/>
        </w:rPr>
        <w:t xml:space="preserve">Schlumberger’s pension and postretirement benefit obligations are described in detail in Note 18 to the </w:t>
      </w:r>
      <w:r>
        <w:rPr>
          <w:rFonts w:ascii="Arial" w:cs="Arial" w:eastAsia="Arial" w:hAnsi="Arial"/>
          <w:sz w:val="17"/>
          <w:szCs w:val="17"/>
          <w:i w:val="1"/>
          <w:iCs w:val="1"/>
          <w:color w:val="auto"/>
        </w:rPr>
        <w:t>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w:t>
      </w:r>
      <w:r>
        <w:rPr>
          <w:rFonts w:ascii="Arial" w:cs="Arial" w:eastAsia="Arial" w:hAnsi="Arial"/>
          <w:sz w:val="17"/>
          <w:szCs w:val="17"/>
          <w:color w:val="auto"/>
        </w:rPr>
        <w:t>. The obligations and related costs are calculated using actuarial concepts, which include critical assumptions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expected return on plan assets and medical cost trend rates. These assumptions are important elements of expense and/or liability measurement and are updated on an annual basis, or upon the occurrence of significant events.</w:t>
      </w:r>
    </w:p>
    <w:p>
      <w:pPr>
        <w:spacing w:after="0" w:line="2" w:lineRule="exact"/>
        <w:rPr>
          <w:sz w:val="20"/>
          <w:szCs w:val="20"/>
          <w:color w:val="auto"/>
        </w:rPr>
      </w:pPr>
    </w:p>
    <w:p>
      <w:pPr>
        <w:ind w:left="700" w:right="920" w:firstLine="198"/>
        <w:spacing w:after="0" w:line="255" w:lineRule="auto"/>
        <w:rPr>
          <w:sz w:val="20"/>
          <w:szCs w:val="20"/>
          <w:color w:val="auto"/>
        </w:rPr>
      </w:pPr>
      <w:r>
        <w:rPr>
          <w:rFonts w:ascii="Arial" w:cs="Arial" w:eastAsia="Arial" w:hAnsi="Arial"/>
          <w:sz w:val="18"/>
          <w:szCs w:val="18"/>
          <w:color w:val="auto"/>
        </w:rPr>
        <w:t>The discount rate Schlumberger uses reflects the prevailing market rate of a portfolio of high-quality debt instruments with maturities matching the expected timing of the payment of the benefit obligations. The following summarizes the discount rates utilized by Schlumberger for its various pension and postretirement benefit plans:</w:t>
      </w:r>
    </w:p>
    <w:p>
      <w:pPr>
        <w:spacing w:after="0" w:line="96" w:lineRule="exact"/>
        <w:rPr>
          <w:sz w:val="20"/>
          <w:szCs w:val="20"/>
          <w:color w:val="auto"/>
        </w:rPr>
      </w:pPr>
    </w:p>
    <w:p>
      <w:pPr>
        <w:ind w:left="1480" w:right="1420" w:hanging="382"/>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discount rate utilized to determine the liability for Schlumberger’s United States pension plans and postretirement medical plans was 5.50% at December 31, 2010 and 6.00% at December 31, 2009.</w:t>
      </w:r>
    </w:p>
    <w:p>
      <w:pPr>
        <w:spacing w:after="0" w:line="62" w:lineRule="exact"/>
        <w:rPr>
          <w:rFonts w:ascii="Arial" w:cs="Arial" w:eastAsia="Arial" w:hAnsi="Arial"/>
          <w:sz w:val="18"/>
          <w:szCs w:val="18"/>
          <w:color w:val="auto"/>
        </w:rPr>
      </w:pPr>
    </w:p>
    <w:p>
      <w:pPr>
        <w:ind w:left="1480" w:right="1220" w:hanging="382"/>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the liability for Schlumberger’s international pension plans was 5.47% at December 31, 2010 and 5.89% at December 31, 2009.</w:t>
      </w:r>
    </w:p>
    <w:p>
      <w:pPr>
        <w:spacing w:after="0" w:line="62" w:lineRule="exact"/>
        <w:rPr>
          <w:rFonts w:ascii="Arial" w:cs="Arial" w:eastAsia="Arial" w:hAnsi="Arial"/>
          <w:sz w:val="18"/>
          <w:szCs w:val="18"/>
          <w:color w:val="auto"/>
        </w:rPr>
      </w:pPr>
    </w:p>
    <w:p>
      <w:pPr>
        <w:ind w:left="1480" w:right="1420" w:hanging="382"/>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United States pension plans and postretirement medical plans decreased from 6.94% in 2009 to 6.00% in 2010.</w:t>
      </w:r>
    </w:p>
    <w:p>
      <w:pPr>
        <w:spacing w:after="0" w:line="62" w:lineRule="exact"/>
        <w:rPr>
          <w:rFonts w:ascii="Arial" w:cs="Arial" w:eastAsia="Arial" w:hAnsi="Arial"/>
          <w:sz w:val="18"/>
          <w:szCs w:val="18"/>
          <w:color w:val="auto"/>
        </w:rPr>
      </w:pPr>
    </w:p>
    <w:p>
      <w:pPr>
        <w:ind w:left="1480" w:right="1460" w:hanging="382"/>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weighted-average discount rate utilized to determine expense for Schlumberger’s international pension plans was decreased from 6.81% in 2009 to 5.89% in 2010.</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higher discount rate decreases the present value of benefit obligations and decreases expense.</w:t>
      </w:r>
    </w:p>
    <w:p>
      <w:pPr>
        <w:spacing w:after="0" w:line="23" w:lineRule="exact"/>
        <w:rPr>
          <w:sz w:val="20"/>
          <w:szCs w:val="20"/>
          <w:color w:val="auto"/>
        </w:rPr>
      </w:pPr>
    </w:p>
    <w:p>
      <w:pPr>
        <w:ind w:left="700" w:right="860" w:firstLine="198"/>
        <w:spacing w:after="0" w:line="250" w:lineRule="auto"/>
        <w:rPr>
          <w:sz w:val="20"/>
          <w:szCs w:val="20"/>
          <w:color w:val="auto"/>
        </w:rPr>
      </w:pPr>
      <w:r>
        <w:rPr>
          <w:rFonts w:ascii="Arial" w:cs="Arial" w:eastAsia="Arial" w:hAnsi="Arial"/>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for the United States pension plans was 8.50% in both 2010 and 2009. The weighted average expected rate of return on plan assets for the international plans was 8.00% in 2010 and 8.35% in 2009. A lower expected rate of return would increase pension expense.</w:t>
      </w:r>
    </w:p>
    <w:p>
      <w:pPr>
        <w:spacing w:after="0" w:line="3" w:lineRule="exact"/>
        <w:rPr>
          <w:sz w:val="20"/>
          <w:szCs w:val="20"/>
          <w:color w:val="auto"/>
        </w:rPr>
      </w:pPr>
    </w:p>
    <w:p>
      <w:pPr>
        <w:ind w:left="700" w:right="920" w:firstLine="198"/>
        <w:spacing w:after="0" w:line="281" w:lineRule="auto"/>
        <w:rPr>
          <w:sz w:val="20"/>
          <w:szCs w:val="20"/>
          <w:color w:val="auto"/>
        </w:rPr>
      </w:pPr>
      <w:r>
        <w:rPr>
          <w:rFonts w:ascii="Arial" w:cs="Arial" w:eastAsia="Arial" w:hAnsi="Arial"/>
          <w:sz w:val="16"/>
          <w:szCs w:val="16"/>
          <w:color w:val="auto"/>
        </w:rPr>
        <w:t>Schlumberger’s medical cost trend rate assumptions are developed based on historical cost data, the near-term outlook and an assessment of likely long-term trends. The overall medical cost trend rate assumption utilized to determine both the 2010 postretirement medical expense as well as the postretirement medical liability as of December 31, 2010 was 8% graded to 5% over the next six years.</w:t>
      </w:r>
    </w:p>
    <w:p>
      <w:pPr>
        <w:spacing w:after="0" w:line="2" w:lineRule="exact"/>
        <w:rPr>
          <w:sz w:val="20"/>
          <w:szCs w:val="20"/>
          <w:color w:val="auto"/>
        </w:rPr>
      </w:pPr>
    </w:p>
    <w:p>
      <w:pPr>
        <w:ind w:left="700" w:right="820" w:firstLine="198"/>
        <w:spacing w:after="0" w:line="261"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the United States and international pension plans: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Pr>
          <w:p>
            <w:pPr>
              <w:spacing w:after="0"/>
              <w:rPr>
                <w:sz w:val="10"/>
                <w:szCs w:val="10"/>
                <w:color w:val="auto"/>
              </w:rPr>
            </w:pPr>
          </w:p>
        </w:tc>
        <w:tc>
          <w:tcPr>
            <w:tcW w:w="4060" w:type="dxa"/>
            <w:vAlign w:val="bottom"/>
            <w:tcBorders>
              <w:top w:val="single" w:sz="8" w:color="auto"/>
            </w:tcBorders>
          </w:tcPr>
          <w:p>
            <w:pPr>
              <w:spacing w:after="0"/>
              <w:rPr>
                <w:sz w:val="10"/>
                <w:szCs w:val="10"/>
                <w:color w:val="auto"/>
              </w:rPr>
            </w:pPr>
          </w:p>
        </w:tc>
        <w:tc>
          <w:tcPr>
            <w:tcW w:w="4660" w:type="dxa"/>
            <w:vAlign w:val="bottom"/>
            <w:tcBorders>
              <w:top w:val="single" w:sz="8" w:color="auto"/>
            </w:tcBorders>
            <w:gridSpan w:val="2"/>
          </w:tcPr>
          <w:p>
            <w:pPr>
              <w:jc w:val="right"/>
              <w:ind w:right="168"/>
              <w:spacing w:after="0" w:line="119" w:lineRule="exact"/>
              <w:rPr>
                <w:sz w:val="20"/>
                <w:szCs w:val="20"/>
                <w:color w:val="auto"/>
              </w:rPr>
            </w:pPr>
            <w:r>
              <w:rPr>
                <w:rFonts w:ascii="Arial" w:cs="Arial" w:eastAsia="Arial" w:hAnsi="Arial"/>
                <w:sz w:val="13"/>
                <w:szCs w:val="13"/>
                <w:b w:val="1"/>
                <w:bCs w:val="1"/>
                <w:color w:val="auto"/>
              </w:rPr>
              <w:t>Effect on 2010</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Effect 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Change in Assumption</w:t>
            </w:r>
          </w:p>
        </w:tc>
        <w:tc>
          <w:tcPr>
            <w:tcW w:w="466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Pretax Pension</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Dec. 31, 2010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60" w:type="dxa"/>
            <w:vAlign w:val="bottom"/>
            <w:gridSpan w:val="2"/>
            <w:vMerge w:val="continue"/>
          </w:tcPr>
          <w:p>
            <w:pPr>
              <w:spacing w:after="0"/>
              <w:rPr>
                <w:sz w:val="16"/>
                <w:szCs w:val="16"/>
                <w:color w:val="auto"/>
              </w:rPr>
            </w:pPr>
          </w:p>
        </w:tc>
        <w:tc>
          <w:tcPr>
            <w:tcW w:w="3740" w:type="dxa"/>
            <w:vAlign w:val="bottom"/>
          </w:tcPr>
          <w:p>
            <w:pPr>
              <w:spacing w:after="0"/>
              <w:rPr>
                <w:sz w:val="16"/>
                <w:szCs w:val="16"/>
                <w:color w:val="auto"/>
              </w:rPr>
            </w:pPr>
          </w:p>
        </w:tc>
        <w:tc>
          <w:tcPr>
            <w:tcW w:w="920" w:type="dxa"/>
            <w:vAlign w:val="bottom"/>
          </w:tcPr>
          <w:p>
            <w:pPr>
              <w:jc w:val="right"/>
              <w:ind w:right="168"/>
              <w:spacing w:after="0"/>
              <w:rPr>
                <w:sz w:val="20"/>
                <w:szCs w:val="20"/>
                <w:color w:val="auto"/>
              </w:rPr>
            </w:pPr>
            <w:r>
              <w:rPr>
                <w:rFonts w:ascii="Arial" w:cs="Arial" w:eastAsia="Arial" w:hAnsi="Arial"/>
                <w:sz w:val="14"/>
                <w:szCs w:val="14"/>
                <w:b w:val="1"/>
                <w:bCs w:val="1"/>
                <w:color w:val="auto"/>
              </w:rPr>
              <w:t>Expense</w:t>
            </w:r>
          </w:p>
        </w:tc>
        <w:tc>
          <w:tcPr>
            <w:tcW w:w="4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0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3740" w:type="dxa"/>
            <w:vAlign w:val="bottom"/>
            <w:shd w:val="clear" w:color="auto" w:fill="CCEEFF"/>
          </w:tcPr>
          <w:p>
            <w:pPr>
              <w:ind w:left="34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18</w:t>
            </w:r>
          </w:p>
        </w:tc>
        <w:tc>
          <w:tcPr>
            <w:tcW w:w="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3740" w:type="dxa"/>
            <w:vAlign w:val="bottom"/>
          </w:tcPr>
          <w:p>
            <w:pPr>
              <w:ind w:left="34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17</w:t>
            </w: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3740" w:type="dxa"/>
            <w:vAlign w:val="bottom"/>
            <w:shd w:val="clear" w:color="auto" w:fill="CCEEFF"/>
          </w:tcPr>
          <w:p>
            <w:pPr>
              <w:ind w:left="34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w:t>
            </w:r>
          </w:p>
        </w:tc>
        <w:tc>
          <w:tcPr>
            <w:tcW w:w="4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Arial" w:cs="Arial" w:eastAsia="Arial" w:hAnsi="Arial"/>
                <w:sz w:val="14"/>
                <w:szCs w:val="14"/>
                <w:color w:val="auto"/>
              </w:rPr>
              <w:t>25 basis point increase in expected return on plan assets</w:t>
            </w:r>
          </w:p>
        </w:tc>
        <w:tc>
          <w:tcPr>
            <w:tcW w:w="3740" w:type="dxa"/>
            <w:vAlign w:val="bottom"/>
          </w:tcPr>
          <w:p>
            <w:pPr>
              <w:ind w:left="34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68"/>
              <w:spacing w:after="0"/>
              <w:rPr>
                <w:sz w:val="20"/>
                <w:szCs w:val="20"/>
                <w:color w:val="auto"/>
              </w:rPr>
            </w:pPr>
            <w:r>
              <w:rPr>
                <w:rFonts w:ascii="Arial" w:cs="Arial" w:eastAsia="Arial" w:hAnsi="Arial"/>
                <w:sz w:val="14"/>
                <w:szCs w:val="14"/>
                <w:color w:val="auto"/>
              </w:rPr>
              <w:t>13</w:t>
            </w:r>
          </w:p>
        </w:tc>
        <w:tc>
          <w:tcPr>
            <w:tcW w:w="4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7"/>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Arial" w:cs="Arial" w:eastAsia="Arial" w:hAnsi="Arial"/>
                <w:sz w:val="13"/>
                <w:szCs w:val="13"/>
                <w:color w:val="auto"/>
              </w:rPr>
              <w:t>32</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Part II, Item 7</w:t>
      </w:r>
    </w:p>
    <w:p>
      <w:pPr>
        <w:spacing w:after="0" w:line="323" w:lineRule="exact"/>
        <w:rPr>
          <w:sz w:val="20"/>
          <w:szCs w:val="20"/>
          <w:color w:val="auto"/>
        </w:rPr>
      </w:pPr>
    </w:p>
    <w:p>
      <w:pPr>
        <w:ind w:left="700" w:right="900" w:firstLine="198"/>
        <w:spacing w:after="0" w:line="277"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Pr>
          <w:p>
            <w:pPr>
              <w:spacing w:after="0"/>
              <w:rPr>
                <w:sz w:val="10"/>
                <w:szCs w:val="10"/>
                <w:color w:val="auto"/>
              </w:rPr>
            </w:pPr>
          </w:p>
        </w:tc>
        <w:tc>
          <w:tcPr>
            <w:tcW w:w="422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right"/>
              <w:ind w:right="169"/>
              <w:spacing w:after="0" w:line="119" w:lineRule="exact"/>
              <w:rPr>
                <w:sz w:val="20"/>
                <w:szCs w:val="20"/>
                <w:color w:val="auto"/>
              </w:rPr>
            </w:pPr>
            <w:r>
              <w:rPr>
                <w:rFonts w:ascii="Arial" w:cs="Arial" w:eastAsia="Arial" w:hAnsi="Arial"/>
                <w:sz w:val="13"/>
                <w:szCs w:val="13"/>
                <w:b w:val="1"/>
                <w:bCs w:val="1"/>
                <w:color w:val="auto"/>
              </w:rPr>
              <w:t>Effect on 2010</w:t>
            </w:r>
          </w:p>
        </w:tc>
        <w:tc>
          <w:tcPr>
            <w:tcW w:w="4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Effect on</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Change in Assumption</w:t>
            </w:r>
          </w:p>
        </w:tc>
        <w:tc>
          <w:tcPr>
            <w:tcW w:w="4500" w:type="dxa"/>
            <w:vAlign w:val="bottom"/>
            <w:gridSpan w:val="2"/>
          </w:tcPr>
          <w:p>
            <w:pPr>
              <w:jc w:val="right"/>
              <w:ind w:right="169"/>
              <w:spacing w:after="0" w:line="149" w:lineRule="exact"/>
              <w:rPr>
                <w:sz w:val="20"/>
                <w:szCs w:val="20"/>
                <w:color w:val="auto"/>
              </w:rPr>
            </w:pPr>
            <w:r>
              <w:rPr>
                <w:rFonts w:ascii="Arial" w:cs="Arial" w:eastAsia="Arial" w:hAnsi="Arial"/>
                <w:sz w:val="14"/>
                <w:szCs w:val="14"/>
                <w:b w:val="1"/>
                <w:bCs w:val="1"/>
                <w:color w:val="auto"/>
              </w:rPr>
              <w:t>Pretax Postretirement</w:t>
            </w:r>
          </w:p>
        </w:tc>
        <w:tc>
          <w:tcPr>
            <w:tcW w:w="12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rPr>
              <w:t>Dec. 31, 2010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920" w:type="dxa"/>
            <w:vAlign w:val="bottom"/>
            <w:gridSpan w:val="2"/>
            <w:vMerge w:val="continue"/>
          </w:tcPr>
          <w:p>
            <w:pPr>
              <w:spacing w:after="0"/>
              <w:rPr>
                <w:sz w:val="16"/>
                <w:szCs w:val="16"/>
                <w:color w:val="auto"/>
              </w:rPr>
            </w:pPr>
          </w:p>
        </w:tc>
        <w:tc>
          <w:tcPr>
            <w:tcW w:w="3080" w:type="dxa"/>
            <w:vAlign w:val="bottom"/>
          </w:tcPr>
          <w:p>
            <w:pPr>
              <w:spacing w:after="0"/>
              <w:rPr>
                <w:sz w:val="16"/>
                <w:szCs w:val="16"/>
                <w:color w:val="auto"/>
              </w:rPr>
            </w:pPr>
          </w:p>
        </w:tc>
        <w:tc>
          <w:tcPr>
            <w:tcW w:w="1420" w:type="dxa"/>
            <w:vAlign w:val="bottom"/>
          </w:tcPr>
          <w:p>
            <w:pPr>
              <w:jc w:val="right"/>
              <w:ind w:right="169"/>
              <w:spacing w:after="0"/>
              <w:rPr>
                <w:sz w:val="20"/>
                <w:szCs w:val="20"/>
                <w:color w:val="auto"/>
              </w:rPr>
            </w:pPr>
            <w:r>
              <w:rPr>
                <w:rFonts w:ascii="Arial" w:cs="Arial" w:eastAsia="Arial" w:hAnsi="Arial"/>
                <w:sz w:val="14"/>
                <w:szCs w:val="14"/>
                <w:b w:val="1"/>
                <w:bCs w:val="1"/>
                <w:color w:val="auto"/>
              </w:rPr>
              <w:t>Medical Expense</w:t>
            </w:r>
          </w:p>
        </w:tc>
        <w:tc>
          <w:tcPr>
            <w:tcW w:w="48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Liability</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42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vMerge w:val="continue"/>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3080" w:type="dxa"/>
            <w:vAlign w:val="bottom"/>
            <w:shd w:val="clear" w:color="auto" w:fill="CCEEFF"/>
          </w:tcPr>
          <w:p>
            <w:pPr>
              <w:ind w:left="280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4</w:t>
            </w:r>
          </w:p>
        </w:tc>
        <w:tc>
          <w:tcPr>
            <w:tcW w:w="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3080" w:type="dxa"/>
            <w:vAlign w:val="bottom"/>
          </w:tcPr>
          <w:p>
            <w:pPr>
              <w:ind w:left="2800"/>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ind w:right="169"/>
              <w:spacing w:after="0" w:line="149" w:lineRule="exact"/>
              <w:rPr>
                <w:sz w:val="20"/>
                <w:szCs w:val="20"/>
                <w:color w:val="auto"/>
              </w:rPr>
            </w:pPr>
            <w:r>
              <w:rPr>
                <w:rFonts w:ascii="Arial" w:cs="Arial" w:eastAsia="Arial" w:hAnsi="Arial"/>
                <w:sz w:val="14"/>
                <w:szCs w:val="14"/>
                <w:color w:val="auto"/>
              </w:rPr>
              <w:t>4</w:t>
            </w:r>
          </w:p>
        </w:tc>
        <w:tc>
          <w:tcPr>
            <w:tcW w:w="48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basis point decrease per annum in medical cost trend rate</w:t>
            </w:r>
          </w:p>
        </w:tc>
        <w:tc>
          <w:tcPr>
            <w:tcW w:w="3080" w:type="dxa"/>
            <w:vAlign w:val="bottom"/>
            <w:shd w:val="clear" w:color="auto" w:fill="CCEEFF"/>
          </w:tcPr>
          <w:p>
            <w:pPr>
              <w:ind w:left="2800"/>
              <w:spacing w:after="0" w:line="149" w:lineRule="exact"/>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69"/>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100 basis point increase per annum in medical cost trend rate</w:t>
            </w:r>
          </w:p>
        </w:tc>
        <w:tc>
          <w:tcPr>
            <w:tcW w:w="3080" w:type="dxa"/>
            <w:vAlign w:val="bottom"/>
          </w:tcPr>
          <w:p>
            <w:pPr>
              <w:ind w:left="280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69"/>
              <w:spacing w:after="0"/>
              <w:rPr>
                <w:sz w:val="20"/>
                <w:szCs w:val="20"/>
                <w:color w:val="auto"/>
              </w:rPr>
            </w:pPr>
            <w:r>
              <w:rPr>
                <w:rFonts w:ascii="Arial" w:cs="Arial" w:eastAsia="Arial" w:hAnsi="Arial"/>
                <w:sz w:val="14"/>
                <w:szCs w:val="14"/>
                <w:color w:val="auto"/>
              </w:rPr>
              <w:t>26</w:t>
            </w:r>
          </w:p>
        </w:tc>
        <w:tc>
          <w:tcPr>
            <w:tcW w:w="480" w:type="dxa"/>
            <w:vAlign w:val="bottom"/>
          </w:tcPr>
          <w:p>
            <w:pPr>
              <w:ind w:left="2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7"/>
        </w:trPr>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080" w:type="dxa"/>
            <w:vAlign w:val="bottom"/>
          </w:tcPr>
          <w:p>
            <w:pPr>
              <w:ind w:left="680"/>
              <w:spacing w:after="0"/>
              <w:rPr>
                <w:sz w:val="20"/>
                <w:szCs w:val="20"/>
                <w:color w:val="auto"/>
              </w:rPr>
            </w:pPr>
            <w:r>
              <w:rPr>
                <w:rFonts w:ascii="Arial" w:cs="Arial" w:eastAsia="Arial" w:hAnsi="Arial"/>
                <w:sz w:val="13"/>
                <w:szCs w:val="13"/>
                <w:color w:val="auto"/>
              </w:rPr>
              <w:t>33</w:t>
            </w: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22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7A</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126" w:lineRule="exact"/>
        <w:rPr>
          <w:sz w:val="20"/>
          <w:szCs w:val="20"/>
          <w:color w:val="auto"/>
        </w:rPr>
      </w:pPr>
    </w:p>
    <w:p>
      <w:pPr>
        <w:ind w:left="700" w:right="160" w:firstLine="198"/>
        <w:spacing w:after="0" w:line="258" w:lineRule="auto"/>
        <w:rPr>
          <w:sz w:val="20"/>
          <w:szCs w:val="20"/>
          <w:color w:val="auto"/>
        </w:rPr>
      </w:pPr>
      <w:r>
        <w:rPr>
          <w:rFonts w:ascii="Arial" w:cs="Arial" w:eastAsia="Arial" w:hAnsi="Arial"/>
          <w:sz w:val="18"/>
          <w:szCs w:val="18"/>
          <w:color w:val="auto"/>
        </w:rPr>
        <w:t>Schlumberger is subject to market risks primarily associated with changes in foreign currency exchange rates, commodity prices and interest rates.</w:t>
      </w:r>
    </w:p>
    <w:p>
      <w:pPr>
        <w:spacing w:after="0" w:line="1" w:lineRule="exact"/>
        <w:rPr>
          <w:sz w:val="20"/>
          <w:szCs w:val="20"/>
          <w:color w:val="auto"/>
        </w:rPr>
      </w:pPr>
    </w:p>
    <w:p>
      <w:pPr>
        <w:ind w:left="700" w:right="60" w:firstLine="198"/>
        <w:spacing w:after="0" w:line="250" w:lineRule="auto"/>
        <w:rPr>
          <w:sz w:val="20"/>
          <w:szCs w:val="20"/>
          <w:color w:val="auto"/>
        </w:rPr>
      </w:pPr>
      <w:r>
        <w:rPr>
          <w:rFonts w:ascii="Arial" w:cs="Arial" w:eastAsia="Arial" w:hAnsi="Arial"/>
          <w:sz w:val="18"/>
          <w:szCs w:val="18"/>
          <w:color w:val="auto"/>
        </w:rPr>
        <w:t>As a multinational company, Schlumberger conducts business in approximately 80 countries. Schlumberger’s functional currency is primarily the US dollar, which is consistent with the oil and gas industry. Approximately 80% of Schlumberger’s revenue in 2010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2" w:lineRule="exact"/>
        <w:rPr>
          <w:sz w:val="20"/>
          <w:szCs w:val="20"/>
          <w:color w:val="auto"/>
        </w:rPr>
      </w:pPr>
    </w:p>
    <w:p>
      <w:pPr>
        <w:ind w:left="700" w:right="80" w:firstLine="198"/>
        <w:spacing w:after="0" w:line="265" w:lineRule="auto"/>
        <w:rPr>
          <w:sz w:val="20"/>
          <w:szCs w:val="20"/>
          <w:color w:val="auto"/>
        </w:rPr>
      </w:pPr>
      <w:r>
        <w:rPr>
          <w:rFonts w:ascii="Arial" w:cs="Arial" w:eastAsia="Arial" w:hAnsi="Arial"/>
          <w:sz w:val="17"/>
          <w:szCs w:val="17"/>
          <w:color w:val="auto"/>
        </w:rPr>
        <w:t>A 5% increase or decrease in the average exchange rates of all the foreign currencies in 2010 would have changed revenue by approximately 1%. If the 2010 average exchange rates of the US dollar against all foreign currencies had strengthened by 5%, Schlumberger’s income from continuing operations would have increased by approximately 2%. Conversely, a 5% weakening of the US dollar average exchange rates would have decreased income from continuing operations by approximately 3%.</w:t>
      </w:r>
    </w:p>
    <w:p>
      <w:pPr>
        <w:spacing w:after="0" w:line="1" w:lineRule="exact"/>
        <w:rPr>
          <w:sz w:val="20"/>
          <w:szCs w:val="20"/>
          <w:color w:val="auto"/>
        </w:rPr>
      </w:pPr>
    </w:p>
    <w:p>
      <w:pPr>
        <w:ind w:left="700" w:firstLine="198"/>
        <w:spacing w:after="0" w:line="265" w:lineRule="auto"/>
        <w:rPr>
          <w:sz w:val="20"/>
          <w:szCs w:val="20"/>
          <w:color w:val="auto"/>
        </w:rPr>
      </w:pPr>
      <w:r>
        <w:rPr>
          <w:rFonts w:ascii="Arial" w:cs="Arial" w:eastAsia="Arial" w:hAnsi="Arial"/>
          <w:sz w:val="17"/>
          <w:szCs w:val="17"/>
          <w:color w:val="auto"/>
        </w:rPr>
        <w:t>Although the functional currency of Schlumberger’s operations in Venezuela is the US dollar, a portion of the transactions are denominated in local currency. For financial reporting purposes, such transactions are remeasured into US dollars at the official exchange rate, which until January 2010 was fixed at 2.15 Venezuela bolivares fuertes per US dollar, despite significant inflation in recent periods. In January 2010, Venezuela’s currency was devalued and a new exchange rate system was announced. During the first quarter of 2010, Schlumberger began to apply an exchange rate of 4.3 Venezuelan bolivares fuertes per US dollar to its local currency denominated transactions in Venezuela. The devaluation did not have an immediate significant impact to Schlumberger. Further, although this devaluation does result in a reduction in the US dollar reported amount of local currency denominated revenues and expenses, the impact is not material to Schlumberger’s consolidated financial statements.</w:t>
      </w:r>
    </w:p>
    <w:p>
      <w:pPr>
        <w:spacing w:after="0" w:line="2" w:lineRule="exact"/>
        <w:rPr>
          <w:sz w:val="20"/>
          <w:szCs w:val="20"/>
          <w:color w:val="auto"/>
        </w:rPr>
      </w:pPr>
    </w:p>
    <w:p>
      <w:pPr>
        <w:ind w:left="700" w:firstLine="198"/>
        <w:spacing w:after="0" w:line="250"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and foreign currency options provide a hedge against currency fluctuations either on monetary assets/liabilities denominated in other than a functional currency or on expenses.</w:t>
      </w:r>
    </w:p>
    <w:p>
      <w:pPr>
        <w:spacing w:after="0" w:line="2" w:lineRule="exact"/>
        <w:rPr>
          <w:sz w:val="20"/>
          <w:szCs w:val="20"/>
          <w:color w:val="auto"/>
        </w:rPr>
      </w:pPr>
    </w:p>
    <w:p>
      <w:pPr>
        <w:ind w:left="900" w:right="60"/>
        <w:spacing w:after="0" w:line="281" w:lineRule="auto"/>
        <w:rPr>
          <w:sz w:val="20"/>
          <w:szCs w:val="20"/>
          <w:color w:val="auto"/>
        </w:rPr>
      </w:pPr>
      <w:r>
        <w:rPr>
          <w:rFonts w:ascii="Arial" w:cs="Arial" w:eastAsia="Arial" w:hAnsi="Arial"/>
          <w:sz w:val="16"/>
          <w:szCs w:val="16"/>
          <w:color w:val="auto"/>
        </w:rPr>
        <w:t>At December 31, 2010, contracts were outstanding for the US dollar equivalent of $7.3 billion in various foreign currencies. Schlumberger is subject to the risk of market price fluctuations of certain commodities, such as metals and fuel. Schlumberger utilizes</w:t>
      </w:r>
    </w:p>
    <w:p>
      <w:pPr>
        <w:spacing w:after="0" w:line="1" w:lineRule="exact"/>
        <w:rPr>
          <w:sz w:val="20"/>
          <w:szCs w:val="20"/>
          <w:color w:val="auto"/>
        </w:rPr>
      </w:pPr>
    </w:p>
    <w:p>
      <w:pPr>
        <w:ind w:left="700" w:right="160"/>
        <w:spacing w:after="0" w:line="250" w:lineRule="auto"/>
        <w:rPr>
          <w:sz w:val="20"/>
          <w:szCs w:val="20"/>
          <w:color w:val="auto"/>
        </w:rPr>
      </w:pPr>
      <w:r>
        <w:rPr>
          <w:rFonts w:ascii="Arial" w:cs="Arial" w:eastAsia="Arial" w:hAnsi="Arial"/>
          <w:sz w:val="18"/>
          <w:szCs w:val="18"/>
          <w:color w:val="auto"/>
        </w:rPr>
        <w:t>forward contracts to manage a small percentage of the price risk associated with forecasted metal purchases. As of December 31, 2010, $12 million of commodity forward contracts were outstanding.</w:t>
      </w:r>
    </w:p>
    <w:p>
      <w:pPr>
        <w:spacing w:after="0" w:line="1" w:lineRule="exact"/>
        <w:rPr>
          <w:sz w:val="20"/>
          <w:szCs w:val="20"/>
          <w:color w:val="auto"/>
        </w:rPr>
      </w:pPr>
    </w:p>
    <w:p>
      <w:pPr>
        <w:ind w:left="700" w:right="40" w:firstLine="198"/>
        <w:spacing w:after="0" w:line="250"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 At December 31, 2010, Schlumberger had fixed rate debt aggregating approximately $5.4 billion and variable rate debt aggregating approximately $2.8 billion. Schlumberger has entered into interest rate swaps relating to $0.5 billion of its fixed rate debt as of December 31, 2010 whereby Schlumberger will receive interest at a fixed rate and pay interest at a variable rate.</w:t>
      </w:r>
    </w:p>
    <w:p>
      <w:pPr>
        <w:spacing w:after="0" w:line="3" w:lineRule="exact"/>
        <w:rPr>
          <w:sz w:val="20"/>
          <w:szCs w:val="20"/>
          <w:color w:val="auto"/>
        </w:rPr>
      </w:pPr>
    </w:p>
    <w:p>
      <w:pPr>
        <w:ind w:left="700" w:right="20" w:firstLine="198"/>
        <w:spacing w:after="0" w:line="273" w:lineRule="auto"/>
        <w:rPr>
          <w:sz w:val="20"/>
          <w:szCs w:val="20"/>
          <w:color w:val="auto"/>
        </w:rPr>
      </w:pPr>
      <w:r>
        <w:rPr>
          <w:rFonts w:ascii="Arial" w:cs="Arial" w:eastAsia="Arial" w:hAnsi="Arial"/>
          <w:sz w:val="17"/>
          <w:szCs w:val="17"/>
          <w:color w:val="auto"/>
        </w:rPr>
        <w:t xml:space="preserve">Schlumberger’s exposure to interest rate risk associated with its debt is also partially mitigated by its investment portfolio. Both </w:t>
      </w:r>
      <w:r>
        <w:rPr>
          <w:rFonts w:ascii="Arial" w:cs="Arial" w:eastAsia="Arial" w:hAnsi="Arial"/>
          <w:sz w:val="17"/>
          <w:szCs w:val="17"/>
          <w:i w:val="1"/>
          <w:iCs w:val="1"/>
          <w:color w:val="auto"/>
        </w:rPr>
        <w:t xml:space="preserve">Short-term investments </w:t>
      </w:r>
      <w:r>
        <w:rPr>
          <w:rFonts w:ascii="Arial" w:cs="Arial" w:eastAsia="Arial" w:hAnsi="Arial"/>
          <w:sz w:val="17"/>
          <w:szCs w:val="17"/>
          <w:color w:val="auto"/>
        </w:rPr>
        <w:t>and</w:t>
      </w:r>
      <w:r>
        <w:rPr>
          <w:rFonts w:ascii="Arial" w:cs="Arial" w:eastAsia="Arial" w:hAnsi="Arial"/>
          <w:sz w:val="17"/>
          <w:szCs w:val="17"/>
          <w:i w:val="1"/>
          <w:iCs w:val="1"/>
          <w:color w:val="auto"/>
        </w:rPr>
        <w:t xml:space="preserve"> Fixed income investments</w:t>
      </w:r>
      <w:r>
        <w:rPr>
          <w:rFonts w:ascii="Arial" w:cs="Arial" w:eastAsia="Arial" w:hAnsi="Arial"/>
          <w:sz w:val="17"/>
          <w:szCs w:val="17"/>
          <w:color w:val="auto"/>
        </w:rPr>
        <w:t>,</w:t>
      </w:r>
      <w:r>
        <w:rPr>
          <w:rFonts w:ascii="Arial" w:cs="Arial" w:eastAsia="Arial" w:hAnsi="Arial"/>
          <w:sz w:val="17"/>
          <w:szCs w:val="17"/>
          <w:i w:val="1"/>
          <w:iCs w:val="1"/>
          <w:color w:val="auto"/>
        </w:rPr>
        <w:t xml:space="preserve"> held to maturity</w:t>
      </w:r>
      <w:r>
        <w:rPr>
          <w:rFonts w:ascii="Arial" w:cs="Arial" w:eastAsia="Arial" w:hAnsi="Arial"/>
          <w:sz w:val="17"/>
          <w:szCs w:val="17"/>
          <w:color w:val="auto"/>
        </w:rPr>
        <w:t>, which totaled approximately $3.7 billion at December 31, 2010, are</w:t>
      </w:r>
      <w:r>
        <w:rPr>
          <w:rFonts w:ascii="Arial" w:cs="Arial" w:eastAsia="Arial" w:hAnsi="Arial"/>
          <w:sz w:val="17"/>
          <w:szCs w:val="17"/>
          <w:i w:val="1"/>
          <w:iCs w:val="1"/>
          <w:color w:val="auto"/>
        </w:rPr>
        <w:t xml:space="preserve"> </w:t>
      </w:r>
      <w:r>
        <w:rPr>
          <w:rFonts w:ascii="Arial" w:cs="Arial" w:eastAsia="Arial" w:hAnsi="Arial"/>
          <w:sz w:val="17"/>
          <w:szCs w:val="17"/>
          <w:color w:val="auto"/>
        </w:rPr>
        <w:t>comprised primarily of money market funds, eurodollar time deposits, certificates of deposit, commercial paper, euro notes and Eurobonds and are substantially all denominated in US dollars. The average return on investment was 1.1% in 2010.</w:t>
      </w:r>
    </w:p>
    <w:p>
      <w:pPr>
        <w:spacing w:after="0" w:line="36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7A</w:t>
      </w:r>
    </w:p>
    <w:p>
      <w:pPr>
        <w:spacing w:after="0" w:line="3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represents carrying amounts of Schlumberger’s debt at December 31, 2010 by year of maturity:</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7"/>
              </w:rPr>
              <w:t>Expected Maturity Dates</w:t>
            </w: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80" w:type="dxa"/>
            <w:vAlign w:val="bottom"/>
          </w:tcPr>
          <w:p>
            <w:pPr>
              <w:spacing w:after="0"/>
              <w:rPr>
                <w:sz w:val="15"/>
                <w:szCs w:val="15"/>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Fixed rate debt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5.875% Guaranteed Bonds</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334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5.25%</w:t>
            </w:r>
          </w:p>
        </w:tc>
        <w:tc>
          <w:tcPr>
            <w:tcW w:w="4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Guaranteed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3.00%</w:t>
            </w:r>
          </w:p>
        </w:tc>
        <w:tc>
          <w:tcPr>
            <w:tcW w:w="4520" w:type="dxa"/>
            <w:vAlign w:val="bottom"/>
          </w:tcPr>
          <w:p>
            <w:pPr>
              <w:ind w:left="20"/>
              <w:spacing w:after="0" w:line="149" w:lineRule="exact"/>
              <w:rPr>
                <w:sz w:val="20"/>
                <w:szCs w:val="20"/>
                <w:color w:val="auto"/>
              </w:rPr>
            </w:pPr>
            <w:r>
              <w:rPr>
                <w:rFonts w:ascii="Arial" w:cs="Arial" w:eastAsia="Arial" w:hAnsi="Arial"/>
                <w:sz w:val="14"/>
                <w:szCs w:val="14"/>
                <w:color w:val="auto"/>
              </w:rPr>
              <w:t>Guaranteed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4.50%</w:t>
            </w:r>
          </w:p>
        </w:tc>
        <w:tc>
          <w:tcPr>
            <w:tcW w:w="4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Guaranteed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$ 1,319</w:t>
            </w: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1,319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tcPr>
          <w:p>
            <w:pPr>
              <w:spacing w:after="0" w:line="149" w:lineRule="exact"/>
              <w:rPr>
                <w:sz w:val="20"/>
                <w:szCs w:val="20"/>
                <w:color w:val="auto"/>
              </w:rPr>
            </w:pPr>
            <w:r>
              <w:rPr>
                <w:rFonts w:ascii="Arial" w:cs="Arial" w:eastAsia="Arial" w:hAnsi="Arial"/>
                <w:sz w:val="14"/>
                <w:szCs w:val="14"/>
                <w:color w:val="auto"/>
              </w:rPr>
              <w:t>8.625% 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2.75%</w:t>
            </w:r>
          </w:p>
        </w:tc>
        <w:tc>
          <w:tcPr>
            <w:tcW w:w="4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Guaranteed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$ 1,310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1,310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6.00%</w:t>
            </w:r>
          </w:p>
        </w:tc>
        <w:tc>
          <w:tcPr>
            <w:tcW w:w="4520" w:type="dxa"/>
            <w:vAlign w:val="bottom"/>
          </w:tcPr>
          <w:p>
            <w:pPr>
              <w:ind w:left="20"/>
              <w:spacing w:after="0" w:line="149" w:lineRule="exact"/>
              <w:rPr>
                <w:sz w:val="20"/>
                <w:szCs w:val="20"/>
                <w:color w:val="auto"/>
              </w:rPr>
            </w:pPr>
            <w:r>
              <w:rPr>
                <w:rFonts w:ascii="Arial" w:cs="Arial" w:eastAsia="Arial" w:hAnsi="Arial"/>
                <w:sz w:val="14"/>
                <w:szCs w:val="14"/>
                <w:color w:val="auto"/>
              </w:rPr>
              <w:t>Senior Notes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$ 218</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9.75%</w:t>
            </w:r>
          </w:p>
        </w:tc>
        <w:tc>
          <w:tcPr>
            <w:tcW w:w="4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Senior Notes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$ 776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2"/>
                <w:szCs w:val="12"/>
                <w:color w:val="auto"/>
              </w:rPr>
            </w:pPr>
          </w:p>
        </w:tc>
      </w:tr>
      <w:tr>
        <w:trPr>
          <w:trHeight w:val="20"/>
        </w:trPr>
        <w:tc>
          <w:tcPr>
            <w:tcW w:w="49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Total fixed rate debt</w:t>
            </w:r>
          </w:p>
        </w:tc>
        <w:tc>
          <w:tcPr>
            <w:tcW w:w="10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334</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1,122</w:t>
            </w:r>
          </w:p>
        </w:tc>
        <w:tc>
          <w:tcPr>
            <w:tcW w:w="280" w:type="dxa"/>
            <w:vAlign w:val="bottom"/>
          </w:tcPr>
          <w:p>
            <w:pPr>
              <w:spacing w:after="0"/>
              <w:rPr>
                <w:sz w:val="12"/>
                <w:szCs w:val="12"/>
                <w:color w:val="auto"/>
              </w:rPr>
            </w:pP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1"/>
              </w:rPr>
              <w:t>$ 1,591</w:t>
            </w:r>
          </w:p>
        </w:tc>
        <w:tc>
          <w:tcPr>
            <w:tcW w:w="280" w:type="dxa"/>
            <w:vAlign w:val="bottom"/>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$ 1,310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$ 218</w:t>
            </w:r>
          </w:p>
        </w:tc>
        <w:tc>
          <w:tcPr>
            <w:tcW w:w="260" w:type="dxa"/>
            <w:vAlign w:val="bottom"/>
          </w:tcPr>
          <w:p>
            <w:pPr>
              <w:spacing w:after="0"/>
              <w:rPr>
                <w:sz w:val="12"/>
                <w:szCs w:val="12"/>
                <w:color w:val="auto"/>
              </w:rPr>
            </w:pP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$ 776</w:t>
            </w:r>
          </w:p>
        </w:tc>
        <w:tc>
          <w:tcPr>
            <w:tcW w:w="2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5,351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Variable rate debt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2,261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445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2,761</w:t>
            </w:r>
          </w:p>
        </w:tc>
        <w:tc>
          <w:tcPr>
            <w:tcW w:w="100" w:type="dxa"/>
            <w:vAlign w:val="bottom"/>
            <w:shd w:val="clear" w:color="auto" w:fill="CCEEFF"/>
          </w:tcPr>
          <w:p>
            <w:pPr>
              <w:spacing w:after="0"/>
              <w:rPr>
                <w:sz w:val="12"/>
                <w:szCs w:val="12"/>
                <w:color w:val="auto"/>
              </w:rPr>
            </w:pPr>
          </w:p>
        </w:tc>
      </w:tr>
      <w:tr>
        <w:trPr>
          <w:trHeight w:val="20"/>
        </w:trPr>
        <w:tc>
          <w:tcPr>
            <w:tcW w:w="380" w:type="dxa"/>
            <w:vAlign w:val="bottom"/>
            <w:gridSpan w:val="2"/>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Total</w:t>
            </w:r>
          </w:p>
        </w:tc>
        <w:tc>
          <w:tcPr>
            <w:tcW w:w="4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2,595</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445</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1,163</w:t>
            </w:r>
          </w:p>
        </w:tc>
        <w:tc>
          <w:tcPr>
            <w:tcW w:w="2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1"/>
              </w:rPr>
              <w:t>$ 1,605</w:t>
            </w:r>
          </w:p>
        </w:tc>
        <w:tc>
          <w:tcPr>
            <w:tcW w:w="2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$ 1,310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$ 218</w:t>
            </w:r>
          </w:p>
        </w:tc>
        <w:tc>
          <w:tcPr>
            <w:tcW w:w="26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$ 776</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8,112</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540" w:firstLine="198"/>
        <w:spacing w:after="0" w:line="277" w:lineRule="auto"/>
        <w:rPr>
          <w:sz w:val="20"/>
          <w:szCs w:val="20"/>
          <w:color w:val="auto"/>
        </w:rPr>
      </w:pPr>
      <w:r>
        <w:rPr>
          <w:rFonts w:ascii="Arial" w:cs="Arial" w:eastAsia="Arial" w:hAnsi="Arial"/>
          <w:sz w:val="18"/>
          <w:szCs w:val="18"/>
          <w:color w:val="auto"/>
        </w:rPr>
        <w:t>The fair market value of the outstanding fixed rate debt was approximately $5.5 billion as of December 31, 2010. The weighted average interest rate on the variable rate debt as of December 31, 2010 was approximately 1.0%.</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does not enter into derivatives for speculative purposes.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Forward-looking Statements</w:t>
      </w:r>
    </w:p>
    <w:p>
      <w:pPr>
        <w:spacing w:after="0" w:line="126" w:lineRule="exact"/>
        <w:rPr>
          <w:sz w:val="20"/>
          <w:szCs w:val="20"/>
          <w:color w:val="auto"/>
        </w:rPr>
      </w:pPr>
    </w:p>
    <w:p>
      <w:pPr>
        <w:ind w:left="700" w:right="40" w:firstLine="198"/>
        <w:spacing w:after="0" w:line="285" w:lineRule="auto"/>
        <w:rPr>
          <w:sz w:val="20"/>
          <w:szCs w:val="20"/>
          <w:color w:val="auto"/>
        </w:rPr>
      </w:pPr>
      <w:r>
        <w:rPr>
          <w:rFonts w:ascii="Arial" w:cs="Arial" w:eastAsia="Arial" w:hAnsi="Arial"/>
          <w:sz w:val="16"/>
          <w:szCs w:val="16"/>
          <w:color w:val="auto"/>
        </w:rPr>
        <w:t>This Form 10-K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the integration of both Smith and Geoservices into our business; the anticipated benefits of those transactions;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and future results of operations. These statements are subject to risks and uncertainties, including, but not limited to, the current global economic downturn; changes in exploration and production spending by Schlumberger’s customers and changes in the level of oil and natural gas exploration and development; general economic and business conditions in key regions of the world; pricing erosion; seasonal factors; changes in government regulations and regulatory requirements, including those related to offshore oil and gas exploration, radioactive sources, explosives, chemicals, hydraulic fracturing services and climate-related initiatives; continuing operational delays or program reductions as of result of the lifted drilling moratorium in the Gulf of Mexico; the inability to successfully integrate the merged Smith and Geoservices businesses and to realize expected synergies, the inability to retain key employees; and other risks and uncertainties detailed in the Risk Factors section of this Form 10-K and other filings that we make with the Securities and Exchange Commission. If one or more of these or other risks or uncertainties materialize (or the consequences of such a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362"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4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SCHLUMBERGER LIMITED AND SUBSIDIARIES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CONSOLIDATED STATEMENT OF INCOME</w:t>
      </w:r>
    </w:p>
    <w:p>
      <w:pPr>
        <w:spacing w:after="0" w:line="11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55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480" w:type="dxa"/>
            <w:vAlign w:val="bottom"/>
            <w:shd w:val="clear" w:color="auto" w:fill="CCEEFF"/>
          </w:tcPr>
          <w:p>
            <w:pPr>
              <w:spacing w:after="0" w:line="159" w:lineRule="exact"/>
              <w:rPr>
                <w:sz w:val="20"/>
                <w:szCs w:val="20"/>
                <w:color w:val="auto"/>
              </w:rPr>
            </w:pPr>
            <w:r>
              <w:rPr>
                <w:rFonts w:ascii="Arial" w:cs="Arial" w:eastAsia="Arial" w:hAnsi="Arial"/>
                <w:sz w:val="14"/>
                <w:szCs w:val="14"/>
                <w:i w:val="1"/>
                <w:iCs w:val="1"/>
                <w:color w:val="auto"/>
              </w:rPr>
              <w:t>Revenue</w:t>
            </w:r>
          </w:p>
        </w:tc>
        <w:tc>
          <w:tcPr>
            <w:tcW w:w="21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w w:val="88"/>
              </w:rPr>
              <w:t>27,447</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3"/>
              </w:rPr>
              <w:t>22,702</w:t>
            </w:r>
          </w:p>
        </w:tc>
        <w:tc>
          <w:tcPr>
            <w:tcW w:w="2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27,163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i w:val="1"/>
                <w:iCs w:val="1"/>
                <w:color w:val="auto"/>
              </w:rPr>
              <w:t>Interest and other income, net</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273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Gain on investment in M-I SWACO</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1,270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Cost of revenue</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21,499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17,245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18,957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Research &amp; engineering</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General &amp; administrative</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180"/>
              <w:spacing w:after="0" w:line="149" w:lineRule="exact"/>
              <w:rPr>
                <w:sz w:val="20"/>
                <w:szCs w:val="20"/>
                <w:color w:val="auto"/>
              </w:rPr>
            </w:pPr>
            <w:r>
              <w:rPr>
                <w:rFonts w:ascii="Arial" w:cs="Arial" w:eastAsia="Arial" w:hAnsi="Arial"/>
                <w:sz w:val="14"/>
                <w:szCs w:val="14"/>
                <w:color w:val="auto"/>
              </w:rPr>
              <w:t>Merger &amp; integration</w:t>
            </w: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Restructuring &amp; other</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Interest</w:t>
            </w:r>
          </w:p>
        </w:tc>
        <w:tc>
          <w:tcPr>
            <w:tcW w:w="2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w:t>
            </w: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5,156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Taxes on income</w:t>
            </w:r>
          </w:p>
        </w:tc>
        <w:tc>
          <w:tcPr>
            <w:tcW w:w="2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890</w:t>
            </w:r>
          </w:p>
        </w:tc>
        <w:tc>
          <w:tcPr>
            <w:tcW w:w="1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4,266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Pr>
          <w:p>
            <w:pPr>
              <w:spacing w:after="0"/>
              <w:rPr>
                <w:sz w:val="20"/>
                <w:szCs w:val="20"/>
                <w:color w:val="auto"/>
              </w:rPr>
            </w:pPr>
            <w:r>
              <w:rPr>
                <w:rFonts w:ascii="Arial" w:cs="Arial" w:eastAsia="Arial" w:hAnsi="Arial"/>
                <w:sz w:val="14"/>
                <w:szCs w:val="14"/>
                <w:i w:val="1"/>
                <w:iCs w:val="1"/>
                <w:color w:val="auto"/>
              </w:rPr>
              <w:t>Income (Loss) from Discontinued Operations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2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4,266</w:t>
            </w:r>
          </w:p>
        </w:tc>
        <w:tc>
          <w:tcPr>
            <w:tcW w:w="1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5,460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80"/>
              <w:spacing w:after="0"/>
              <w:rPr>
                <w:sz w:val="20"/>
                <w:szCs w:val="20"/>
                <w:color w:val="auto"/>
              </w:rPr>
            </w:pPr>
            <w:r>
              <w:rPr>
                <w:rFonts w:ascii="Arial" w:cs="Arial" w:eastAsia="Arial" w:hAnsi="Arial"/>
                <w:sz w:val="14"/>
                <w:szCs w:val="14"/>
                <w:color w:val="auto"/>
              </w:rPr>
              <w:t>Net (income) loss attributable to noncontrolling interests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 attributable to Schlumberger</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4,267</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3,134</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Schlumberger amounts attributable to:</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2"/>
            <w:vMerge w:val="continue"/>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Income from Continuing Operations</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4,267</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80"/>
              <w:spacing w:after="0"/>
              <w:rPr>
                <w:sz w:val="20"/>
                <w:szCs w:val="20"/>
                <w:color w:val="auto"/>
              </w:rPr>
            </w:pPr>
            <w:r>
              <w:rPr>
                <w:rFonts w:ascii="Arial" w:cs="Arial" w:eastAsia="Arial" w:hAnsi="Arial"/>
                <w:sz w:val="14"/>
                <w:szCs w:val="14"/>
                <w:color w:val="auto"/>
              </w:rPr>
              <w:t>Income (Loss) from Discontinued Operations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4,267</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3,134</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earnings per share of Schlumberger:</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2"/>
            <w:vMerge w:val="continue"/>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Income from Continuing Operations</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80"/>
              <w:spacing w:after="0"/>
              <w:rPr>
                <w:sz w:val="20"/>
                <w:szCs w:val="20"/>
                <w:color w:val="auto"/>
              </w:rPr>
            </w:pPr>
            <w:r>
              <w:rPr>
                <w:rFonts w:ascii="Arial" w:cs="Arial" w:eastAsia="Arial" w:hAnsi="Arial"/>
                <w:sz w:val="14"/>
                <w:szCs w:val="14"/>
                <w:color w:val="auto"/>
              </w:rPr>
              <w:t>Income (Loss) from Discontinued Operations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r>
              <w:rPr>
                <w:rFonts w:ascii="Arial" w:cs="Arial" w:eastAsia="Arial" w:hAnsi="Arial"/>
                <w:sz w:val="12"/>
                <w:szCs w:val="12"/>
                <w:color w:val="auto"/>
              </w:rPr>
              <w:t>(1)</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per share of Schlumberger:</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2"/>
            <w:vMerge w:val="continue"/>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Income from Continuing Operations</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3.38</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80" w:type="dxa"/>
            <w:vAlign w:val="bottom"/>
          </w:tcPr>
          <w:p>
            <w:pPr>
              <w:ind w:left="180"/>
              <w:spacing w:after="0"/>
              <w:rPr>
                <w:sz w:val="20"/>
                <w:szCs w:val="20"/>
                <w:color w:val="auto"/>
              </w:rPr>
            </w:pPr>
            <w:r>
              <w:rPr>
                <w:rFonts w:ascii="Arial" w:cs="Arial" w:eastAsia="Arial" w:hAnsi="Arial"/>
                <w:sz w:val="14"/>
                <w:szCs w:val="14"/>
                <w:color w:val="auto"/>
              </w:rPr>
              <w:t>Income (Loss) from Discontinued Operations</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(0.02)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Income</w:t>
            </w:r>
          </w:p>
        </w:tc>
        <w:tc>
          <w:tcPr>
            <w:tcW w:w="2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3.38</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shares outstanding</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2"/>
            <w:vMerge w:val="continue"/>
          </w:tcPr>
          <w:p>
            <w:pPr>
              <w:spacing w:after="0"/>
              <w:rPr>
                <w:sz w:val="21"/>
                <w:szCs w:val="21"/>
                <w:color w:val="auto"/>
              </w:rPr>
            </w:pP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4"/>
                <w:szCs w:val="14"/>
                <w:color w:val="auto"/>
              </w:rPr>
              <w:t>Assuming dilution</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1,263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1,214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4"/>
          <w:szCs w:val="14"/>
          <w:color w:val="auto"/>
        </w:rPr>
        <w:t>Amounts may not add due to rounding</w:t>
      </w:r>
    </w:p>
    <w:p>
      <w:pPr>
        <w:spacing w:after="0" w:line="217"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32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SCHLUMBERGER LIMITED AND SUBSIDIARIES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CONSOLIDATED BALANCE SHEET</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65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1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i w:val="1"/>
                <w:iCs w:val="1"/>
                <w:color w:val="auto"/>
              </w:rPr>
              <w:t>ASSETS</w:t>
            </w:r>
          </w:p>
        </w:tc>
        <w:tc>
          <w:tcPr>
            <w:tcW w:w="1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Assets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w:t>
            </w:r>
          </w:p>
        </w:tc>
        <w:tc>
          <w:tcPr>
            <w:tcW w:w="1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1,764</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Short-term investments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Receivables less allowance for doubtful accounts (2010 – $185; 2009 – $160)</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8,278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Inventories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3,804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Deferred taxes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current assets</w:t>
            </w:r>
          </w:p>
        </w:tc>
        <w:tc>
          <w:tcPr>
            <w:tcW w:w="1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975</w:t>
            </w:r>
          </w:p>
        </w:tc>
        <w:tc>
          <w:tcPr>
            <w:tcW w:w="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18,098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13,650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1,071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12,071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9,660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13,952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5,305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535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3"/>
              </w:rPr>
              <w:t>51,767</w:t>
            </w:r>
          </w:p>
        </w:tc>
        <w:tc>
          <w:tcPr>
            <w:tcW w:w="1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8"/>
              </w:rPr>
              <w:t>33,465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5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EQUITY</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Accounts payable and accrued liabilities</w:t>
            </w:r>
          </w:p>
        </w:tc>
        <w:tc>
          <w:tcPr>
            <w:tcW w:w="1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6,488</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Estimated liability for taxes on income</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1,493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Long-term debt – current portion</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2,214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Short-term borrowings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Dividend payable</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Convertible debentures</w:t>
            </w:r>
          </w:p>
        </w:tc>
        <w:tc>
          <w:tcPr>
            <w:tcW w:w="1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10,865</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Long-term Debt</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5,517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1,636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Liabilities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20,323</w:t>
            </w:r>
          </w:p>
        </w:tc>
        <w:tc>
          <w:tcPr>
            <w:tcW w:w="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14,236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Equity</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Common stock</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11,920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4,777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Treasury stock</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(3,136)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(5,002)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Retained earnings</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25,210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22,019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Accumulated other comprehensive loss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9"/>
              </w:rPr>
              <w:t>(2,768)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(2,674)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180"/>
              <w:spacing w:after="0" w:line="149" w:lineRule="exact"/>
              <w:rPr>
                <w:sz w:val="20"/>
                <w:szCs w:val="20"/>
                <w:color w:val="auto"/>
              </w:rPr>
            </w:pPr>
            <w:r>
              <w:rPr>
                <w:rFonts w:ascii="Arial" w:cs="Arial" w:eastAsia="Arial" w:hAnsi="Arial"/>
                <w:sz w:val="14"/>
                <w:szCs w:val="14"/>
                <w:color w:val="auto"/>
              </w:rPr>
              <w:t>Schlumberger stockholders’ equity</w:t>
            </w: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31,226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19,120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interests</w:t>
            </w:r>
          </w:p>
        </w:tc>
        <w:tc>
          <w:tcPr>
            <w:tcW w:w="1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218</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31,444</w:t>
            </w:r>
          </w:p>
        </w:tc>
        <w:tc>
          <w:tcPr>
            <w:tcW w:w="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19,229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51,767</w:t>
            </w: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33,465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32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SCHLUMBERGER LIMITED AND SUBSIDIARIES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CONSOLIDATED STATEMENT OF CASH FLOWS</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6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6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flows from operating activities:</w:t>
            </w: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4,266</w:t>
            </w:r>
          </w:p>
        </w:tc>
        <w:tc>
          <w:tcPr>
            <w:tcW w:w="100" w:type="dxa"/>
            <w:vAlign w:val="bottom"/>
          </w:tcPr>
          <w:p>
            <w:pPr>
              <w:spacing w:after="0"/>
              <w:rPr>
                <w:sz w:val="12"/>
                <w:szCs w:val="12"/>
                <w:color w:val="auto"/>
              </w:rPr>
            </w:pP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3,142</w:t>
            </w:r>
          </w:p>
        </w:tc>
        <w:tc>
          <w:tcPr>
            <w:tcW w:w="16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5,460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2"/>
                <w:szCs w:val="12"/>
                <w:color w:val="auto"/>
              </w:rPr>
              <w:t>(1)</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2,759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2,269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Gain on investment in M-I SWACO</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(1,270)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(235)</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Deferred income taxes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Stock-based compensation expense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Other non-cash items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Pension and other postretirement benefits expense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Pension and other postretirement benefits curtailment charge</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Pension and other postretirement benefits funding</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(318)</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Change in operating assets and liabilities:</w:t>
            </w:r>
            <w:r>
              <w:rPr>
                <w:rFonts w:ascii="Arial" w:cs="Arial" w:eastAsia="Arial" w:hAnsi="Arial"/>
                <w:sz w:val="12"/>
                <w:szCs w:val="12"/>
                <w:color w:val="auto"/>
              </w:rPr>
              <w:t>(2)</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(Increase) decrease in receivables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(944)</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(Increase) decrease in inventories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(299)</w:t>
            </w: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Decrease (increase) in other current assets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(198)</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(Decrease) increase in accounts payable and accrued liabilities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520"/>
              <w:spacing w:after="0" w:line="149" w:lineRule="exact"/>
              <w:rPr>
                <w:sz w:val="20"/>
                <w:szCs w:val="20"/>
                <w:color w:val="auto"/>
              </w:rPr>
            </w:pPr>
            <w:r>
              <w:rPr>
                <w:rFonts w:ascii="Arial" w:cs="Arial" w:eastAsia="Arial" w:hAnsi="Arial"/>
                <w:sz w:val="14"/>
                <w:szCs w:val="14"/>
                <w:color w:val="auto"/>
              </w:rPr>
              <w:t>Increase (decrease) in estimated liability for taxes on income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480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(Decrease) increase in other liabilities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(89)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634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Other – net</w:t>
            </w:r>
          </w:p>
        </w:tc>
        <w:tc>
          <w:tcPr>
            <w:tcW w:w="1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(91)</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5,494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6,899</w:t>
            </w:r>
          </w:p>
        </w:tc>
        <w:tc>
          <w:tcPr>
            <w:tcW w:w="100" w:type="dxa"/>
            <w:vAlign w:val="bottom"/>
            <w:shd w:val="clear" w:color="auto" w:fill="CCEEFF"/>
          </w:tcPr>
          <w:p>
            <w:pPr>
              <w:spacing w:after="0"/>
              <w:rPr>
                <w:sz w:val="12"/>
                <w:szCs w:val="12"/>
                <w:color w:val="auto"/>
              </w:rPr>
            </w:pPr>
          </w:p>
        </w:tc>
      </w:tr>
      <w:tr>
        <w:trPr>
          <w:trHeight w:val="20"/>
        </w:trPr>
        <w:tc>
          <w:tcPr>
            <w:tcW w:w="6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Capital expenditures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(2,914)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(3,723)</w:t>
            </w: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Multiclient seismic data capitalized</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(326)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(345)</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acquired in merger with Smith International, Inc.</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Acquisition of Geoservices, net of cash acquired</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(889)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 business acquisitions and investments, net of cash acquired</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(345)</w:t>
            </w: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Sale (purchase) of investments, net</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(604)</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Other</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(132)</w:t>
            </w:r>
          </w:p>
        </w:tc>
      </w:tr>
      <w:tr>
        <w:trPr>
          <w:trHeight w:val="20"/>
        </w:trPr>
        <w:tc>
          <w:tcPr>
            <w:tcW w:w="6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NET CASH USED IN INVESTING ACTIVITIES</w:t>
            </w:r>
          </w:p>
        </w:tc>
        <w:tc>
          <w:tcPr>
            <w:tcW w:w="1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4"/>
              </w:rPr>
              <w:t>(2,938)</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(4,070)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1"/>
              </w:rPr>
              <w:t>(5,149)</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Dividends paid</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(1,040)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(964)</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Proceeds from exercise of stock options</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Tax benefit on stock options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Stock repurchase program</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(1,717)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(1,819)</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Proceeds from issuance of long-term debt</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2,815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tcPr>
          <w:p>
            <w:pPr>
              <w:ind w:left="180"/>
              <w:spacing w:after="0" w:line="149" w:lineRule="exact"/>
              <w:rPr>
                <w:sz w:val="20"/>
                <w:szCs w:val="20"/>
                <w:color w:val="auto"/>
              </w:rPr>
            </w:pPr>
            <w:r>
              <w:rPr>
                <w:rFonts w:ascii="Arial" w:cs="Arial" w:eastAsia="Arial" w:hAnsi="Arial"/>
                <w:sz w:val="14"/>
                <w:szCs w:val="14"/>
                <w:color w:val="auto"/>
              </w:rPr>
              <w:t>Repayment of long-term debt</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4"/>
              </w:rPr>
              <w:t>(1,814)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(1,754)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(601)</w:t>
            </w: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Net decrease in short-term borrowings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(68)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w:t>
            </w:r>
          </w:p>
        </w:tc>
      </w:tr>
      <w:tr>
        <w:trPr>
          <w:trHeight w:val="20"/>
        </w:trPr>
        <w:tc>
          <w:tcPr>
            <w:tcW w:w="6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NET CASH USED IN FINANCING ACTIVITIES</w:t>
            </w:r>
          </w:p>
        </w:tc>
        <w:tc>
          <w:tcPr>
            <w:tcW w:w="1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4"/>
              </w:rPr>
              <w:t>(1,409)</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(1,188)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1"/>
              </w:rPr>
              <w:t>(1,825)</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 from discontinued operations – operating activities</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r>
      <w:tr>
        <w:trPr>
          <w:trHeight w:val="20"/>
        </w:trPr>
        <w:tc>
          <w:tcPr>
            <w:tcW w:w="63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Net increase (decrease) in cash before translation effect</w:t>
            </w:r>
          </w:p>
        </w:tc>
        <w:tc>
          <w:tcPr>
            <w:tcW w:w="1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1,147</w:t>
            </w: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effect on cash</w:t>
            </w:r>
          </w:p>
        </w:tc>
        <w:tc>
          <w:tcPr>
            <w:tcW w:w="1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w:t>
            </w:r>
          </w:p>
        </w:tc>
      </w:tr>
      <w:tr>
        <w:trPr>
          <w:trHeight w:val="169"/>
        </w:trPr>
        <w:tc>
          <w:tcPr>
            <w:tcW w:w="20" w:type="dxa"/>
            <w:vAlign w:val="bottom"/>
          </w:tcPr>
          <w:p>
            <w:pPr>
              <w:spacing w:after="0"/>
              <w:rPr>
                <w:sz w:val="14"/>
                <w:szCs w:val="14"/>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Cash, beginning of year</w:t>
            </w:r>
          </w:p>
        </w:tc>
        <w:tc>
          <w:tcPr>
            <w:tcW w:w="1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617</w:t>
            </w:r>
          </w:p>
        </w:tc>
        <w:tc>
          <w:tcPr>
            <w:tcW w:w="1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1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1,764</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(1) Includes multiclient seismic data costs.</w:t>
      </w:r>
    </w:p>
    <w:p>
      <w:pPr>
        <w:ind w:left="700"/>
        <w:spacing w:after="0"/>
        <w:rPr>
          <w:sz w:val="20"/>
          <w:szCs w:val="20"/>
          <w:color w:val="auto"/>
        </w:rPr>
      </w:pPr>
      <w:r>
        <w:rPr>
          <w:rFonts w:ascii="Arial" w:cs="Arial" w:eastAsia="Arial" w:hAnsi="Arial"/>
          <w:sz w:val="14"/>
          <w:szCs w:val="14"/>
          <w:color w:val="auto"/>
        </w:rPr>
        <w:t>(2) Net of the effect of business acquisitions.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32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SCHLUMBERGER LIMITED AND SUBSIDIARIES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CONSOLIDATED STATEMENT OF STOCKHOLDERS’ EQUITY</w:t>
      </w:r>
    </w:p>
    <w:p>
      <w:pPr>
        <w:spacing w:after="0" w:line="227"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33"/>
        </w:trPr>
        <w:tc>
          <w:tcPr>
            <w:tcW w:w="44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jc w:val="right"/>
              <w:ind w:right="131"/>
              <w:spacing w:after="0"/>
              <w:rPr>
                <w:sz w:val="20"/>
                <w:szCs w:val="20"/>
                <w:color w:val="auto"/>
              </w:rPr>
            </w:pPr>
            <w:r>
              <w:rPr>
                <w:rFonts w:ascii="Arial" w:cs="Arial" w:eastAsia="Arial" w:hAnsi="Arial"/>
                <w:sz w:val="14"/>
                <w:szCs w:val="14"/>
                <w:b w:val="1"/>
                <w:bCs w:val="1"/>
                <w:color w:val="auto"/>
              </w:rPr>
              <w:t>Common Stock</w:t>
            </w:r>
          </w:p>
        </w:tc>
        <w:tc>
          <w:tcPr>
            <w:tcW w:w="9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69"/>
              <w:spacing w:after="0" w:line="133" w:lineRule="exact"/>
              <w:rPr>
                <w:sz w:val="20"/>
                <w:szCs w:val="20"/>
                <w:color w:val="auto"/>
              </w:rPr>
            </w:pPr>
            <w:r>
              <w:rPr>
                <w:rFonts w:ascii="Arial" w:cs="Arial" w:eastAsia="Arial" w:hAnsi="Arial"/>
                <w:sz w:val="14"/>
                <w:szCs w:val="14"/>
                <w:b w:val="1"/>
                <w:bCs w:val="1"/>
                <w:color w:val="auto"/>
              </w:rPr>
              <w:t>Accumulated</w:t>
            </w:r>
          </w:p>
        </w:tc>
        <w:tc>
          <w:tcPr>
            <w:tcW w:w="1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3"/>
                <w:szCs w:val="13"/>
                <w:color w:val="auto"/>
              </w:rPr>
            </w:pPr>
          </w:p>
        </w:tc>
        <w:tc>
          <w:tcPr>
            <w:tcW w:w="1320" w:type="dxa"/>
            <w:vAlign w:val="bottom"/>
            <w:tcBorders>
              <w:bottom w:val="single" w:sz="8" w:color="auto"/>
            </w:tcBorders>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220" w:type="dxa"/>
            <w:vAlign w:val="bottom"/>
          </w:tcPr>
          <w:p>
            <w:pPr>
              <w:jc w:val="right"/>
              <w:ind w:right="69"/>
              <w:spacing w:after="0" w:line="158" w:lineRule="exact"/>
              <w:rPr>
                <w:sz w:val="20"/>
                <w:szCs w:val="20"/>
                <w:color w:val="auto"/>
              </w:rPr>
            </w:pPr>
            <w:r>
              <w:rPr>
                <w:rFonts w:ascii="Arial" w:cs="Arial" w:eastAsia="Arial" w:hAnsi="Arial"/>
                <w:sz w:val="14"/>
                <w:szCs w:val="14"/>
                <w:b w:val="1"/>
                <w:bCs w:val="1"/>
                <w:color w:val="auto"/>
              </w:rPr>
              <w:t>Other</w:t>
            </w: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Issued</w:t>
            </w: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w:t>
            </w:r>
          </w:p>
        </w:tc>
        <w:tc>
          <w:tcPr>
            <w:tcW w:w="980" w:type="dxa"/>
            <w:vAlign w:val="bottom"/>
          </w:tcPr>
          <w:p>
            <w:pPr>
              <w:ind w:left="280"/>
              <w:spacing w:after="0" w:line="119" w:lineRule="exact"/>
              <w:rPr>
                <w:sz w:val="20"/>
                <w:szCs w:val="20"/>
                <w:color w:val="auto"/>
              </w:rPr>
            </w:pPr>
            <w:r>
              <w:rPr>
                <w:rFonts w:ascii="Arial" w:cs="Arial" w:eastAsia="Arial" w:hAnsi="Arial"/>
                <w:sz w:val="13"/>
                <w:szCs w:val="13"/>
                <w:b w:val="1"/>
                <w:bCs w:val="1"/>
                <w:color w:val="auto"/>
              </w:rPr>
              <w:t>Retained</w:t>
            </w:r>
          </w:p>
        </w:tc>
        <w:tc>
          <w:tcPr>
            <w:tcW w:w="12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Comprehensive</w:t>
            </w:r>
          </w:p>
        </w:tc>
        <w:tc>
          <w:tcPr>
            <w:tcW w:w="1300" w:type="dxa"/>
            <w:vAlign w:val="bottom"/>
          </w:tcPr>
          <w:p>
            <w:pPr>
              <w:jc w:val="right"/>
              <w:ind w:right="171"/>
              <w:spacing w:after="0" w:line="119" w:lineRule="exact"/>
              <w:rPr>
                <w:sz w:val="20"/>
                <w:szCs w:val="20"/>
                <w:color w:val="auto"/>
              </w:rPr>
            </w:pPr>
            <w:r>
              <w:rPr>
                <w:rFonts w:ascii="Arial" w:cs="Arial" w:eastAsia="Arial" w:hAnsi="Arial"/>
                <w:sz w:val="13"/>
                <w:szCs w:val="13"/>
                <w:b w:val="1"/>
                <w:bCs w:val="1"/>
                <w:color w:val="auto"/>
              </w:rPr>
              <w:t>Noncontrolling</w:t>
            </w:r>
          </w:p>
        </w:tc>
        <w:tc>
          <w:tcPr>
            <w:tcW w:w="54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Treasury</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Earnings</w:t>
            </w:r>
          </w:p>
        </w:tc>
        <w:tc>
          <w:tcPr>
            <w:tcW w:w="1220" w:type="dxa"/>
            <w:vAlign w:val="bottom"/>
          </w:tcPr>
          <w:p>
            <w:pPr>
              <w:jc w:val="right"/>
              <w:ind w:right="69"/>
              <w:spacing w:after="0"/>
              <w:rPr>
                <w:sz w:val="20"/>
                <w:szCs w:val="20"/>
                <w:color w:val="auto"/>
              </w:rPr>
            </w:pPr>
            <w:r>
              <w:rPr>
                <w:rFonts w:ascii="Arial" w:cs="Arial" w:eastAsia="Arial" w:hAnsi="Arial"/>
                <w:sz w:val="14"/>
                <w:szCs w:val="14"/>
                <w:b w:val="1"/>
                <w:bCs w:val="1"/>
                <w:color w:val="auto"/>
              </w:rPr>
              <w:t>Income (Loss)</w:t>
            </w:r>
          </w:p>
        </w:tc>
        <w:tc>
          <w:tcPr>
            <w:tcW w:w="1300" w:type="dxa"/>
            <w:vAlign w:val="bottom"/>
          </w:tcPr>
          <w:p>
            <w:pPr>
              <w:jc w:val="right"/>
              <w:ind w:right="171"/>
              <w:spacing w:after="0"/>
              <w:rPr>
                <w:sz w:val="20"/>
                <w:szCs w:val="20"/>
                <w:color w:val="auto"/>
              </w:rPr>
            </w:pPr>
            <w:r>
              <w:rPr>
                <w:rFonts w:ascii="Arial" w:cs="Arial" w:eastAsia="Arial" w:hAnsi="Arial"/>
                <w:sz w:val="14"/>
                <w:szCs w:val="14"/>
                <w:b w:val="1"/>
                <w:bCs w:val="1"/>
                <w:color w:val="auto"/>
              </w:rPr>
              <w:t>Interests</w:t>
            </w: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0580"/>
          </w:cols>
          <w:pgMar w:left="240" w:top="419" w:right="1079" w:bottom="1440" w:gutter="0" w:footer="0" w:header="0"/>
        </w:sectPr>
      </w:pPr>
    </w:p>
    <w:tbl>
      <w:tblPr>
        <w:tblLayout w:type="fixed"/>
        <w:tblInd w:w="700" w:type="dxa"/>
        <w:tblCellMar>
          <w:top w:w="0" w:type="dxa"/>
          <w:left w:w="0" w:type="dxa"/>
          <w:bottom w:w="0" w:type="dxa"/>
          <w:right w:w="0" w:type="dxa"/>
        </w:tblCellMar>
      </w:tblPr>
      <w:tr>
        <w:trPr>
          <w:trHeight w:val="161"/>
        </w:trPr>
        <w:tc>
          <w:tcPr>
            <w:tcW w:w="4460" w:type="dxa"/>
            <w:vAlign w:val="bottom"/>
          </w:tcPr>
          <w:p>
            <w:pPr>
              <w:spacing w:after="0"/>
              <w:rPr>
                <w:sz w:val="20"/>
                <w:szCs w:val="20"/>
                <w:color w:val="auto"/>
              </w:rPr>
            </w:pPr>
            <w:r>
              <w:rPr>
                <w:rFonts w:ascii="Arial" w:cs="Arial" w:eastAsia="Arial" w:hAnsi="Arial"/>
                <w:sz w:val="14"/>
                <w:szCs w:val="14"/>
                <w:color w:val="auto"/>
              </w:rPr>
              <w:t>Balance, January 1, 2008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4,136</w:t>
            </w:r>
          </w:p>
        </w:tc>
        <w:tc>
          <w:tcPr>
            <w:tcW w:w="100" w:type="dxa"/>
            <w:vAlign w:val="bottom"/>
          </w:tcPr>
          <w:p>
            <w:pPr>
              <w:spacing w:after="0"/>
              <w:rPr>
                <w:sz w:val="14"/>
                <w:szCs w:val="14"/>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Currency translation adjustments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Changes in fair value of derivatives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Deferred employee benefits liabilities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benefit on stock options</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auto"/>
            </w:tcBorders>
          </w:tcPr>
          <w:p>
            <w:pPr>
              <w:spacing w:after="0"/>
              <w:rPr>
                <w:sz w:val="15"/>
                <w:szCs w:val="15"/>
                <w:color w:val="auto"/>
              </w:rPr>
            </w:pPr>
          </w:p>
        </w:tc>
      </w:tr>
      <w:tr>
        <w:trPr>
          <w:trHeight w:val="137"/>
        </w:trPr>
        <w:tc>
          <w:tcPr>
            <w:tcW w:w="4460" w:type="dxa"/>
            <w:vAlign w:val="bottom"/>
          </w:tcPr>
          <w:p>
            <w:pPr>
              <w:spacing w:after="0" w:line="137" w:lineRule="exact"/>
              <w:rPr>
                <w:sz w:val="20"/>
                <w:szCs w:val="20"/>
                <w:color w:val="auto"/>
              </w:rPr>
            </w:pPr>
            <w:r>
              <w:rPr>
                <w:rFonts w:ascii="Arial" w:cs="Arial" w:eastAsia="Arial" w:hAnsi="Arial"/>
                <w:sz w:val="14"/>
                <w:szCs w:val="14"/>
                <w:color w:val="auto"/>
              </w:rPr>
              <w:t>Balance, December 31, 2008</w:t>
            </w: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rPr>
              <w:t>4,668</w:t>
            </w:r>
          </w:p>
        </w:tc>
        <w:tc>
          <w:tcPr>
            <w:tcW w:w="100" w:type="dxa"/>
            <w:vAlign w:val="bottom"/>
          </w:tcPr>
          <w:p>
            <w:pPr>
              <w:spacing w:after="0"/>
              <w:rPr>
                <w:sz w:val="11"/>
                <w:szCs w:val="11"/>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Currency translation adjustments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Changes in fair value of derivatives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Deferred employee benefits liabilities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w:t>
            </w: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w:t>
            </w: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186</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w:t>
            </w: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benefit on stock options</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5"/>
                <w:szCs w:val="15"/>
                <w:color w:val="auto"/>
              </w:rPr>
            </w:pPr>
          </w:p>
        </w:tc>
      </w:tr>
      <w:tr>
        <w:trPr>
          <w:trHeight w:val="137"/>
        </w:trPr>
        <w:tc>
          <w:tcPr>
            <w:tcW w:w="4460" w:type="dxa"/>
            <w:vAlign w:val="bottom"/>
          </w:tcPr>
          <w:p>
            <w:pPr>
              <w:spacing w:after="0" w:line="137" w:lineRule="exact"/>
              <w:rPr>
                <w:sz w:val="20"/>
                <w:szCs w:val="20"/>
                <w:color w:val="auto"/>
              </w:rPr>
            </w:pPr>
            <w:r>
              <w:rPr>
                <w:rFonts w:ascii="Arial" w:cs="Arial" w:eastAsia="Arial" w:hAnsi="Arial"/>
                <w:sz w:val="14"/>
                <w:szCs w:val="14"/>
                <w:color w:val="auto"/>
              </w:rPr>
              <w:t>Balance, December 31, 2009</w:t>
            </w:r>
          </w:p>
        </w:tc>
        <w:tc>
          <w:tcPr>
            <w:tcW w:w="8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Arial" w:cs="Arial" w:eastAsia="Arial" w:hAnsi="Arial"/>
                <w:sz w:val="14"/>
                <w:szCs w:val="14"/>
                <w:color w:val="auto"/>
              </w:rPr>
              <w:t>4,777</w:t>
            </w:r>
          </w:p>
        </w:tc>
        <w:tc>
          <w:tcPr>
            <w:tcW w:w="100" w:type="dxa"/>
            <w:vAlign w:val="bottom"/>
          </w:tcPr>
          <w:p>
            <w:pPr>
              <w:spacing w:after="0"/>
              <w:rPr>
                <w:sz w:val="11"/>
                <w:szCs w:val="11"/>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Currency translation adjustments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Changes in fair value of derivatives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ind w:left="200"/>
              <w:spacing w:after="0" w:line="149" w:lineRule="exact"/>
              <w:rPr>
                <w:sz w:val="20"/>
                <w:szCs w:val="20"/>
                <w:color w:val="auto"/>
              </w:rPr>
            </w:pPr>
            <w:r>
              <w:rPr>
                <w:rFonts w:ascii="Arial" w:cs="Arial" w:eastAsia="Arial" w:hAnsi="Arial"/>
                <w:sz w:val="14"/>
                <w:szCs w:val="14"/>
                <w:color w:val="auto"/>
              </w:rPr>
              <w:t>Deferred employee benefits liabilities</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Total comprehensive income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Acquisition of Smith International, Inc.</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6,880</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Acquisition of noncontrolling interests</w:t>
            </w: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line="149" w:lineRule="exact"/>
              <w:rPr>
                <w:sz w:val="20"/>
                <w:szCs w:val="20"/>
                <w:color w:val="auto"/>
              </w:rPr>
            </w:pPr>
            <w:r>
              <w:rPr>
                <w:rFonts w:ascii="Arial" w:cs="Arial" w:eastAsia="Arial" w:hAnsi="Arial"/>
                <w:sz w:val="14"/>
                <w:szCs w:val="14"/>
                <w:color w:val="auto"/>
              </w:rPr>
              <w:t>Dividends declared ($0.84 per share)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Tax benefit on stock options</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auto"/>
            </w:tcBorders>
          </w:tcPr>
          <w:p>
            <w:pPr>
              <w:spacing w:after="0"/>
              <w:rPr>
                <w:sz w:val="15"/>
                <w:szCs w:val="15"/>
                <w:color w:val="auto"/>
              </w:rPr>
            </w:pPr>
          </w:p>
        </w:tc>
      </w:tr>
      <w:tr>
        <w:trPr>
          <w:trHeight w:val="156"/>
        </w:trPr>
        <w:tc>
          <w:tcPr>
            <w:tcW w:w="4460" w:type="dxa"/>
            <w:vAlign w:val="bottom"/>
          </w:tcPr>
          <w:p>
            <w:pPr>
              <w:spacing w:after="0" w:line="155" w:lineRule="exact"/>
              <w:rPr>
                <w:sz w:val="20"/>
                <w:szCs w:val="20"/>
                <w:color w:val="auto"/>
              </w:rPr>
            </w:pPr>
            <w:r>
              <w:rPr>
                <w:rFonts w:ascii="Arial" w:cs="Arial" w:eastAsia="Arial" w:hAnsi="Arial"/>
                <w:sz w:val="14"/>
                <w:szCs w:val="14"/>
                <w:color w:val="auto"/>
              </w:rPr>
              <w:t>Balance, December 31, 2010</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11,920</w:t>
            </w:r>
          </w:p>
        </w:tc>
        <w:tc>
          <w:tcPr>
            <w:tcW w:w="100" w:type="dxa"/>
            <w:vAlign w:val="bottom"/>
          </w:tcPr>
          <w:p>
            <w:pPr>
              <w:spacing w:after="0"/>
              <w:rPr>
                <w:sz w:val="13"/>
                <w:szCs w:val="13"/>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-5007610</wp:posOffset>
            </wp:positionV>
            <wp:extent cx="6303010"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-4819015</wp:posOffset>
            </wp:positionV>
            <wp:extent cx="6303010"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-4630420</wp:posOffset>
            </wp:positionV>
            <wp:extent cx="6303010" cy="946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-4441825</wp:posOffset>
            </wp:positionV>
            <wp:extent cx="6303010" cy="946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-4253230</wp:posOffset>
            </wp:positionV>
            <wp:extent cx="630301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-4064000</wp:posOffset>
            </wp:positionV>
            <wp:extent cx="630301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-3875405</wp:posOffset>
            </wp:positionV>
            <wp:extent cx="630301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-3686810</wp:posOffset>
            </wp:positionV>
            <wp:extent cx="630301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-3472815</wp:posOffset>
            </wp:positionV>
            <wp:extent cx="630301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-3284220</wp:posOffset>
            </wp:positionV>
            <wp:extent cx="630301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-3094990</wp:posOffset>
            </wp:positionV>
            <wp:extent cx="630301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-2906395</wp:posOffset>
            </wp:positionV>
            <wp:extent cx="630301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-2717800</wp:posOffset>
            </wp:positionV>
            <wp:extent cx="630301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-2529205</wp:posOffset>
            </wp:positionV>
            <wp:extent cx="630301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-2340610</wp:posOffset>
            </wp:positionV>
            <wp:extent cx="630301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-2152015</wp:posOffset>
            </wp:positionV>
            <wp:extent cx="630301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-1937385</wp:posOffset>
            </wp:positionV>
            <wp:extent cx="6303010" cy="946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-1748790</wp:posOffset>
            </wp:positionV>
            <wp:extent cx="630301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-1560195</wp:posOffset>
            </wp:positionV>
            <wp:extent cx="630301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-1371600</wp:posOffset>
            </wp:positionV>
            <wp:extent cx="6303010"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-1183005</wp:posOffset>
            </wp:positionV>
            <wp:extent cx="6303010"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-994410</wp:posOffset>
            </wp:positionV>
            <wp:extent cx="6303010"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-805180</wp:posOffset>
            </wp:positionV>
            <wp:extent cx="6303010"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-616585</wp:posOffset>
            </wp:positionV>
            <wp:extent cx="6303010" cy="94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-427990</wp:posOffset>
            </wp:positionV>
            <wp:extent cx="6303010"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3010" cy="9461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-239395</wp:posOffset>
            </wp:positionV>
            <wp:extent cx="6303010" cy="94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301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79"/>
              <w:spacing w:after="0"/>
              <w:rPr>
                <w:sz w:val="20"/>
                <w:szCs w:val="20"/>
                <w:color w:val="auto"/>
              </w:rPr>
            </w:pPr>
            <w:r>
              <w:rPr>
                <w:rFonts w:ascii="Arial" w:cs="Arial" w:eastAsia="Arial" w:hAnsi="Arial"/>
                <w:sz w:val="14"/>
                <w:szCs w:val="14"/>
                <w:color w:val="auto"/>
              </w:rPr>
              <w:t>(3,549)</w:t>
            </w:r>
          </w:p>
        </w:tc>
        <w:tc>
          <w:tcPr>
            <w:tcW w:w="24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15,462</w:t>
            </w:r>
          </w:p>
        </w:tc>
        <w:tc>
          <w:tcPr>
            <w:tcW w:w="160" w:type="dxa"/>
            <w:vAlign w:val="bottom"/>
          </w:tcPr>
          <w:p>
            <w:pPr>
              <w:spacing w:after="0"/>
              <w:rPr>
                <w:sz w:val="15"/>
                <w:szCs w:val="15"/>
                <w:color w:val="auto"/>
              </w:rPr>
            </w:pPr>
          </w:p>
        </w:tc>
        <w:tc>
          <w:tcPr>
            <w:tcW w:w="44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(1,173)</w:t>
            </w:r>
          </w:p>
        </w:tc>
        <w:tc>
          <w:tcPr>
            <w:tcW w:w="52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62</w:t>
            </w: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$ 14,938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5,435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(1,511)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3,731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(1,819)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(4,796)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19,891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16,934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3,134</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3,370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(5,002)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22,019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4,267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color w:val="auto"/>
              </w:rPr>
              <w:t>4,172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(1,717)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(3,136</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25,210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8"/>
              </w:rPr>
              <w:t>$ 31,444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180"/>
            <w:col w:w="4660"/>
          </w:cols>
          <w:pgMar w:left="240" w:top="419" w:right="1079" w:bottom="1440" w:gutter="0" w:footer="0" w:header="0"/>
          <w:type w:val="continuous"/>
        </w:sectPr>
      </w:pPr>
    </w:p>
    <w:p>
      <w:pPr>
        <w:spacing w:after="0" w:line="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397" w:lineRule="exact"/>
        <w:rPr>
          <w:sz w:val="20"/>
          <w:szCs w:val="20"/>
          <w:color w:val="auto"/>
        </w:rPr>
      </w:pPr>
    </w:p>
    <w:p>
      <w:pPr>
        <w:jc w:val="right"/>
        <w:ind w:right="486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32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SCHLUMBERGER LIMITED AND SUBSIDIARIES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SHARES OF COMMON STOCK</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73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Issued</w:t>
            </w:r>
          </w:p>
        </w:tc>
        <w:tc>
          <w:tcPr>
            <w:tcW w:w="1080" w:type="dxa"/>
            <w:vAlign w:val="bottom"/>
            <w:tcBorders>
              <w:top w:val="single" w:sz="8" w:color="auto"/>
            </w:tcBorders>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In Treasury</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(138)</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Stock repurchase program</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(21)</w:t>
            </w: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on conversions of debentures</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Balance, December 31, 2008</w:t>
            </w:r>
          </w:p>
        </w:tc>
        <w:tc>
          <w:tcPr>
            <w:tcW w:w="4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1,334</w:t>
            </w: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32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960" w:type="dxa"/>
            <w:vAlign w:val="bottom"/>
            <w:gridSpan w:val="3"/>
          </w:tcPr>
          <w:p>
            <w:pPr>
              <w:jc w:val="right"/>
              <w:ind w:right="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2009</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Acquisition of Smith International, Inc.</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Shares issued under employee stock purchase plan</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program</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w:t>
            </w:r>
          </w:p>
        </w:tc>
        <w:tc>
          <w:tcPr>
            <w:tcW w:w="9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Issued on conversions of debentures</w:t>
            </w: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1,434</w:t>
            </w:r>
          </w:p>
        </w:tc>
        <w:tc>
          <w:tcPr>
            <w:tcW w:w="1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700"/>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39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17" w:lineRule="exact"/>
        <w:rPr>
          <w:sz w:val="20"/>
          <w:szCs w:val="20"/>
          <w:color w:val="auto"/>
        </w:rPr>
      </w:pPr>
    </w:p>
    <w:p>
      <w:pPr>
        <w:ind w:left="1000" w:hanging="307"/>
        <w:spacing w:after="0"/>
        <w:tabs>
          <w:tab w:leader="none" w:pos="10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Description</w:t>
      </w:r>
    </w:p>
    <w:p>
      <w:pPr>
        <w:spacing w:after="0" w:line="126" w:lineRule="exact"/>
        <w:rPr>
          <w:sz w:val="20"/>
          <w:szCs w:val="20"/>
          <w:color w:val="auto"/>
        </w:rPr>
      </w:pPr>
    </w:p>
    <w:p>
      <w:pPr>
        <w:ind w:left="700" w:firstLine="198"/>
        <w:spacing w:after="0" w:line="312" w:lineRule="auto"/>
        <w:rPr>
          <w:sz w:val="20"/>
          <w:szCs w:val="20"/>
          <w:color w:val="auto"/>
        </w:rPr>
      </w:pPr>
      <w:r>
        <w:rPr>
          <w:rFonts w:ascii="Arial" w:cs="Arial" w:eastAsia="Arial" w:hAnsi="Arial"/>
          <w:sz w:val="16"/>
          <w:szCs w:val="16"/>
          <w:color w:val="auto"/>
        </w:rPr>
        <w:t>Schlumberger Limited (Schlumberger N.V., incorporated in Curaçao) and its consolidated subsidiaries (collectively, “Schlumberger”) form the world’s leading supplier of technology, integrated project management, and information solutions to customers in the oil and gas industry worldwide, providing the industry’s widest range of oilfield services from exploration to production.</w:t>
      </w:r>
    </w:p>
    <w:p>
      <w:pPr>
        <w:spacing w:after="0" w:line="152" w:lineRule="exact"/>
        <w:rPr>
          <w:sz w:val="20"/>
          <w:szCs w:val="20"/>
          <w:color w:val="auto"/>
        </w:rPr>
      </w:pPr>
    </w:p>
    <w:p>
      <w:pPr>
        <w:ind w:left="1000" w:hanging="307"/>
        <w:spacing w:after="0"/>
        <w:tabs>
          <w:tab w:leader="none" w:pos="10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Accounting Policies</w:t>
      </w:r>
    </w:p>
    <w:p>
      <w:pPr>
        <w:spacing w:after="0" w:line="126" w:lineRule="exact"/>
        <w:rPr>
          <w:sz w:val="20"/>
          <w:szCs w:val="20"/>
          <w:color w:val="auto"/>
        </w:rPr>
      </w:pPr>
    </w:p>
    <w:p>
      <w:pPr>
        <w:ind w:left="700" w:right="480" w:firstLine="198"/>
        <w:spacing w:after="0" w:line="27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have been prepared in accordance with accounting principles generally accepted in the United States of America.</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left="700" w:right="80" w:firstLine="198"/>
        <w:spacing w:after="0" w:line="293" w:lineRule="auto"/>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 the accounts of Schlumberger, its wholly-owned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6"/>
          <w:szCs w:val="16"/>
          <w:i w:val="1"/>
          <w:iCs w:val="1"/>
          <w:color w:val="auto"/>
        </w:rPr>
        <w:t>Investments in Affiliated Companies</w:t>
      </w:r>
      <w:r>
        <w:rPr>
          <w:rFonts w:ascii="Arial" w:cs="Arial" w:eastAsia="Arial" w:hAnsi="Arial"/>
          <w:sz w:val="16"/>
          <w:szCs w:val="16"/>
          <w:color w:val="auto"/>
        </w:rPr>
        <w: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Certain prior year items have been reclassified to conform to the current year presentation.</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6" w:lineRule="exact"/>
        <w:rPr>
          <w:sz w:val="20"/>
          <w:szCs w:val="20"/>
          <w:color w:val="auto"/>
        </w:rPr>
      </w:pPr>
    </w:p>
    <w:p>
      <w:pPr>
        <w:ind w:left="700" w:right="20" w:firstLine="198"/>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disclosure of contingent liabilities at the date of the financial statements and the reported amounts of revenue and expenses during the reporting period. On an on-going basis, Schlumberger evaluates its estimates, including those related to collectibility of accounts receivable; valuation of inventories and investments; recoverability of goodwill, intangible assets and investments in affiliates;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ind w:left="700" w:right="60" w:firstLine="198"/>
        <w:spacing w:after="0" w:line="268" w:lineRule="auto"/>
        <w:rPr>
          <w:sz w:val="20"/>
          <w:szCs w:val="20"/>
          <w:color w:val="auto"/>
        </w:rPr>
      </w:pPr>
      <w:r>
        <w:rPr>
          <w:rFonts w:ascii="Arial" w:cs="Arial" w:eastAsia="Arial" w:hAnsi="Arial"/>
          <w:sz w:val="17"/>
          <w:szCs w:val="17"/>
          <w:color w:val="auto"/>
        </w:rPr>
        <w:t>Schlumberger recognizes revenue based upon purchase orders, contracts or other persuasive evidence of an arrangement with the customer that include fixed or determinable prices provided that collectibility is reasonably assured. Revenue is recognized for services when they are rendered. Revenue is recognized for products upon delivery, when the customer assumes the risks and rewards of ownership. Certain products may be provided on a consigned basis in which case revenue is recognized when the products are consumed provided that all other revenue recognition criteria have been met.</w:t>
      </w:r>
    </w:p>
    <w:p>
      <w:pPr>
        <w:spacing w:after="0" w:line="3" w:lineRule="exact"/>
        <w:rPr>
          <w:sz w:val="20"/>
          <w:szCs w:val="20"/>
          <w:color w:val="auto"/>
        </w:rPr>
      </w:pPr>
    </w:p>
    <w:p>
      <w:pPr>
        <w:ind w:left="700" w:right="140" w:firstLine="198"/>
        <w:spacing w:after="0" w:line="252" w:lineRule="auto"/>
        <w:rPr>
          <w:sz w:val="20"/>
          <w:szCs w:val="20"/>
          <w:color w:val="auto"/>
        </w:rPr>
      </w:pPr>
      <w:r>
        <w:rPr>
          <w:rFonts w:ascii="Arial" w:cs="Arial" w:eastAsia="Arial" w:hAnsi="Arial"/>
          <w:sz w:val="18"/>
          <w:szCs w:val="18"/>
          <w:color w:val="auto"/>
        </w:rPr>
        <w:t>Revenue from seismic contract services performed on a dayrate basis is recognized as the service is performed. Revenue from other contract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on completed multiclient data surveys is recognized upon obtaining a signed licensing agreement and providing customers with access to such data.</w:t>
      </w:r>
    </w:p>
    <w:p>
      <w:pPr>
        <w:spacing w:after="0" w:line="38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320" w:firstLine="198"/>
        <w:spacing w:after="0" w:line="256" w:lineRule="auto"/>
        <w:rPr>
          <w:sz w:val="20"/>
          <w:szCs w:val="20"/>
          <w:color w:val="auto"/>
        </w:rPr>
      </w:pPr>
      <w:r>
        <w:rPr>
          <w:rFonts w:ascii="Arial" w:cs="Arial" w:eastAsia="Arial" w:hAnsi="Arial"/>
          <w:sz w:val="18"/>
          <w:szCs w:val="18"/>
          <w:color w:val="auto"/>
        </w:rPr>
        <w:t>Revenue is occasionally generated from contractual arrangements that include multiple deliverables. Revenue from these arrangements is recognized as each item is delivered based on their relative fair value and when the delivered items have stand-alone value to the customer.</w:t>
      </w:r>
    </w:p>
    <w:p>
      <w:pPr>
        <w:ind w:left="700" w:right="100" w:firstLine="198"/>
        <w:spacing w:after="0" w:line="273" w:lineRule="auto"/>
        <w:rPr>
          <w:sz w:val="20"/>
          <w:szCs w:val="20"/>
          <w:color w:val="auto"/>
        </w:rPr>
      </w:pPr>
      <w:r>
        <w:rPr>
          <w:rFonts w:ascii="Arial" w:cs="Arial" w:eastAsia="Arial" w:hAnsi="Arial"/>
          <w:sz w:val="17"/>
          <w:szCs w:val="17"/>
          <w:color w:val="auto"/>
        </w:rPr>
        <w:t>Revenue derived from the sale of licenses of Schlumberger software may include installation, maintenance, consulting and training services. 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126" w:lineRule="exact"/>
        <w:rPr>
          <w:sz w:val="20"/>
          <w:szCs w:val="20"/>
          <w:color w:val="auto"/>
        </w:rPr>
      </w:pPr>
    </w:p>
    <w:p>
      <w:pPr>
        <w:ind w:left="700" w:right="60" w:firstLine="198"/>
        <w:spacing w:after="0" w:line="255" w:lineRule="auto"/>
        <w:rPr>
          <w:sz w:val="20"/>
          <w:szCs w:val="20"/>
          <w:color w:val="auto"/>
        </w:rPr>
      </w:pPr>
      <w:r>
        <w:rPr>
          <w:rFonts w:ascii="Arial" w:cs="Arial" w:eastAsia="Arial" w:hAnsi="Arial"/>
          <w:sz w:val="18"/>
          <w:szCs w:val="18"/>
          <w:color w:val="auto"/>
        </w:rPr>
        <w:t xml:space="preserve">The functional currency of Schlumberger is primarily the US dollar. Assets and liabilities recorded in functional currencies other than US dollars are translated at period end exchange rates. The resulting adjustments are charged or credited directly to the </w:t>
      </w:r>
      <w:r>
        <w:rPr>
          <w:rFonts w:ascii="Arial" w:cs="Arial" w:eastAsia="Arial" w:hAnsi="Arial"/>
          <w:sz w:val="18"/>
          <w:szCs w:val="18"/>
          <w:i w:val="1"/>
          <w:iCs w:val="1"/>
          <w:color w:val="auto"/>
        </w:rPr>
        <w:t>Equity</w:t>
      </w:r>
      <w:r>
        <w:rPr>
          <w:rFonts w:ascii="Arial" w:cs="Arial" w:eastAsia="Arial" w:hAnsi="Arial"/>
          <w:sz w:val="18"/>
          <w:szCs w:val="18"/>
          <w:color w:val="auto"/>
        </w:rPr>
        <w:t xml:space="preserve"> section of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Revenue and expenses are translated at the weighted-average exchange rates for the period. Realized and unrealized transaction gains and losses are included in income in the period in which they occur. Transaction losses of $27 million net of hedging activities, were recognized in 2010. In 2009 and 2008, transaction gains net of hedging activities of $73 million and $8 million, respectively, were recognized.</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Investments</w:t>
      </w:r>
    </w:p>
    <w:p>
      <w:pPr>
        <w:spacing w:after="0" w:line="126" w:lineRule="exact"/>
        <w:rPr>
          <w:sz w:val="20"/>
          <w:szCs w:val="20"/>
          <w:color w:val="auto"/>
        </w:rPr>
      </w:pPr>
    </w:p>
    <w:p>
      <w:pPr>
        <w:ind w:left="700" w:firstLine="198"/>
        <w:spacing w:after="0" w:line="267"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reflects the Schlumberger investment portfolio separated between current and long term, based on maturity. Both </w:t>
      </w:r>
      <w:r>
        <w:rPr>
          <w:rFonts w:ascii="Arial" w:cs="Arial" w:eastAsia="Arial" w:hAnsi="Arial"/>
          <w:sz w:val="17"/>
          <w:szCs w:val="17"/>
          <w:i w:val="1"/>
          <w:iCs w:val="1"/>
          <w:color w:val="auto"/>
        </w:rPr>
        <w:t>Short-term investments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Fixed Income Investments, held to maturity</w:t>
      </w:r>
      <w:r>
        <w:rPr>
          <w:rFonts w:ascii="Arial" w:cs="Arial" w:eastAsia="Arial" w:hAnsi="Arial"/>
          <w:sz w:val="17"/>
          <w:szCs w:val="17"/>
          <w:color w:val="auto"/>
        </w:rPr>
        <w:t xml:space="preserve"> are comprised primarily of money market funds, eurodollar time deposits, certificates of deposit, commercial paper, euro notes and Eurobonds, and are substantially denominated in US dollars. Under normal circumstances it is the intent of Schlumberger to hold the investments until maturity, with the exception of investments that are considered trading (December 31, 2010 – $189 million; December 31, 2009 – $184 million). Short-term investments that are designated as trading are stated at fair value, which is estimated using quoted market prices for those or similar investments. All other investments are stated at cost plus accrued interest, which approximates market. The unrealized gains/losses on investments designated as trading were not significant at both December 31, 2010 and 2009.</w:t>
      </w:r>
    </w:p>
    <w:p>
      <w:pPr>
        <w:spacing w:after="0" w:line="3" w:lineRule="exact"/>
        <w:rPr>
          <w:sz w:val="20"/>
          <w:szCs w:val="20"/>
          <w:color w:val="auto"/>
        </w:rPr>
      </w:pPr>
    </w:p>
    <w:p>
      <w:pPr>
        <w:ind w:left="700" w:right="580" w:firstLine="198"/>
        <w:spacing w:after="0" w:line="250"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have original maturities in excess of three months.</w:t>
      </w:r>
    </w:p>
    <w:p>
      <w:pPr>
        <w:spacing w:after="0" w:line="1" w:lineRule="exact"/>
        <w:rPr>
          <w:sz w:val="20"/>
          <w:szCs w:val="20"/>
          <w:color w:val="auto"/>
        </w:rPr>
      </w:pPr>
    </w:p>
    <w:p>
      <w:pPr>
        <w:ind w:left="700" w:right="800" w:firstLine="198"/>
        <w:spacing w:after="0" w:line="261" w:lineRule="auto"/>
        <w:rPr>
          <w:sz w:val="20"/>
          <w:szCs w:val="20"/>
          <w:color w:val="auto"/>
        </w:rPr>
      </w:pPr>
      <w:r>
        <w:rPr>
          <w:rFonts w:ascii="Arial" w:cs="Arial" w:eastAsia="Arial" w:hAnsi="Arial"/>
          <w:sz w:val="18"/>
          <w:szCs w:val="18"/>
          <w:i w:val="1"/>
          <w:iCs w:val="1"/>
          <w:color w:val="auto"/>
        </w:rPr>
        <w:t xml:space="preserve">Fixed Income Investments, held to maturity </w:t>
      </w:r>
      <w:r>
        <w:rPr>
          <w:rFonts w:ascii="Arial" w:cs="Arial" w:eastAsia="Arial" w:hAnsi="Arial"/>
          <w:sz w:val="18"/>
          <w:szCs w:val="18"/>
          <w:color w:val="auto"/>
        </w:rPr>
        <w:t>at December 31, 2010 of $484 million mature as follows: $289 million in 2012,</w:t>
      </w:r>
      <w:r>
        <w:rPr>
          <w:rFonts w:ascii="Arial" w:cs="Arial" w:eastAsia="Arial" w:hAnsi="Arial"/>
          <w:sz w:val="18"/>
          <w:szCs w:val="18"/>
          <w:i w:val="1"/>
          <w:iCs w:val="1"/>
          <w:color w:val="auto"/>
        </w:rPr>
        <w:t xml:space="preserve"> </w:t>
      </w:r>
      <w:r>
        <w:rPr>
          <w:rFonts w:ascii="Arial" w:cs="Arial" w:eastAsia="Arial" w:hAnsi="Arial"/>
          <w:sz w:val="18"/>
          <w:szCs w:val="18"/>
          <w:color w:val="auto"/>
        </w:rPr>
        <w:t>$80 million in 2013 and $115 million in 2014.</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Inventories</w:t>
      </w:r>
    </w:p>
    <w:p>
      <w:pPr>
        <w:spacing w:after="0" w:line="126" w:lineRule="exact"/>
        <w:rPr>
          <w:sz w:val="20"/>
          <w:szCs w:val="20"/>
          <w:color w:val="auto"/>
        </w:rPr>
      </w:pPr>
    </w:p>
    <w:p>
      <w:pPr>
        <w:ind w:left="700" w:right="120" w:firstLine="198"/>
        <w:spacing w:after="0" w:line="27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are stated at average cost or at market, whichever is lower. Costs included in</w:t>
      </w:r>
      <w:r>
        <w:rPr>
          <w:rFonts w:ascii="Arial" w:cs="Arial" w:eastAsia="Arial" w:hAnsi="Arial"/>
          <w:sz w:val="18"/>
          <w:szCs w:val="18"/>
          <w:i w:val="1"/>
          <w:iCs w:val="1"/>
          <w:color w:val="auto"/>
        </w:rPr>
        <w:t xml:space="preserve"> Inventories </w:t>
      </w:r>
      <w:r>
        <w:rPr>
          <w:rFonts w:ascii="Arial" w:cs="Arial" w:eastAsia="Arial" w:hAnsi="Arial"/>
          <w:sz w:val="18"/>
          <w:szCs w:val="18"/>
          <w:color w:val="auto"/>
        </w:rPr>
        <w:t>consist of materials, direct labor</w:t>
      </w:r>
      <w:r>
        <w:rPr>
          <w:rFonts w:ascii="Arial" w:cs="Arial" w:eastAsia="Arial" w:hAnsi="Arial"/>
          <w:sz w:val="18"/>
          <w:szCs w:val="18"/>
          <w:i w:val="1"/>
          <w:iCs w:val="1"/>
          <w:color w:val="auto"/>
        </w:rPr>
        <w:t xml:space="preserve"> </w:t>
      </w:r>
      <w:r>
        <w:rPr>
          <w:rFonts w:ascii="Arial" w:cs="Arial" w:eastAsia="Arial" w:hAnsi="Arial"/>
          <w:sz w:val="18"/>
          <w:szCs w:val="18"/>
          <w:color w:val="auto"/>
        </w:rPr>
        <w:t>and manufacturing overhead.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126" w:lineRule="exact"/>
        <w:rPr>
          <w:sz w:val="20"/>
          <w:szCs w:val="20"/>
          <w:color w:val="auto"/>
        </w:rPr>
      </w:pPr>
    </w:p>
    <w:p>
      <w:pPr>
        <w:ind w:left="700" w:right="200" w:firstLine="198"/>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balance sheet and the net amount, less proceeds from disposal, is charged or credited to income.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126" w:lineRule="exact"/>
        <w:rPr>
          <w:sz w:val="20"/>
          <w:szCs w:val="20"/>
          <w:color w:val="auto"/>
        </w:rPr>
      </w:pPr>
    </w:p>
    <w:p>
      <w:pPr>
        <w:ind w:left="700" w:right="340" w:firstLine="198"/>
        <w:spacing w:after="0" w:line="308" w:lineRule="auto"/>
        <w:rPr>
          <w:sz w:val="20"/>
          <w:szCs w:val="20"/>
          <w:color w:val="auto"/>
        </w:rPr>
      </w:pPr>
      <w:r>
        <w:rPr>
          <w:rFonts w:ascii="Arial" w:cs="Arial" w:eastAsia="Arial" w:hAnsi="Arial"/>
          <w:sz w:val="17"/>
          <w:szCs w:val="17"/>
          <w:color w:val="auto"/>
        </w:rPr>
        <w:t>The multiclient library consists of completed and in-process seismic surveys that are licensed on a nonexclusive basis. Multiclient surveys are primarily generated utilizing Schlumberger resources. Schlumberger capitalizes costs directly</w:t>
      </w:r>
    </w:p>
    <w:p>
      <w:pPr>
        <w:spacing w:after="0" w:line="3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220"/>
        <w:spacing w:after="0" w:line="288" w:lineRule="auto"/>
        <w:rPr>
          <w:sz w:val="20"/>
          <w:szCs w:val="20"/>
          <w:color w:val="auto"/>
        </w:rPr>
      </w:pPr>
      <w:r>
        <w:rPr>
          <w:rFonts w:ascii="Arial" w:cs="Arial" w:eastAsia="Arial" w:hAnsi="Arial"/>
          <w:sz w:val="16"/>
          <w:szCs w:val="16"/>
          <w:color w:val="auto"/>
        </w:rPr>
        <w:t xml:space="preserve">incurred in acquiring and processing the multiclient seismic data. Such costs are charged to </w:t>
      </w:r>
      <w:r>
        <w:rPr>
          <w:rFonts w:ascii="Arial" w:cs="Arial" w:eastAsia="Arial" w:hAnsi="Arial"/>
          <w:sz w:val="16"/>
          <w:szCs w:val="16"/>
          <w:i w:val="1"/>
          <w:iCs w:val="1"/>
          <w:color w:val="auto"/>
        </w:rPr>
        <w:t>Cost of revenue</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under no circumstance will an individual survey carry a net book value greater than a 4- year straight-line amortized value.</w:t>
      </w:r>
    </w:p>
    <w:p>
      <w:pPr>
        <w:ind w:left="700" w:firstLine="198"/>
        <w:spacing w:after="0" w:line="295" w:lineRule="auto"/>
        <w:rPr>
          <w:sz w:val="20"/>
          <w:szCs w:val="20"/>
          <w:color w:val="auto"/>
        </w:rPr>
      </w:pPr>
      <w:r>
        <w:rPr>
          <w:rFonts w:ascii="Arial" w:cs="Arial" w:eastAsia="Arial" w:hAnsi="Arial"/>
          <w:sz w:val="16"/>
          <w:szCs w:val="16"/>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126" w:lineRule="exact"/>
        <w:rPr>
          <w:sz w:val="20"/>
          <w:szCs w:val="20"/>
          <w:color w:val="auto"/>
        </w:rPr>
      </w:pPr>
    </w:p>
    <w:p>
      <w:pPr>
        <w:ind w:left="700" w:right="60" w:firstLine="198"/>
        <w:spacing w:after="0" w:line="253" w:lineRule="auto"/>
        <w:rPr>
          <w:sz w:val="20"/>
          <w:szCs w:val="20"/>
          <w:color w:val="auto"/>
        </w:rPr>
      </w:pPr>
      <w:r>
        <w:rPr>
          <w:rFonts w:ascii="Arial" w:cs="Arial" w:eastAsia="Arial" w:hAnsi="Arial"/>
          <w:sz w:val="18"/>
          <w:szCs w:val="18"/>
          <w:color w:val="auto"/>
        </w:rPr>
        <w:t>Schlumberger records the excess of purchase price over the fair value of the tangible and identifiable intangible assets acquired as goodwill. Goodwill is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left="700" w:firstLine="198"/>
        <w:spacing w:after="0" w:line="281"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If there is a material change in economic conditions or other circumstances influencing the estimate of future cash flows or fair value, Schlumberger could be required to recognize impairment charges in the future.</w:t>
      </w:r>
    </w:p>
    <w:p>
      <w:pPr>
        <w:spacing w:after="0" w:line="5" w:lineRule="exact"/>
        <w:rPr>
          <w:sz w:val="20"/>
          <w:szCs w:val="20"/>
          <w:color w:val="auto"/>
        </w:rPr>
      </w:pPr>
    </w:p>
    <w:p>
      <w:pPr>
        <w:ind w:left="700" w:right="40" w:firstLine="198"/>
        <w:spacing w:after="0" w:line="254" w:lineRule="auto"/>
        <w:rPr>
          <w:sz w:val="20"/>
          <w:szCs w:val="20"/>
          <w:color w:val="auto"/>
        </w:rPr>
      </w:pPr>
      <w:r>
        <w:rPr>
          <w:rFonts w:ascii="Arial" w:cs="Arial" w:eastAsia="Arial" w:hAnsi="Arial"/>
          <w:sz w:val="18"/>
          <w:szCs w:val="18"/>
          <w:color w:val="auto"/>
        </w:rPr>
        <w:t>Intangible assets consist primarily of customer relationships, technology/technical know-how and tradenames acquired in business combinations. Customer relationships are generally amortized over periods ranging from 7 to 28 years, acquired technology/technical know-how are generally amortized over periods ranging from 5 to 18 years and tradenames are generally amortized over periods ranging from 5 years to 30 years.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26" w:lineRule="exact"/>
        <w:rPr>
          <w:sz w:val="20"/>
          <w:szCs w:val="20"/>
          <w:color w:val="auto"/>
        </w:rPr>
      </w:pPr>
    </w:p>
    <w:p>
      <w:pPr>
        <w:ind w:left="700" w:right="220" w:firstLine="198"/>
        <w:spacing w:after="0" w:line="267" w:lineRule="auto"/>
        <w:rPr>
          <w:sz w:val="20"/>
          <w:szCs w:val="20"/>
          <w:color w:val="auto"/>
        </w:rPr>
      </w:pPr>
      <w:r>
        <w:rPr>
          <w:rFonts w:ascii="Arial" w:cs="Arial" w:eastAsia="Arial" w:hAnsi="Arial"/>
          <w:sz w:val="17"/>
          <w:szCs w:val="17"/>
          <w:color w:val="auto"/>
        </w:rPr>
        <w:t>Schlumberger computes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5" w:lineRule="exact"/>
        <w:rPr>
          <w:sz w:val="20"/>
          <w:szCs w:val="20"/>
          <w:color w:val="auto"/>
        </w:rPr>
      </w:pPr>
    </w:p>
    <w:p>
      <w:pPr>
        <w:ind w:left="700" w:right="80" w:firstLine="198"/>
        <w:spacing w:after="0" w:line="287"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Schlumberger recognizes the impact of a tax position in its financial statements if that position is more likely than not of being sustained on audit, based on the technical merits of the position.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35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120" w:firstLine="198"/>
        <w:spacing w:after="0" w:line="277" w:lineRule="auto"/>
        <w:rPr>
          <w:sz w:val="20"/>
          <w:szCs w:val="20"/>
          <w:color w:val="auto"/>
        </w:rPr>
      </w:pPr>
      <w:r>
        <w:rPr>
          <w:rFonts w:ascii="Arial" w:cs="Arial" w:eastAsia="Arial" w:hAnsi="Arial"/>
          <w:sz w:val="18"/>
          <w:szCs w:val="18"/>
          <w:color w:val="auto"/>
        </w:rPr>
        <w:t>Schlumberger generally does not provide income taxes relating to undistributed earnings, as the earnings either would not be taxable when remitted or are considered to be indefinitely reinvested.</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26" w:lineRule="exact"/>
        <w:rPr>
          <w:sz w:val="20"/>
          <w:szCs w:val="20"/>
          <w:color w:val="auto"/>
        </w:rPr>
      </w:pPr>
    </w:p>
    <w:p>
      <w:pPr>
        <w:ind w:left="700" w:firstLine="198"/>
        <w:spacing w:after="0" w:line="270" w:lineRule="auto"/>
        <w:rPr>
          <w:sz w:val="20"/>
          <w:szCs w:val="20"/>
          <w:color w:val="auto"/>
        </w:rPr>
      </w:pPr>
      <w:r>
        <w:rPr>
          <w:rFonts w:ascii="Arial" w:cs="Arial" w:eastAsia="Arial" w:hAnsi="Arial"/>
          <w:sz w:val="17"/>
          <w:szCs w:val="17"/>
          <w:color w:val="auto"/>
        </w:rPr>
        <w:t>Schlumberger’s assets that are exposed to concentrations of credit risk consist primarily of cash, short-term investments, fixed income investments held to maturity,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commodity prices, Schlumberger exposes itself to some credit risk. Schlumberger minimizes this credit risk by entering into transactions with high-quality counterparties, limiting the exposure to each counterparty and monitoring the financial condition of its counterparties.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research and engineering expenditures are expensed as incurred.</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26" w:lineRule="exact"/>
        <w:rPr>
          <w:sz w:val="20"/>
          <w:szCs w:val="20"/>
          <w:color w:val="auto"/>
        </w:rPr>
      </w:pPr>
    </w:p>
    <w:p>
      <w:pPr>
        <w:jc w:val="both"/>
        <w:ind w:left="700" w:right="80" w:firstLine="198"/>
        <w:spacing w:after="0" w:line="288" w:lineRule="auto"/>
        <w:rPr>
          <w:sz w:val="20"/>
          <w:szCs w:val="20"/>
          <w:color w:val="auto"/>
        </w:rPr>
      </w:pPr>
      <w:r>
        <w:rPr>
          <w:rFonts w:ascii="Arial" w:cs="Arial" w:eastAsia="Arial" w:hAnsi="Arial"/>
          <w:sz w:val="16"/>
          <w:szCs w:val="16"/>
          <w:color w:val="auto"/>
        </w:rPr>
        <w:t>Basic earnings per share is calculated by dividing net income by the weighted average number of common shares outstanding during the year. Diluted earnings per share is calculated by first adding back to net income the interest expense on any outstanding convertible debentures and then dividing this adjusted net income attributable to Schlumberger by the sum of (i) unvested restricted stock units; and</w:t>
      </w:r>
    </w:p>
    <w:p>
      <w:pPr>
        <w:ind w:left="700" w:right="80" w:hanging="7"/>
        <w:spacing w:after="0" w:line="254" w:lineRule="auto"/>
        <w:tabs>
          <w:tab w:leader="none" w:pos="9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any outstanding convertible debentures.</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reconciliation from basic to diluted earnings per share from continuing operations for each of the last three years: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 except per share amounts)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68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Schlumberger</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Weighted</w:t>
            </w:r>
          </w:p>
        </w:tc>
        <w:tc>
          <w:tcPr>
            <w:tcW w:w="1040" w:type="dxa"/>
            <w:vAlign w:val="bottom"/>
            <w:tcBorders>
              <w:top w:val="single" w:sz="8" w:color="auto"/>
            </w:tcBorders>
            <w:gridSpan w:val="4"/>
          </w:tcPr>
          <w:p>
            <w:pPr>
              <w:ind w:left="140"/>
              <w:spacing w:after="0" w:line="119" w:lineRule="exact"/>
              <w:rPr>
                <w:sz w:val="20"/>
                <w:szCs w:val="20"/>
                <w:color w:val="auto"/>
              </w:rPr>
            </w:pPr>
            <w:r>
              <w:rPr>
                <w:rFonts w:ascii="Arial" w:cs="Arial" w:eastAsia="Arial" w:hAnsi="Arial"/>
                <w:sz w:val="13"/>
                <w:szCs w:val="13"/>
                <w:b w:val="1"/>
                <w:bCs w:val="1"/>
                <w:color w:val="auto"/>
              </w:rPr>
              <w:t>Earnings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Income from</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Share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Continuing</w:t>
            </w:r>
          </w:p>
        </w:tc>
        <w:tc>
          <w:tcPr>
            <w:tcW w:w="20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Operations</w:t>
            </w:r>
          </w:p>
        </w:tc>
        <w:tc>
          <w:tcPr>
            <w:tcW w:w="1100" w:type="dxa"/>
            <w:vAlign w:val="bottom"/>
            <w:gridSpan w:val="3"/>
          </w:tcPr>
          <w:p>
            <w:pPr>
              <w:ind w:left="200"/>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b w:val="1"/>
                <w:bCs w:val="1"/>
                <w:color w:val="auto"/>
              </w:rPr>
              <w:t>Basic</w:t>
            </w:r>
          </w:p>
        </w:tc>
        <w:tc>
          <w:tcPr>
            <w:tcW w:w="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4,267</w:t>
            </w: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1,250</w:t>
            </w:r>
          </w:p>
        </w:tc>
        <w:tc>
          <w:tcPr>
            <w:tcW w:w="14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Assumed conversion of debentures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b w:val="1"/>
                <w:bCs w:val="1"/>
                <w:color w:val="auto"/>
              </w:rPr>
              <w:t>Assumed exercise of stock options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Unvested restricted stock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Diluted</w:t>
            </w:r>
          </w:p>
        </w:tc>
        <w:tc>
          <w:tcPr>
            <w:tcW w:w="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4,270</w:t>
            </w: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1,263</w:t>
            </w:r>
          </w:p>
        </w:tc>
        <w:tc>
          <w:tcPr>
            <w:tcW w:w="1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2009: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3,156</w:t>
            </w: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1,198</w:t>
            </w:r>
          </w:p>
        </w:tc>
        <w:tc>
          <w:tcPr>
            <w:tcW w:w="14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Assumed conversion of debentures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3,164</w:t>
            </w: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1,214</w:t>
            </w:r>
          </w:p>
        </w:tc>
        <w:tc>
          <w:tcPr>
            <w:tcW w:w="1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2008: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Basic</w:t>
            </w: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5,397</w:t>
            </w: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w:t>
            </w:r>
          </w:p>
        </w:tc>
        <w:tc>
          <w:tcPr>
            <w:tcW w:w="14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Assumed conversion of debentures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ind w:left="14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Diluted</w:t>
            </w:r>
          </w:p>
        </w:tc>
        <w:tc>
          <w:tcPr>
            <w:tcW w:w="8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5,409</w:t>
            </w:r>
          </w:p>
        </w:tc>
        <w:tc>
          <w:tcPr>
            <w:tcW w:w="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1,224</w:t>
            </w:r>
          </w:p>
        </w:tc>
        <w:tc>
          <w:tcPr>
            <w:tcW w:w="14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200" w:firstLine="198"/>
        <w:spacing w:after="0" w:line="259" w:lineRule="auto"/>
        <w:rPr>
          <w:sz w:val="20"/>
          <w:szCs w:val="20"/>
          <w:color w:val="auto"/>
        </w:rPr>
      </w:pPr>
      <w:r>
        <w:rPr>
          <w:rFonts w:ascii="Arial" w:cs="Arial" w:eastAsia="Arial" w:hAnsi="Arial"/>
          <w:sz w:val="18"/>
          <w:szCs w:val="18"/>
          <w:color w:val="auto"/>
        </w:rPr>
        <w:t>Employee stock options to purchase approximately 12.5 million, 17.1 million and 5.8 million shares of common stock at December 31, 2010, 2009 and 2008, respectively, were outstanding but were not included in the computation of diluted earnings per share because the option exercise price was greater than the average market price of the common stock, and therefore, the effect on diluted earnings per share would have been anti-dilutive.</w:t>
      </w:r>
    </w:p>
    <w:p>
      <w:pPr>
        <w:spacing w:after="0" w:line="192"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Charges and Credits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recorded the following Charges and Credits in continuing operations during 2010, 2009 and 2008:</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2010</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Fourth quarter of 2010:</w:t>
      </w:r>
    </w:p>
    <w:p>
      <w:pPr>
        <w:spacing w:after="0" w:line="131" w:lineRule="exact"/>
        <w:rPr>
          <w:sz w:val="20"/>
          <w:szCs w:val="20"/>
          <w:color w:val="auto"/>
        </w:rPr>
      </w:pPr>
    </w:p>
    <w:p>
      <w:pPr>
        <w:ind w:left="1480" w:right="820" w:hanging="382"/>
        <w:spacing w:after="0" w:line="302" w:lineRule="auto"/>
        <w:tabs>
          <w:tab w:leader="none" w:pos="1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 connection with Schlumberger’s merger with Smith International, Inc. (“Smith”) (see Note 4 – </w:t>
      </w:r>
      <w:r>
        <w:rPr>
          <w:rFonts w:ascii="Arial" w:cs="Arial" w:eastAsia="Arial" w:hAnsi="Arial"/>
          <w:sz w:val="16"/>
          <w:szCs w:val="16"/>
          <w:i w:val="1"/>
          <w:iCs w:val="1"/>
          <w:color w:val="auto"/>
        </w:rPr>
        <w:t>Acquisitions</w:t>
      </w:r>
      <w:r>
        <w:rPr>
          <w:rFonts w:ascii="Arial" w:cs="Arial" w:eastAsia="Arial" w:hAnsi="Arial"/>
          <w:sz w:val="16"/>
          <w:szCs w:val="16"/>
          <w:color w:val="auto"/>
        </w:rPr>
        <w:t>), Schlumberger recorded the following pretax charges: $115 million ($73 million after-tax) relating to the amortization of purchase accounting adjustments associated with the write-up of acquired inventory to its estimated fair value, $17 million ($16 million after-tax) of professional and other fees and $16 million ($12 million after-tax) relating to employee benefits.</w:t>
      </w:r>
    </w:p>
    <w:p>
      <w:pPr>
        <w:spacing w:after="0" w:line="46" w:lineRule="exact"/>
        <w:rPr>
          <w:rFonts w:ascii="Arial" w:cs="Arial" w:eastAsia="Arial" w:hAnsi="Arial"/>
          <w:sz w:val="16"/>
          <w:szCs w:val="16"/>
          <w:color w:val="auto"/>
        </w:rPr>
      </w:pPr>
    </w:p>
    <w:p>
      <w:pPr>
        <w:ind w:left="1480" w:hanging="382"/>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Schlumberger repurchased the following debt:</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960" w:type="dxa"/>
            <w:vAlign w:val="bottom"/>
            <w:tcBorders>
              <w:top w:val="single" w:sz="8" w:color="auto"/>
            </w:tcBorders>
          </w:tcPr>
          <w:p>
            <w:pPr>
              <w:spacing w:after="0"/>
              <w:rPr>
                <w:sz w:val="10"/>
                <w:szCs w:val="10"/>
                <w:color w:val="auto"/>
              </w:rPr>
            </w:pPr>
          </w:p>
        </w:tc>
        <w:tc>
          <w:tcPr>
            <w:tcW w:w="6580" w:type="dxa"/>
            <w:vAlign w:val="bottom"/>
            <w:tcBorders>
              <w:top w:val="single" w:sz="8" w:color="auto"/>
            </w:tcBorders>
            <w:gridSpan w:val="2"/>
          </w:tcPr>
          <w:p>
            <w:pPr>
              <w:jc w:val="right"/>
              <w:ind w:right="28"/>
              <w:spacing w:after="0" w:line="119" w:lineRule="exact"/>
              <w:rPr>
                <w:sz w:val="20"/>
                <w:szCs w:val="20"/>
                <w:color w:val="auto"/>
              </w:rPr>
            </w:pPr>
            <w:r>
              <w:rPr>
                <w:rFonts w:ascii="Arial" w:cs="Arial" w:eastAsia="Arial" w:hAnsi="Arial"/>
                <w:sz w:val="13"/>
                <w:szCs w:val="13"/>
                <w:b w:val="1"/>
                <w:bCs w:val="1"/>
                <w:color w:val="auto"/>
              </w:rPr>
              <w:t>Carrying</w:t>
            </w:r>
          </w:p>
        </w:tc>
        <w:tc>
          <w:tcPr>
            <w:tcW w:w="800" w:type="dxa"/>
            <w:vAlign w:val="bottom"/>
          </w:tcPr>
          <w:p>
            <w:pPr>
              <w:spacing w:after="0"/>
              <w:rPr>
                <w:sz w:val="10"/>
                <w:szCs w:val="10"/>
                <w:color w:val="auto"/>
              </w:rPr>
            </w:pPr>
          </w:p>
        </w:tc>
      </w:tr>
      <w:tr>
        <w:trPr>
          <w:trHeight w:val="171"/>
        </w:trPr>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5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Value</w:t>
            </w:r>
          </w:p>
        </w:tc>
        <w:tc>
          <w:tcPr>
            <w:tcW w:w="800" w:type="dxa"/>
            <w:vAlign w:val="bottom"/>
          </w:tcPr>
          <w:p>
            <w:pPr>
              <w:spacing w:after="0"/>
              <w:rPr>
                <w:sz w:val="14"/>
                <w:szCs w:val="14"/>
                <w:color w:val="auto"/>
              </w:rPr>
            </w:pPr>
          </w:p>
        </w:tc>
      </w:tr>
      <w:tr>
        <w:trPr>
          <w:trHeight w:val="149"/>
        </w:trPr>
        <w:tc>
          <w:tcPr>
            <w:tcW w:w="700" w:type="dxa"/>
            <w:vAlign w:val="bottom"/>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6.50%</w:t>
            </w:r>
          </w:p>
        </w:tc>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Notes due 2012</w:t>
            </w:r>
          </w:p>
        </w:tc>
        <w:tc>
          <w:tcPr>
            <w:tcW w:w="6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85"/>
              </w:rPr>
              <w:t>297</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6.75%</w:t>
            </w:r>
          </w:p>
        </w:tc>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2011</w:t>
            </w:r>
          </w:p>
        </w:tc>
        <w:tc>
          <w:tcPr>
            <w:tcW w:w="6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5"/>
              </w:rPr>
              <w:t>123</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9.75%</w:t>
            </w:r>
          </w:p>
        </w:tc>
        <w:tc>
          <w:tcPr>
            <w:tcW w:w="29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Senior Notes due 2019</w:t>
            </w:r>
          </w:p>
        </w:tc>
        <w:tc>
          <w:tcPr>
            <w:tcW w:w="6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85"/>
              </w:rPr>
              <w:t>212</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6.00%</w:t>
            </w:r>
          </w:p>
        </w:tc>
        <w:tc>
          <w:tcPr>
            <w:tcW w:w="296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2016</w:t>
            </w:r>
          </w:p>
        </w:tc>
        <w:tc>
          <w:tcPr>
            <w:tcW w:w="6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5"/>
              </w:rPr>
              <w:t>102</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8.625% Senior Notes due 2014</w:t>
            </w:r>
          </w:p>
        </w:tc>
        <w:tc>
          <w:tcPr>
            <w:tcW w:w="6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88</w:t>
            </w:r>
          </w:p>
        </w:tc>
        <w:tc>
          <w:tcPr>
            <w:tcW w:w="800" w:type="dxa"/>
            <w:vAlign w:val="bottom"/>
          </w:tcPr>
          <w:p>
            <w:pPr>
              <w:spacing w:after="0"/>
              <w:rPr>
                <w:sz w:val="12"/>
                <w:szCs w:val="12"/>
                <w:color w:val="auto"/>
              </w:rPr>
            </w:pPr>
          </w:p>
        </w:tc>
      </w:tr>
      <w:tr>
        <w:trPr>
          <w:trHeight w:val="551"/>
        </w:trPr>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60" w:type="dxa"/>
            <w:vAlign w:val="bottom"/>
          </w:tcPr>
          <w:p>
            <w:pPr>
              <w:jc w:val="right"/>
              <w:ind w:right="4510"/>
              <w:spacing w:after="0"/>
              <w:rPr>
                <w:sz w:val="20"/>
                <w:szCs w:val="20"/>
                <w:color w:val="auto"/>
              </w:rPr>
            </w:pPr>
            <w:r>
              <w:rPr>
                <w:rFonts w:ascii="Arial" w:cs="Arial" w:eastAsia="Arial" w:hAnsi="Arial"/>
                <w:sz w:val="13"/>
                <w:szCs w:val="13"/>
                <w:color w:val="auto"/>
              </w:rPr>
              <w:t>45</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960" w:type="dxa"/>
            <w:vAlign w:val="bottom"/>
            <w:tcBorders>
              <w:bottom w:val="single" w:sz="8" w:color="808080"/>
            </w:tcBorders>
          </w:tcPr>
          <w:p>
            <w:pPr>
              <w:spacing w:after="0"/>
              <w:rPr>
                <w:sz w:val="18"/>
                <w:szCs w:val="18"/>
                <w:color w:val="auto"/>
              </w:rPr>
            </w:pPr>
          </w:p>
        </w:tc>
        <w:tc>
          <w:tcPr>
            <w:tcW w:w="62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a result of these transactions, Schlumberger incurred pretax charges of $32 million ($20 million after-tax).</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quarter of 2010:</w:t>
      </w:r>
    </w:p>
    <w:p>
      <w:pPr>
        <w:spacing w:after="0" w:line="131" w:lineRule="exact"/>
        <w:rPr>
          <w:sz w:val="20"/>
          <w:szCs w:val="20"/>
          <w:color w:val="auto"/>
        </w:rPr>
      </w:pPr>
    </w:p>
    <w:p>
      <w:pPr>
        <w:ind w:left="1480" w:right="40" w:hanging="382"/>
        <w:spacing w:after="0" w:line="26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result of the decision to rationalize support costs across the organization as well as to restructure the North America land operations to provide greater operating efficiency, Schlumberger recorded a pretax charge of $90 million ($77 million after-tax).</w:t>
      </w:r>
    </w:p>
    <w:p>
      <w:pPr>
        <w:spacing w:after="0" w:line="73" w:lineRule="exact"/>
        <w:rPr>
          <w:rFonts w:ascii="Arial" w:cs="Arial" w:eastAsia="Arial" w:hAnsi="Arial"/>
          <w:sz w:val="18"/>
          <w:szCs w:val="18"/>
          <w:color w:val="auto"/>
        </w:rPr>
      </w:pPr>
    </w:p>
    <w:p>
      <w:pPr>
        <w:ind w:left="1480" w:right="100" w:hanging="382"/>
        <w:spacing w:after="0" w:line="26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Following the recent successful introduction of UniQ, a new generation single-sensor land acquisition system, Schlumberger recorded a $78 million pretax charge ($71 million after-tax), related to the impairment of WesternGeco’s first generation Q-Land system assets.</w:t>
      </w:r>
    </w:p>
    <w:p>
      <w:pPr>
        <w:spacing w:after="0" w:line="73" w:lineRule="exact"/>
        <w:rPr>
          <w:rFonts w:ascii="Arial" w:cs="Arial" w:eastAsia="Arial" w:hAnsi="Arial"/>
          <w:sz w:val="18"/>
          <w:szCs w:val="18"/>
          <w:color w:val="auto"/>
        </w:rPr>
      </w:pPr>
    </w:p>
    <w:p>
      <w:pPr>
        <w:ind w:left="1480" w:right="300" w:hanging="382"/>
        <w:spacing w:after="0" w:line="26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pretax and after-tax charge of $63 million primarily relating to the early termination of a vessel lease associated with WesternGeco’s electromagnetic service offering as well as related assets, including a $30 million impairment related to an equity-method investment.</w:t>
      </w:r>
    </w:p>
    <w:p>
      <w:pPr>
        <w:spacing w:after="0" w:line="73" w:lineRule="exact"/>
        <w:rPr>
          <w:rFonts w:ascii="Arial" w:cs="Arial" w:eastAsia="Arial" w:hAnsi="Arial"/>
          <w:sz w:val="18"/>
          <w:szCs w:val="18"/>
          <w:color w:val="auto"/>
        </w:rPr>
      </w:pPr>
    </w:p>
    <w:p>
      <w:pPr>
        <w:ind w:left="1480" w:right="140" w:hanging="382"/>
        <w:spacing w:after="0" w:line="25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connection with the Schlumberger’s merger with Smith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Schlumberger recorded the following pretax charges: $56 million ($55 million after-tax) of merger-related transaction costs including advisory and legal fees, $41 million ($35 million after-tax) relating to employee benefits for change in control payments and retention bonuses and $38 million ($24 million after-tax) relating to the amortization of purchase accounting adjustments associated with the write-up of acquired inventory to its estimated fair value.</w:t>
      </w:r>
    </w:p>
    <w:p>
      <w:pPr>
        <w:spacing w:after="0" w:line="80" w:lineRule="exact"/>
        <w:rPr>
          <w:rFonts w:ascii="Arial" w:cs="Arial" w:eastAsia="Arial" w:hAnsi="Arial"/>
          <w:sz w:val="18"/>
          <w:szCs w:val="18"/>
          <w:color w:val="auto"/>
        </w:rPr>
      </w:pPr>
    </w:p>
    <w:p>
      <w:pPr>
        <w:ind w:left="1480" w:hanging="382"/>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$40 million pretax charge ($36 million after-tax) for the early termination of rig contracts and workforce reductions in Mexico due to the slowdown of project activity.</w:t>
      </w:r>
    </w:p>
    <w:p>
      <w:pPr>
        <w:spacing w:after="0" w:line="62" w:lineRule="exact"/>
        <w:rPr>
          <w:rFonts w:ascii="Arial" w:cs="Arial" w:eastAsia="Arial" w:hAnsi="Arial"/>
          <w:sz w:val="18"/>
          <w:szCs w:val="18"/>
          <w:color w:val="auto"/>
        </w:rPr>
      </w:pPr>
    </w:p>
    <w:p>
      <w:pPr>
        <w:ind w:left="1480" w:right="80" w:hanging="382"/>
        <w:spacing w:after="0" w:line="27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Schlumberger repurchased $352 million of its 6.50% Notes due 2012 and, as a result, incurred a pretax charge of $28 million ($18 million after-tax).</w:t>
      </w:r>
    </w:p>
    <w:p>
      <w:pPr>
        <w:spacing w:after="0" w:line="62" w:lineRule="exact"/>
        <w:rPr>
          <w:rFonts w:ascii="Arial" w:cs="Arial" w:eastAsia="Arial" w:hAnsi="Arial"/>
          <w:sz w:val="18"/>
          <w:szCs w:val="18"/>
          <w:color w:val="auto"/>
        </w:rPr>
      </w:pPr>
    </w:p>
    <w:p>
      <w:pPr>
        <w:ind w:left="1480" w:right="280" w:hanging="382"/>
        <w:spacing w:after="0" w:line="308" w:lineRule="auto"/>
        <w:tabs>
          <w:tab w:leader="none" w:pos="14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Schlumberger recorded a pretax gain of $1.27 billion ($1.24 billion after-tax) as a result of remeasuring its previously held 40% equity interest in the M-I SWACO joint venture. Refer to Note 4 –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further details.</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First quarter of 2010:</w:t>
      </w:r>
    </w:p>
    <w:p>
      <w:pPr>
        <w:spacing w:after="0" w:line="131" w:lineRule="exact"/>
        <w:rPr>
          <w:sz w:val="20"/>
          <w:szCs w:val="20"/>
          <w:color w:val="auto"/>
        </w:rPr>
      </w:pPr>
    </w:p>
    <w:p>
      <w:pPr>
        <w:ind w:left="1480" w:right="60" w:hanging="382"/>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Schlumberger incurred $35 million of pretax and after-tax merger-related costs in connection with the Smith and Geoservices transactions (see Note 4 – </w:t>
      </w:r>
      <w:r>
        <w:rPr>
          <w:rFonts w:ascii="Arial" w:cs="Arial" w:eastAsia="Arial" w:hAnsi="Arial"/>
          <w:sz w:val="18"/>
          <w:szCs w:val="18"/>
          <w:i w:val="1"/>
          <w:iCs w:val="1"/>
          <w:color w:val="auto"/>
        </w:rPr>
        <w:t>Acquisitions</w:t>
      </w:r>
      <w:r>
        <w:rPr>
          <w:rFonts w:ascii="Arial" w:cs="Arial" w:eastAsia="Arial" w:hAnsi="Arial"/>
          <w:sz w:val="18"/>
          <w:szCs w:val="18"/>
          <w:color w:val="auto"/>
        </w:rPr>
        <w:t>). These costs primarily consisted of advisory and legal fees.</w:t>
      </w:r>
    </w:p>
    <w:p>
      <w:pPr>
        <w:spacing w:after="0" w:line="62" w:lineRule="exact"/>
        <w:rPr>
          <w:rFonts w:ascii="Arial" w:cs="Arial" w:eastAsia="Arial" w:hAnsi="Arial"/>
          <w:sz w:val="18"/>
          <w:szCs w:val="18"/>
          <w:color w:val="auto"/>
        </w:rPr>
      </w:pPr>
    </w:p>
    <w:p>
      <w:pPr>
        <w:jc w:val="both"/>
        <w:ind w:left="1480" w:right="420" w:hanging="382"/>
        <w:spacing w:after="0" w:line="302" w:lineRule="auto"/>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March 2010, the Patient Protection and Affordable Care Act (PPACA) was signed into law in the United States. Among other things, the PPACA eliminates the tax deductibility of retiree prescription drug benefits to the extent of the Medicare Part D subsidy that companies, such as Schlumberger, receive. As a result of this change in law, Schlumberger recorded a $40 million charge to adjust its deferred tax assets to reflect the loss of this future tax deduction.</w:t>
      </w:r>
    </w:p>
    <w:p>
      <w:pPr>
        <w:spacing w:after="0" w:line="34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summary of 2010 Charges and Credits: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4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Non-</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3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Pretax</w:t>
            </w:r>
          </w:p>
        </w:tc>
        <w:tc>
          <w:tcPr>
            <w:tcW w:w="260" w:type="dxa"/>
            <w:vAlign w:val="bottom"/>
          </w:tcPr>
          <w:p>
            <w:pPr>
              <w:spacing w:after="0"/>
              <w:rPr>
                <w:sz w:val="12"/>
                <w:szCs w:val="12"/>
                <w:color w:val="auto"/>
              </w:rPr>
            </w:pP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controlling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Net</w:t>
            </w:r>
          </w:p>
        </w:tc>
        <w:tc>
          <w:tcPr>
            <w:tcW w:w="23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2"/>
              </w:rPr>
              <w:t>Interests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Restructuring and Merger-related Charges: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180"/>
              <w:spacing w:after="0" w:line="149" w:lineRule="exact"/>
              <w:rPr>
                <w:sz w:val="20"/>
                <w:szCs w:val="20"/>
                <w:color w:val="auto"/>
              </w:rPr>
            </w:pPr>
            <w:r>
              <w:rPr>
                <w:rFonts w:ascii="Arial" w:cs="Arial" w:eastAsia="Arial" w:hAnsi="Arial"/>
                <w:sz w:val="14"/>
                <w:szCs w:val="14"/>
                <w:color w:val="auto"/>
              </w:rPr>
              <w:t>Severance and other</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4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Impairment relating to WesternGeco’s first generation Q-Land</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acquisition system</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180"/>
              <w:spacing w:after="0" w:line="149" w:lineRule="exact"/>
              <w:rPr>
                <w:sz w:val="20"/>
                <w:szCs w:val="20"/>
                <w:color w:val="auto"/>
              </w:rPr>
            </w:pPr>
            <w:r>
              <w:rPr>
                <w:rFonts w:ascii="Arial" w:cs="Arial" w:eastAsia="Arial" w:hAnsi="Arial"/>
                <w:sz w:val="14"/>
                <w:szCs w:val="14"/>
                <w:color w:val="auto"/>
              </w:rPr>
              <w:t>Other WesternGeco-related charges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6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Professional fees and other</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180"/>
              <w:spacing w:after="0" w:line="149" w:lineRule="exact"/>
              <w:rPr>
                <w:sz w:val="20"/>
                <w:szCs w:val="20"/>
                <w:color w:val="auto"/>
              </w:rPr>
            </w:pPr>
            <w:r>
              <w:rPr>
                <w:rFonts w:ascii="Arial" w:cs="Arial" w:eastAsia="Arial" w:hAnsi="Arial"/>
                <w:sz w:val="14"/>
                <w:szCs w:val="14"/>
                <w:color w:val="auto"/>
              </w:rPr>
              <w:t>Merger-related employee benefits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Merger &amp; integration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Inventory fair value adjustments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ind w:left="180"/>
              <w:spacing w:after="0" w:line="149" w:lineRule="exact"/>
              <w:rPr>
                <w:sz w:val="20"/>
                <w:szCs w:val="20"/>
                <w:color w:val="auto"/>
              </w:rPr>
            </w:pPr>
            <w:r>
              <w:rPr>
                <w:rFonts w:ascii="Arial" w:cs="Arial" w:eastAsia="Arial" w:hAnsi="Arial"/>
                <w:sz w:val="14"/>
                <w:szCs w:val="14"/>
                <w:color w:val="auto"/>
              </w:rPr>
              <w:t>Mexico restructuring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Repurchase of bonds</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60" w:type="dxa"/>
            <w:vAlign w:val="bottom"/>
            <w:shd w:val="clear" w:color="auto" w:fill="CCEEFF"/>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2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rPr>
              <w:t>Total restructuring and merger-related charges</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1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investment in M-I SWACO</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(1,270)</w:t>
            </w:r>
          </w:p>
        </w:tc>
        <w:tc>
          <w:tcPr>
            <w:tcW w:w="260" w:type="dxa"/>
            <w:vAlign w:val="bottom"/>
            <w:tcBorders>
              <w:right w:val="single" w:sz="8" w:color="CCEEFF"/>
            </w:tcBorders>
            <w:shd w:val="clear" w:color="auto" w:fill="CCEEFF"/>
          </w:tcPr>
          <w:p>
            <w:pPr>
              <w:spacing w:after="0"/>
              <w:rPr>
                <w:sz w:val="12"/>
                <w:szCs w:val="12"/>
                <w:color w:val="auto"/>
              </w:rPr>
            </w:pPr>
          </w:p>
        </w:tc>
        <w:tc>
          <w:tcPr>
            <w:tcW w:w="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(1,238)</w:t>
            </w: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i w:val="1"/>
                <w:iCs w:val="1"/>
                <w:color w:val="auto"/>
              </w:rPr>
              <w:t>Gain on Investment in M-I SWACO</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w w:val="97"/>
              </w:rPr>
              <w:t>Impact of elimination of tax deduction related to Medicare Part D subsidy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Arial" w:cs="Arial" w:eastAsia="Arial" w:hAnsi="Arial"/>
                <w:sz w:val="14"/>
                <w:szCs w:val="14"/>
                <w:i w:val="1"/>
                <w:iCs w:val="1"/>
                <w:color w:val="auto"/>
              </w:rPr>
              <w:t>Taxes on income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(621)</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(663)</w:t>
            </w:r>
          </w:p>
        </w:tc>
        <w:tc>
          <w:tcPr>
            <w:tcW w:w="2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300" w:firstLine="198"/>
        <w:spacing w:after="0" w:line="264" w:lineRule="auto"/>
        <w:rPr>
          <w:sz w:val="20"/>
          <w:szCs w:val="20"/>
          <w:color w:val="auto"/>
        </w:rPr>
      </w:pPr>
      <w:r>
        <w:rPr>
          <w:rFonts w:ascii="Arial" w:cs="Arial" w:eastAsia="Arial" w:hAnsi="Arial"/>
          <w:sz w:val="18"/>
          <w:szCs w:val="18"/>
          <w:color w:val="auto"/>
        </w:rPr>
        <w:t>Approximately $165 million of the $649 million of pretax restructuring and merger-related charges described above represent non-cash charges. The vast majority of the balance of the charges have either been paid or are expected to be paid within the next three months.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2009</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Second quarter of 2009:</w:t>
      </w:r>
    </w:p>
    <w:p>
      <w:pPr>
        <w:spacing w:after="0" w:line="131" w:lineRule="exact"/>
        <w:rPr>
          <w:sz w:val="20"/>
          <w:szCs w:val="20"/>
          <w:color w:val="auto"/>
        </w:rPr>
      </w:pPr>
    </w:p>
    <w:p>
      <w:pPr>
        <w:jc w:val="both"/>
        <w:ind w:left="1480" w:right="160" w:hanging="382"/>
        <w:spacing w:after="0" w:line="312"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Schlumberger continued to reduce its global workforce as a result of the slowdown in oil and gas exploration and production spending and its effect on activity in the oilfield services sector. As a result of these actions, Schlumberger recorded a pretax charge of $102 million ($85 million after-tax). These workforce reductions were completed by the end of 2009.</w:t>
      </w:r>
    </w:p>
    <w:p>
      <w:pPr>
        <w:spacing w:after="0" w:line="38" w:lineRule="exact"/>
        <w:rPr>
          <w:rFonts w:ascii="Arial" w:cs="Arial" w:eastAsia="Arial" w:hAnsi="Arial"/>
          <w:sz w:val="16"/>
          <w:szCs w:val="16"/>
          <w:color w:val="auto"/>
        </w:rPr>
      </w:pPr>
    </w:p>
    <w:p>
      <w:pPr>
        <w:ind w:left="1480" w:right="180" w:hanging="382"/>
        <w:spacing w:after="0" w:line="264"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As a consequence of these workforce reductions, Schlumberger recorded pretax non-cash pension and other postretirement benefit curtailment charges of $136 million ($122 million after-tax). Refer to Note 18 – </w:t>
      </w:r>
      <w:r>
        <w:rPr>
          <w:rFonts w:ascii="Arial" w:cs="Arial" w:eastAsia="Arial" w:hAnsi="Arial"/>
          <w:sz w:val="18"/>
          <w:szCs w:val="18"/>
          <w:i w:val="1"/>
          <w:iCs w:val="1"/>
          <w:color w:val="auto"/>
        </w:rPr>
        <w:t>Pension and Other Benefit Plans</w:t>
      </w:r>
      <w:r>
        <w:rPr>
          <w:rFonts w:ascii="Arial" w:cs="Arial" w:eastAsia="Arial" w:hAnsi="Arial"/>
          <w:sz w:val="18"/>
          <w:szCs w:val="18"/>
          <w:color w:val="auto"/>
        </w:rPr>
        <w:t xml:space="preserve"> for further details.</w:t>
      </w:r>
    </w:p>
    <w:p>
      <w:pPr>
        <w:spacing w:after="0" w:line="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these charges: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9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Non-</w:t>
            </w: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7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38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Pretax</w:t>
            </w:r>
          </w:p>
        </w:tc>
        <w:tc>
          <w:tcPr>
            <w:tcW w:w="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Tax</w:t>
            </w:r>
          </w:p>
        </w:tc>
        <w:tc>
          <w:tcPr>
            <w:tcW w:w="104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Net</w:t>
            </w:r>
          </w:p>
        </w:tc>
        <w:tc>
          <w:tcPr>
            <w:tcW w:w="3780" w:type="dxa"/>
            <w:vAlign w:val="bottom"/>
            <w:vMerge w:val="restart"/>
          </w:tcPr>
          <w:p>
            <w:pPr>
              <w:jc w:val="right"/>
              <w:ind w:right="1188"/>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Workforce reductions</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$ 102</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$ 17</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3780" w:type="dxa"/>
            <w:vAlign w:val="bottom"/>
            <w:shd w:val="clear" w:color="auto" w:fill="CCEEFF"/>
          </w:tcPr>
          <w:p>
            <w:pPr>
              <w:jc w:val="right"/>
              <w:ind w:right="1188"/>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Postretirement benefits curtailment</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136</w:t>
            </w:r>
          </w:p>
        </w:tc>
        <w:tc>
          <w:tcPr>
            <w:tcW w:w="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800" w:type="dxa"/>
            <w:vAlign w:val="bottom"/>
          </w:tcPr>
          <w:p>
            <w:pPr>
              <w:spacing w:after="0"/>
              <w:rPr>
                <w:sz w:val="14"/>
                <w:szCs w:val="14"/>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122</w:t>
            </w:r>
          </w:p>
        </w:tc>
        <w:tc>
          <w:tcPr>
            <w:tcW w:w="3780" w:type="dxa"/>
            <w:vAlign w:val="bottom"/>
          </w:tcPr>
          <w:p>
            <w:pPr>
              <w:jc w:val="right"/>
              <w:ind w:right="1188"/>
              <w:spacing w:after="0"/>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27"/>
        </w:trPr>
        <w:tc>
          <w:tcPr>
            <w:tcW w:w="29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9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0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207</w:t>
            </w:r>
          </w:p>
        </w:tc>
        <w:tc>
          <w:tcPr>
            <w:tcW w:w="3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rPr>
              <w:t>2008</w:t>
            </w:r>
          </w:p>
        </w:tc>
        <w:tc>
          <w:tcPr>
            <w:tcW w:w="1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9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00" w:type="dxa"/>
            <w:vAlign w:val="bottom"/>
          </w:tcPr>
          <w:p>
            <w:pPr>
              <w:spacing w:after="0"/>
              <w:rPr>
                <w:sz w:val="20"/>
                <w:szCs w:val="20"/>
                <w:color w:val="auto"/>
              </w:rPr>
            </w:pPr>
            <w:r>
              <w:rPr>
                <w:rFonts w:ascii="Arial" w:cs="Arial" w:eastAsia="Arial" w:hAnsi="Arial"/>
                <w:sz w:val="18"/>
                <w:szCs w:val="18"/>
                <w:color w:val="auto"/>
              </w:rPr>
              <w:t>Fourth quarter of 2008:</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480" w:right="60" w:hanging="382"/>
        <w:spacing w:after="0" w:line="264"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the continuing slowdown in oil and gas exploration and production spending and its effect on activity in the oilfield services sector, Schlumberger took actions to reduce its global workforce. As a result of these actions, Schlumberger recorded a pretax charge of $74 million ($65 million after-tax).</w:t>
      </w: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480" w:right="160" w:hanging="382"/>
        <w:spacing w:after="0" w:line="308"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Schlumberger wrote off certain assets, primarily accounts receivable relating to one client with liquidity issues. Accordingly, Schlumberger recorded a pretax charge of $42 million ($28 million after-tax and noncontrolling interest).</w:t>
      </w:r>
    </w:p>
    <w:p>
      <w:pPr>
        <w:spacing w:after="0" w:line="5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a summary of these charges: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5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Non-</w:t>
            </w:r>
          </w:p>
        </w:tc>
        <w:tc>
          <w:tcPr>
            <w:tcW w:w="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3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Pretax</w:t>
            </w:r>
          </w:p>
        </w:tc>
        <w:tc>
          <w:tcPr>
            <w:tcW w:w="200" w:type="dxa"/>
            <w:vAlign w:val="bottom"/>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Tax</w:t>
            </w:r>
          </w:p>
        </w:tc>
        <w:tc>
          <w:tcPr>
            <w:tcW w:w="108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controlling</w:t>
            </w:r>
          </w:p>
        </w:tc>
        <w:tc>
          <w:tcPr>
            <w:tcW w:w="1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Net</w:t>
            </w:r>
          </w:p>
        </w:tc>
        <w:tc>
          <w:tcPr>
            <w:tcW w:w="238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0"/>
              </w:rPr>
              <w:t>Income Statement Classification</w:t>
            </w:r>
          </w:p>
        </w:tc>
        <w:tc>
          <w:tcPr>
            <w:tcW w:w="0" w:type="dxa"/>
            <w:vAlign w:val="bottom"/>
          </w:tcPr>
          <w:p>
            <w:pPr>
              <w:spacing w:after="0"/>
              <w:rPr>
                <w:sz w:val="1"/>
                <w:szCs w:val="1"/>
                <w:color w:val="auto"/>
              </w:rPr>
            </w:pPr>
          </w:p>
        </w:tc>
      </w:tr>
      <w:tr>
        <w:trPr>
          <w:trHeight w:val="171"/>
        </w:trPr>
        <w:tc>
          <w:tcPr>
            <w:tcW w:w="512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Interests</w:t>
            </w: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Workforce reductions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3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$ 65</w:t>
            </w:r>
          </w:p>
        </w:tc>
        <w:tc>
          <w:tcPr>
            <w:tcW w:w="2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Provision for doubtful accounts</w:t>
            </w:r>
          </w:p>
        </w:tc>
        <w:tc>
          <w:tcPr>
            <w:tcW w:w="1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238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Restructuring &amp; other</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20" w:type="dxa"/>
            <w:vAlign w:val="bottom"/>
          </w:tcPr>
          <w:p>
            <w:pPr>
              <w:spacing w:after="0"/>
              <w:rPr>
                <w:sz w:val="12"/>
                <w:szCs w:val="12"/>
                <w:color w:val="auto"/>
              </w:rPr>
            </w:pPr>
          </w:p>
        </w:tc>
        <w:tc>
          <w:tcPr>
            <w:tcW w:w="1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9"/>
              </w:rPr>
              <w:t>17</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0"/>
              </w:rPr>
              <w:t>$ 93</w:t>
            </w:r>
          </w:p>
        </w:tc>
        <w:tc>
          <w:tcPr>
            <w:tcW w:w="2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Acquisitions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Merger with Smith International, Inc.</w:t>
      </w:r>
    </w:p>
    <w:p>
      <w:pPr>
        <w:spacing w:after="0" w:line="122" w:lineRule="exact"/>
        <w:rPr>
          <w:sz w:val="20"/>
          <w:szCs w:val="20"/>
          <w:color w:val="auto"/>
        </w:rPr>
      </w:pPr>
    </w:p>
    <w:p>
      <w:pPr>
        <w:ind w:left="700" w:right="20" w:firstLine="198"/>
        <w:spacing w:after="0" w:line="268" w:lineRule="auto"/>
        <w:rPr>
          <w:sz w:val="20"/>
          <w:szCs w:val="20"/>
          <w:color w:val="auto"/>
        </w:rPr>
      </w:pPr>
      <w:r>
        <w:rPr>
          <w:rFonts w:ascii="Arial" w:cs="Arial" w:eastAsia="Arial" w:hAnsi="Arial"/>
          <w:sz w:val="17"/>
          <w:szCs w:val="17"/>
          <w:color w:val="auto"/>
        </w:rPr>
        <w:t>On August 27, 2010, Schlumberger acquired all of the outstanding shares of Smith, a leading supplier of premium products and services to the oil and gas exploration and production industry. The merger brings together the complementary drilling and measurements technologies and expertise of Schlumberger and Smith in order to facilitate the engineering of complete drilling systems which optimize all of the components of the drill string. Such systems will enable Schlumberger’s customers to achieve improved drilling efficiency, better well placement and increased wellbore assurance as they face increasingly more challenging environments. In addition, Schlumberger’s geographic footprint will facilitate the extension of joint offerings on a worldwide basis.</w:t>
      </w:r>
    </w:p>
    <w:p>
      <w:pPr>
        <w:spacing w:after="0" w:line="1" w:lineRule="exact"/>
        <w:rPr>
          <w:sz w:val="20"/>
          <w:szCs w:val="20"/>
          <w:color w:val="auto"/>
        </w:rPr>
      </w:pPr>
    </w:p>
    <w:p>
      <w:pPr>
        <w:jc w:val="both"/>
        <w:ind w:left="700" w:right="180" w:firstLine="198"/>
        <w:spacing w:after="0" w:line="250" w:lineRule="auto"/>
        <w:rPr>
          <w:sz w:val="20"/>
          <w:szCs w:val="20"/>
          <w:color w:val="auto"/>
        </w:rPr>
      </w:pPr>
      <w:r>
        <w:rPr>
          <w:rFonts w:ascii="Arial" w:cs="Arial" w:eastAsia="Arial" w:hAnsi="Arial"/>
          <w:sz w:val="18"/>
          <w:szCs w:val="18"/>
          <w:color w:val="auto"/>
        </w:rPr>
        <w:t>Under the terms of the merger agreement, Smith became a wholly-owned subsidiary of Schlumberger. Each share of Smith common stock issued and outstanding immediately prior to the effective time of the merger was converted into the right to receive 0.6966 shares of Schlumberger common stock, with cash paid in lieu of fractional shares.</w:t>
      </w:r>
    </w:p>
    <w:p>
      <w:pPr>
        <w:spacing w:after="0" w:line="1" w:lineRule="exact"/>
        <w:rPr>
          <w:sz w:val="20"/>
          <w:szCs w:val="20"/>
          <w:color w:val="auto"/>
        </w:rPr>
      </w:pPr>
    </w:p>
    <w:p>
      <w:pPr>
        <w:ind w:left="700" w:right="80" w:firstLine="198"/>
        <w:spacing w:after="0" w:line="265" w:lineRule="auto"/>
        <w:rPr>
          <w:sz w:val="20"/>
          <w:szCs w:val="20"/>
          <w:color w:val="auto"/>
        </w:rPr>
      </w:pPr>
      <w:r>
        <w:rPr>
          <w:rFonts w:ascii="Arial" w:cs="Arial" w:eastAsia="Arial" w:hAnsi="Arial"/>
          <w:sz w:val="17"/>
          <w:szCs w:val="17"/>
          <w:color w:val="auto"/>
        </w:rPr>
        <w:t>At the effective time of the merger, each outstanding option to purchase Smith common stock was converted pursuant to the merger agreement into a stock option to acquire shares of Schlumberger common stock on the same terms and conditions as were in effect immediately prior to the completion of the merger. The number of shares of Schlumberger common stock underlying each converted Smith stock option was determined by multiplying the number of Smith stock options by the 0.6966 exchange ratio, and rounding down to the nearest whole share. The exercise price per share of each converted Smith stock option was determined by dividing the per share exercise price of such stock option by the 0.6966 exchange ratio, and rounded up to the nearest whole cent. Smith stock options, whether or not then vested and exercisable, became fully vested and exercisable and assumed by Schlumberger at the effective date of the merger in accordance with preexisting change-in-control provisions. Smith stock options were converted into 0.6 million of Schlumberger stock options.</w:t>
      </w:r>
    </w:p>
    <w:p>
      <w:pPr>
        <w:spacing w:after="0" w:line="2" w:lineRule="exact"/>
        <w:rPr>
          <w:sz w:val="20"/>
          <w:szCs w:val="20"/>
          <w:color w:val="auto"/>
        </w:rPr>
      </w:pPr>
    </w:p>
    <w:p>
      <w:pPr>
        <w:ind w:left="700" w:right="300" w:firstLine="198"/>
        <w:spacing w:after="0" w:line="252" w:lineRule="auto"/>
        <w:rPr>
          <w:sz w:val="20"/>
          <w:szCs w:val="20"/>
          <w:color w:val="auto"/>
        </w:rPr>
      </w:pPr>
      <w:r>
        <w:rPr>
          <w:rFonts w:ascii="Arial" w:cs="Arial" w:eastAsia="Arial" w:hAnsi="Arial"/>
          <w:sz w:val="18"/>
          <w:szCs w:val="18"/>
          <w:color w:val="auto"/>
        </w:rPr>
        <w:t>At the effective time of the merger, Smith restricted stock units, whether or not then vested, became fully vested (except for grants between the date of the merger agreement and closing, which were not significant and did not automatically vest) and were converted into shares of Schlumberger common stock in connection with the merger, determined by multiplying the number of shares of Smith common stock subject to each award by the 0.6966 exchange ratio, rounded to the nearest whole share (assuming, in the case of performance-based Smith restricted stock unit awards, the deemed attainment of the performance goals under the award at the target level).</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Calculation of Consideration Transferred</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details the fair value of the consideration transferred to effect the merger with Smith.</w:t>
      </w:r>
    </w:p>
    <w:p>
      <w:pPr>
        <w:spacing w:after="0" w:line="200" w:lineRule="exact"/>
        <w:rPr>
          <w:sz w:val="20"/>
          <w:szCs w:val="20"/>
          <w:color w:val="auto"/>
        </w:rPr>
      </w:pPr>
    </w:p>
    <w:p>
      <w:pPr>
        <w:spacing w:after="0" w:line="336"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6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71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(Stated in millions, except exchange ratio and per share amounts)</w:t>
            </w:r>
          </w:p>
        </w:tc>
        <w:tc>
          <w:tcPr>
            <w:tcW w:w="2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shares of Smith common stock outstanding as of the acquisition date</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0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 of Smith unvested restricted stock units outstanding as of the acquisition date</w:t>
            </w:r>
          </w:p>
        </w:tc>
        <w:tc>
          <w:tcPr>
            <w:tcW w:w="2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Multiplied by the exchange ratio</w:t>
            </w:r>
          </w:p>
        </w:tc>
        <w:tc>
          <w:tcPr>
            <w:tcW w:w="2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0.6966</w:t>
            </w:r>
          </w:p>
        </w:tc>
        <w:tc>
          <w:tcPr>
            <w:tcW w:w="1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Equivalent Schlumberger shares of common stock issued</w:t>
            </w:r>
          </w:p>
        </w:tc>
        <w:tc>
          <w:tcPr>
            <w:tcW w:w="2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Schlumberger closing stock price on August 27, 2010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55.76</w:t>
            </w:r>
          </w:p>
        </w:tc>
        <w:tc>
          <w:tcPr>
            <w:tcW w:w="1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equity consideration</w:t>
            </w:r>
          </w:p>
        </w:tc>
        <w:tc>
          <w:tcPr>
            <w:tcW w:w="2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9,812</w:t>
            </w:r>
          </w:p>
        </w:tc>
        <w:tc>
          <w:tcPr>
            <w:tcW w:w="10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7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Fair value of Schlumberger equivalent stock options issued</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fair value of the consideration transferred</w:t>
            </w:r>
          </w:p>
        </w:tc>
        <w:tc>
          <w:tcPr>
            <w:tcW w:w="2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9,828</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6"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Certain amounts reflect rounding adjustments</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Preliminary Allocation of Consideration Transferred to Net Assets Acquired</w:t>
      </w:r>
    </w:p>
    <w:p>
      <w:pPr>
        <w:spacing w:after="0" w:line="122" w:lineRule="exact"/>
        <w:rPr>
          <w:sz w:val="20"/>
          <w:szCs w:val="20"/>
          <w:color w:val="auto"/>
        </w:rPr>
      </w:pPr>
    </w:p>
    <w:p>
      <w:pPr>
        <w:jc w:val="both"/>
        <w:ind w:left="700" w:right="140" w:firstLine="198"/>
        <w:spacing w:after="0" w:line="259" w:lineRule="auto"/>
        <w:rPr>
          <w:sz w:val="20"/>
          <w:szCs w:val="20"/>
          <w:color w:val="auto"/>
        </w:rPr>
      </w:pPr>
      <w:r>
        <w:rPr>
          <w:rFonts w:ascii="Arial" w:cs="Arial" w:eastAsia="Arial" w:hAnsi="Arial"/>
          <w:sz w:val="18"/>
          <w:szCs w:val="18"/>
          <w:color w:val="auto"/>
        </w:rPr>
        <w:t>The following amounts represent the preliminary estimates of the fair value of identifiable assets acquired and liabilities assumed in the merger. The final determination of fair value for certain assets and liabilities will be completed as soon as the information necessary to complete the analysis is obtained. These amounts will be finalized as soon as possible, but no later than one year from the acquisition date.</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64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9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2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Accounts receivable</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1,831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Inventory</w:t>
            </w:r>
            <w:r>
              <w:rPr>
                <w:rFonts w:ascii="Arial" w:cs="Arial" w:eastAsia="Arial" w:hAnsi="Arial"/>
                <w:sz w:val="12"/>
                <w:szCs w:val="12"/>
                <w:color w:val="auto"/>
              </w:rPr>
              <w:t>(1)</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Fixed assets</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Tradenames (weighted-average life of 25 years)</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1,560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Technology (weighted-average life of 16 years)</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Customer relationships (weighted average life of 23 years)</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(1,460)</w:t>
            </w: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r>
              <w:rPr>
                <w:rFonts w:ascii="Arial" w:cs="Arial" w:eastAsia="Arial" w:hAnsi="Arial"/>
                <w:sz w:val="12"/>
                <w:szCs w:val="12"/>
                <w:color w:val="auto"/>
              </w:rPr>
              <w:t>(2)</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(2,141)</w:t>
            </w:r>
          </w:p>
        </w:tc>
      </w:tr>
      <w:tr>
        <w:trPr>
          <w:trHeight w:val="149"/>
        </w:trPr>
        <w:tc>
          <w:tcPr>
            <w:tcW w:w="20" w:type="dxa"/>
            <w:vAlign w:val="bottom"/>
          </w:tcPr>
          <w:p>
            <w:pPr>
              <w:spacing w:after="0"/>
              <w:rPr>
                <w:sz w:val="12"/>
                <w:szCs w:val="12"/>
                <w:color w:val="auto"/>
              </w:rPr>
            </w:pPr>
          </w:p>
        </w:tc>
        <w:tc>
          <w:tcPr>
            <w:tcW w:w="6440" w:type="dxa"/>
            <w:vAlign w:val="bottom"/>
          </w:tcPr>
          <w:p>
            <w:pPr>
              <w:spacing w:after="0" w:line="149" w:lineRule="exact"/>
              <w:rPr>
                <w:sz w:val="20"/>
                <w:szCs w:val="20"/>
                <w:color w:val="auto"/>
              </w:rPr>
            </w:pPr>
            <w:r>
              <w:rPr>
                <w:rFonts w:ascii="Arial" w:cs="Arial" w:eastAsia="Arial" w:hAnsi="Arial"/>
                <w:sz w:val="14"/>
                <w:szCs w:val="14"/>
                <w:color w:val="auto"/>
              </w:rPr>
              <w:t>Deferred taxes</w:t>
            </w:r>
            <w:r>
              <w:rPr>
                <w:rFonts w:ascii="Arial" w:cs="Arial" w:eastAsia="Arial" w:hAnsi="Arial"/>
                <w:sz w:val="12"/>
                <w:szCs w:val="12"/>
                <w:color w:val="auto"/>
              </w:rPr>
              <w:t>(3)</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(1,936)</w:t>
            </w: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(528)</w:t>
            </w:r>
          </w:p>
        </w:tc>
      </w:tr>
      <w:tr>
        <w:trPr>
          <w:trHeight w:val="20"/>
        </w:trPr>
        <w:tc>
          <w:tcPr>
            <w:tcW w:w="20" w:type="dxa"/>
            <w:vAlign w:val="bottom"/>
          </w:tcPr>
          <w:p>
            <w:pPr>
              <w:spacing w:after="0" w:line="20" w:lineRule="exact"/>
              <w:rPr>
                <w:sz w:val="1"/>
                <w:szCs w:val="1"/>
                <w:color w:val="auto"/>
              </w:rPr>
            </w:pPr>
          </w:p>
        </w:tc>
        <w:tc>
          <w:tcPr>
            <w:tcW w:w="644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sub-total</w:t>
            </w:r>
          </w:p>
        </w:tc>
        <w:tc>
          <w:tcPr>
            <w:tcW w:w="2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4,714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tcPr>
          <w:p>
            <w:pPr>
              <w:ind w:left="180"/>
              <w:spacing w:after="0" w:line="149" w:lineRule="exact"/>
              <w:rPr>
                <w:sz w:val="20"/>
                <w:szCs w:val="20"/>
                <w:color w:val="auto"/>
              </w:rPr>
            </w:pPr>
            <w:r>
              <w:rPr>
                <w:rFonts w:ascii="Arial" w:cs="Arial" w:eastAsia="Arial" w:hAnsi="Arial"/>
                <w:sz w:val="14"/>
                <w:szCs w:val="14"/>
                <w:color w:val="auto"/>
              </w:rPr>
              <w:t>Investment in M-I SWACO</w:t>
            </w:r>
            <w:r>
              <w:rPr>
                <w:rFonts w:ascii="Arial" w:cs="Arial" w:eastAsia="Arial" w:hAnsi="Arial"/>
                <w:sz w:val="12"/>
                <w:szCs w:val="12"/>
                <w:color w:val="auto"/>
              </w:rPr>
              <w:t>(4)</w:t>
            </w: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(1,429)</w:t>
            </w: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Noncontrolling interests</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w:t>
            </w:r>
          </w:p>
        </w:tc>
      </w:tr>
      <w:tr>
        <w:trPr>
          <w:trHeight w:val="20"/>
        </w:trPr>
        <w:tc>
          <w:tcPr>
            <w:tcW w:w="6460" w:type="dxa"/>
            <w:vAlign w:val="bottom"/>
            <w:gridSpan w:val="2"/>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Total identifiable net assets</w:t>
            </w:r>
          </w:p>
        </w:tc>
        <w:tc>
          <w:tcPr>
            <w:tcW w:w="298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3,174</w:t>
            </w:r>
          </w:p>
        </w:tc>
        <w:tc>
          <w:tcPr>
            <w:tcW w:w="10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investment in M-I SWACO</w:t>
            </w:r>
            <w:r>
              <w:rPr>
                <w:rFonts w:ascii="Arial" w:cs="Arial" w:eastAsia="Arial" w:hAnsi="Arial"/>
                <w:sz w:val="12"/>
                <w:szCs w:val="12"/>
                <w:color w:val="auto"/>
              </w:rPr>
              <w:t>(4)</w:t>
            </w:r>
          </w:p>
        </w:tc>
        <w:tc>
          <w:tcPr>
            <w:tcW w:w="2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(1,238)</w:t>
            </w:r>
          </w:p>
        </w:tc>
      </w:tr>
      <w:tr>
        <w:trPr>
          <w:trHeight w:val="169"/>
        </w:trPr>
        <w:tc>
          <w:tcPr>
            <w:tcW w:w="20" w:type="dxa"/>
            <w:vAlign w:val="bottom"/>
          </w:tcPr>
          <w:p>
            <w:pPr>
              <w:spacing w:after="0"/>
              <w:rPr>
                <w:sz w:val="14"/>
                <w:szCs w:val="14"/>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Goodwill</w:t>
            </w:r>
            <w:r>
              <w:rPr>
                <w:rFonts w:ascii="Arial" w:cs="Arial" w:eastAsia="Arial" w:hAnsi="Arial"/>
                <w:sz w:val="12"/>
                <w:szCs w:val="12"/>
                <w:color w:val="auto"/>
              </w:rPr>
              <w:t>(5)</w:t>
            </w:r>
          </w:p>
        </w:tc>
        <w:tc>
          <w:tcPr>
            <w:tcW w:w="2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7,892</w:t>
            </w:r>
          </w:p>
        </w:tc>
        <w:tc>
          <w:tcPr>
            <w:tcW w:w="100" w:type="dxa"/>
            <w:vAlign w:val="bottom"/>
            <w:tcBorders>
              <w:bottom w:val="single" w:sz="8" w:color="auto"/>
            </w:tcBorders>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4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Total consideration transferred</w:t>
            </w:r>
          </w:p>
        </w:tc>
        <w:tc>
          <w:tcPr>
            <w:tcW w:w="2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9,828</w:t>
            </w:r>
          </w:p>
        </w:tc>
        <w:tc>
          <w:tcPr>
            <w:tcW w:w="10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940" w:right="260" w:hanging="240"/>
        <w:spacing w:after="0" w:line="227" w:lineRule="auto"/>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Schlumberger recorded an adjustment of approximately $155 million to write-up the acquired inventory to its estimated fair value. Schlumberger’s cost of revenue reflected this increased valuation as this inventory was sold. Accordingly, Schlumberger’s margins were temporarily reduced in the initial periods subsequent to the merger.</w:t>
      </w:r>
    </w:p>
    <w:p>
      <w:pPr>
        <w:ind w:left="940" w:hanging="240"/>
        <w:spacing w:after="0" w:line="221" w:lineRule="auto"/>
        <w:tabs>
          <w:tab w:leader="none" w:pos="9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 connection with the merger, Schlumberger assumed all of the debt obligations of Smith including its long-term fixed rate notes consisting of the following:</w:t>
      </w:r>
    </w:p>
    <w:p>
      <w:pPr>
        <w:jc w:val="both"/>
        <w:ind w:left="940" w:right="80"/>
        <w:spacing w:after="0" w:line="221" w:lineRule="auto"/>
        <w:rPr>
          <w:rFonts w:ascii="Arial" w:cs="Arial" w:eastAsia="Arial" w:hAnsi="Arial"/>
          <w:sz w:val="14"/>
          <w:szCs w:val="14"/>
          <w:color w:val="auto"/>
        </w:rPr>
      </w:pPr>
      <w:r>
        <w:rPr>
          <w:rFonts w:ascii="Arial" w:cs="Arial" w:eastAsia="Arial" w:hAnsi="Arial"/>
          <w:sz w:val="14"/>
          <w:szCs w:val="14"/>
          <w:color w:val="auto"/>
        </w:rPr>
        <w:t>$220 million 6.75% Senior Notes due 2011, $300 million 8.625% Senior Notes due 2014, $275 million 6.00% Senior Notes due 2016 and $700 million 9.75% Senior Notes due 2019. Schlumberger recorded a $417 million adjustment to increase the carrying amount of these notes to their estimated fair value. This adjustment will be amortized as a reduction of interest expense over the remaining term of the respective obligations.</w:t>
      </w:r>
    </w:p>
    <w:p>
      <w:pPr>
        <w:ind w:left="940" w:right="40" w:hanging="240"/>
        <w:spacing w:after="0" w:line="245" w:lineRule="auto"/>
        <w:tabs>
          <w:tab w:leader="none" w:pos="9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In connection with the acquisition accounting, Schlumberger provided deferred taxes related to, among other items, the estimated fair value adjustments for acquired inventory, intangible assets and assumed debt obligations. Included in the provisions for deferred taxes are amounts relating to the outside basis difference associated with shares in certain Smith non-US subsidiaries for which no taxes have previously been provided. Schlumberger expects to reverse the outside basis difference primarily through the reorganization of those subsidiaries as well as through repatriating earnings in lieu of permanently reinvesting them. In this regard, Schlumberger is in the process of assessing certain factors that impact the ultimate amount of deferred taxes to be recorded. The amount of deferred taxes recorded will likely be revised after this assessment is completed. Any revision to the amount of deferred taxes recorded will impact the amount of goodwill recorded.</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5" w:lineRule="exact"/>
        <w:rPr>
          <w:sz w:val="20"/>
          <w:szCs w:val="20"/>
          <w:color w:val="auto"/>
        </w:rPr>
      </w:pPr>
    </w:p>
    <w:p>
      <w:pPr>
        <w:ind w:left="940" w:right="980" w:hanging="240"/>
        <w:spacing w:after="0" w:line="225" w:lineRule="auto"/>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Prior to the completion of the merger, Smith and Schlumberger operated M-I SWACO, a drilling fluids joint venture that was 40% owned by Schlumberger and 60% owned by Smith. Effective at the closing of the merger, M-I SWACO is now owned 100% by Schlumberger. As a result of obtaining control of this joint venture, Schlumberger was required under generally accepted accounting principles to remeasure its previously held equity interest in the joint venture at its merger-date fair value and recognize the resulting pretax gain of $1.3 billion ($1.2 billion after-tax) in earnings. This gain is classified as </w:t>
      </w:r>
      <w:r>
        <w:rPr>
          <w:rFonts w:ascii="Arial" w:cs="Arial" w:eastAsia="Arial" w:hAnsi="Arial"/>
          <w:sz w:val="14"/>
          <w:szCs w:val="14"/>
          <w:i w:val="1"/>
          <w:iCs w:val="1"/>
          <w:color w:val="auto"/>
        </w:rPr>
        <w:t>Gain on Investment in M-I SWACO</w:t>
      </w:r>
      <w:r>
        <w:rPr>
          <w:rFonts w:ascii="Arial" w:cs="Arial" w:eastAsia="Arial" w:hAnsi="Arial"/>
          <w:sz w:val="14"/>
          <w:szCs w:val="14"/>
          <w:color w:val="auto"/>
        </w:rPr>
        <w:t xml:space="preserve"> in the </w:t>
      </w:r>
      <w:r>
        <w:rPr>
          <w:rFonts w:ascii="Arial" w:cs="Arial" w:eastAsia="Arial" w:hAnsi="Arial"/>
          <w:sz w:val="14"/>
          <w:szCs w:val="14"/>
          <w:i w:val="1"/>
          <w:iCs w:val="1"/>
          <w:color w:val="auto"/>
        </w:rPr>
        <w:t>Consolidated Statement of Income</w:t>
      </w:r>
      <w:r>
        <w:rPr>
          <w:rFonts w:ascii="Arial" w:cs="Arial" w:eastAsia="Arial" w:hAnsi="Arial"/>
          <w:sz w:val="14"/>
          <w:szCs w:val="14"/>
          <w:color w:val="auto"/>
        </w:rPr>
        <w:t>.</w:t>
      </w:r>
    </w:p>
    <w:p>
      <w:pPr>
        <w:ind w:left="940" w:right="880"/>
        <w:spacing w:after="0" w:line="221" w:lineRule="auto"/>
        <w:rPr>
          <w:rFonts w:ascii="Arial" w:cs="Arial" w:eastAsia="Arial" w:hAnsi="Arial"/>
          <w:sz w:val="14"/>
          <w:szCs w:val="14"/>
          <w:color w:val="auto"/>
        </w:rPr>
      </w:pPr>
      <w:r>
        <w:rPr>
          <w:rFonts w:ascii="Arial" w:cs="Arial" w:eastAsia="Arial" w:hAnsi="Arial"/>
          <w:sz w:val="14"/>
          <w:szCs w:val="14"/>
          <w:color w:val="auto"/>
        </w:rPr>
        <w:t xml:space="preserve">Prior to acquiring Smith, Schlumberger recorded income relating to this venture using the equity method of accounting. The carrying value of Schlumberger’s investment in the joint venture on December 31, 2009 was $1.4 billion, and was included within </w:t>
      </w:r>
      <w:r>
        <w:rPr>
          <w:rFonts w:ascii="Arial" w:cs="Arial" w:eastAsia="Arial" w:hAnsi="Arial"/>
          <w:sz w:val="14"/>
          <w:szCs w:val="14"/>
          <w:i w:val="1"/>
          <w:iCs w:val="1"/>
          <w:color w:val="auto"/>
        </w:rPr>
        <w:t>Investments in Affiliated Companies</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w:t>
      </w:r>
      <w:r>
        <w:rPr>
          <w:rFonts w:ascii="Arial" w:cs="Arial" w:eastAsia="Arial" w:hAnsi="Arial"/>
          <w:sz w:val="14"/>
          <w:szCs w:val="14"/>
          <w:color w:val="auto"/>
        </w:rPr>
        <w:t>. Schlumberger’s equity income from this joint venture was $78 million in 2010 (representing the period from January 1, 2010 to August 27, 2010), $131 million</w:t>
      </w:r>
      <w:r>
        <w:rPr>
          <w:rFonts w:ascii="Arial" w:cs="Arial" w:eastAsia="Arial" w:hAnsi="Arial"/>
          <w:sz w:val="14"/>
          <w:szCs w:val="14"/>
          <w:i w:val="1"/>
          <w:iCs w:val="1"/>
          <w:color w:val="auto"/>
        </w:rPr>
        <w:t xml:space="preserve"> </w:t>
      </w:r>
      <w:r>
        <w:rPr>
          <w:rFonts w:ascii="Arial" w:cs="Arial" w:eastAsia="Arial" w:hAnsi="Arial"/>
          <w:sz w:val="14"/>
          <w:szCs w:val="14"/>
          <w:color w:val="auto"/>
        </w:rPr>
        <w:t>in 2009 and $210 million in 2008. Schlumberger received cash distributions from the joint venture of $50 million in 2010, $106 million in 2009 and $57 million in 2008.</w:t>
      </w:r>
    </w:p>
    <w:p>
      <w:pPr>
        <w:spacing w:after="0" w:line="1" w:lineRule="exact"/>
        <w:rPr>
          <w:rFonts w:ascii="Arial" w:cs="Arial" w:eastAsia="Arial" w:hAnsi="Arial"/>
          <w:sz w:val="14"/>
          <w:szCs w:val="14"/>
          <w:color w:val="auto"/>
        </w:rPr>
      </w:pPr>
    </w:p>
    <w:p>
      <w:pPr>
        <w:ind w:left="940" w:right="860" w:hanging="240"/>
        <w:spacing w:after="0" w:line="237" w:lineRule="auto"/>
        <w:tabs>
          <w:tab w:leader="none" w:pos="9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goodwill recognized is primarily attributable to expected synergies that will result from combining the operations of Schlumberger and Smith as well as intangible assets that do not qualify for separate recognition. Approximately $0.2 billion of the goodwill is deductible for income tax purposes.</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Acquisition of Geoservices</w:t>
      </w:r>
    </w:p>
    <w:p>
      <w:pPr>
        <w:spacing w:after="0" w:line="122" w:lineRule="exact"/>
        <w:rPr>
          <w:sz w:val="20"/>
          <w:szCs w:val="20"/>
          <w:color w:val="auto"/>
        </w:rPr>
      </w:pPr>
    </w:p>
    <w:p>
      <w:pPr>
        <w:ind w:left="700" w:right="920" w:firstLine="198"/>
        <w:spacing w:after="0" w:line="258" w:lineRule="auto"/>
        <w:rPr>
          <w:sz w:val="20"/>
          <w:szCs w:val="20"/>
          <w:color w:val="auto"/>
        </w:rPr>
      </w:pPr>
      <w:r>
        <w:rPr>
          <w:rFonts w:ascii="Arial" w:cs="Arial" w:eastAsia="Arial" w:hAnsi="Arial"/>
          <w:sz w:val="18"/>
          <w:szCs w:val="18"/>
          <w:color w:val="auto"/>
        </w:rPr>
        <w:t>On April 23, 2010, Schlumberger completed the acquisition of Geoservices, a privately owned oilfield services company specializing in mud logging, slickline and production surveillance operations, for $915 million in cash.</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purchase price has been allocated to the net assets acquired upon their estimated fair values as follows:</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4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(Stated in millions)</w:t>
            </w:r>
          </w:p>
        </w:tc>
        <w:tc>
          <w:tcPr>
            <w:tcW w:w="4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4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184</w:t>
            </w:r>
          </w:p>
        </w:tc>
        <w:tc>
          <w:tcPr>
            <w:tcW w:w="60" w:type="dxa"/>
            <w:vAlign w:val="bottom"/>
          </w:tcPr>
          <w:p>
            <w:pPr>
              <w:spacing w:after="0"/>
              <w:rPr>
                <w:sz w:val="12"/>
                <w:szCs w:val="12"/>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w:t>
            </w:r>
          </w:p>
        </w:tc>
        <w:tc>
          <w:tcPr>
            <w:tcW w:w="4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60" w:type="dxa"/>
            <w:vAlign w:val="bottom"/>
            <w:shd w:val="clear" w:color="auto" w:fill="CCEEFF"/>
          </w:tcPr>
          <w:p>
            <w:pPr>
              <w:spacing w:after="0"/>
              <w:rPr>
                <w:sz w:val="12"/>
                <w:szCs w:val="12"/>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60" w:type="dxa"/>
            <w:vAlign w:val="bottom"/>
          </w:tcPr>
          <w:p>
            <w:pPr>
              <w:spacing w:after="0"/>
              <w:rPr>
                <w:sz w:val="12"/>
                <w:szCs w:val="12"/>
                <w:color w:val="auto"/>
              </w:rPr>
            </w:pP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4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60" w:type="dxa"/>
            <w:vAlign w:val="bottom"/>
            <w:shd w:val="clear" w:color="auto" w:fill="CCEEFF"/>
          </w:tcPr>
          <w:p>
            <w:pPr>
              <w:spacing w:after="0"/>
              <w:rPr>
                <w:sz w:val="12"/>
                <w:szCs w:val="12"/>
                <w:color w:val="auto"/>
              </w:rPr>
            </w:pPr>
          </w:p>
        </w:tc>
      </w:tr>
      <w:tr>
        <w:trPr>
          <w:trHeight w:val="149"/>
        </w:trPr>
        <w:tc>
          <w:tcPr>
            <w:tcW w:w="540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4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(145)</w:t>
            </w:r>
          </w:p>
        </w:tc>
      </w:tr>
      <w:tr>
        <w:trPr>
          <w:trHeight w:val="149"/>
        </w:trPr>
        <w:tc>
          <w:tcPr>
            <w:tcW w:w="5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liabilities</w:t>
            </w:r>
          </w:p>
        </w:tc>
        <w:tc>
          <w:tcPr>
            <w:tcW w:w="4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r>
      <w:tr>
        <w:trPr>
          <w:trHeight w:val="169"/>
        </w:trPr>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liabilities</w:t>
            </w:r>
          </w:p>
        </w:tc>
        <w:tc>
          <w:tcPr>
            <w:tcW w:w="4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(152)</w:t>
            </w:r>
          </w:p>
        </w:tc>
      </w:tr>
      <w:tr>
        <w:trPr>
          <w:trHeight w:val="149"/>
        </w:trPr>
        <w:tc>
          <w:tcPr>
            <w:tcW w:w="5400" w:type="dxa"/>
            <w:vAlign w:val="bottom"/>
            <w:shd w:val="clear" w:color="auto" w:fill="CCEEFF"/>
          </w:tcPr>
          <w:p>
            <w:pPr>
              <w:spacing w:after="0"/>
              <w:rPr>
                <w:sz w:val="12"/>
                <w:szCs w:val="12"/>
                <w:color w:val="auto"/>
              </w:rPr>
            </w:pPr>
          </w:p>
        </w:tc>
        <w:tc>
          <w:tcPr>
            <w:tcW w:w="4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w:t>
            </w:r>
          </w:p>
        </w:tc>
        <w:tc>
          <w:tcPr>
            <w:tcW w:w="60" w:type="dxa"/>
            <w:vAlign w:val="bottom"/>
            <w:shd w:val="clear" w:color="auto" w:fill="CCEEFF"/>
          </w:tcPr>
          <w:p>
            <w:pPr>
              <w:spacing w:after="0"/>
              <w:rPr>
                <w:sz w:val="12"/>
                <w:szCs w:val="12"/>
                <w:color w:val="auto"/>
              </w:rPr>
            </w:pPr>
          </w:p>
        </w:tc>
      </w:tr>
      <w:tr>
        <w:trPr>
          <w:trHeight w:val="20"/>
        </w:trPr>
        <w:tc>
          <w:tcPr>
            <w:tcW w:w="54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long-term debt was repaid at the time of closing.</w:t>
      </w:r>
    </w:p>
    <w:p>
      <w:pPr>
        <w:spacing w:after="0" w:line="23" w:lineRule="exact"/>
        <w:rPr>
          <w:sz w:val="20"/>
          <w:szCs w:val="20"/>
          <w:color w:val="auto"/>
        </w:rPr>
      </w:pPr>
    </w:p>
    <w:p>
      <w:pPr>
        <w:jc w:val="both"/>
        <w:ind w:left="700" w:right="880" w:firstLine="198"/>
        <w:spacing w:after="0" w:line="277" w:lineRule="auto"/>
        <w:rPr>
          <w:sz w:val="20"/>
          <w:szCs w:val="20"/>
          <w:color w:val="auto"/>
        </w:rPr>
      </w:pPr>
      <w:r>
        <w:rPr>
          <w:rFonts w:ascii="Arial" w:cs="Arial" w:eastAsia="Arial" w:hAnsi="Arial"/>
          <w:sz w:val="17"/>
          <w:szCs w:val="17"/>
          <w:color w:val="auto"/>
        </w:rPr>
        <w:t>Intangible assets recorded in connection with this transaction, which primarily relate to customer relationships, will be amortized over a weighted average period of approximately 17 years. The amount allocated to goodwill represents the excess of the purchase price over the fair value of the net assets acquired and is not tax deductible for income tax purposes.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Acquisitions</w:t>
      </w:r>
    </w:p>
    <w:p>
      <w:pPr>
        <w:spacing w:after="0" w:line="122" w:lineRule="exact"/>
        <w:rPr>
          <w:sz w:val="20"/>
          <w:szCs w:val="20"/>
          <w:color w:val="auto"/>
        </w:rPr>
      </w:pPr>
    </w:p>
    <w:p>
      <w:pPr>
        <w:ind w:left="700" w:right="1000" w:firstLine="198"/>
        <w:spacing w:after="0" w:line="308" w:lineRule="auto"/>
        <w:rPr>
          <w:sz w:val="20"/>
          <w:szCs w:val="20"/>
          <w:color w:val="auto"/>
        </w:rPr>
      </w:pPr>
      <w:r>
        <w:rPr>
          <w:rFonts w:ascii="Arial" w:cs="Arial" w:eastAsia="Arial" w:hAnsi="Arial"/>
          <w:sz w:val="17"/>
          <w:szCs w:val="17"/>
          <w:color w:val="auto"/>
        </w:rPr>
        <w:t>Schlumberger has made other acquisitions and minority investments, none of which were significant on an individual basis, for cash payments, net of cash acquired, of $212 million during 2010, $514 million during 2009, and $345 million during 2008.</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Supplemental Pro Forma Data</w:t>
      </w:r>
    </w:p>
    <w:p>
      <w:pPr>
        <w:spacing w:after="0" w:line="122" w:lineRule="exact"/>
        <w:rPr>
          <w:sz w:val="20"/>
          <w:szCs w:val="20"/>
          <w:color w:val="auto"/>
        </w:rPr>
      </w:pPr>
    </w:p>
    <w:p>
      <w:pPr>
        <w:ind w:left="700" w:right="860" w:firstLine="198"/>
        <w:spacing w:after="0" w:line="257" w:lineRule="auto"/>
        <w:rPr>
          <w:sz w:val="20"/>
          <w:szCs w:val="20"/>
          <w:color w:val="auto"/>
        </w:rPr>
      </w:pPr>
      <w:r>
        <w:rPr>
          <w:rFonts w:ascii="Arial" w:cs="Arial" w:eastAsia="Arial" w:hAnsi="Arial"/>
          <w:sz w:val="18"/>
          <w:szCs w:val="18"/>
          <w:color w:val="auto"/>
        </w:rPr>
        <w:t>Smith’s results of operations have been included in Schlumberger’s financial statements for periods subsequent to the effective date of the merger. Smith contributed revenues of $3.3 billion and net income of $160 million (including the recurring effects of purchase accounting) to Schlumberger for the period from the closing of the merger through December 31, 2010. The following unaudited supplemental pro forma data (“pro forma data”) presents consolidated information as if the merger with Smith and the acquisition of Geoservices had been completed on January 1, 2009:</w:t>
      </w:r>
    </w:p>
    <w:p>
      <w:pPr>
        <w:spacing w:after="0" w:line="9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3620" w:type="dxa"/>
            <w:vAlign w:val="bottom"/>
            <w:tcBorders>
              <w:top w:val="single" w:sz="8" w:color="auto"/>
            </w:tcBorders>
          </w:tcPr>
          <w:p>
            <w:pPr>
              <w:spacing w:after="0"/>
              <w:rPr>
                <w:sz w:val="12"/>
                <w:szCs w:val="12"/>
                <w:color w:val="auto"/>
              </w:rPr>
            </w:pPr>
          </w:p>
        </w:tc>
        <w:tc>
          <w:tcPr>
            <w:tcW w:w="48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4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88"/>
              </w:rPr>
              <w:t>33,468</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88"/>
              </w:rPr>
              <w:t>31,182</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6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3,376</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3,271</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attributable to Schlumberger</w:t>
            </w:r>
          </w:p>
        </w:tc>
        <w:tc>
          <w:tcPr>
            <w:tcW w:w="4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3,370</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3,244</w:t>
            </w:r>
          </w:p>
        </w:tc>
        <w:tc>
          <w:tcPr>
            <w:tcW w:w="800" w:type="dxa"/>
            <w:vAlign w:val="bottom"/>
          </w:tcPr>
          <w:p>
            <w:pPr>
              <w:spacing w:after="0"/>
              <w:rPr>
                <w:sz w:val="12"/>
                <w:szCs w:val="12"/>
                <w:color w:val="auto"/>
              </w:rPr>
            </w:pPr>
          </w:p>
        </w:tc>
      </w:tr>
      <w:tr>
        <w:trPr>
          <w:trHeight w:val="182"/>
        </w:trPr>
        <w:tc>
          <w:tcPr>
            <w:tcW w:w="700" w:type="dxa"/>
            <w:vAlign w:val="bottom"/>
          </w:tcPr>
          <w:p>
            <w:pPr>
              <w:spacing w:after="0"/>
              <w:rPr>
                <w:sz w:val="15"/>
                <w:szCs w:val="15"/>
                <w:color w:val="auto"/>
              </w:rPr>
            </w:pPr>
          </w:p>
        </w:tc>
        <w:tc>
          <w:tcPr>
            <w:tcW w:w="3620" w:type="dxa"/>
            <w:vAlign w:val="bottom"/>
          </w:tcPr>
          <w:p>
            <w:pPr>
              <w:spacing w:after="0"/>
              <w:rPr>
                <w:sz w:val="20"/>
                <w:szCs w:val="20"/>
                <w:color w:val="auto"/>
              </w:rPr>
            </w:pPr>
            <w:r>
              <w:rPr>
                <w:rFonts w:ascii="Arial" w:cs="Arial" w:eastAsia="Arial" w:hAnsi="Arial"/>
                <w:sz w:val="14"/>
                <w:szCs w:val="14"/>
                <w:color w:val="auto"/>
              </w:rPr>
              <w:t>Diluted earnings per share</w:t>
            </w:r>
          </w:p>
        </w:tc>
        <w:tc>
          <w:tcPr>
            <w:tcW w:w="48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68"/>
              <w:spacing w:after="0"/>
              <w:rPr>
                <w:sz w:val="20"/>
                <w:szCs w:val="20"/>
                <w:color w:val="auto"/>
              </w:rPr>
            </w:pPr>
            <w:r>
              <w:rPr>
                <w:rFonts w:ascii="Arial" w:cs="Arial" w:eastAsia="Arial" w:hAnsi="Arial"/>
                <w:sz w:val="14"/>
                <w:szCs w:val="14"/>
                <w:color w:val="auto"/>
              </w:rPr>
              <w:t>2.44</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800" w:type="dxa"/>
            <w:vAlign w:val="bottom"/>
          </w:tcPr>
          <w:p>
            <w:pPr>
              <w:spacing w:after="0"/>
              <w:rPr>
                <w:sz w:val="15"/>
                <w:szCs w:val="15"/>
                <w:color w:val="auto"/>
              </w:rPr>
            </w:pPr>
          </w:p>
        </w:tc>
      </w:tr>
      <w:tr>
        <w:trPr>
          <w:trHeight w:val="517"/>
        </w:trPr>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40" w:type="dxa"/>
            <w:vAlign w:val="bottom"/>
          </w:tcPr>
          <w:p>
            <w:pPr>
              <w:jc w:val="right"/>
              <w:ind w:right="3370"/>
              <w:spacing w:after="0"/>
              <w:rPr>
                <w:sz w:val="20"/>
                <w:szCs w:val="20"/>
                <w:color w:val="auto"/>
              </w:rPr>
            </w:pPr>
            <w:r>
              <w:rPr>
                <w:rFonts w:ascii="Arial" w:cs="Arial" w:eastAsia="Arial" w:hAnsi="Arial"/>
                <w:sz w:val="13"/>
                <w:szCs w:val="13"/>
                <w:color w:val="auto"/>
              </w:rPr>
              <w:t>50</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620" w:type="dxa"/>
            <w:vAlign w:val="bottom"/>
            <w:tcBorders>
              <w:bottom w:val="single" w:sz="8" w:color="808080"/>
            </w:tcBorders>
          </w:tcPr>
          <w:p>
            <w:pPr>
              <w:spacing w:after="0"/>
              <w:rPr>
                <w:sz w:val="18"/>
                <w:szCs w:val="18"/>
                <w:color w:val="auto"/>
              </w:rPr>
            </w:pPr>
          </w:p>
        </w:tc>
        <w:tc>
          <w:tcPr>
            <w:tcW w:w="48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00" w:right="960" w:firstLine="198"/>
        <w:spacing w:after="0" w:line="291" w:lineRule="auto"/>
        <w:rPr>
          <w:sz w:val="20"/>
          <w:szCs w:val="20"/>
          <w:color w:val="auto"/>
        </w:rPr>
      </w:pPr>
      <w:r>
        <w:rPr>
          <w:rFonts w:ascii="Arial" w:cs="Arial" w:eastAsia="Arial" w:hAnsi="Arial"/>
          <w:sz w:val="16"/>
          <w:szCs w:val="16"/>
          <w:color w:val="auto"/>
        </w:rPr>
        <w:t>The pro forma data was prepared based on the historical financial information of Schlumberger, Smith and Geoservices and has been adjusted to give effect to pro forma adjustments that are (i) directly attributable to the transactions, (ii) factually supportable and</w:t>
      </w:r>
    </w:p>
    <w:p>
      <w:pPr>
        <w:ind w:left="700" w:right="840" w:hanging="7"/>
        <w:spacing w:after="0" w:line="295" w:lineRule="auto"/>
        <w:tabs>
          <w:tab w:leader="none" w:pos="10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expected to have a continuing impact on the combined results. The pro forma data is not necessarily indicative of what Schlumberger’s results of operations actually would have been had the transactions been completed on January 1, 2009. Additionally, the pro forma data does not purport to project the future results of operations of the combined company nor do they reflect the expected realization of synergies associated with the transactions. The pro forma data reflects the application of the following adjustments:</w:t>
      </w:r>
    </w:p>
    <w:p>
      <w:pPr>
        <w:spacing w:after="0" w:line="66" w:lineRule="exact"/>
        <w:rPr>
          <w:rFonts w:ascii="Arial" w:cs="Arial" w:eastAsia="Arial" w:hAnsi="Arial"/>
          <w:sz w:val="16"/>
          <w:szCs w:val="16"/>
          <w:color w:val="auto"/>
        </w:rPr>
      </w:pPr>
    </w:p>
    <w:p>
      <w:pPr>
        <w:ind w:left="1480" w:right="1340" w:hanging="382"/>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Elimination of the gain resulting from Schlumberger’s remeasurement of its previously held 40% equity interest in M-I SWACO, which is considered non-recurring.</w:t>
      </w:r>
    </w:p>
    <w:p>
      <w:pPr>
        <w:spacing w:after="0" w:line="62" w:lineRule="exact"/>
        <w:rPr>
          <w:rFonts w:ascii="Arial" w:cs="Arial" w:eastAsia="Arial" w:hAnsi="Arial"/>
          <w:sz w:val="18"/>
          <w:szCs w:val="18"/>
          <w:color w:val="auto"/>
        </w:rPr>
      </w:pPr>
    </w:p>
    <w:p>
      <w:pPr>
        <w:ind w:left="1480" w:right="1080" w:hanging="382"/>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Additional depreciation and amortization expense associated with fair value adjustments to acquired identifiable intangible assets and property, plant and equipment.</w:t>
      </w:r>
    </w:p>
    <w:p>
      <w:pPr>
        <w:spacing w:after="0" w:line="62" w:lineRule="exact"/>
        <w:rPr>
          <w:rFonts w:ascii="Arial" w:cs="Arial" w:eastAsia="Arial" w:hAnsi="Arial"/>
          <w:sz w:val="18"/>
          <w:szCs w:val="18"/>
          <w:color w:val="auto"/>
        </w:rPr>
      </w:pPr>
    </w:p>
    <w:p>
      <w:pPr>
        <w:ind w:left="1480" w:right="1040" w:hanging="382"/>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Elimination of charges incurred in 2010 related to the fair value adjustments to Smith’s inventory that has been sold as they will not have a long-term continuing impact.</w:t>
      </w:r>
    </w:p>
    <w:p>
      <w:pPr>
        <w:spacing w:after="0" w:line="62" w:lineRule="exact"/>
        <w:rPr>
          <w:rFonts w:ascii="Arial" w:cs="Arial" w:eastAsia="Arial" w:hAnsi="Arial"/>
          <w:sz w:val="18"/>
          <w:szCs w:val="18"/>
          <w:color w:val="auto"/>
        </w:rPr>
      </w:pPr>
    </w:p>
    <w:p>
      <w:pPr>
        <w:ind w:left="1480" w:right="1160" w:hanging="382"/>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Reductions in interest expense as a result of increasing the carrying value of acquired debt obligations to its estimated fair value.</w:t>
      </w:r>
    </w:p>
    <w:p>
      <w:pPr>
        <w:spacing w:after="0" w:line="62" w:lineRule="exact"/>
        <w:rPr>
          <w:rFonts w:ascii="Arial" w:cs="Arial" w:eastAsia="Arial" w:hAnsi="Arial"/>
          <w:sz w:val="18"/>
          <w:szCs w:val="18"/>
          <w:color w:val="auto"/>
        </w:rPr>
      </w:pPr>
    </w:p>
    <w:p>
      <w:pPr>
        <w:ind w:left="1480" w:right="1180" w:hanging="382"/>
        <w:spacing w:after="0" w:line="277" w:lineRule="auto"/>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Elimination of transaction costs incurred in 2010 that are directly related to the transactions, and do not have a continuing impact on the combined company’s operating results.</w:t>
      </w:r>
    </w:p>
    <w:p>
      <w:pPr>
        <w:spacing w:after="0" w:line="62" w:lineRule="exact"/>
        <w:rPr>
          <w:rFonts w:ascii="Arial" w:cs="Arial" w:eastAsia="Arial" w:hAnsi="Arial"/>
          <w:sz w:val="18"/>
          <w:szCs w:val="18"/>
          <w:color w:val="auto"/>
        </w:rPr>
      </w:pPr>
    </w:p>
    <w:p>
      <w:pPr>
        <w:ind w:left="1480" w:hanging="382"/>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issuance of 176 million of shares of Schlumberger common stock.</w:t>
      </w:r>
    </w:p>
    <w:p>
      <w:pPr>
        <w:spacing w:after="0" w:line="131" w:lineRule="exact"/>
        <w:rPr>
          <w:sz w:val="20"/>
          <w:szCs w:val="20"/>
          <w:color w:val="auto"/>
        </w:rPr>
      </w:pPr>
    </w:p>
    <w:p>
      <w:pPr>
        <w:ind w:left="700" w:right="960" w:firstLine="198"/>
        <w:spacing w:after="0" w:line="277" w:lineRule="auto"/>
        <w:rPr>
          <w:sz w:val="20"/>
          <w:szCs w:val="20"/>
          <w:color w:val="auto"/>
        </w:rPr>
      </w:pPr>
      <w:r>
        <w:rPr>
          <w:rFonts w:ascii="Arial" w:cs="Arial" w:eastAsia="Arial" w:hAnsi="Arial"/>
          <w:sz w:val="18"/>
          <w:szCs w:val="18"/>
          <w:color w:val="auto"/>
        </w:rPr>
        <w:t>Included in the 2010 and 2009 pro forma net income attributable to Schlumberger and diluted earnings per share presented above are the following significant charges and credits: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 except per share data)</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57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color w:val="auto"/>
              </w:rPr>
              <w:t>2009</w:t>
            </w: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840" w:type="dxa"/>
            <w:vAlign w:val="bottom"/>
            <w:gridSpan w:val="5"/>
            <w:vMerge w:val="restart"/>
          </w:tcPr>
          <w:p>
            <w:pPr>
              <w:ind w:left="900"/>
              <w:spacing w:after="0"/>
              <w:rPr>
                <w:sz w:val="20"/>
                <w:szCs w:val="20"/>
                <w:color w:val="auto"/>
              </w:rPr>
            </w:pPr>
            <w:r>
              <w:rPr>
                <w:rFonts w:ascii="Arial" w:cs="Arial" w:eastAsia="Arial" w:hAnsi="Arial"/>
                <w:sz w:val="14"/>
                <w:szCs w:val="14"/>
                <w:b w:val="1"/>
                <w:bCs w:val="1"/>
                <w:color w:val="auto"/>
              </w:rPr>
              <w:t>Net Income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Diluted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gridSpan w:val="3"/>
          </w:tcPr>
          <w:p>
            <w:pPr>
              <w:jc w:val="right"/>
              <w:spacing w:after="0" w:line="119" w:lineRule="exact"/>
              <w:rPr>
                <w:sz w:val="20"/>
                <w:szCs w:val="20"/>
                <w:color w:val="auto"/>
              </w:rPr>
            </w:pPr>
            <w:r>
              <w:rPr>
                <w:rFonts w:ascii="Arial" w:cs="Arial" w:eastAsia="Arial" w:hAnsi="Arial"/>
                <w:sz w:val="13"/>
                <w:szCs w:val="13"/>
                <w:color w:val="auto"/>
              </w:rPr>
              <w:t>Diluted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8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EPS</w:t>
            </w:r>
          </w:p>
        </w:tc>
        <w:tc>
          <w:tcPr>
            <w:tcW w:w="10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9"/>
              </w:rPr>
              <w:t>EPS</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Impact</w:t>
            </w:r>
          </w:p>
        </w:tc>
        <w:tc>
          <w:tcPr>
            <w:tcW w:w="740" w:type="dxa"/>
            <w:vAlign w:val="bottom"/>
            <w:gridSpan w:val="4"/>
          </w:tcPr>
          <w:p>
            <w:pPr>
              <w:ind w:left="40"/>
              <w:spacing w:after="0"/>
              <w:rPr>
                <w:sz w:val="20"/>
                <w:szCs w:val="20"/>
                <w:color w:val="auto"/>
              </w:rPr>
            </w:pPr>
            <w:r>
              <w:rPr>
                <w:rFonts w:ascii="Arial" w:cs="Arial" w:eastAsia="Arial" w:hAnsi="Arial"/>
                <w:sz w:val="14"/>
                <w:szCs w:val="14"/>
                <w:b w:val="1"/>
                <w:bCs w:val="1"/>
                <w:color w:val="auto"/>
              </w:rPr>
              <w:t>Impact *</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Impact</w:t>
            </w:r>
          </w:p>
        </w:tc>
        <w:tc>
          <w:tcPr>
            <w:tcW w:w="60" w:type="dxa"/>
            <w:vAlign w:val="bottom"/>
          </w:tcPr>
          <w:p>
            <w:pPr>
              <w:spacing w:after="0"/>
              <w:rPr>
                <w:sz w:val="14"/>
                <w:szCs w:val="14"/>
                <w:color w:val="auto"/>
              </w:rPr>
            </w:pPr>
          </w:p>
        </w:tc>
        <w:tc>
          <w:tcPr>
            <w:tcW w:w="520" w:type="dxa"/>
            <w:vAlign w:val="bottom"/>
            <w:gridSpan w:val="3"/>
          </w:tcPr>
          <w:p>
            <w:pPr>
              <w:jc w:val="right"/>
              <w:ind w:right="100"/>
              <w:spacing w:after="0"/>
              <w:rPr>
                <w:sz w:val="20"/>
                <w:szCs w:val="20"/>
                <w:color w:val="auto"/>
              </w:rPr>
            </w:pPr>
            <w:r>
              <w:rPr>
                <w:rFonts w:ascii="Arial" w:cs="Arial" w:eastAsia="Arial" w:hAnsi="Arial"/>
                <w:sz w:val="14"/>
                <w:szCs w:val="14"/>
                <w:color w:val="auto"/>
                <w:w w:val="95"/>
              </w:rPr>
              <w:t>Impact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other</w:t>
            </w:r>
            <w:r>
              <w:rPr>
                <w:rFonts w:ascii="Arial" w:cs="Arial" w:eastAsia="Arial" w:hAnsi="Arial"/>
                <w:sz w:val="12"/>
                <w:szCs w:val="12"/>
                <w:color w:val="auto"/>
              </w:rPr>
              <w:t>(1)</w:t>
            </w:r>
          </w:p>
        </w:tc>
        <w:tc>
          <w:tcPr>
            <w:tcW w:w="10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0.06</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Impairment relating to WesternGeco’s first generation Q-Land acquisition system</w:t>
            </w:r>
            <w:r>
              <w:rPr>
                <w:rFonts w:ascii="Arial" w:cs="Arial" w:eastAsia="Arial" w:hAnsi="Arial"/>
                <w:sz w:val="12"/>
                <w:szCs w:val="12"/>
                <w:color w:val="auto"/>
              </w:rPr>
              <w:t>(1)</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WesternGeco-related charges</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Impact of elimination of tax deduction related to Medicare Part D subsidy</w:t>
            </w:r>
            <w:r>
              <w:rPr>
                <w:rFonts w:ascii="Arial" w:cs="Arial" w:eastAsia="Arial" w:hAnsi="Arial"/>
                <w:sz w:val="12"/>
                <w:szCs w:val="12"/>
                <w:color w:val="auto"/>
              </w:rPr>
              <w:t>(1)</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Mexico restructuring</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Venezuelan currency-related losses</w:t>
            </w:r>
            <w:r>
              <w:rPr>
                <w:rFonts w:ascii="Arial" w:cs="Arial" w:eastAsia="Arial" w:hAnsi="Arial"/>
                <w:sz w:val="12"/>
                <w:szCs w:val="12"/>
                <w:color w:val="auto"/>
              </w:rPr>
              <w:t>(2)</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bonds</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0.03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Gain on remeasurement of investment in @Balance</w:t>
            </w:r>
            <w:r>
              <w:rPr>
                <w:rFonts w:ascii="Arial" w:cs="Arial" w:eastAsia="Arial" w:hAnsi="Arial"/>
                <w:sz w:val="12"/>
                <w:szCs w:val="12"/>
                <w:color w:val="auto"/>
              </w:rPr>
              <w:t>(2)</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(18)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(0.01)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benefits curtailment</w:t>
            </w:r>
            <w:r>
              <w:rPr>
                <w:rFonts w:ascii="Arial" w:cs="Arial" w:eastAsia="Arial" w:hAnsi="Arial"/>
                <w:sz w:val="12"/>
                <w:szCs w:val="12"/>
                <w:color w:val="auto"/>
              </w:rPr>
              <w:t>(1)</w:t>
            </w:r>
          </w:p>
        </w:tc>
        <w:tc>
          <w:tcPr>
            <w:tcW w:w="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20"/>
                <w:szCs w:val="20"/>
                <w:color w:val="auto"/>
              </w:rPr>
            </w:pPr>
            <w:r>
              <w:rPr>
                <w:rFonts w:ascii="Arial" w:cs="Arial" w:eastAsia="Arial" w:hAnsi="Arial"/>
                <w:sz w:val="14"/>
                <w:szCs w:val="14"/>
                <w:color w:val="auto"/>
              </w:rPr>
              <w:t>Employee severance</w:t>
            </w:r>
            <w:r>
              <w:rPr>
                <w:rFonts w:ascii="Arial" w:cs="Arial" w:eastAsia="Arial" w:hAnsi="Arial"/>
                <w:sz w:val="12"/>
                <w:szCs w:val="12"/>
                <w:color w:val="auto"/>
              </w:rPr>
              <w:t>(2)</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7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7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0.25</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w:t>
            </w:r>
          </w:p>
        </w:tc>
        <w:tc>
          <w:tcPr>
            <w:tcW w:w="2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Does not add due to rounding</w:t>
      </w:r>
    </w:p>
    <w:p>
      <w:pPr>
        <w:ind w:left="940" w:hanging="240"/>
        <w:spacing w:after="0" w:line="221" w:lineRule="auto"/>
        <w:tabs>
          <w:tab w:leader="none" w:pos="940" w:val="left"/>
        </w:tabs>
        <w:numPr>
          <w:ilvl w:val="1"/>
          <w:numId w:val="37"/>
        </w:numPr>
        <w:rPr>
          <w:rFonts w:ascii="Arial" w:cs="Arial" w:eastAsia="Arial" w:hAnsi="Arial"/>
          <w:sz w:val="14"/>
          <w:szCs w:val="14"/>
          <w:color w:val="auto"/>
        </w:rPr>
      </w:pPr>
      <w:r>
        <w:rPr>
          <w:rFonts w:ascii="Arial" w:cs="Arial" w:eastAsia="Arial" w:hAnsi="Arial"/>
          <w:sz w:val="14"/>
          <w:szCs w:val="14"/>
          <w:color w:val="auto"/>
        </w:rPr>
        <w:t xml:space="preserve">Relates to Schlumberger’s historical operations and is more fully described in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ind w:left="940" w:hanging="240"/>
        <w:spacing w:after="0"/>
        <w:tabs>
          <w:tab w:leader="none" w:pos="940" w:val="left"/>
        </w:tabs>
        <w:numPr>
          <w:ilvl w:val="1"/>
          <w:numId w:val="37"/>
        </w:numPr>
        <w:rPr>
          <w:rFonts w:ascii="Arial" w:cs="Arial" w:eastAsia="Arial" w:hAnsi="Arial"/>
          <w:sz w:val="14"/>
          <w:szCs w:val="14"/>
          <w:color w:val="auto"/>
        </w:rPr>
      </w:pPr>
      <w:r>
        <w:rPr>
          <w:rFonts w:ascii="Arial" w:cs="Arial" w:eastAsia="Arial" w:hAnsi="Arial"/>
          <w:sz w:val="14"/>
          <w:szCs w:val="14"/>
          <w:color w:val="auto"/>
        </w:rPr>
        <w:t>Relates to Smith’s historical operations.</w:t>
      </w:r>
    </w:p>
    <w:p>
      <w:pPr>
        <w:spacing w:after="0" w:line="201" w:lineRule="exact"/>
        <w:rPr>
          <w:rFonts w:ascii="Arial" w:cs="Arial" w:eastAsia="Arial" w:hAnsi="Arial"/>
          <w:sz w:val="14"/>
          <w:szCs w:val="14"/>
          <w:color w:val="auto"/>
        </w:rPr>
      </w:pPr>
    </w:p>
    <w:p>
      <w:pPr>
        <w:ind w:left="1000" w:hanging="307"/>
        <w:spacing w:after="0"/>
        <w:tabs>
          <w:tab w:leader="none" w:pos="10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inventory follows: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33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As at December 31,</w:t>
            </w:r>
          </w:p>
        </w:tc>
        <w:tc>
          <w:tcPr>
            <w:tcW w:w="5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5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$ 1,833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$ 1,646</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6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5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5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1,722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$ 3,804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5"/>
              </w:rPr>
              <w:t>$ 1,866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340" w:type="dxa"/>
            <w:vAlign w:val="bottom"/>
            <w:vMerge w:val="restart"/>
          </w:tcPr>
          <w:p>
            <w:pPr>
              <w:jc w:val="right"/>
              <w:ind w:right="3610"/>
              <w:spacing w:after="0"/>
              <w:rPr>
                <w:sz w:val="20"/>
                <w:szCs w:val="20"/>
                <w:color w:val="auto"/>
              </w:rPr>
            </w:pPr>
            <w:r>
              <w:rPr>
                <w:rFonts w:ascii="Arial" w:cs="Arial" w:eastAsia="Arial" w:hAnsi="Arial"/>
                <w:sz w:val="13"/>
                <w:szCs w:val="13"/>
                <w:color w:val="auto"/>
              </w:rPr>
              <w:t>51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53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42"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Fixed Assets</w:t>
            </w:r>
          </w:p>
        </w:tc>
        <w:tc>
          <w:tcPr>
            <w:tcW w:w="72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5"/>
        </w:trPr>
        <w:tc>
          <w:tcPr>
            <w:tcW w:w="864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8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(Stated in millions)</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19"/>
        </w:trPr>
        <w:tc>
          <w:tcPr>
            <w:tcW w:w="86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As at December 31,</w:t>
            </w:r>
          </w:p>
        </w:tc>
        <w:tc>
          <w:tcPr>
            <w:tcW w:w="4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0"/>
                <w:szCs w:val="10"/>
                <w:color w:val="auto"/>
              </w:rPr>
            </w:pPr>
          </w:p>
        </w:tc>
      </w:tr>
      <w:tr>
        <w:trPr>
          <w:trHeight w:val="149"/>
        </w:trPr>
        <w:tc>
          <w:tcPr>
            <w:tcW w:w="300" w:type="dxa"/>
            <w:vAlign w:val="bottom"/>
          </w:tcPr>
          <w:p>
            <w:pPr>
              <w:spacing w:after="0" w:line="149" w:lineRule="exact"/>
              <w:rPr>
                <w:sz w:val="20"/>
                <w:szCs w:val="20"/>
                <w:color w:val="auto"/>
              </w:rPr>
            </w:pPr>
            <w:r>
              <w:rPr>
                <w:rFonts w:ascii="Arial" w:cs="Arial" w:eastAsia="Arial" w:hAnsi="Arial"/>
                <w:sz w:val="14"/>
                <w:szCs w:val="14"/>
                <w:color w:val="auto"/>
                <w:w w:val="89"/>
              </w:rPr>
              <w:t>Land</w:t>
            </w:r>
          </w:p>
        </w:tc>
        <w:tc>
          <w:tcPr>
            <w:tcW w:w="83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100" w:type="dxa"/>
            <w:vAlign w:val="bottom"/>
          </w:tcPr>
          <w:p>
            <w:pPr>
              <w:spacing w:after="0"/>
              <w:rPr>
                <w:sz w:val="12"/>
                <w:szCs w:val="12"/>
                <w:color w:val="auto"/>
              </w:rPr>
            </w:pPr>
          </w:p>
        </w:tc>
      </w:tr>
      <w:tr>
        <w:trPr>
          <w:trHeight w:val="149"/>
        </w:trPr>
        <w:tc>
          <w:tcPr>
            <w:tcW w:w="8640" w:type="dxa"/>
            <w:vAlign w:val="bottom"/>
            <w:gridSpan w:val="4"/>
          </w:tcPr>
          <w:p>
            <w:pPr>
              <w:spacing w:after="0" w:line="149" w:lineRule="exact"/>
              <w:rPr>
                <w:sz w:val="20"/>
                <w:szCs w:val="20"/>
                <w:color w:val="auto"/>
              </w:rPr>
            </w:pPr>
            <w:r>
              <w:rPr>
                <w:rFonts w:ascii="Arial" w:cs="Arial" w:eastAsia="Arial" w:hAnsi="Arial"/>
                <w:sz w:val="14"/>
                <w:szCs w:val="14"/>
                <w:color w:val="auto"/>
              </w:rPr>
              <w:t>Buildings &amp; improvements</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1,806</w:t>
            </w:r>
          </w:p>
        </w:tc>
        <w:tc>
          <w:tcPr>
            <w:tcW w:w="100" w:type="dxa"/>
            <w:vAlign w:val="bottom"/>
          </w:tcPr>
          <w:p>
            <w:pPr>
              <w:spacing w:after="0"/>
              <w:rPr>
                <w:sz w:val="12"/>
                <w:szCs w:val="12"/>
                <w:color w:val="auto"/>
              </w:rPr>
            </w:pPr>
          </w:p>
        </w:tc>
      </w:tr>
      <w:tr>
        <w:trPr>
          <w:trHeight w:val="149"/>
        </w:trPr>
        <w:tc>
          <w:tcPr>
            <w:tcW w:w="8640" w:type="dxa"/>
            <w:vAlign w:val="bottom"/>
            <w:gridSpan w:val="4"/>
          </w:tcPr>
          <w:p>
            <w:pPr>
              <w:spacing w:after="0" w:line="149" w:lineRule="exact"/>
              <w:rPr>
                <w:sz w:val="20"/>
                <w:szCs w:val="20"/>
                <w:color w:val="auto"/>
              </w:rPr>
            </w:pPr>
            <w:r>
              <w:rPr>
                <w:rFonts w:ascii="Arial" w:cs="Arial" w:eastAsia="Arial" w:hAnsi="Arial"/>
                <w:sz w:val="14"/>
                <w:szCs w:val="14"/>
                <w:color w:val="auto"/>
              </w:rPr>
              <w:t>Machinery &amp; equipment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21,873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88"/>
              </w:rPr>
              <w:t>17,939</w:t>
            </w:r>
          </w:p>
        </w:tc>
        <w:tc>
          <w:tcPr>
            <w:tcW w:w="100" w:type="dxa"/>
            <w:vAlign w:val="bottom"/>
          </w:tcPr>
          <w:p>
            <w:pPr>
              <w:spacing w:after="0"/>
              <w:rPr>
                <w:sz w:val="12"/>
                <w:szCs w:val="12"/>
                <w:color w:val="auto"/>
              </w:rPr>
            </w:pPr>
          </w:p>
        </w:tc>
      </w:tr>
      <w:tr>
        <w:trPr>
          <w:trHeight w:val="153"/>
        </w:trPr>
        <w:tc>
          <w:tcPr>
            <w:tcW w:w="8640" w:type="dxa"/>
            <w:vAlign w:val="bottom"/>
            <w:gridSpan w:val="4"/>
          </w:tcPr>
          <w:p>
            <w:pPr>
              <w:spacing w:after="0" w:line="153" w:lineRule="exact"/>
              <w:rPr>
                <w:sz w:val="20"/>
                <w:szCs w:val="20"/>
                <w:color w:val="auto"/>
              </w:rPr>
            </w:pPr>
            <w:r>
              <w:rPr>
                <w:rFonts w:ascii="Arial" w:cs="Arial" w:eastAsia="Arial" w:hAnsi="Arial"/>
                <w:sz w:val="14"/>
                <w:szCs w:val="14"/>
                <w:color w:val="auto"/>
              </w:rPr>
              <w:t>Seismic vessels and related equipment</w:t>
            </w:r>
          </w:p>
        </w:tc>
        <w:tc>
          <w:tcPr>
            <w:tcW w:w="4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1,861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line="153" w:lineRule="exact"/>
              <w:rPr>
                <w:sz w:val="20"/>
                <w:szCs w:val="20"/>
                <w:color w:val="auto"/>
              </w:rPr>
            </w:pPr>
            <w:r>
              <w:rPr>
                <w:rFonts w:ascii="Arial" w:cs="Arial" w:eastAsia="Arial" w:hAnsi="Arial"/>
                <w:sz w:val="14"/>
                <w:szCs w:val="14"/>
                <w:color w:val="auto"/>
              </w:rPr>
              <w:t>924</w:t>
            </w:r>
          </w:p>
        </w:tc>
        <w:tc>
          <w:tcPr>
            <w:tcW w:w="100" w:type="dxa"/>
            <w:vAlign w:val="bottom"/>
          </w:tcPr>
          <w:p>
            <w:pPr>
              <w:spacing w:after="0"/>
              <w:rPr>
                <w:sz w:val="13"/>
                <w:szCs w:val="13"/>
                <w:color w:val="auto"/>
              </w:rPr>
            </w:pPr>
          </w:p>
        </w:tc>
      </w:tr>
      <w:tr>
        <w:trPr>
          <w:trHeight w:val="181"/>
        </w:trPr>
        <w:tc>
          <w:tcPr>
            <w:tcW w:w="8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Seismic vessels under construction</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5"/>
                <w:szCs w:val="15"/>
                <w:color w:val="auto"/>
              </w:rPr>
            </w:pPr>
          </w:p>
        </w:tc>
      </w:tr>
      <w:tr>
        <w:trPr>
          <w:trHeight w:val="133"/>
        </w:trPr>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8"/>
              </w:rPr>
              <w:t>26,679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Arial" w:cs="Arial" w:eastAsia="Arial" w:hAnsi="Arial"/>
                <w:sz w:val="14"/>
                <w:szCs w:val="14"/>
                <w:color w:val="auto"/>
                <w:w w:val="88"/>
              </w:rPr>
              <w:t>21,505</w:t>
            </w:r>
          </w:p>
        </w:tc>
        <w:tc>
          <w:tcPr>
            <w:tcW w:w="100" w:type="dxa"/>
            <w:vAlign w:val="bottom"/>
          </w:tcPr>
          <w:p>
            <w:pPr>
              <w:spacing w:after="0"/>
              <w:rPr>
                <w:sz w:val="11"/>
                <w:szCs w:val="11"/>
                <w:color w:val="auto"/>
              </w:rPr>
            </w:pPr>
          </w:p>
        </w:tc>
      </w:tr>
      <w:tr>
        <w:trPr>
          <w:trHeight w:val="185"/>
        </w:trPr>
        <w:tc>
          <w:tcPr>
            <w:tcW w:w="864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rPr>
              <w:t>Less accumulated depreciation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14,608</w:t>
            </w: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8"/>
              </w:rPr>
              <w:t>11,845</w:t>
            </w:r>
          </w:p>
        </w:tc>
        <w:tc>
          <w:tcPr>
            <w:tcW w:w="100" w:type="dxa"/>
            <w:vAlign w:val="bottom"/>
          </w:tcPr>
          <w:p>
            <w:pPr>
              <w:spacing w:after="0"/>
              <w:rPr>
                <w:sz w:val="16"/>
                <w:szCs w:val="16"/>
                <w:color w:val="auto"/>
              </w:rPr>
            </w:pPr>
          </w:p>
        </w:tc>
      </w:tr>
      <w:tr>
        <w:trPr>
          <w:trHeight w:val="156"/>
        </w:trPr>
        <w:tc>
          <w:tcPr>
            <w:tcW w:w="300" w:type="dxa"/>
            <w:vAlign w:val="bottom"/>
          </w:tcPr>
          <w:p>
            <w:pPr>
              <w:spacing w:after="0"/>
              <w:rPr>
                <w:sz w:val="13"/>
                <w:szCs w:val="13"/>
                <w:color w:val="auto"/>
              </w:rPr>
            </w:pPr>
          </w:p>
        </w:tc>
        <w:tc>
          <w:tcPr>
            <w:tcW w:w="834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8"/>
              </w:rPr>
              <w:t>12,071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9,660</w:t>
            </w:r>
          </w:p>
        </w:tc>
        <w:tc>
          <w:tcPr>
            <w:tcW w:w="100" w:type="dxa"/>
            <w:vAlign w:val="bottom"/>
          </w:tcPr>
          <w:p>
            <w:pPr>
              <w:spacing w:after="0"/>
              <w:rPr>
                <w:sz w:val="13"/>
                <w:szCs w:val="13"/>
                <w:color w:val="auto"/>
              </w:rPr>
            </w:pPr>
          </w:p>
        </w:tc>
      </w:tr>
      <w:tr>
        <w:trPr>
          <w:trHeight w:val="20"/>
        </w:trPr>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220" w:firstLine="198"/>
        <w:spacing w:after="0" w:line="256" w:lineRule="auto"/>
        <w:rPr>
          <w:sz w:val="20"/>
          <w:szCs w:val="20"/>
          <w:color w:val="auto"/>
        </w:rPr>
      </w:pPr>
      <w:r>
        <w:rPr>
          <w:rFonts w:ascii="Arial" w:cs="Arial" w:eastAsia="Arial" w:hAnsi="Arial"/>
          <w:sz w:val="18"/>
          <w:szCs w:val="18"/>
          <w:color w:val="auto"/>
        </w:rPr>
        <w:t>The estimated useful lives of Buildings &amp; improvements are primarily 30 to 40 years. The estimated useful lives of Machinery &amp; equipment are primarily 5 to 10 years. Seismic vessels are depreciated over periods ranging from 20 to 30 years with the related equipment generally depreciated over 5 years.</w:t>
      </w:r>
    </w:p>
    <w:p>
      <w:pPr>
        <w:ind w:left="900"/>
        <w:spacing w:after="0"/>
        <w:rPr>
          <w:sz w:val="20"/>
          <w:szCs w:val="20"/>
          <w:color w:val="auto"/>
        </w:rPr>
      </w:pPr>
      <w:r>
        <w:rPr>
          <w:rFonts w:ascii="Arial" w:cs="Arial" w:eastAsia="Arial" w:hAnsi="Arial"/>
          <w:sz w:val="18"/>
          <w:szCs w:val="18"/>
          <w:color w:val="auto"/>
        </w:rPr>
        <w:t>Depreciation expense relating to fixed assets was $2.4 billion, $2.1 billion and $1.9 billion in 2010, 2009 and 2008, respectively.</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8820" w:type="dxa"/>
            <w:vAlign w:val="bottom"/>
            <w:gridSpan w:val="3"/>
          </w:tcPr>
          <w:p>
            <w:pPr>
              <w:spacing w:after="0"/>
              <w:rPr>
                <w:sz w:val="20"/>
                <w:szCs w:val="20"/>
                <w:color w:val="auto"/>
              </w:rPr>
            </w:pPr>
            <w:r>
              <w:rPr>
                <w:rFonts w:ascii="Arial" w:cs="Arial" w:eastAsia="Arial" w:hAnsi="Arial"/>
                <w:sz w:val="18"/>
                <w:szCs w:val="18"/>
                <w:b w:val="1"/>
                <w:bCs w:val="1"/>
                <w:color w:val="auto"/>
              </w:rPr>
              <w:t>7.  Multiclient Seismic Data</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8820" w:type="dxa"/>
            <w:vAlign w:val="bottom"/>
            <w:gridSpan w:val="3"/>
          </w:tcPr>
          <w:p>
            <w:pPr>
              <w:spacing w:after="0"/>
              <w:rPr>
                <w:sz w:val="20"/>
                <w:szCs w:val="20"/>
                <w:color w:val="auto"/>
              </w:rPr>
            </w:pPr>
            <w:r>
              <w:rPr>
                <w:rFonts w:ascii="Arial" w:cs="Arial" w:eastAsia="Arial" w:hAnsi="Arial"/>
                <w:sz w:val="18"/>
                <w:szCs w:val="18"/>
                <w:color w:val="auto"/>
              </w:rPr>
              <w:t>The change in the carrying amount of multiclient seismic data is as follows: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8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5"/>
                <w:szCs w:val="15"/>
                <w:color w:val="auto"/>
              </w:rPr>
            </w:pPr>
          </w:p>
        </w:tc>
      </w:tr>
      <w:tr>
        <w:trPr>
          <w:trHeight w:val="165"/>
        </w:trPr>
        <w:tc>
          <w:tcPr>
            <w:tcW w:w="88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Balance at beginning of year</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288</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4"/>
                <w:szCs w:val="14"/>
                <w:color w:val="auto"/>
              </w:rPr>
            </w:pPr>
          </w:p>
        </w:tc>
      </w:tr>
      <w:tr>
        <w:trPr>
          <w:trHeight w:val="149"/>
        </w:trPr>
        <w:tc>
          <w:tcPr>
            <w:tcW w:w="8820" w:type="dxa"/>
            <w:vAlign w:val="bottom"/>
            <w:gridSpan w:val="3"/>
          </w:tcPr>
          <w:p>
            <w:pPr>
              <w:spacing w:after="0" w:line="149" w:lineRule="exact"/>
              <w:rPr>
                <w:sz w:val="20"/>
                <w:szCs w:val="20"/>
                <w:color w:val="auto"/>
              </w:rPr>
            </w:pPr>
            <w:r>
              <w:rPr>
                <w:rFonts w:ascii="Arial" w:cs="Arial" w:eastAsia="Arial" w:hAnsi="Arial"/>
                <w:sz w:val="14"/>
                <w:szCs w:val="14"/>
                <w:color w:val="auto"/>
              </w:rPr>
              <w:t>Capitalized in year</w:t>
            </w: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100" w:type="dxa"/>
            <w:vAlign w:val="bottom"/>
          </w:tcPr>
          <w:p>
            <w:pPr>
              <w:spacing w:after="0"/>
              <w:rPr>
                <w:sz w:val="12"/>
                <w:szCs w:val="12"/>
                <w:color w:val="auto"/>
              </w:rPr>
            </w:pPr>
          </w:p>
        </w:tc>
      </w:tr>
      <w:tr>
        <w:trPr>
          <w:trHeight w:val="149"/>
        </w:trPr>
        <w:tc>
          <w:tcPr>
            <w:tcW w:w="88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Charged to expense</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(220)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(229)</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3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394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288</w:t>
            </w:r>
          </w:p>
        </w:tc>
        <w:tc>
          <w:tcPr>
            <w:tcW w:w="100" w:type="dxa"/>
            <w:vAlign w:val="bottom"/>
          </w:tcPr>
          <w:p>
            <w:pPr>
              <w:spacing w:after="0"/>
              <w:rPr>
                <w:sz w:val="12"/>
                <w:szCs w:val="12"/>
                <w:color w:val="auto"/>
              </w:rPr>
            </w:pPr>
          </w:p>
        </w:tc>
      </w:tr>
      <w:tr>
        <w:trPr>
          <w:trHeight w:val="20"/>
        </w:trPr>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tabs>
          <w:tab w:leader="none" w:pos="9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u w:val="single" w:color="auto"/>
          <w:color w:val="auto"/>
        </w:rPr>
        <w:t>Goodwill</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changes in the carrying amount of goodwill by business segment were as follows:</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(Stated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10"/>
        </w:trPr>
        <w:tc>
          <w:tcPr>
            <w:tcW w:w="700" w:type="dxa"/>
            <w:vAlign w:val="bottom"/>
          </w:tcPr>
          <w:p>
            <w:pPr>
              <w:spacing w:after="0"/>
              <w:rPr>
                <w:sz w:val="9"/>
                <w:szCs w:val="9"/>
                <w:color w:val="auto"/>
              </w:rPr>
            </w:pPr>
          </w:p>
        </w:tc>
        <w:tc>
          <w:tcPr>
            <w:tcW w:w="40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3"/>
          </w:tcPr>
          <w:p>
            <w:pPr>
              <w:jc w:val="right"/>
              <w:ind w:right="220"/>
              <w:spacing w:after="0" w:line="110" w:lineRule="exact"/>
              <w:rPr>
                <w:sz w:val="20"/>
                <w:szCs w:val="20"/>
                <w:color w:val="auto"/>
              </w:rPr>
            </w:pPr>
            <w:r>
              <w:rPr>
                <w:rFonts w:ascii="Arial" w:cs="Arial" w:eastAsia="Arial" w:hAnsi="Arial"/>
                <w:sz w:val="12"/>
                <w:szCs w:val="12"/>
                <w:b w:val="1"/>
                <w:bCs w:val="1"/>
                <w:color w:val="auto"/>
              </w:rPr>
              <w:t>Oilfield</w:t>
            </w:r>
          </w:p>
        </w:tc>
        <w:tc>
          <w:tcPr>
            <w:tcW w:w="1000" w:type="dxa"/>
            <w:vAlign w:val="bottom"/>
            <w:tcBorders>
              <w:top w:val="single" w:sz="8" w:color="auto"/>
            </w:tcBorders>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rPr>
              <w:t>Western</w:t>
            </w:r>
          </w:p>
        </w:tc>
        <w:tc>
          <w:tcPr>
            <w:tcW w:w="80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M-I</w:t>
            </w: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Smith</w:t>
            </w:r>
          </w:p>
        </w:tc>
        <w:tc>
          <w:tcPr>
            <w:tcW w:w="2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Services</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Geco</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SWACO</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Oilfield</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Distribution</w:t>
            </w:r>
          </w:p>
        </w:tc>
        <w:tc>
          <w:tcPr>
            <w:tcW w:w="18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00" w:type="dxa"/>
            <w:vAlign w:val="bottom"/>
            <w:vMerge w:val="restart"/>
          </w:tcPr>
          <w:p>
            <w:pPr>
              <w:spacing w:after="0"/>
              <w:rPr>
                <w:sz w:val="3"/>
                <w:szCs w:val="3"/>
                <w:color w:val="auto"/>
              </w:rPr>
            </w:pPr>
          </w:p>
        </w:tc>
        <w:tc>
          <w:tcPr>
            <w:tcW w:w="4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70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$5,189</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Balance, December 31, 2009</w:t>
            </w:r>
          </w:p>
        </w:tc>
        <w:tc>
          <w:tcPr>
            <w:tcW w:w="8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4,290</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1,015</w:t>
            </w:r>
          </w:p>
        </w:tc>
        <w:tc>
          <w:tcPr>
            <w:tcW w:w="2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5,305</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Smith</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3,349</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7,892</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color w:val="auto"/>
              </w:rPr>
              <w:t>Impact of change in exchange rates</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4"/>
                <w:szCs w:val="14"/>
                <w:color w:val="auto"/>
              </w:rPr>
              <w:t>(6)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2010</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$6,112</w:t>
            </w: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$974</w:t>
            </w:r>
          </w:p>
        </w:tc>
        <w:tc>
          <w:tcPr>
            <w:tcW w:w="20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$3,447</w:t>
            </w:r>
          </w:p>
        </w:tc>
        <w:tc>
          <w:tcPr>
            <w:tcW w:w="18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$3,349</w:t>
            </w:r>
          </w:p>
        </w:tc>
        <w:tc>
          <w:tcPr>
            <w:tcW w:w="20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$13,952</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3"/>
                <w:szCs w:val="13"/>
                <w:color w:val="auto"/>
              </w:rPr>
              <w:t>52</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1" w:lineRule="exact"/>
        <w:rPr>
          <w:sz w:val="20"/>
          <w:szCs w:val="20"/>
          <w:color w:val="auto"/>
        </w:rPr>
      </w:pPr>
    </w:p>
    <w:p>
      <w:pPr>
        <w:ind w:left="1000" w:hanging="307"/>
        <w:spacing w:after="0"/>
        <w:tabs>
          <w:tab w:leader="none" w:pos="10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6" w:lineRule="exact"/>
        <w:rPr>
          <w:sz w:val="20"/>
          <w:szCs w:val="20"/>
          <w:color w:val="auto"/>
        </w:rPr>
      </w:pPr>
    </w:p>
    <w:p>
      <w:pPr>
        <w:ind w:left="700" w:right="180" w:firstLine="198"/>
        <w:spacing w:after="0" w:line="277" w:lineRule="auto"/>
        <w:rPr>
          <w:sz w:val="20"/>
          <w:szCs w:val="20"/>
          <w:color w:val="auto"/>
        </w:rPr>
      </w:pPr>
      <w:r>
        <w:rPr>
          <w:rFonts w:ascii="Arial" w:cs="Arial" w:eastAsia="Arial" w:hAnsi="Arial"/>
          <w:sz w:val="18"/>
          <w:szCs w:val="18"/>
          <w:color w:val="auto"/>
        </w:rPr>
        <w:t>Intangible assets principally comprise technology/technical know-how, tradenames and customer relationships. At December 31, the gross book value and accumulated amortization of intangible assets were as follows:</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(Stated in millions )</w:t>
      </w:r>
    </w:p>
    <w:p>
      <w:pPr>
        <w:spacing w:after="0" w:line="4"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46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gridSpan w:val="2"/>
          </w:tcPr>
          <w:p>
            <w:pPr>
              <w:jc w:val="right"/>
              <w:ind w:right="256"/>
              <w:spacing w:after="0" w:line="129" w:lineRule="exact"/>
              <w:rPr>
                <w:sz w:val="20"/>
                <w:szCs w:val="20"/>
                <w:color w:val="auto"/>
              </w:rPr>
            </w:pPr>
            <w:r>
              <w:rPr>
                <w:rFonts w:ascii="Arial" w:cs="Arial" w:eastAsia="Arial" w:hAnsi="Arial"/>
                <w:sz w:val="13"/>
                <w:szCs w:val="13"/>
                <w:b w:val="1"/>
                <w:bCs w:val="1"/>
                <w:color w:val="auto"/>
              </w:rPr>
              <w:t>2010</w:t>
            </w: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gridSpan w:val="2"/>
          </w:tcPr>
          <w:p>
            <w:pPr>
              <w:jc w:val="right"/>
              <w:ind w:right="256"/>
              <w:spacing w:after="0" w:line="129" w:lineRule="exact"/>
              <w:rPr>
                <w:sz w:val="20"/>
                <w:szCs w:val="20"/>
                <w:color w:val="auto"/>
              </w:rPr>
            </w:pPr>
            <w:r>
              <w:rPr>
                <w:rFonts w:ascii="Arial" w:cs="Arial" w:eastAsia="Arial" w:hAnsi="Arial"/>
                <w:sz w:val="13"/>
                <w:szCs w:val="13"/>
                <w:b w:val="1"/>
                <w:bCs w:val="1"/>
                <w:color w:val="auto"/>
              </w:rPr>
              <w:t>2009</w:t>
            </w:r>
          </w:p>
        </w:tc>
        <w:tc>
          <w:tcPr>
            <w:tcW w:w="2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1020" w:type="dxa"/>
            <w:vAlign w:val="bottom"/>
            <w:gridSpan w:val="2"/>
          </w:tcPr>
          <w:p>
            <w:pPr>
              <w:jc w:val="right"/>
              <w:ind w:right="120"/>
              <w:spacing w:after="0" w:line="110" w:lineRule="exact"/>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9"/>
                <w:szCs w:val="9"/>
                <w:color w:val="auto"/>
              </w:rPr>
            </w:pPr>
          </w:p>
        </w:tc>
        <w:tc>
          <w:tcPr>
            <w:tcW w:w="9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9"/>
                <w:szCs w:val="9"/>
                <w:color w:val="auto"/>
              </w:rPr>
            </w:pPr>
          </w:p>
        </w:tc>
        <w:tc>
          <w:tcPr>
            <w:tcW w:w="9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Net Book</w:t>
            </w:r>
          </w:p>
        </w:tc>
        <w:tc>
          <w:tcPr>
            <w:tcW w:w="200" w:type="dxa"/>
            <w:vAlign w:val="bottom"/>
          </w:tcPr>
          <w:p>
            <w:pPr>
              <w:spacing w:after="0"/>
              <w:rPr>
                <w:sz w:val="9"/>
                <w:szCs w:val="9"/>
                <w:color w:val="auto"/>
              </w:rPr>
            </w:pPr>
          </w:p>
        </w:tc>
        <w:tc>
          <w:tcPr>
            <w:tcW w:w="8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Gross</w:t>
            </w:r>
          </w:p>
        </w:tc>
        <w:tc>
          <w:tcPr>
            <w:tcW w:w="180" w:type="dxa"/>
            <w:vAlign w:val="bottom"/>
          </w:tcPr>
          <w:p>
            <w:pPr>
              <w:spacing w:after="0"/>
              <w:rPr>
                <w:sz w:val="9"/>
                <w:szCs w:val="9"/>
                <w:color w:val="auto"/>
              </w:rPr>
            </w:pPr>
          </w:p>
        </w:tc>
        <w:tc>
          <w:tcPr>
            <w:tcW w:w="8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9"/>
                <w:szCs w:val="9"/>
                <w:color w:val="auto"/>
              </w:rPr>
            </w:pPr>
          </w:p>
        </w:tc>
        <w:tc>
          <w:tcPr>
            <w:tcW w:w="8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Net Book</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Book Value</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Book Value</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3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Technology/Technical Know-How</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$1,846</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$215</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$1,631</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Tradenames</w:t>
            </w: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1,678</w:t>
            </w:r>
          </w:p>
        </w:tc>
        <w:tc>
          <w:tcPr>
            <w:tcW w:w="12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61</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1,617</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1,963</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129</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1,834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378</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298</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w:t>
            </w:r>
          </w:p>
        </w:tc>
        <w:tc>
          <w:tcPr>
            <w:tcW w:w="2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$5,865</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$703</w:t>
            </w: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$5,162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$1,342</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Amortization expense was $190 million in 2010, $114 million in 2009 and $124 million in 2008.</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weighted average amortization period for all intangible assets is approximately 21 years.</w:t>
      </w:r>
    </w:p>
    <w:p>
      <w:pPr>
        <w:spacing w:after="0" w:line="9" w:lineRule="exact"/>
        <w:rPr>
          <w:sz w:val="20"/>
          <w:szCs w:val="20"/>
          <w:color w:val="auto"/>
        </w:rPr>
      </w:pPr>
    </w:p>
    <w:p>
      <w:pPr>
        <w:ind w:left="700" w:right="260" w:firstLine="198"/>
        <w:spacing w:after="0" w:line="261" w:lineRule="auto"/>
        <w:rPr>
          <w:sz w:val="20"/>
          <w:szCs w:val="20"/>
          <w:color w:val="auto"/>
        </w:rPr>
      </w:pPr>
      <w:r>
        <w:rPr>
          <w:rFonts w:ascii="Arial" w:cs="Arial" w:eastAsia="Arial" w:hAnsi="Arial"/>
          <w:sz w:val="18"/>
          <w:szCs w:val="18"/>
          <w:color w:val="auto"/>
        </w:rPr>
        <w:t>Amortization expense for the subsequent five years is estimated to be as follows: 2011 – $323 million, 2012 – $316 million, 2013 – $298 million, 2014 – $292 million and 2015 – $277 million.</w:t>
      </w:r>
    </w:p>
    <w:p>
      <w:pPr>
        <w:spacing w:after="0" w:line="189" w:lineRule="exact"/>
        <w:rPr>
          <w:sz w:val="20"/>
          <w:szCs w:val="20"/>
          <w:color w:val="auto"/>
        </w:rPr>
      </w:pPr>
    </w:p>
    <w:p>
      <w:pPr>
        <w:ind w:left="1100" w:hanging="407"/>
        <w:spacing w:after="0"/>
        <w:tabs>
          <w:tab w:leader="none" w:pos="11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Debt Facility Agreements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consists of the following:</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4.50%</w:t>
            </w:r>
          </w:p>
        </w:tc>
        <w:tc>
          <w:tcPr>
            <w:tcW w:w="8320" w:type="dxa"/>
            <w:vAlign w:val="bottom"/>
          </w:tcPr>
          <w:p>
            <w:pPr>
              <w:ind w:left="20"/>
              <w:spacing w:after="0" w:line="149" w:lineRule="exact"/>
              <w:rPr>
                <w:sz w:val="20"/>
                <w:szCs w:val="20"/>
                <w:color w:val="auto"/>
              </w:rPr>
            </w:pPr>
            <w:r>
              <w:rPr>
                <w:rFonts w:ascii="Arial" w:cs="Arial" w:eastAsia="Arial" w:hAnsi="Arial"/>
                <w:sz w:val="14"/>
                <w:szCs w:val="14"/>
                <w:color w:val="auto"/>
              </w:rPr>
              <w:t>Guaranteed Notes due 2014</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$ 1,319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$ 1,449</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2.75%</w:t>
            </w:r>
          </w:p>
        </w:tc>
        <w:tc>
          <w:tcPr>
            <w:tcW w:w="8320" w:type="dxa"/>
            <w:vAlign w:val="bottom"/>
          </w:tcPr>
          <w:p>
            <w:pPr>
              <w:ind w:left="20"/>
              <w:spacing w:after="0" w:line="149" w:lineRule="exact"/>
              <w:rPr>
                <w:sz w:val="20"/>
                <w:szCs w:val="20"/>
                <w:color w:val="auto"/>
              </w:rPr>
            </w:pPr>
            <w:r>
              <w:rPr>
                <w:rFonts w:ascii="Arial" w:cs="Arial" w:eastAsia="Arial" w:hAnsi="Arial"/>
                <w:sz w:val="14"/>
                <w:szCs w:val="14"/>
                <w:color w:val="auto"/>
              </w:rPr>
              <w:t>Guranteed Notes due 2015</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5.25%</w:t>
            </w:r>
          </w:p>
        </w:tc>
        <w:tc>
          <w:tcPr>
            <w:tcW w:w="8320" w:type="dxa"/>
            <w:vAlign w:val="bottom"/>
          </w:tcPr>
          <w:p>
            <w:pPr>
              <w:ind w:left="20"/>
              <w:spacing w:after="0" w:line="149" w:lineRule="exact"/>
              <w:rPr>
                <w:sz w:val="20"/>
                <w:szCs w:val="20"/>
                <w:color w:val="auto"/>
              </w:rPr>
            </w:pPr>
            <w:r>
              <w:rPr>
                <w:rFonts w:ascii="Arial" w:cs="Arial" w:eastAsia="Arial" w:hAnsi="Arial"/>
                <w:sz w:val="14"/>
                <w:szCs w:val="14"/>
                <w:color w:val="auto"/>
              </w:rPr>
              <w:t>Guaranteed Notes due 2013</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727</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9.75%</w:t>
            </w:r>
          </w:p>
        </w:tc>
        <w:tc>
          <w:tcPr>
            <w:tcW w:w="832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2019</w:t>
            </w:r>
            <w:r>
              <w:rPr>
                <w:rFonts w:ascii="Arial" w:cs="Arial" w:eastAsia="Arial" w:hAnsi="Arial"/>
                <w:sz w:val="12"/>
                <w:szCs w:val="12"/>
                <w:color w:val="auto"/>
              </w:rPr>
              <w:t>(1)</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776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w w:val="90"/>
              </w:rPr>
              <w:t>3.00%</w:t>
            </w:r>
          </w:p>
        </w:tc>
        <w:tc>
          <w:tcPr>
            <w:tcW w:w="8320" w:type="dxa"/>
            <w:vAlign w:val="bottom"/>
          </w:tcPr>
          <w:p>
            <w:pPr>
              <w:ind w:left="20"/>
              <w:spacing w:after="0" w:line="149" w:lineRule="exact"/>
              <w:rPr>
                <w:sz w:val="20"/>
                <w:szCs w:val="20"/>
                <w:color w:val="auto"/>
              </w:rPr>
            </w:pPr>
            <w:r>
              <w:rPr>
                <w:rFonts w:ascii="Arial" w:cs="Arial" w:eastAsia="Arial" w:hAnsi="Arial"/>
                <w:sz w:val="14"/>
                <w:szCs w:val="14"/>
                <w:color w:val="auto"/>
              </w:rPr>
              <w:t>Guaranteed Notes due 2013</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450</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449</w:t>
            </w:r>
          </w:p>
        </w:tc>
      </w:tr>
      <w:tr>
        <w:trPr>
          <w:trHeight w:val="149"/>
        </w:trPr>
        <w:tc>
          <w:tcPr>
            <w:tcW w:w="8700" w:type="dxa"/>
            <w:vAlign w:val="bottom"/>
            <w:gridSpan w:val="2"/>
          </w:tcPr>
          <w:p>
            <w:pPr>
              <w:spacing w:after="0" w:line="149" w:lineRule="exact"/>
              <w:rPr>
                <w:sz w:val="20"/>
                <w:szCs w:val="20"/>
                <w:color w:val="auto"/>
              </w:rPr>
            </w:pPr>
            <w:r>
              <w:rPr>
                <w:rFonts w:ascii="Arial" w:cs="Arial" w:eastAsia="Arial" w:hAnsi="Arial"/>
                <w:sz w:val="14"/>
                <w:szCs w:val="14"/>
                <w:color w:val="auto"/>
              </w:rPr>
              <w:t>8.625% Senior Notes due 2014</w:t>
            </w:r>
            <w:r>
              <w:rPr>
                <w:rFonts w:ascii="Arial" w:cs="Arial" w:eastAsia="Arial" w:hAnsi="Arial"/>
                <w:sz w:val="12"/>
                <w:szCs w:val="12"/>
                <w:color w:val="auto"/>
              </w:rPr>
              <w:t>(1)</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3"/>
        </w:trPr>
        <w:tc>
          <w:tcPr>
            <w:tcW w:w="380" w:type="dxa"/>
            <w:vAlign w:val="bottom"/>
          </w:tcPr>
          <w:p>
            <w:pPr>
              <w:spacing w:after="0" w:line="153" w:lineRule="exact"/>
              <w:rPr>
                <w:sz w:val="20"/>
                <w:szCs w:val="20"/>
                <w:color w:val="auto"/>
              </w:rPr>
            </w:pPr>
            <w:r>
              <w:rPr>
                <w:rFonts w:ascii="Arial" w:cs="Arial" w:eastAsia="Arial" w:hAnsi="Arial"/>
                <w:sz w:val="14"/>
                <w:szCs w:val="14"/>
                <w:color w:val="auto"/>
                <w:w w:val="90"/>
              </w:rPr>
              <w:t>6.00%</w:t>
            </w:r>
          </w:p>
        </w:tc>
        <w:tc>
          <w:tcPr>
            <w:tcW w:w="8320" w:type="dxa"/>
            <w:vAlign w:val="bottom"/>
          </w:tcPr>
          <w:p>
            <w:pPr>
              <w:ind w:left="20"/>
              <w:spacing w:after="0" w:line="153" w:lineRule="exact"/>
              <w:rPr>
                <w:sz w:val="20"/>
                <w:szCs w:val="20"/>
                <w:color w:val="auto"/>
              </w:rPr>
            </w:pPr>
            <w:r>
              <w:rPr>
                <w:rFonts w:ascii="Arial" w:cs="Arial" w:eastAsia="Arial" w:hAnsi="Arial"/>
                <w:sz w:val="14"/>
                <w:szCs w:val="14"/>
                <w:color w:val="auto"/>
              </w:rPr>
              <w:t>Senior Notes due 2016</w:t>
            </w:r>
            <w:r>
              <w:rPr>
                <w:rFonts w:ascii="Arial" w:cs="Arial" w:eastAsia="Arial" w:hAnsi="Arial"/>
                <w:sz w:val="12"/>
                <w:szCs w:val="12"/>
                <w:color w:val="auto"/>
              </w:rPr>
              <w:t>(1)</w:t>
            </w:r>
          </w:p>
        </w:tc>
        <w:tc>
          <w:tcPr>
            <w:tcW w:w="4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218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r>
      <w:tr>
        <w:trPr>
          <w:trHeight w:val="149"/>
        </w:trPr>
        <w:tc>
          <w:tcPr>
            <w:tcW w:w="8700" w:type="dxa"/>
            <w:vAlign w:val="bottom"/>
            <w:gridSpan w:val="2"/>
          </w:tcPr>
          <w:p>
            <w:pPr>
              <w:spacing w:after="0" w:line="149" w:lineRule="exact"/>
              <w:rPr>
                <w:sz w:val="20"/>
                <w:szCs w:val="20"/>
                <w:color w:val="auto"/>
              </w:rPr>
            </w:pPr>
            <w:r>
              <w:rPr>
                <w:rFonts w:ascii="Arial" w:cs="Arial" w:eastAsia="Arial" w:hAnsi="Arial"/>
                <w:sz w:val="14"/>
                <w:szCs w:val="14"/>
                <w:color w:val="auto"/>
              </w:rPr>
              <w:t>6.5% Notes due 2012</w:t>
            </w: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649</w:t>
            </w:r>
          </w:p>
        </w:tc>
      </w:tr>
      <w:tr>
        <w:trPr>
          <w:trHeight w:val="145"/>
        </w:trPr>
        <w:tc>
          <w:tcPr>
            <w:tcW w:w="8700" w:type="dxa"/>
            <w:vAlign w:val="bottom"/>
            <w:gridSpan w:val="2"/>
          </w:tcPr>
          <w:p>
            <w:pPr>
              <w:spacing w:after="0" w:line="145" w:lineRule="exact"/>
              <w:rPr>
                <w:sz w:val="20"/>
                <w:szCs w:val="20"/>
                <w:color w:val="auto"/>
              </w:rPr>
            </w:pPr>
            <w:r>
              <w:rPr>
                <w:rFonts w:ascii="Arial" w:cs="Arial" w:eastAsia="Arial" w:hAnsi="Arial"/>
                <w:sz w:val="14"/>
                <w:szCs w:val="14"/>
                <w:color w:val="auto"/>
              </w:rPr>
              <w:t>5.875% Guaranteed Bonds due 2011</w:t>
            </w:r>
          </w:p>
        </w:tc>
        <w:tc>
          <w:tcPr>
            <w:tcW w:w="520" w:type="dxa"/>
            <w:vAlign w:val="bottom"/>
            <w:gridSpan w:val="2"/>
          </w:tcPr>
          <w:p>
            <w:pPr>
              <w:jc w:val="right"/>
              <w:ind w:right="100"/>
              <w:spacing w:after="0" w:line="145"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362</w:t>
            </w:r>
          </w:p>
        </w:tc>
      </w:tr>
      <w:tr>
        <w:trPr>
          <w:trHeight w:val="149"/>
        </w:trPr>
        <w:tc>
          <w:tcPr>
            <w:tcW w:w="8700" w:type="dxa"/>
            <w:vAlign w:val="bottom"/>
            <w:gridSpan w:val="2"/>
          </w:tcPr>
          <w:p>
            <w:pPr>
              <w:spacing w:after="0" w:line="149" w:lineRule="exact"/>
              <w:rPr>
                <w:sz w:val="20"/>
                <w:szCs w:val="20"/>
                <w:color w:val="auto"/>
              </w:rPr>
            </w:pPr>
            <w:r>
              <w:rPr>
                <w:rFonts w:ascii="Arial" w:cs="Arial" w:eastAsia="Arial" w:hAnsi="Arial"/>
                <w:sz w:val="14"/>
                <w:szCs w:val="14"/>
                <w:color w:val="auto"/>
              </w:rPr>
              <w:t>Commercial paper borrowings</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367</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358</w:t>
            </w:r>
          </w:p>
        </w:tc>
      </w:tr>
      <w:tr>
        <w:trPr>
          <w:trHeight w:val="185"/>
        </w:trPr>
        <w:tc>
          <w:tcPr>
            <w:tcW w:w="8700" w:type="dxa"/>
            <w:vAlign w:val="bottom"/>
            <w:gridSpan w:val="2"/>
          </w:tcPr>
          <w:p>
            <w:pPr>
              <w:spacing w:after="0"/>
              <w:rPr>
                <w:sz w:val="20"/>
                <w:szCs w:val="20"/>
                <w:color w:val="auto"/>
              </w:rPr>
            </w:pPr>
            <w:r>
              <w:rPr>
                <w:rFonts w:ascii="Arial" w:cs="Arial" w:eastAsia="Arial" w:hAnsi="Arial"/>
                <w:sz w:val="14"/>
                <w:szCs w:val="14"/>
                <w:color w:val="auto"/>
              </w:rPr>
              <w:t>Other variable rate debt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360</w:t>
            </w:r>
          </w:p>
        </w:tc>
      </w:tr>
      <w:tr>
        <w:trPr>
          <w:trHeight w:val="133"/>
        </w:trPr>
        <w:tc>
          <w:tcPr>
            <w:tcW w:w="380" w:type="dxa"/>
            <w:vAlign w:val="bottom"/>
            <w:tcBorders>
              <w:top w:val="single" w:sz="8" w:color="auto"/>
            </w:tcBorders>
          </w:tcPr>
          <w:p>
            <w:pPr>
              <w:spacing w:after="0"/>
              <w:rPr>
                <w:sz w:val="11"/>
                <w:szCs w:val="11"/>
                <w:color w:val="auto"/>
              </w:rPr>
            </w:pPr>
          </w:p>
        </w:tc>
        <w:tc>
          <w:tcPr>
            <w:tcW w:w="8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rPr>
              <w:t>5,504</w:t>
            </w:r>
          </w:p>
        </w:tc>
        <w:tc>
          <w:tcPr>
            <w:tcW w:w="1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color w:val="auto"/>
              </w:rPr>
              <w:t>4,354</w:t>
            </w:r>
          </w:p>
        </w:tc>
      </w:tr>
      <w:tr>
        <w:trPr>
          <w:trHeight w:val="185"/>
        </w:trPr>
        <w:tc>
          <w:tcPr>
            <w:tcW w:w="8700" w:type="dxa"/>
            <w:vAlign w:val="bottom"/>
            <w:gridSpan w:val="2"/>
          </w:tcPr>
          <w:p>
            <w:pPr>
              <w:spacing w:after="0"/>
              <w:rPr>
                <w:sz w:val="20"/>
                <w:szCs w:val="20"/>
                <w:color w:val="auto"/>
              </w:rPr>
            </w:pPr>
            <w:r>
              <w:rPr>
                <w:rFonts w:ascii="Arial" w:cs="Arial" w:eastAsia="Arial" w:hAnsi="Arial"/>
                <w:sz w:val="14"/>
                <w:szCs w:val="14"/>
                <w:color w:val="auto"/>
              </w:rPr>
              <w:t>Fair value adjustment – hedging</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w:t>
            </w:r>
          </w:p>
        </w:tc>
      </w:tr>
      <w:tr>
        <w:trPr>
          <w:trHeight w:val="156"/>
        </w:trPr>
        <w:tc>
          <w:tcPr>
            <w:tcW w:w="380" w:type="dxa"/>
            <w:vAlign w:val="bottom"/>
            <w:tcBorders>
              <w:top w:val="single" w:sz="8" w:color="auto"/>
            </w:tcBorders>
          </w:tcPr>
          <w:p>
            <w:pPr>
              <w:spacing w:after="0"/>
              <w:rPr>
                <w:sz w:val="13"/>
                <w:szCs w:val="13"/>
                <w:color w:val="auto"/>
              </w:rPr>
            </w:pPr>
          </w:p>
        </w:tc>
        <w:tc>
          <w:tcPr>
            <w:tcW w:w="8320" w:type="dxa"/>
            <w:vAlign w:val="bottom"/>
            <w:tcBorders>
              <w:top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$ 5,517</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$ 4,355</w:t>
            </w:r>
          </w:p>
        </w:tc>
      </w:tr>
      <w:tr>
        <w:trPr>
          <w:trHeight w:val="20"/>
        </w:trPr>
        <w:tc>
          <w:tcPr>
            <w:tcW w:w="38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940" w:right="560" w:hanging="240"/>
        <w:spacing w:after="0" w:line="253" w:lineRule="auto"/>
        <w:tabs>
          <w:tab w:leader="none" w:pos="9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Represents long-term fixed rate debt obligations assumed in connection with the merger of Smith, net of amounts repurchased subsequent to the closing of the transaction.</w:t>
      </w:r>
    </w:p>
    <w:p>
      <w:pPr>
        <w:spacing w:after="0" w:line="84" w:lineRule="exact"/>
        <w:rPr>
          <w:sz w:val="20"/>
          <w:szCs w:val="20"/>
          <w:color w:val="auto"/>
        </w:rPr>
      </w:pPr>
    </w:p>
    <w:p>
      <w:pPr>
        <w:ind w:left="700" w:right="140" w:firstLine="198"/>
        <w:spacing w:after="0" w:line="258" w:lineRule="auto"/>
        <w:rPr>
          <w:sz w:val="20"/>
          <w:szCs w:val="20"/>
          <w:color w:val="auto"/>
        </w:rPr>
      </w:pPr>
      <w:r>
        <w:rPr>
          <w:rFonts w:ascii="Arial" w:cs="Arial" w:eastAsia="Arial" w:hAnsi="Arial"/>
          <w:sz w:val="18"/>
          <w:szCs w:val="18"/>
          <w:color w:val="auto"/>
        </w:rPr>
        <w:t>The fair value adjustment presented above represents changes in the fair value of the portion of Schlumberger’s fixed rate debt that is hedged through the use of interest rate swaps.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During the third and fourth quarters of 2010, Schlumberger repurchased all of its $650 million 6.50% Notes due 2012.</w:t>
      </w:r>
    </w:p>
    <w:p>
      <w:pPr>
        <w:spacing w:after="0" w:line="9" w:lineRule="exact"/>
        <w:rPr>
          <w:sz w:val="20"/>
          <w:szCs w:val="20"/>
          <w:color w:val="auto"/>
        </w:rPr>
      </w:pPr>
    </w:p>
    <w:p>
      <w:pPr>
        <w:ind w:left="700" w:right="220" w:firstLine="198"/>
        <w:spacing w:after="0" w:line="281" w:lineRule="auto"/>
        <w:rPr>
          <w:sz w:val="20"/>
          <w:szCs w:val="20"/>
          <w:color w:val="auto"/>
        </w:rPr>
      </w:pPr>
      <w:r>
        <w:rPr>
          <w:rFonts w:ascii="Arial" w:cs="Arial" w:eastAsia="Arial" w:hAnsi="Arial"/>
          <w:sz w:val="16"/>
          <w:szCs w:val="16"/>
          <w:color w:val="auto"/>
        </w:rPr>
        <w:t>During the first quarter of 2009, Schlumberger entered into a €3.0 billion Euro Medium Term Note program. This program provides for the issuance of various types of debt instruments such as fixed or floating rate notes in euro, US dollar or other currencies.</w:t>
      </w:r>
    </w:p>
    <w:p>
      <w:pPr>
        <w:spacing w:after="0" w:line="1" w:lineRule="exact"/>
        <w:rPr>
          <w:sz w:val="20"/>
          <w:szCs w:val="20"/>
          <w:color w:val="auto"/>
        </w:rPr>
      </w:pPr>
    </w:p>
    <w:p>
      <w:pPr>
        <w:ind w:left="700" w:firstLine="198"/>
        <w:spacing w:after="0" w:line="250" w:lineRule="auto"/>
        <w:rPr>
          <w:sz w:val="20"/>
          <w:szCs w:val="20"/>
          <w:color w:val="auto"/>
        </w:rPr>
      </w:pPr>
      <w:r>
        <w:rPr>
          <w:rFonts w:ascii="Arial" w:cs="Arial" w:eastAsia="Arial" w:hAnsi="Arial"/>
          <w:sz w:val="18"/>
          <w:szCs w:val="18"/>
          <w:color w:val="auto"/>
        </w:rPr>
        <w:t>Schlumberger issued €1.0 billion 2.75% Guaranteed Notes due 2015 in the fourth quarter of 2010 under this program. Schlumberger entered into agreements to swap these euro notes for US dollars on the date of issue until maturity, effectively making this a US dollar denominated debt on which Schlumberger will pay interest in US dollars at a rate of 2.56%. Schlumberger also issued €1.0 billion 4.50% Guaranteed Notes due 2014 in the first quarter of 2009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During the third quarter of 2009, Schlumberger issued $450 million of 3.00% Guaranteed Notes due 2013.</w:t>
      </w:r>
    </w:p>
    <w:p>
      <w:pPr>
        <w:spacing w:after="0" w:line="40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jc w:val="both"/>
        <w:ind w:left="700" w:right="180" w:firstLine="198"/>
        <w:spacing w:after="0" w:line="256" w:lineRule="auto"/>
        <w:rPr>
          <w:sz w:val="20"/>
          <w:szCs w:val="20"/>
          <w:color w:val="auto"/>
        </w:rPr>
      </w:pPr>
      <w:r>
        <w:rPr>
          <w:rFonts w:ascii="Arial" w:cs="Arial" w:eastAsia="Arial" w:hAnsi="Arial"/>
          <w:sz w:val="18"/>
          <w:szCs w:val="18"/>
          <w:color w:val="auto"/>
        </w:rPr>
        <w:t>In September 2008, Schlumberger issued €500 million 5.25% Guaranteed Notes due 2013. Schlumberger entered into agreements to swap these euro notes for US dollars on the date of issue until maturity, effectively making this a US dollar denominated debt on which Schlumberger will pay interest in US dollars at a rate of 4.74%.</w:t>
      </w:r>
    </w:p>
    <w:p>
      <w:pPr>
        <w:ind w:left="700" w:right="160" w:firstLine="198"/>
        <w:spacing w:after="0" w:line="281" w:lineRule="auto"/>
        <w:rPr>
          <w:sz w:val="20"/>
          <w:szCs w:val="20"/>
          <w:color w:val="auto"/>
        </w:rPr>
      </w:pPr>
      <w:r>
        <w:rPr>
          <w:rFonts w:ascii="Arial" w:cs="Arial" w:eastAsia="Arial" w:hAnsi="Arial"/>
          <w:sz w:val="16"/>
          <w:szCs w:val="16"/>
          <w:color w:val="auto"/>
        </w:rPr>
        <w:t>Commercial paper borrowings outstanding at December 31, 2010 and 2009 include certain notes issued in currencies other than the US dollar which were swapped for US dollars and pounds sterling on the date of issue until maturity. Commercial paper borrowings are classified as long-term debt to the extent of their backup by available and unused committed credit facilities maturing in more than one year and to the extent it is Schlumberger’s intent to maintain these obligations for longer than one year.</w:t>
      </w:r>
    </w:p>
    <w:p>
      <w:pPr>
        <w:spacing w:after="0" w:line="3" w:lineRule="exact"/>
        <w:rPr>
          <w:sz w:val="20"/>
          <w:szCs w:val="20"/>
          <w:color w:val="auto"/>
        </w:rPr>
      </w:pPr>
    </w:p>
    <w:p>
      <w:pPr>
        <w:ind w:left="700" w:right="160" w:firstLine="198"/>
        <w:spacing w:after="0" w:line="281" w:lineRule="auto"/>
        <w:rPr>
          <w:sz w:val="20"/>
          <w:szCs w:val="20"/>
          <w:color w:val="auto"/>
        </w:rPr>
      </w:pPr>
      <w:r>
        <w:rPr>
          <w:rFonts w:ascii="Arial" w:cs="Arial" w:eastAsia="Arial" w:hAnsi="Arial"/>
          <w:sz w:val="16"/>
          <w:szCs w:val="16"/>
          <w:color w:val="auto"/>
        </w:rPr>
        <w:t xml:space="preserve">At December 31, 2010, Schlumberger had separate committed debt facility agreements aggregating $6.0 billion with commercial banks, of which $3.7 billion was available and unused. This included $4.9 billion of committed facilities which support commercial paper programs in the United States and Europe, of which $2.5 billion mature in December 2011 and $2.4 billion mature in April 2012. Interest rates and other terms of borrowing under these lines of credit vary from country to country. Borrowings under the commercial paper programs at December 31, 2010 were $1.9 billion ($0.4 billion at December 31, 2009). At December 31, 2010, $1.5 billion of the commercial paper borrowings were classified within </w:t>
      </w:r>
      <w:r>
        <w:rPr>
          <w:rFonts w:ascii="Arial" w:cs="Arial" w:eastAsia="Arial" w:hAnsi="Arial"/>
          <w:sz w:val="16"/>
          <w:szCs w:val="16"/>
          <w:i w:val="1"/>
          <w:iCs w:val="1"/>
          <w:color w:val="auto"/>
        </w:rPr>
        <w:t>Long-term debt – current portion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4" w:lineRule="exact"/>
        <w:rPr>
          <w:sz w:val="20"/>
          <w:szCs w:val="20"/>
          <w:color w:val="auto"/>
        </w:rPr>
      </w:pPr>
    </w:p>
    <w:p>
      <w:pPr>
        <w:ind w:left="700" w:right="240" w:firstLine="198"/>
        <w:spacing w:after="0" w:line="250" w:lineRule="auto"/>
        <w:rPr>
          <w:sz w:val="20"/>
          <w:szCs w:val="20"/>
          <w:color w:val="auto"/>
        </w:rPr>
      </w:pPr>
      <w:r>
        <w:rPr>
          <w:rFonts w:ascii="Arial" w:cs="Arial" w:eastAsia="Arial" w:hAnsi="Arial"/>
          <w:sz w:val="18"/>
          <w:szCs w:val="18"/>
          <w:color w:val="auto"/>
        </w:rPr>
        <w:t>On January 10, 2011, Schlumberger issued $1.1 billion of 4.200% Senior Notes due 2021 and $500 million of 2.650% Senior Notes due 2016.</w:t>
      </w:r>
    </w:p>
    <w:p>
      <w:pPr>
        <w:spacing w:after="0" w:line="1" w:lineRule="exact"/>
        <w:rPr>
          <w:sz w:val="20"/>
          <w:szCs w:val="20"/>
          <w:color w:val="auto"/>
        </w:rPr>
      </w:pPr>
    </w:p>
    <w:p>
      <w:pPr>
        <w:ind w:left="700" w:right="280" w:firstLine="198"/>
        <w:spacing w:after="0" w:line="255" w:lineRule="auto"/>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by currency, analyzed by Bonds and Notes, Commercial Paper (CP) and Other, at December 31 follows. As described in further detail above, the currencies are presented after taking into account currency swaps entered into on the date of issuance until maturity.</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(Stated in millions)</w:t>
      </w:r>
    </w:p>
    <w:p>
      <w:pPr>
        <w:spacing w:after="0" w:line="4"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00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2010</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2009</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94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rPr>
              <w:t>Bonds and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Bonds and</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Notes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CP</w:t>
            </w: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Notes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auto"/>
              </w:rPr>
              <w:t>CP</w:t>
            </w: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$5,017</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104</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$ 5,121</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$3,275</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$ 3,334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183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85"/>
              </w:rPr>
              <w:t>135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231</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Pound sterling</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184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184</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223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line="149" w:lineRule="exact"/>
              <w:rPr>
                <w:sz w:val="20"/>
                <w:szCs w:val="20"/>
                <w:color w:val="auto"/>
              </w:rPr>
            </w:pPr>
            <w:r>
              <w:rPr>
                <w:rFonts w:ascii="Arial" w:cs="Arial" w:eastAsia="Arial" w:hAnsi="Arial"/>
                <w:sz w:val="14"/>
                <w:szCs w:val="14"/>
                <w:color w:val="auto"/>
              </w:rPr>
              <w:t>Norwegian kroner</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2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$5,017</w:t>
            </w:r>
          </w:p>
        </w:tc>
        <w:tc>
          <w:tcPr>
            <w:tcW w:w="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367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133</w:t>
            </w:r>
          </w:p>
        </w:tc>
        <w:tc>
          <w:tcPr>
            <w:tcW w:w="2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1"/>
              </w:rPr>
              <w:t>$ 5,517</w:t>
            </w:r>
          </w:p>
        </w:tc>
        <w:tc>
          <w:tcPr>
            <w:tcW w:w="28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$3,637</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358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360</w:t>
            </w:r>
          </w:p>
        </w:tc>
        <w:tc>
          <w:tcPr>
            <w:tcW w:w="2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$ 4,355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weighted average interest rate on variable rate debt as of December 31, 2010 was 1.0%.</w:t>
      </w:r>
    </w:p>
    <w:p>
      <w:pPr>
        <w:spacing w:after="0" w:line="23" w:lineRule="exact"/>
        <w:rPr>
          <w:sz w:val="20"/>
          <w:szCs w:val="20"/>
          <w:color w:val="auto"/>
        </w:rPr>
      </w:pPr>
    </w:p>
    <w:p>
      <w:pPr>
        <w:ind w:left="700" w:right="400" w:firstLine="198"/>
        <w:spacing w:after="0" w:line="250"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as of December 31, 2010, is due as follows: $445 million in 2012, $1.163 billion in 2013, $1.605 billion in 2014,</w:t>
      </w:r>
      <w:r>
        <w:rPr>
          <w:rFonts w:ascii="Arial" w:cs="Arial" w:eastAsia="Arial" w:hAnsi="Arial"/>
          <w:sz w:val="18"/>
          <w:szCs w:val="18"/>
          <w:i w:val="1"/>
          <w:iCs w:val="1"/>
          <w:color w:val="auto"/>
        </w:rPr>
        <w:t xml:space="preserve"> </w:t>
      </w:r>
      <w:r>
        <w:rPr>
          <w:rFonts w:ascii="Arial" w:cs="Arial" w:eastAsia="Arial" w:hAnsi="Arial"/>
          <w:sz w:val="18"/>
          <w:szCs w:val="18"/>
          <w:color w:val="auto"/>
        </w:rPr>
        <w:t>$1.310 billion in 2015 and $994 million after 2015.</w:t>
      </w:r>
    </w:p>
    <w:p>
      <w:pPr>
        <w:spacing w:after="0" w:line="1" w:lineRule="exact"/>
        <w:rPr>
          <w:sz w:val="20"/>
          <w:szCs w:val="20"/>
          <w:color w:val="auto"/>
        </w:rPr>
      </w:pPr>
    </w:p>
    <w:p>
      <w:pPr>
        <w:ind w:left="700" w:right="320" w:firstLine="198"/>
        <w:spacing w:after="0" w:line="261" w:lineRule="auto"/>
        <w:rPr>
          <w:sz w:val="20"/>
          <w:szCs w:val="20"/>
          <w:color w:val="auto"/>
        </w:rPr>
      </w:pPr>
      <w:r>
        <w:rPr>
          <w:rFonts w:ascii="Arial" w:cs="Arial" w:eastAsia="Arial" w:hAnsi="Arial"/>
          <w:sz w:val="18"/>
          <w:szCs w:val="18"/>
          <w:color w:val="auto"/>
        </w:rPr>
        <w:t xml:space="preserve">The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December 31, 2010 and December 31, 2009 was $5.6 billion and $4.6 billion, respectively, and was estimated based on quoted market prices.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Convertible Debentures</w:t>
      </w:r>
    </w:p>
    <w:p>
      <w:pPr>
        <w:spacing w:after="0" w:line="122" w:lineRule="exact"/>
        <w:rPr>
          <w:sz w:val="20"/>
          <w:szCs w:val="20"/>
          <w:color w:val="auto"/>
        </w:rPr>
      </w:pPr>
    </w:p>
    <w:p>
      <w:pPr>
        <w:jc w:val="both"/>
        <w:ind w:left="700" w:right="240" w:firstLine="198"/>
        <w:spacing w:after="0" w:line="288" w:lineRule="auto"/>
        <w:rPr>
          <w:sz w:val="20"/>
          <w:szCs w:val="20"/>
          <w:color w:val="auto"/>
        </w:rPr>
      </w:pPr>
      <w:r>
        <w:rPr>
          <w:rFonts w:ascii="Arial" w:cs="Arial" w:eastAsia="Arial" w:hAnsi="Arial"/>
          <w:sz w:val="16"/>
          <w:szCs w:val="16"/>
          <w:color w:val="auto"/>
        </w:rPr>
        <w:t>During 2003, Schlumberger Limited issued $975 million aggregate principal amount of 1.5% Series A Convertible Debentures due June 1, 2023 and $450 million aggregate principal amount of 2.125% Series B Convertible Debentures due June 1, 2023. The Series A debentures were convertible, at the holders’ option, into shares of common stock of Schlumberger Limited at a conversion rate of</w:t>
      </w:r>
    </w:p>
    <w:p>
      <w:pPr>
        <w:ind w:left="700" w:right="20"/>
        <w:spacing w:after="0" w:line="250" w:lineRule="auto"/>
        <w:rPr>
          <w:sz w:val="20"/>
          <w:szCs w:val="20"/>
          <w:color w:val="auto"/>
        </w:rPr>
      </w:pPr>
      <w:r>
        <w:rPr>
          <w:rFonts w:ascii="Arial" w:cs="Arial" w:eastAsia="Arial" w:hAnsi="Arial"/>
          <w:sz w:val="18"/>
          <w:szCs w:val="18"/>
          <w:color w:val="auto"/>
        </w:rPr>
        <w:t>27.651 shares for each $1,000 of principal amount (equivalent to an initial conversion price of $36.165 per share) while the Series B debentures were convertible into common stock at a conversion rate of 25.000 shares for each $1,000 of principal (equivalent to an initial conversion price of $40.00 per share).</w:t>
      </w:r>
    </w:p>
    <w:p>
      <w:pPr>
        <w:spacing w:after="0" w:line="1" w:lineRule="exact"/>
        <w:rPr>
          <w:sz w:val="20"/>
          <w:szCs w:val="20"/>
          <w:color w:val="auto"/>
        </w:rPr>
      </w:pPr>
    </w:p>
    <w:p>
      <w:pPr>
        <w:ind w:left="700" w:right="780" w:firstLine="198"/>
        <w:spacing w:after="0" w:line="250" w:lineRule="auto"/>
        <w:rPr>
          <w:sz w:val="20"/>
          <w:szCs w:val="20"/>
          <w:color w:val="auto"/>
        </w:rPr>
      </w:pPr>
      <w:r>
        <w:rPr>
          <w:rFonts w:ascii="Arial" w:cs="Arial" w:eastAsia="Arial" w:hAnsi="Arial"/>
          <w:sz w:val="18"/>
          <w:szCs w:val="18"/>
          <w:color w:val="auto"/>
        </w:rPr>
        <w:t>During 2008, all of the remaining $353 million of outstanding Series A debentures were converted into 9.8 million shares of Schlumberger common stock.</w:t>
      </w:r>
    </w:p>
    <w:p>
      <w:pPr>
        <w:spacing w:after="0" w:line="1" w:lineRule="exact"/>
        <w:rPr>
          <w:sz w:val="20"/>
          <w:szCs w:val="20"/>
          <w:color w:val="auto"/>
        </w:rPr>
      </w:pPr>
    </w:p>
    <w:p>
      <w:pPr>
        <w:ind w:left="700" w:right="20" w:firstLine="198"/>
        <w:spacing w:after="0" w:line="255" w:lineRule="auto"/>
        <w:rPr>
          <w:sz w:val="20"/>
          <w:szCs w:val="20"/>
          <w:color w:val="auto"/>
        </w:rPr>
      </w:pPr>
      <w:r>
        <w:rPr>
          <w:rFonts w:ascii="Arial" w:cs="Arial" w:eastAsia="Arial" w:hAnsi="Arial"/>
          <w:sz w:val="18"/>
          <w:szCs w:val="18"/>
          <w:color w:val="auto"/>
        </w:rPr>
        <w:t>During 2008, $95 million of the Series B debentures were converted into 2.4 million shares of Schlumberger common stock. At December 31, 2009, there were $321 million of the Series B debentures outstanding. During 2010, $320 million of these debentures were converted by holders into 8.0 million shares of Schlumberger common stock and the remaining</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$1 million of outstanding Series B convertible debentures were redeemed for cash. Consequently, there are no convertible debentures outstanding at December 31, 2010.</w:t>
      </w:r>
    </w:p>
    <w:p>
      <w:pPr>
        <w:spacing w:after="0" w:line="175" w:lineRule="exact"/>
        <w:rPr>
          <w:sz w:val="20"/>
          <w:szCs w:val="20"/>
          <w:color w:val="auto"/>
        </w:rPr>
      </w:pPr>
    </w:p>
    <w:p>
      <w:pPr>
        <w:ind w:left="1100" w:hanging="407"/>
        <w:spacing w:after="0"/>
        <w:tabs>
          <w:tab w:leader="none" w:pos="11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6" w:lineRule="exact"/>
        <w:rPr>
          <w:sz w:val="20"/>
          <w:szCs w:val="20"/>
          <w:color w:val="auto"/>
        </w:rPr>
      </w:pPr>
    </w:p>
    <w:p>
      <w:pPr>
        <w:ind w:left="700" w:right="140" w:firstLine="198"/>
        <w:spacing w:after="0" w:line="264"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31" w:lineRule="exact"/>
        <w:rPr>
          <w:sz w:val="20"/>
          <w:szCs w:val="20"/>
          <w:color w:val="auto"/>
        </w:rPr>
      </w:pPr>
    </w:p>
    <w:p>
      <w:pPr>
        <w:ind w:left="700" w:right="20" w:firstLine="198"/>
        <w:spacing w:after="0" w:line="268" w:lineRule="auto"/>
        <w:rPr>
          <w:sz w:val="20"/>
          <w:szCs w:val="20"/>
          <w:color w:val="auto"/>
        </w:rPr>
      </w:pPr>
      <w:r>
        <w:rPr>
          <w:rFonts w:ascii="Arial" w:cs="Arial" w:eastAsia="Arial" w:hAnsi="Arial"/>
          <w:sz w:val="17"/>
          <w:szCs w:val="17"/>
          <w:color w:val="auto"/>
        </w:rPr>
        <w:t>As a multinational company, Schlumberger conducts its business in approximately 80 countries. Schlumberger’s functional currency is primarily the US dollar, which is consistent with the oil and gas industry. Approximately 80% of Schlumberger’s revenue in 2010 was denominated in US dollars. However, outside the United States, a significant portion of Schlumberger’s expenses is incurred in foreign currencies. Therefore, when the US dollar weakens (strengthens) in relation to the foreign currencies of the countries in which Schlumberger conducts business, the US dollar – reported expenses will increase (decrease).</w:t>
      </w:r>
    </w:p>
    <w:p>
      <w:pPr>
        <w:spacing w:after="0" w:line="3" w:lineRule="exact"/>
        <w:rPr>
          <w:sz w:val="20"/>
          <w:szCs w:val="20"/>
          <w:color w:val="auto"/>
        </w:rPr>
      </w:pPr>
    </w:p>
    <w:p>
      <w:pPr>
        <w:ind w:left="700" w:firstLine="198"/>
        <w:spacing w:after="0" w:line="250" w:lineRule="auto"/>
        <w:rPr>
          <w:sz w:val="20"/>
          <w:szCs w:val="20"/>
          <w:color w:val="auto"/>
        </w:rPr>
      </w:pPr>
      <w:r>
        <w:rPr>
          <w:rFonts w:ascii="Arial" w:cs="Arial" w:eastAsia="Arial" w:hAnsi="Arial"/>
          <w:sz w:val="18"/>
          <w:szCs w:val="18"/>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Amounts recorded in </w:t>
      </w:r>
      <w:r>
        <w:rPr>
          <w:rFonts w:ascii="Arial" w:cs="Arial" w:eastAsia="Arial" w:hAnsi="Arial"/>
          <w:sz w:val="18"/>
          <w:szCs w:val="18"/>
          <w:i w:val="1"/>
          <w:iCs w:val="1"/>
          <w:color w:val="auto"/>
        </w:rPr>
        <w:t>Other Comprehensive Income (Loss)</w:t>
      </w:r>
      <w:r>
        <w:rPr>
          <w:rFonts w:ascii="Arial" w:cs="Arial" w:eastAsia="Arial" w:hAnsi="Arial"/>
          <w:sz w:val="18"/>
          <w:szCs w:val="18"/>
          <w:color w:val="auto"/>
        </w:rPr>
        <w:t xml:space="preserve"> are reclassified into earnings in the same period or periods that the hedged item is recognized in earnings. The ineffective portion of changes in the fair value of hedging instruments, if any, is recorded directly to earnings.</w:t>
      </w:r>
    </w:p>
    <w:p>
      <w:pPr>
        <w:spacing w:after="0" w:line="3" w:lineRule="exact"/>
        <w:rPr>
          <w:sz w:val="20"/>
          <w:szCs w:val="20"/>
          <w:color w:val="auto"/>
        </w:rPr>
      </w:pPr>
    </w:p>
    <w:p>
      <w:pPr>
        <w:jc w:val="both"/>
        <w:ind w:left="700" w:right="60" w:firstLine="198"/>
        <w:spacing w:after="0" w:line="250" w:lineRule="auto"/>
        <w:rPr>
          <w:sz w:val="20"/>
          <w:szCs w:val="20"/>
          <w:color w:val="auto"/>
        </w:rPr>
      </w:pPr>
      <w:r>
        <w:rPr>
          <w:rFonts w:ascii="Arial" w:cs="Arial" w:eastAsia="Arial" w:hAnsi="Arial"/>
          <w:sz w:val="18"/>
          <w:szCs w:val="18"/>
          <w:color w:val="auto"/>
        </w:rPr>
        <w:t xml:space="preserve">At December 31, 2010, Schlumberger recognized a cumulative net $45 million gain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twelve months.</w:t>
      </w:r>
    </w:p>
    <w:p>
      <w:pPr>
        <w:spacing w:after="0" w:line="1" w:lineRule="exact"/>
        <w:rPr>
          <w:sz w:val="20"/>
          <w:szCs w:val="20"/>
          <w:color w:val="auto"/>
        </w:rPr>
      </w:pPr>
    </w:p>
    <w:p>
      <w:pPr>
        <w:ind w:left="700" w:right="20" w:firstLine="198"/>
        <w:spacing w:after="0" w:line="265" w:lineRule="auto"/>
        <w:rPr>
          <w:sz w:val="20"/>
          <w:szCs w:val="20"/>
          <w:color w:val="auto"/>
        </w:rPr>
      </w:pPr>
      <w:r>
        <w:rPr>
          <w:rFonts w:ascii="Arial" w:cs="Arial" w:eastAsia="Arial" w:hAnsi="Arial"/>
          <w:sz w:val="17"/>
          <w:szCs w:val="17"/>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with the fair value of the contracts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changes in the fair value recognized in the </w:t>
      </w:r>
      <w:r>
        <w:rPr>
          <w:rFonts w:ascii="Arial" w:cs="Arial" w:eastAsia="Arial" w:hAnsi="Arial"/>
          <w:sz w:val="17"/>
          <w:szCs w:val="17"/>
          <w:i w:val="1"/>
          <w:iCs w:val="1"/>
          <w:color w:val="auto"/>
        </w:rPr>
        <w:t>Consolidated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w:t>
      </w:r>
      <w:r>
        <w:rPr>
          <w:rFonts w:ascii="Arial" w:cs="Arial" w:eastAsia="Arial" w:hAnsi="Arial"/>
          <w:sz w:val="17"/>
          <w:szCs w:val="17"/>
          <w:color w:val="auto"/>
        </w:rPr>
        <w:t>along with the change in fair value of the hedged item.</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 December 31, 2010, contracts were outstanding for the US dollar equivalent of $7.3 billion in various foreign currencies.</w:t>
      </w:r>
    </w:p>
    <w:p>
      <w:pPr>
        <w:spacing w:after="0" w:line="23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Commodity Price Risk</w:t>
      </w:r>
    </w:p>
    <w:p>
      <w:pPr>
        <w:spacing w:after="0" w:line="131" w:lineRule="exact"/>
        <w:rPr>
          <w:sz w:val="20"/>
          <w:szCs w:val="20"/>
          <w:color w:val="auto"/>
        </w:rPr>
      </w:pPr>
    </w:p>
    <w:p>
      <w:pPr>
        <w:ind w:left="700" w:right="40" w:firstLine="198"/>
        <w:spacing w:after="0" w:line="253" w:lineRule="auto"/>
        <w:rPr>
          <w:sz w:val="20"/>
          <w:szCs w:val="20"/>
          <w:color w:val="auto"/>
        </w:rPr>
      </w:pPr>
      <w:r>
        <w:rPr>
          <w:rFonts w:ascii="Arial" w:cs="Arial" w:eastAsia="Arial" w:hAnsi="Arial"/>
          <w:sz w:val="18"/>
          <w:szCs w:val="18"/>
          <w:color w:val="auto"/>
        </w:rPr>
        <w:t>Schlumberger is exposed to the impact of market fluctuations in the price of certain commodities, such as metals and fuel. Schlumberger utilizes forward contracts to manage a small percentage of the price risk associated with forecasted metal purchases. The objective of these contracts is to reduce the variability of cash flows associated with the forecasted purchase of those commodities. These contracts do not qualify for hedge accounting treatment and therefore, changes in the fair value of the forward contracts are recorded directly to earnings.</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 December 31, 2010, $12 million of commodity forward contracts were outstanding.</w:t>
      </w:r>
    </w:p>
    <w:p>
      <w:pPr>
        <w:spacing w:after="0" w:line="22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Rate Risk</w:t>
      </w:r>
    </w:p>
    <w:p>
      <w:pPr>
        <w:spacing w:after="0" w:line="131" w:lineRule="exact"/>
        <w:rPr>
          <w:sz w:val="20"/>
          <w:szCs w:val="20"/>
          <w:color w:val="auto"/>
        </w:rPr>
      </w:pPr>
    </w:p>
    <w:p>
      <w:pPr>
        <w:ind w:left="700" w:right="360" w:firstLine="198"/>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interest rate swaps to mitigate the exposure to changes in interest rates.</w:t>
      </w:r>
    </w:p>
    <w:p>
      <w:pPr>
        <w:ind w:left="700" w:right="180" w:firstLine="198"/>
        <w:spacing w:after="0" w:line="261" w:lineRule="auto"/>
        <w:rPr>
          <w:sz w:val="20"/>
          <w:szCs w:val="20"/>
          <w:color w:val="auto"/>
        </w:rPr>
      </w:pPr>
      <w:r>
        <w:rPr>
          <w:rFonts w:ascii="Arial" w:cs="Arial" w:eastAsia="Arial" w:hAnsi="Arial"/>
          <w:sz w:val="18"/>
          <w:szCs w:val="18"/>
          <w:color w:val="auto"/>
        </w:rPr>
        <w:t>During the third quarter of 2009, Schlumberger entered into interest rate swaps relating to two of its debt instruments. The first swap was for a notional amount of $450 million in order to hedge changes in the fair value of</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20"/>
        <w:spacing w:after="0" w:line="253" w:lineRule="auto"/>
        <w:rPr>
          <w:sz w:val="20"/>
          <w:szCs w:val="20"/>
          <w:color w:val="auto"/>
        </w:rPr>
      </w:pPr>
      <w:r>
        <w:rPr>
          <w:rFonts w:ascii="Arial" w:cs="Arial" w:eastAsia="Arial" w:hAnsi="Arial"/>
          <w:sz w:val="18"/>
          <w:szCs w:val="18"/>
          <w:color w:val="auto"/>
        </w:rPr>
        <w:t xml:space="preserve">Schlumberger’s $450 million 3.00% Notes due 2013. Under the terms of this swap, Schlumberger receives interest at a fixed rate of 3.0% annually and will pay interest quarterly at a floating rate of three-month LIBOR plus a spread of 0.765%. This interest rate swap is designated as a fair value hedge of the underlying debt. This derivative instrument is marked to market with gains and losses recognized currently in income to offset the respective losses and gains recognized on changes in the fair value of the hedged debt. This results in no net gain or loss being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4" w:lineRule="exact"/>
        <w:rPr>
          <w:sz w:val="20"/>
          <w:szCs w:val="20"/>
          <w:color w:val="auto"/>
        </w:rPr>
      </w:pPr>
    </w:p>
    <w:p>
      <w:pPr>
        <w:ind w:left="700" w:right="60" w:firstLine="198"/>
        <w:spacing w:after="0" w:line="265" w:lineRule="auto"/>
        <w:rPr>
          <w:sz w:val="20"/>
          <w:szCs w:val="20"/>
          <w:color w:val="auto"/>
        </w:rPr>
      </w:pPr>
      <w:r>
        <w:rPr>
          <w:rFonts w:ascii="Arial" w:cs="Arial" w:eastAsia="Arial" w:hAnsi="Arial"/>
          <w:sz w:val="17"/>
          <w:szCs w:val="17"/>
          <w:color w:val="auto"/>
        </w:rPr>
        <w:t>The second swap was for a notional amount of $600 million in order to hedge a portion of the changes in fair value of Schlumberger’s $650 million 6.50% Notes due 2012. Under the terms of this swap agreement, Schlumberger received interest at a fixed rate of 6.50% semi-annually and paid interest semi-annually at a floating rate of one-month LIBOR plus a spread of 4.84%. During the third and fourth quarters of 2010, Schlumberger repurchased all of the outstanding $650 million 6.50% Notes due 2012. Accordingly, this interest rate swap, which had previously been designated as a fair value hedge of the underlying debt, was settled during the fourth quarter and resulted in Schlumberger receiving proceeds of approximately $10 million.</w:t>
      </w:r>
    </w:p>
    <w:p>
      <w:pPr>
        <w:spacing w:after="0" w:line="1" w:lineRule="exact"/>
        <w:rPr>
          <w:sz w:val="20"/>
          <w:szCs w:val="20"/>
          <w:color w:val="auto"/>
        </w:rPr>
      </w:pPr>
    </w:p>
    <w:p>
      <w:pPr>
        <w:ind w:left="700" w:right="260" w:firstLine="198"/>
        <w:spacing w:after="0" w:line="261" w:lineRule="auto"/>
        <w:rPr>
          <w:sz w:val="20"/>
          <w:szCs w:val="20"/>
          <w:color w:val="auto"/>
        </w:rPr>
      </w:pPr>
      <w:r>
        <w:rPr>
          <w:rFonts w:ascii="Arial" w:cs="Arial" w:eastAsia="Arial" w:hAnsi="Arial"/>
          <w:sz w:val="18"/>
          <w:szCs w:val="18"/>
          <w:color w:val="auto"/>
        </w:rPr>
        <w:t>At December 31, 2010, Schlumberger had fixed rate debt aggregating approximately $4.9 billion and variable rate debt aggregating approximately $3.2 billion, after taking into account the effects of the interest rate swaps.</w:t>
      </w:r>
    </w:p>
    <w:p>
      <w:pPr>
        <w:spacing w:after="0" w:line="8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fair values of outstanding derivative instruments are summarized as follows: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3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4"/>
          </w:tcPr>
          <w:p>
            <w:pPr>
              <w:jc w:val="center"/>
              <w:ind w:left="228"/>
              <w:spacing w:after="0" w:line="119" w:lineRule="exact"/>
              <w:rPr>
                <w:sz w:val="20"/>
                <w:szCs w:val="20"/>
                <w:color w:val="auto"/>
              </w:rPr>
            </w:pPr>
            <w:r>
              <w:rPr>
                <w:rFonts w:ascii="Arial" w:cs="Arial" w:eastAsia="Arial" w:hAnsi="Arial"/>
                <w:sz w:val="13"/>
                <w:szCs w:val="13"/>
                <w:b w:val="1"/>
                <w:bCs w:val="1"/>
                <w:color w:val="auto"/>
              </w:rPr>
              <w:t>Fair Value of</w:t>
            </w:r>
          </w:p>
        </w:tc>
        <w:tc>
          <w:tcPr>
            <w:tcW w:w="320" w:type="dxa"/>
            <w:vAlign w:val="bottom"/>
            <w:tcBorders>
              <w:top w:val="single" w:sz="8" w:color="auto"/>
            </w:tcBorders>
          </w:tcPr>
          <w:p>
            <w:pPr>
              <w:spacing w:after="0"/>
              <w:rPr>
                <w:sz w:val="10"/>
                <w:szCs w:val="10"/>
                <w:color w:val="auto"/>
              </w:rPr>
            </w:pPr>
          </w:p>
        </w:tc>
        <w:tc>
          <w:tcPr>
            <w:tcW w:w="4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180" w:type="dxa"/>
            <w:vAlign w:val="bottom"/>
            <w:tcBorders>
              <w:bottom w:val="single" w:sz="8" w:color="auto"/>
            </w:tcBorders>
            <w:gridSpan w:val="4"/>
          </w:tcPr>
          <w:p>
            <w:pPr>
              <w:jc w:val="center"/>
              <w:ind w:left="248"/>
              <w:spacing w:after="0"/>
              <w:rPr>
                <w:sz w:val="20"/>
                <w:szCs w:val="20"/>
                <w:color w:val="auto"/>
              </w:rPr>
            </w:pPr>
            <w:r>
              <w:rPr>
                <w:rFonts w:ascii="Arial" w:cs="Arial" w:eastAsia="Arial" w:hAnsi="Arial"/>
                <w:sz w:val="14"/>
                <w:szCs w:val="14"/>
                <w:b w:val="1"/>
                <w:bCs w:val="1"/>
                <w:color w:val="auto"/>
                <w:w w:val="93"/>
              </w:rPr>
              <w:t>Derivatives</w:t>
            </w:r>
          </w:p>
        </w:tc>
        <w:tc>
          <w:tcPr>
            <w:tcW w:w="320" w:type="dxa"/>
            <w:vAlign w:val="bottom"/>
            <w:tcBorders>
              <w:bottom w:val="single" w:sz="8" w:color="auto"/>
            </w:tcBorders>
          </w:tcPr>
          <w:p>
            <w:pPr>
              <w:spacing w:after="0"/>
              <w:rPr>
                <w:sz w:val="14"/>
                <w:szCs w:val="14"/>
                <w:color w:val="auto"/>
              </w:rPr>
            </w:pPr>
          </w:p>
        </w:tc>
        <w:tc>
          <w:tcPr>
            <w:tcW w:w="4040" w:type="dxa"/>
            <w:vAlign w:val="bottom"/>
          </w:tcPr>
          <w:p>
            <w:pPr>
              <w:ind w:left="28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1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assets</w:t>
            </w:r>
          </w:p>
        </w:tc>
        <w:tc>
          <w:tcPr>
            <w:tcW w:w="7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Dec. 31</w:t>
            </w:r>
          </w:p>
        </w:tc>
        <w:tc>
          <w:tcPr>
            <w:tcW w:w="200" w:type="dxa"/>
            <w:vAlign w:val="bottom"/>
          </w:tcPr>
          <w:p>
            <w:pPr>
              <w:spacing w:after="0"/>
              <w:rPr>
                <w:sz w:val="10"/>
                <w:szCs w:val="10"/>
                <w:color w:val="auto"/>
              </w:rPr>
            </w:pPr>
          </w:p>
        </w:tc>
        <w:tc>
          <w:tcPr>
            <w:tcW w:w="5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 31</w:t>
            </w:r>
          </w:p>
        </w:tc>
        <w:tc>
          <w:tcPr>
            <w:tcW w:w="4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380" w:type="dxa"/>
            <w:vAlign w:val="bottom"/>
            <w:gridSpan w:val="2"/>
            <w:vMerge w:val="continue"/>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4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designated as hedges: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40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4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Interest rate swaps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40" w:type="dxa"/>
            <w:vAlign w:val="bottom"/>
          </w:tcPr>
          <w:p>
            <w:pPr>
              <w:ind w:left="280"/>
              <w:spacing w:after="0"/>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$230</w:t>
            </w: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Derivative not designated as hedges:</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Commodity contracts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0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Other current assets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4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4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$270</w:t>
            </w: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Liabilities</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designated as hedges: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40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Liabilities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Interest rate swaps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40" w:type="dxa"/>
            <w:vAlign w:val="bottom"/>
          </w:tcPr>
          <w:p>
            <w:pPr>
              <w:ind w:left="280"/>
              <w:spacing w:after="0"/>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Derivative not designated as hedges:</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Commodity contracts</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40" w:type="dxa"/>
            <w:vAlign w:val="bottom"/>
          </w:tcPr>
          <w:p>
            <w:pPr>
              <w:ind w:left="280"/>
              <w:spacing w:after="0" w:line="149" w:lineRule="exact"/>
              <w:rPr>
                <w:sz w:val="20"/>
                <w:szCs w:val="20"/>
                <w:color w:val="auto"/>
              </w:rPr>
            </w:pPr>
            <w:r>
              <w:rPr>
                <w:rFonts w:ascii="Arial" w:cs="Arial" w:eastAsia="Arial" w:hAnsi="Arial"/>
                <w:sz w:val="14"/>
                <w:szCs w:val="14"/>
                <w:i w:val="1"/>
                <w:iCs w:val="1"/>
                <w:color w:val="auto"/>
              </w:rPr>
              <w:t>Accounts payable and accrued liabilities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Foreign exchange contracts</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0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i w:val="1"/>
                <w:iCs w:val="1"/>
                <w:color w:val="auto"/>
              </w:rPr>
              <w:t>Other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4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36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$107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$94</w:t>
            </w:r>
          </w:p>
        </w:tc>
        <w:tc>
          <w:tcPr>
            <w:tcW w:w="4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560" w:firstLine="198"/>
        <w:spacing w:after="0" w:line="277" w:lineRule="auto"/>
        <w:rPr>
          <w:sz w:val="20"/>
          <w:szCs w:val="20"/>
          <w:color w:val="auto"/>
        </w:rPr>
      </w:pPr>
      <w:r>
        <w:rPr>
          <w:rFonts w:ascii="Arial" w:cs="Arial" w:eastAsia="Arial" w:hAnsi="Arial"/>
          <w:sz w:val="18"/>
          <w:szCs w:val="18"/>
          <w:color w:val="auto"/>
        </w:rPr>
        <w:t>The fair value of all outstanding derivatives is determined using a model with inputs that are observable in the market or can be derived from or corroborated by observable data.</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Income </w:t>
      </w:r>
      <w:r>
        <w:rPr>
          <w:rFonts w:ascii="Arial" w:cs="Arial" w:eastAsia="Arial" w:hAnsi="Arial"/>
          <w:sz w:val="18"/>
          <w:szCs w:val="18"/>
          <w:color w:val="auto"/>
        </w:rPr>
        <w:t>was as follows: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43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Gain/(Loss) Recognized</w:t>
            </w:r>
          </w:p>
        </w:tc>
        <w:tc>
          <w:tcPr>
            <w:tcW w:w="40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120" w:type="dxa"/>
            <w:vAlign w:val="bottom"/>
            <w:tcBorders>
              <w:bottom w:val="single" w:sz="8" w:color="auto"/>
            </w:tcBorders>
            <w:gridSpan w:val="4"/>
          </w:tcPr>
          <w:p>
            <w:pPr>
              <w:jc w:val="center"/>
              <w:ind w:left="309"/>
              <w:spacing w:after="0"/>
              <w:rPr>
                <w:sz w:val="20"/>
                <w:szCs w:val="20"/>
                <w:color w:val="auto"/>
              </w:rPr>
            </w:pPr>
            <w:r>
              <w:rPr>
                <w:rFonts w:ascii="Arial" w:cs="Arial" w:eastAsia="Arial" w:hAnsi="Arial"/>
                <w:sz w:val="14"/>
                <w:szCs w:val="14"/>
                <w:b w:val="1"/>
                <w:bCs w:val="1"/>
                <w:color w:val="auto"/>
                <w:w w:val="94"/>
              </w:rPr>
              <w:t>in Income</w:t>
            </w:r>
          </w:p>
        </w:tc>
        <w:tc>
          <w:tcPr>
            <w:tcW w:w="380" w:type="dxa"/>
            <w:vAlign w:val="bottom"/>
            <w:tcBorders>
              <w:bottom w:val="single" w:sz="8" w:color="auto"/>
            </w:tcBorders>
          </w:tcPr>
          <w:p>
            <w:pPr>
              <w:spacing w:after="0"/>
              <w:rPr>
                <w:sz w:val="14"/>
                <w:szCs w:val="14"/>
                <w:color w:val="auto"/>
              </w:rPr>
            </w:pPr>
          </w:p>
        </w:tc>
        <w:tc>
          <w:tcPr>
            <w:tcW w:w="4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77"/>
        </w:trPr>
        <w:tc>
          <w:tcPr>
            <w:tcW w:w="43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4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Derivatives designated as fair value hedges:</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$( 8)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Foreign exchange contracts</w:t>
            </w: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$105</w:t>
            </w:r>
          </w:p>
        </w:tc>
        <w:tc>
          <w:tcPr>
            <w:tcW w:w="4040" w:type="dxa"/>
            <w:vAlign w:val="bottom"/>
          </w:tcPr>
          <w:p>
            <w:pPr>
              <w:ind w:left="280"/>
              <w:spacing w:after="0" w:line="145"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71"/>
        </w:trPr>
        <w:tc>
          <w:tcPr>
            <w:tcW w:w="4380" w:type="dxa"/>
            <w:vAlign w:val="bottom"/>
          </w:tcPr>
          <w:p>
            <w:pPr>
              <w:ind w:left="200"/>
              <w:spacing w:after="0"/>
              <w:rPr>
                <w:sz w:val="20"/>
                <w:szCs w:val="20"/>
                <w:color w:val="auto"/>
              </w:rPr>
            </w:pPr>
            <w:r>
              <w:rPr>
                <w:rFonts w:ascii="Arial" w:cs="Arial" w:eastAsia="Arial" w:hAnsi="Arial"/>
                <w:sz w:val="14"/>
                <w:szCs w:val="14"/>
                <w:color w:val="auto"/>
              </w:rPr>
              <w:t>Interest rate swaps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4040" w:type="dxa"/>
            <w:vAlign w:val="bottom"/>
          </w:tcPr>
          <w:p>
            <w:pPr>
              <w:ind w:left="280"/>
              <w:spacing w:after="0"/>
              <w:rPr>
                <w:sz w:val="20"/>
                <w:szCs w:val="20"/>
                <w:color w:val="auto"/>
              </w:rPr>
            </w:pPr>
            <w:r>
              <w:rPr>
                <w:rFonts w:ascii="Arial" w:cs="Arial" w:eastAsia="Arial" w:hAnsi="Arial"/>
                <w:sz w:val="14"/>
                <w:szCs w:val="14"/>
                <w:i w:val="1"/>
                <w:iCs w:val="1"/>
                <w:color w:val="auto"/>
              </w:rPr>
              <w:t>Interest expense</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w:t>
            </w: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4"/>
                <w:szCs w:val="14"/>
                <w:color w:val="auto"/>
              </w:rPr>
              <w:t>Derivatives not designated as hedges:</w:t>
            </w: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80" w:type="dxa"/>
            <w:vAlign w:val="bottom"/>
            <w:vMerge w:val="continue"/>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380" w:type="dxa"/>
            <w:vAlign w:val="bottom"/>
          </w:tcPr>
          <w:p>
            <w:pPr>
              <w:ind w:left="200"/>
              <w:spacing w:after="0" w:line="145" w:lineRule="exact"/>
              <w:rPr>
                <w:sz w:val="20"/>
                <w:szCs w:val="20"/>
                <w:color w:val="auto"/>
              </w:rPr>
            </w:pPr>
            <w:r>
              <w:rPr>
                <w:rFonts w:ascii="Arial" w:cs="Arial" w:eastAsia="Arial" w:hAnsi="Arial"/>
                <w:sz w:val="14"/>
                <w:szCs w:val="14"/>
                <w:color w:val="auto"/>
              </w:rPr>
              <w:t>Foreign exchange contracts</w:t>
            </w: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5" w:lineRule="exact"/>
              <w:rPr>
                <w:sz w:val="20"/>
                <w:szCs w:val="20"/>
                <w:color w:val="auto"/>
              </w:rPr>
            </w:pPr>
            <w:r>
              <w:rPr>
                <w:rFonts w:ascii="Arial" w:cs="Arial" w:eastAsia="Arial" w:hAnsi="Arial"/>
                <w:sz w:val="14"/>
                <w:szCs w:val="14"/>
                <w:color w:val="auto"/>
              </w:rPr>
              <w:t>$32</w:t>
            </w:r>
          </w:p>
        </w:tc>
        <w:tc>
          <w:tcPr>
            <w:tcW w:w="4040" w:type="dxa"/>
            <w:vAlign w:val="bottom"/>
          </w:tcPr>
          <w:p>
            <w:pPr>
              <w:ind w:left="280"/>
              <w:spacing w:after="0" w:line="145"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85"/>
        </w:trPr>
        <w:tc>
          <w:tcPr>
            <w:tcW w:w="43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Commodity contracts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4040" w:type="dxa"/>
            <w:vAlign w:val="bottom"/>
          </w:tcPr>
          <w:p>
            <w:pPr>
              <w:ind w:left="280"/>
              <w:spacing w:after="0"/>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color w:val="auto"/>
              </w:rPr>
              <w:t>$34</w:t>
            </w: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420" w:firstLine="198"/>
        <w:spacing w:after="0" w:line="277" w:lineRule="auto"/>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4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80" w:type="dxa"/>
            <w:vAlign w:val="bottom"/>
            <w:tcBorders>
              <w:top w:val="single" w:sz="8" w:color="auto"/>
            </w:tcBorders>
            <w:gridSpan w:val="8"/>
          </w:tcPr>
          <w:p>
            <w:pPr>
              <w:jc w:val="right"/>
              <w:ind w:right="120"/>
              <w:spacing w:after="0" w:line="119" w:lineRule="exact"/>
              <w:rPr>
                <w:sz w:val="20"/>
                <w:szCs w:val="20"/>
                <w:color w:val="auto"/>
              </w:rPr>
            </w:pPr>
            <w:r>
              <w:rPr>
                <w:rFonts w:ascii="Arial" w:cs="Arial" w:eastAsia="Arial" w:hAnsi="Arial"/>
                <w:sz w:val="13"/>
                <w:szCs w:val="13"/>
                <w:b w:val="1"/>
                <w:bCs w:val="1"/>
                <w:color w:val="auto"/>
              </w:rPr>
              <w:t>Gain (Loss) Reclassified from</w:t>
            </w:r>
          </w:p>
        </w:tc>
        <w:tc>
          <w:tcPr>
            <w:tcW w:w="37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10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rPr>
              <w:t>Accumulated OCI into Income</w:t>
            </w:r>
          </w:p>
        </w:tc>
        <w:tc>
          <w:tcPr>
            <w:tcW w:w="37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5"/>
                <w:szCs w:val="15"/>
                <w:color w:val="auto"/>
              </w:rPr>
            </w:pP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line="149" w:lineRule="exact"/>
              <w:rPr>
                <w:sz w:val="20"/>
                <w:szCs w:val="20"/>
                <w:color w:val="auto"/>
              </w:rPr>
            </w:pPr>
            <w:r>
              <w:rPr>
                <w:rFonts w:ascii="Arial" w:cs="Arial" w:eastAsia="Arial" w:hAnsi="Arial"/>
                <w:sz w:val="14"/>
                <w:szCs w:val="14"/>
                <w:color w:val="auto"/>
              </w:rPr>
              <w:t>Foreign exchange contracts</w:t>
            </w:r>
          </w:p>
        </w:tc>
        <w:tc>
          <w:tcPr>
            <w:tcW w:w="820" w:type="dxa"/>
            <w:vAlign w:val="bottom"/>
            <w:gridSpan w:val="4"/>
          </w:tcPr>
          <w:p>
            <w:pPr>
              <w:jc w:val="right"/>
              <w:ind w:right="40"/>
              <w:spacing w:after="0" w:line="149" w:lineRule="exact"/>
              <w:rPr>
                <w:sz w:val="20"/>
                <w:szCs w:val="20"/>
                <w:color w:val="auto"/>
              </w:rPr>
            </w:pPr>
            <w:r>
              <w:rPr>
                <w:rFonts w:ascii="Arial" w:cs="Arial" w:eastAsia="Arial" w:hAnsi="Arial"/>
                <w:sz w:val="14"/>
                <w:szCs w:val="14"/>
                <w:b w:val="1"/>
                <w:bCs w:val="1"/>
                <w:color w:val="auto"/>
              </w:rPr>
              <w:t>$( 260)</w:t>
            </w:r>
          </w:p>
        </w:tc>
        <w:tc>
          <w:tcPr>
            <w:tcW w:w="60" w:type="dxa"/>
            <w:vAlign w:val="bottom"/>
          </w:tcPr>
          <w:p>
            <w:pPr>
              <w:spacing w:after="0"/>
              <w:rPr>
                <w:sz w:val="12"/>
                <w:szCs w:val="12"/>
                <w:color w:val="auto"/>
              </w:rPr>
            </w:pPr>
          </w:p>
        </w:tc>
        <w:tc>
          <w:tcPr>
            <w:tcW w:w="11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$95</w:t>
            </w:r>
          </w:p>
        </w:tc>
        <w:tc>
          <w:tcPr>
            <w:tcW w:w="80" w:type="dxa"/>
            <w:vAlign w:val="bottom"/>
          </w:tcPr>
          <w:p>
            <w:pPr>
              <w:spacing w:after="0"/>
              <w:rPr>
                <w:sz w:val="12"/>
                <w:szCs w:val="12"/>
                <w:color w:val="auto"/>
              </w:rPr>
            </w:pPr>
          </w:p>
        </w:tc>
        <w:tc>
          <w:tcPr>
            <w:tcW w:w="3760" w:type="dxa"/>
            <w:vAlign w:val="bottom"/>
          </w:tcPr>
          <w:p>
            <w:pPr>
              <w:ind w:left="200"/>
              <w:spacing w:after="0" w:line="149" w:lineRule="exact"/>
              <w:rPr>
                <w:sz w:val="20"/>
                <w:szCs w:val="20"/>
                <w:color w:val="auto"/>
              </w:rPr>
            </w:pPr>
            <w:r>
              <w:rPr>
                <w:rFonts w:ascii="Arial" w:cs="Arial" w:eastAsia="Arial" w:hAnsi="Arial"/>
                <w:sz w:val="14"/>
                <w:szCs w:val="14"/>
                <w:i w:val="1"/>
                <w:iCs w:val="1"/>
                <w:color w:val="auto"/>
              </w:rPr>
              <w:t>Cost of revenue</w:t>
            </w: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8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(14)</w:t>
            </w:r>
          </w:p>
        </w:tc>
        <w:tc>
          <w:tcPr>
            <w:tcW w:w="60" w:type="dxa"/>
            <w:vAlign w:val="bottom"/>
          </w:tcPr>
          <w:p>
            <w:pPr>
              <w:spacing w:after="0"/>
              <w:rPr>
                <w:sz w:val="16"/>
                <w:szCs w:val="16"/>
                <w:color w:val="auto"/>
              </w:rPr>
            </w:pPr>
          </w:p>
        </w:tc>
        <w:tc>
          <w:tcPr>
            <w:tcW w:w="1220" w:type="dxa"/>
            <w:vAlign w:val="bottom"/>
            <w:gridSpan w:val="4"/>
          </w:tcPr>
          <w:p>
            <w:pPr>
              <w:jc w:val="right"/>
              <w:ind w:right="40"/>
              <w:spacing w:after="0"/>
              <w:rPr>
                <w:sz w:val="20"/>
                <w:szCs w:val="20"/>
                <w:color w:val="auto"/>
              </w:rPr>
            </w:pPr>
            <w:r>
              <w:rPr>
                <w:rFonts w:ascii="Arial" w:cs="Arial" w:eastAsia="Arial" w:hAnsi="Arial"/>
                <w:sz w:val="14"/>
                <w:szCs w:val="14"/>
                <w:color w:val="auto"/>
              </w:rPr>
              <w:t>(15)</w:t>
            </w:r>
          </w:p>
        </w:tc>
        <w:tc>
          <w:tcPr>
            <w:tcW w:w="3760" w:type="dxa"/>
            <w:vAlign w:val="bottom"/>
          </w:tcPr>
          <w:p>
            <w:pPr>
              <w:ind w:left="200"/>
              <w:spacing w:after="0"/>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56"/>
        </w:trPr>
        <w:tc>
          <w:tcPr>
            <w:tcW w:w="40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4"/>
          </w:tcPr>
          <w:p>
            <w:pPr>
              <w:jc w:val="right"/>
              <w:ind w:right="40"/>
              <w:spacing w:after="0" w:line="155" w:lineRule="exact"/>
              <w:rPr>
                <w:sz w:val="20"/>
                <w:szCs w:val="20"/>
                <w:color w:val="auto"/>
              </w:rPr>
            </w:pPr>
            <w:r>
              <w:rPr>
                <w:rFonts w:ascii="Arial" w:cs="Arial" w:eastAsia="Arial" w:hAnsi="Arial"/>
                <w:sz w:val="14"/>
                <w:szCs w:val="14"/>
                <w:b w:val="1"/>
                <w:bCs w:val="1"/>
                <w:color w:val="auto"/>
              </w:rPr>
              <w:t>$(274)</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gridSpan w:val="8"/>
          </w:tcPr>
          <w:p>
            <w:pPr>
              <w:jc w:val="right"/>
              <w:ind w:right="240"/>
              <w:spacing w:after="0" w:line="119" w:lineRule="exact"/>
              <w:rPr>
                <w:sz w:val="20"/>
                <w:szCs w:val="20"/>
                <w:color w:val="auto"/>
              </w:rPr>
            </w:pPr>
            <w:r>
              <w:rPr>
                <w:rFonts w:ascii="Arial" w:cs="Arial" w:eastAsia="Arial" w:hAnsi="Arial"/>
                <w:sz w:val="13"/>
                <w:szCs w:val="13"/>
                <w:b w:val="1"/>
                <w:bCs w:val="1"/>
                <w:color w:val="auto"/>
              </w:rPr>
              <w:t>Gain (Loss) Recognized in</w:t>
            </w:r>
          </w:p>
        </w:tc>
        <w:tc>
          <w:tcPr>
            <w:tcW w:w="3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OCI</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5"/>
                <w:szCs w:val="15"/>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3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20"/>
                <w:szCs w:val="20"/>
                <w:color w:val="auto"/>
              </w:rPr>
            </w:pPr>
            <w:r>
              <w:rPr>
                <w:rFonts w:ascii="Arial" w:cs="Arial" w:eastAsia="Arial" w:hAnsi="Arial"/>
                <w:sz w:val="14"/>
                <w:szCs w:val="14"/>
                <w:color w:val="auto"/>
              </w:rPr>
              <w:t>Foreign exchange contracts</w:t>
            </w:r>
          </w:p>
        </w:tc>
        <w:tc>
          <w:tcPr>
            <w:tcW w:w="880" w:type="dxa"/>
            <w:vAlign w:val="bottom"/>
            <w:gridSpan w:val="5"/>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(269)</w:t>
            </w:r>
          </w:p>
        </w:tc>
        <w:tc>
          <w:tcPr>
            <w:tcW w:w="1220" w:type="dxa"/>
            <w:vAlign w:val="bottom"/>
            <w:gridSpan w:val="4"/>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223</w:t>
            </w: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100" w:hanging="407"/>
        <w:spacing w:after="0"/>
        <w:tabs>
          <w:tab w:leader="none" w:pos="11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6" w:lineRule="exact"/>
        <w:rPr>
          <w:sz w:val="20"/>
          <w:szCs w:val="20"/>
          <w:color w:val="auto"/>
        </w:rPr>
      </w:pPr>
    </w:p>
    <w:p>
      <w:pPr>
        <w:ind w:left="700" w:right="20" w:firstLine="198"/>
        <w:spacing w:after="0" w:line="257" w:lineRule="auto"/>
        <w:rPr>
          <w:sz w:val="20"/>
          <w:szCs w:val="20"/>
          <w:color w:val="auto"/>
        </w:rPr>
      </w:pPr>
      <w:r>
        <w:rPr>
          <w:rFonts w:ascii="Arial" w:cs="Arial" w:eastAsia="Arial" w:hAnsi="Arial"/>
          <w:sz w:val="18"/>
          <w:szCs w:val="18"/>
          <w:color w:val="auto"/>
        </w:rPr>
        <w:t>Schlumberger is authorized to issue 3,000,000,000 shares of common stock, par value $0.01 per share, of which 1,361,171,428 and 1,194,812,901 shares were outstanding on December 31, 2010 and 2009,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3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The following is a reconciliation of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6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3400" w:type="dxa"/>
            <w:vAlign w:val="bottom"/>
            <w:tcBorders>
              <w:top w:val="single" w:sz="8" w:color="auto"/>
              <w:bottom w:val="single" w:sz="8" w:color="auto"/>
            </w:tcBorders>
            <w:gridSpan w:val="8"/>
          </w:tcPr>
          <w:p>
            <w:pPr>
              <w:jc w:val="right"/>
              <w:ind w:right="68"/>
              <w:spacing w:after="0" w:line="142" w:lineRule="exact"/>
              <w:rPr>
                <w:sz w:val="20"/>
                <w:szCs w:val="20"/>
                <w:color w:val="auto"/>
              </w:rPr>
            </w:pPr>
            <w:r>
              <w:rPr>
                <w:rFonts w:ascii="Arial" w:cs="Arial" w:eastAsia="Arial" w:hAnsi="Arial"/>
                <w:sz w:val="14"/>
                <w:szCs w:val="14"/>
                <w:b w:val="1"/>
                <w:bCs w:val="1"/>
                <w:color w:val="auto"/>
                <w:w w:val="96"/>
              </w:rPr>
              <w:t>Accumulated Other Comprehensive Income (Loss)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Deferred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Fair Value of</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9"/>
              </w:rPr>
              <w:t>Employee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Translation</w:t>
            </w:r>
          </w:p>
        </w:tc>
        <w:tc>
          <w:tcPr>
            <w:tcW w:w="1100" w:type="dxa"/>
            <w:vAlign w:val="bottom"/>
            <w:gridSpan w:val="3"/>
            <w:vMerge w:val="continue"/>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Benefits</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Derivatives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Liabilities</w:t>
            </w: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6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2008</w:t>
            </w:r>
          </w:p>
        </w:tc>
        <w:tc>
          <w:tcPr>
            <w:tcW w:w="2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$(821)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$(384)</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fair value of derivatives</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(135)</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net losses arising in the year</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(725)</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Deferred taxes</w:t>
            </w:r>
          </w:p>
        </w:tc>
        <w:tc>
          <w:tcPr>
            <w:tcW w:w="17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2008</w:t>
            </w:r>
          </w:p>
        </w:tc>
        <w:tc>
          <w:tcPr>
            <w:tcW w:w="2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(903)</w:t>
            </w:r>
          </w:p>
        </w:tc>
        <w:tc>
          <w:tcPr>
            <w:tcW w:w="11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(1,895)</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fair value of derivatives</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Impact of curtailment</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Actuarial net losses arising in the year</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Balance, December 31, 2009</w:t>
            </w:r>
          </w:p>
        </w:tc>
        <w:tc>
          <w:tcPr>
            <w:tcW w:w="2620" w:type="dxa"/>
            <w:vAlign w:val="bottom"/>
            <w:tcBorders>
              <w:top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(886)</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40</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(1,828)</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(2,674)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adjustments</w:t>
            </w:r>
          </w:p>
        </w:tc>
        <w:tc>
          <w:tcPr>
            <w:tcW w:w="2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Changes in fair value of derivatives</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line="149" w:lineRule="exact"/>
              <w:rPr>
                <w:sz w:val="20"/>
                <w:szCs w:val="20"/>
                <w:color w:val="auto"/>
              </w:rPr>
            </w:pPr>
            <w:r>
              <w:rPr>
                <w:rFonts w:ascii="Arial" w:cs="Arial" w:eastAsia="Arial" w:hAnsi="Arial"/>
                <w:sz w:val="14"/>
                <w:szCs w:val="14"/>
                <w:color w:val="auto"/>
              </w:rPr>
              <w:t>Actuarial net losses arising in the year</w:t>
            </w:r>
          </w:p>
        </w:tc>
        <w:tc>
          <w:tcPr>
            <w:tcW w:w="1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(117)</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17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6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Balance, December 31, 2010</w:t>
            </w:r>
          </w:p>
        </w:tc>
        <w:tc>
          <w:tcPr>
            <w:tcW w:w="2620" w:type="dxa"/>
            <w:vAlign w:val="bottom"/>
            <w:tcBorders>
              <w:top w:val="single" w:sz="8" w:color="auto"/>
            </w:tcBorders>
            <w:gridSpan w:val="3"/>
          </w:tcPr>
          <w:p>
            <w:pPr>
              <w:jc w:val="right"/>
              <w:ind w:right="40"/>
              <w:spacing w:after="0" w:line="149" w:lineRule="exact"/>
              <w:rPr>
                <w:sz w:val="20"/>
                <w:szCs w:val="20"/>
                <w:color w:val="auto"/>
              </w:rPr>
            </w:pPr>
            <w:r>
              <w:rPr>
                <w:rFonts w:ascii="Arial" w:cs="Arial" w:eastAsia="Arial" w:hAnsi="Arial"/>
                <w:sz w:val="14"/>
                <w:szCs w:val="14"/>
                <w:color w:val="auto"/>
              </w:rPr>
              <w:t>$(912)</w:t>
            </w:r>
          </w:p>
        </w:tc>
        <w:tc>
          <w:tcPr>
            <w:tcW w:w="100" w:type="dxa"/>
            <w:vAlign w:val="bottom"/>
          </w:tcPr>
          <w:p>
            <w:pPr>
              <w:spacing w:after="0"/>
              <w:rPr>
                <w:sz w:val="12"/>
                <w:szCs w:val="12"/>
                <w:color w:val="auto"/>
              </w:rPr>
            </w:pPr>
          </w:p>
        </w:tc>
        <w:tc>
          <w:tcPr>
            <w:tcW w:w="8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$45</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$(1,901)</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$(2,768)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1100" w:hanging="407"/>
        <w:spacing w:after="0"/>
        <w:tabs>
          <w:tab w:leader="none" w:pos="11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Compensation Plans</w:t>
      </w:r>
    </w:p>
    <w:p>
      <w:pPr>
        <w:spacing w:after="0" w:line="126" w:lineRule="exact"/>
        <w:rPr>
          <w:sz w:val="20"/>
          <w:szCs w:val="20"/>
          <w:color w:val="auto"/>
        </w:rPr>
      </w:pPr>
    </w:p>
    <w:p>
      <w:pPr>
        <w:ind w:left="700" w:right="1420" w:firstLine="198"/>
        <w:spacing w:after="0" w:line="308" w:lineRule="auto"/>
        <w:rPr>
          <w:sz w:val="20"/>
          <w:szCs w:val="20"/>
          <w:color w:val="auto"/>
        </w:rPr>
      </w:pPr>
      <w:r>
        <w:rPr>
          <w:rFonts w:ascii="Arial" w:cs="Arial" w:eastAsia="Arial" w:hAnsi="Arial"/>
          <w:sz w:val="17"/>
          <w:szCs w:val="17"/>
          <w:color w:val="auto"/>
        </w:rPr>
        <w:t>Schlumberger has three types of stock-based compensation programs: stock options, a restricted stock and restricted stock unit program (collectively referred to as “restricted stock”) and a discounted stock purchase plan (“DSPP”).</w:t>
      </w:r>
    </w:p>
    <w:p>
      <w:pPr>
        <w:spacing w:after="0" w:line="9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jc w:val="both"/>
        <w:ind w:left="700" w:right="1100" w:firstLine="198"/>
        <w:spacing w:after="0" w:line="256" w:lineRule="auto"/>
        <w:rPr>
          <w:sz w:val="20"/>
          <w:szCs w:val="20"/>
          <w:color w:val="auto"/>
        </w:rPr>
      </w:pPr>
      <w:r>
        <w:rPr>
          <w:rFonts w:ascii="Arial" w:cs="Arial" w:eastAsia="Arial" w:hAnsi="Arial"/>
          <w:sz w:val="18"/>
          <w:szCs w:val="18"/>
          <w:color w:val="auto"/>
        </w:rPr>
        <w:t>Key employees are granted stock options under Schlumberger stock option plans. For all of the stock options granted, the exercise price equals the average of the high and low sales prices of Schlumberger stock on the date of grant; an option’s maximum term is ten years, and options generally vest in increments over four or five years.</w:t>
      </w:r>
    </w:p>
    <w:p>
      <w:pPr>
        <w:ind w:left="700" w:right="1120" w:firstLine="198"/>
        <w:spacing w:after="0" w:line="261"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5020" w:type="dxa"/>
            <w:vAlign w:val="bottom"/>
          </w:tcPr>
          <w:p>
            <w:pPr>
              <w:jc w:val="right"/>
              <w:ind w:right="169"/>
              <w:spacing w:after="0"/>
              <w:rPr>
                <w:sz w:val="20"/>
                <w:szCs w:val="20"/>
                <w:color w:val="auto"/>
              </w:rPr>
            </w:pPr>
            <w:r>
              <w:rPr>
                <w:rFonts w:ascii="Arial" w:cs="Arial" w:eastAsia="Arial" w:hAnsi="Arial"/>
                <w:sz w:val="14"/>
                <w:szCs w:val="14"/>
                <w:b w:val="1"/>
                <w:bCs w:val="1"/>
                <w:color w:val="auto"/>
              </w:rPr>
              <w:t>2010</w:t>
            </w: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1440" w:type="dxa"/>
            <w:vAlign w:val="bottom"/>
          </w:tcPr>
          <w:p>
            <w:pPr>
              <w:jc w:val="right"/>
              <w:ind w:right="848"/>
              <w:spacing w:after="0"/>
              <w:rPr>
                <w:sz w:val="20"/>
                <w:szCs w:val="20"/>
                <w:color w:val="auto"/>
              </w:rPr>
            </w:pPr>
            <w:r>
              <w:rPr>
                <w:rFonts w:ascii="Arial" w:cs="Arial" w:eastAsia="Arial" w:hAnsi="Arial"/>
                <w:sz w:val="14"/>
                <w:szCs w:val="14"/>
                <w:b w:val="1"/>
                <w:bCs w:val="1"/>
                <w:color w:val="auto"/>
              </w:rPr>
              <w:t>2008</w:t>
            </w:r>
          </w:p>
        </w:tc>
      </w:tr>
      <w:tr>
        <w:trPr>
          <w:trHeight w:val="165"/>
        </w:trPr>
        <w:tc>
          <w:tcPr>
            <w:tcW w:w="4240" w:type="dxa"/>
            <w:vAlign w:val="bottom"/>
          </w:tcPr>
          <w:p>
            <w:pPr>
              <w:ind w:left="700"/>
              <w:spacing w:after="0"/>
              <w:rPr>
                <w:sz w:val="20"/>
                <w:szCs w:val="20"/>
                <w:color w:val="auto"/>
              </w:rPr>
            </w:pPr>
            <w:r>
              <w:rPr>
                <w:rFonts w:ascii="Arial" w:cs="Arial" w:eastAsia="Arial" w:hAnsi="Arial"/>
                <w:sz w:val="14"/>
                <w:szCs w:val="14"/>
                <w:color w:val="auto"/>
              </w:rPr>
              <w:t>Dividend yield</w:t>
            </w:r>
          </w:p>
        </w:tc>
        <w:tc>
          <w:tcPr>
            <w:tcW w:w="5020" w:type="dxa"/>
            <w:vAlign w:val="bottom"/>
          </w:tcPr>
          <w:p>
            <w:pPr>
              <w:jc w:val="right"/>
              <w:ind w:right="29"/>
              <w:spacing w:after="0"/>
              <w:rPr>
                <w:sz w:val="20"/>
                <w:szCs w:val="20"/>
                <w:color w:val="auto"/>
              </w:rPr>
            </w:pPr>
            <w:r>
              <w:rPr>
                <w:rFonts w:ascii="Arial" w:cs="Arial" w:eastAsia="Arial" w:hAnsi="Arial"/>
                <w:sz w:val="14"/>
                <w:szCs w:val="14"/>
                <w:b w:val="1"/>
                <w:bCs w:val="1"/>
                <w:color w:val="auto"/>
              </w:rPr>
              <w:t>1.3%</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440" w:type="dxa"/>
            <w:vAlign w:val="bottom"/>
          </w:tcPr>
          <w:p>
            <w:pPr>
              <w:jc w:val="right"/>
              <w:ind w:right="728"/>
              <w:spacing w:after="0"/>
              <w:rPr>
                <w:sz w:val="20"/>
                <w:szCs w:val="20"/>
                <w:color w:val="auto"/>
              </w:rPr>
            </w:pPr>
            <w:r>
              <w:rPr>
                <w:rFonts w:ascii="Arial" w:cs="Arial" w:eastAsia="Arial" w:hAnsi="Arial"/>
                <w:sz w:val="14"/>
                <w:szCs w:val="14"/>
                <w:color w:val="auto"/>
              </w:rPr>
              <w:t>1.0%</w:t>
            </w:r>
          </w:p>
        </w:tc>
      </w:tr>
      <w:tr>
        <w:trPr>
          <w:trHeight w:val="149"/>
        </w:trPr>
        <w:tc>
          <w:tcPr>
            <w:tcW w:w="4240" w:type="dxa"/>
            <w:vAlign w:val="bottom"/>
          </w:tcPr>
          <w:p>
            <w:pPr>
              <w:ind w:left="700"/>
              <w:spacing w:after="0" w:line="149" w:lineRule="exact"/>
              <w:rPr>
                <w:sz w:val="20"/>
                <w:szCs w:val="20"/>
                <w:color w:val="auto"/>
              </w:rPr>
            </w:pPr>
            <w:r>
              <w:rPr>
                <w:rFonts w:ascii="Arial" w:cs="Arial" w:eastAsia="Arial" w:hAnsi="Arial"/>
                <w:sz w:val="14"/>
                <w:szCs w:val="14"/>
                <w:color w:val="auto"/>
              </w:rPr>
              <w:t>Expected volatility</w:t>
            </w:r>
          </w:p>
        </w:tc>
        <w:tc>
          <w:tcPr>
            <w:tcW w:w="50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35%</w:t>
            </w: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34%</w:t>
            </w:r>
          </w:p>
        </w:tc>
        <w:tc>
          <w:tcPr>
            <w:tcW w:w="144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31%</w:t>
            </w:r>
          </w:p>
        </w:tc>
      </w:tr>
      <w:tr>
        <w:trPr>
          <w:trHeight w:val="149"/>
        </w:trPr>
        <w:tc>
          <w:tcPr>
            <w:tcW w:w="4240" w:type="dxa"/>
            <w:vAlign w:val="bottom"/>
          </w:tcPr>
          <w:p>
            <w:pPr>
              <w:ind w:left="700"/>
              <w:spacing w:after="0" w:line="149" w:lineRule="exact"/>
              <w:rPr>
                <w:sz w:val="20"/>
                <w:szCs w:val="20"/>
                <w:color w:val="auto"/>
              </w:rPr>
            </w:pPr>
            <w:r>
              <w:rPr>
                <w:rFonts w:ascii="Arial" w:cs="Arial" w:eastAsia="Arial" w:hAnsi="Arial"/>
                <w:sz w:val="14"/>
                <w:szCs w:val="14"/>
                <w:color w:val="auto"/>
              </w:rPr>
              <w:t>Risk free interest rate</w:t>
            </w:r>
          </w:p>
        </w:tc>
        <w:tc>
          <w:tcPr>
            <w:tcW w:w="5020" w:type="dxa"/>
            <w:vAlign w:val="bottom"/>
          </w:tcPr>
          <w:p>
            <w:pPr>
              <w:jc w:val="right"/>
              <w:ind w:right="29"/>
              <w:spacing w:after="0" w:line="149" w:lineRule="exact"/>
              <w:rPr>
                <w:sz w:val="20"/>
                <w:szCs w:val="20"/>
                <w:color w:val="auto"/>
              </w:rPr>
            </w:pPr>
            <w:r>
              <w:rPr>
                <w:rFonts w:ascii="Arial" w:cs="Arial" w:eastAsia="Arial" w:hAnsi="Arial"/>
                <w:sz w:val="14"/>
                <w:szCs w:val="14"/>
                <w:b w:val="1"/>
                <w:bCs w:val="1"/>
                <w:color w:val="auto"/>
              </w:rPr>
              <w:t>2.9%</w:t>
            </w: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2.2%</w:t>
            </w:r>
          </w:p>
        </w:tc>
        <w:tc>
          <w:tcPr>
            <w:tcW w:w="1440" w:type="dxa"/>
            <w:vAlign w:val="bottom"/>
          </w:tcPr>
          <w:p>
            <w:pPr>
              <w:jc w:val="right"/>
              <w:ind w:right="728"/>
              <w:spacing w:after="0" w:line="149" w:lineRule="exact"/>
              <w:rPr>
                <w:sz w:val="20"/>
                <w:szCs w:val="20"/>
                <w:color w:val="auto"/>
              </w:rPr>
            </w:pPr>
            <w:r>
              <w:rPr>
                <w:rFonts w:ascii="Arial" w:cs="Arial" w:eastAsia="Arial" w:hAnsi="Arial"/>
                <w:sz w:val="14"/>
                <w:szCs w:val="14"/>
                <w:color w:val="auto"/>
              </w:rPr>
              <w:t>3.2%</w:t>
            </w:r>
          </w:p>
        </w:tc>
      </w:tr>
      <w:tr>
        <w:trPr>
          <w:trHeight w:val="149"/>
        </w:trPr>
        <w:tc>
          <w:tcPr>
            <w:tcW w:w="4240" w:type="dxa"/>
            <w:vAlign w:val="bottom"/>
          </w:tcPr>
          <w:p>
            <w:pPr>
              <w:ind w:left="700"/>
              <w:spacing w:after="0" w:line="149" w:lineRule="exact"/>
              <w:rPr>
                <w:sz w:val="20"/>
                <w:szCs w:val="20"/>
                <w:color w:val="auto"/>
              </w:rPr>
            </w:pPr>
            <w:r>
              <w:rPr>
                <w:rFonts w:ascii="Arial" w:cs="Arial" w:eastAsia="Arial" w:hAnsi="Arial"/>
                <w:sz w:val="14"/>
                <w:szCs w:val="14"/>
                <w:color w:val="auto"/>
              </w:rPr>
              <w:t>Expected option life in years</w:t>
            </w:r>
          </w:p>
        </w:tc>
        <w:tc>
          <w:tcPr>
            <w:tcW w:w="5020" w:type="dxa"/>
            <w:vAlign w:val="bottom"/>
          </w:tcPr>
          <w:p>
            <w:pPr>
              <w:jc w:val="right"/>
              <w:ind w:right="169"/>
              <w:spacing w:after="0" w:line="149" w:lineRule="exact"/>
              <w:rPr>
                <w:sz w:val="20"/>
                <w:szCs w:val="20"/>
                <w:color w:val="auto"/>
              </w:rPr>
            </w:pPr>
            <w:r>
              <w:rPr>
                <w:rFonts w:ascii="Arial" w:cs="Arial" w:eastAsia="Arial" w:hAnsi="Arial"/>
                <w:sz w:val="14"/>
                <w:szCs w:val="14"/>
                <w:b w:val="1"/>
                <w:bCs w:val="1"/>
                <w:color w:val="auto"/>
              </w:rPr>
              <w:t>6.9</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6.9</w:t>
            </w:r>
          </w:p>
        </w:tc>
        <w:tc>
          <w:tcPr>
            <w:tcW w:w="1440" w:type="dxa"/>
            <w:vAlign w:val="bottom"/>
          </w:tcPr>
          <w:p>
            <w:pPr>
              <w:jc w:val="right"/>
              <w:ind w:right="848"/>
              <w:spacing w:after="0" w:line="149" w:lineRule="exact"/>
              <w:rPr>
                <w:sz w:val="20"/>
                <w:szCs w:val="20"/>
                <w:color w:val="auto"/>
              </w:rPr>
            </w:pPr>
            <w:r>
              <w:rPr>
                <w:rFonts w:ascii="Arial" w:cs="Arial" w:eastAsia="Arial" w:hAnsi="Arial"/>
                <w:sz w:val="14"/>
                <w:szCs w:val="14"/>
                <w:color w:val="auto"/>
              </w:rPr>
              <w:t>7.0</w:t>
            </w:r>
          </w:p>
        </w:tc>
      </w:tr>
      <w:tr>
        <w:trPr>
          <w:trHeight w:val="186"/>
        </w:trPr>
        <w:tc>
          <w:tcPr>
            <w:tcW w:w="4240" w:type="dxa"/>
            <w:vAlign w:val="bottom"/>
          </w:tcPr>
          <w:p>
            <w:pPr>
              <w:ind w:left="700"/>
              <w:spacing w:after="0"/>
              <w:rPr>
                <w:sz w:val="20"/>
                <w:szCs w:val="20"/>
                <w:color w:val="auto"/>
              </w:rPr>
            </w:pPr>
            <w:r>
              <w:rPr>
                <w:rFonts w:ascii="Arial" w:cs="Arial" w:eastAsia="Arial" w:hAnsi="Arial"/>
                <w:sz w:val="14"/>
                <w:szCs w:val="14"/>
                <w:color w:val="auto"/>
              </w:rPr>
              <w:t>Weighted-average fair value per share</w:t>
            </w:r>
          </w:p>
        </w:tc>
        <w:tc>
          <w:tcPr>
            <w:tcW w:w="5020" w:type="dxa"/>
            <w:vAlign w:val="bottom"/>
          </w:tcPr>
          <w:p>
            <w:pPr>
              <w:jc w:val="right"/>
              <w:ind w:right="169"/>
              <w:spacing w:after="0"/>
              <w:rPr>
                <w:sz w:val="20"/>
                <w:szCs w:val="20"/>
                <w:color w:val="auto"/>
              </w:rPr>
            </w:pPr>
            <w:r>
              <w:rPr>
                <w:rFonts w:ascii="Arial" w:cs="Arial" w:eastAsia="Arial" w:hAnsi="Arial"/>
                <w:sz w:val="14"/>
                <w:szCs w:val="14"/>
                <w:b w:val="1"/>
                <w:bCs w:val="1"/>
                <w:color w:val="auto"/>
              </w:rPr>
              <w:t>$ 24.13</w:t>
            </w: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$ 13.92</w:t>
            </w:r>
          </w:p>
        </w:tc>
        <w:tc>
          <w:tcPr>
            <w:tcW w:w="1440" w:type="dxa"/>
            <w:vAlign w:val="bottom"/>
          </w:tcPr>
          <w:p>
            <w:pPr>
              <w:jc w:val="right"/>
              <w:ind w:right="848"/>
              <w:spacing w:after="0"/>
              <w:rPr>
                <w:sz w:val="20"/>
                <w:szCs w:val="20"/>
                <w:color w:val="auto"/>
              </w:rPr>
            </w:pPr>
            <w:r>
              <w:rPr>
                <w:rFonts w:ascii="Arial" w:cs="Arial" w:eastAsia="Arial" w:hAnsi="Arial"/>
                <w:sz w:val="14"/>
                <w:szCs w:val="14"/>
                <w:color w:val="auto"/>
              </w:rPr>
              <w:t>$ 29.33</w:t>
            </w:r>
          </w:p>
        </w:tc>
      </w:tr>
      <w:tr>
        <w:trPr>
          <w:trHeight w:val="536"/>
        </w:trPr>
        <w:tc>
          <w:tcPr>
            <w:tcW w:w="4240" w:type="dxa"/>
            <w:vAlign w:val="bottom"/>
          </w:tcPr>
          <w:p>
            <w:pPr>
              <w:spacing w:after="0"/>
              <w:rPr>
                <w:sz w:val="24"/>
                <w:szCs w:val="24"/>
                <w:color w:val="auto"/>
              </w:rPr>
            </w:pPr>
          </w:p>
        </w:tc>
        <w:tc>
          <w:tcPr>
            <w:tcW w:w="5020" w:type="dxa"/>
            <w:vAlign w:val="bottom"/>
          </w:tcPr>
          <w:p>
            <w:pPr>
              <w:jc w:val="right"/>
              <w:ind w:right="3469"/>
              <w:spacing w:after="0"/>
              <w:rPr>
                <w:sz w:val="20"/>
                <w:szCs w:val="20"/>
                <w:color w:val="auto"/>
              </w:rPr>
            </w:pPr>
            <w:r>
              <w:rPr>
                <w:rFonts w:ascii="Arial" w:cs="Arial" w:eastAsia="Arial" w:hAnsi="Arial"/>
                <w:sz w:val="13"/>
                <w:szCs w:val="13"/>
                <w:color w:val="auto"/>
              </w:rPr>
              <w:t>58</w:t>
            </w:r>
          </w:p>
        </w:tc>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5"/>
        </w:trPr>
        <w:tc>
          <w:tcPr>
            <w:tcW w:w="4240" w:type="dxa"/>
            <w:vAlign w:val="bottom"/>
            <w:tcBorders>
              <w:bottom w:val="single" w:sz="8" w:color="808080"/>
            </w:tcBorders>
          </w:tcPr>
          <w:p>
            <w:pPr>
              <w:spacing w:after="0"/>
              <w:rPr>
                <w:sz w:val="18"/>
                <w:szCs w:val="18"/>
                <w:color w:val="auto"/>
              </w:rPr>
            </w:pPr>
          </w:p>
        </w:tc>
        <w:tc>
          <w:tcPr>
            <w:tcW w:w="50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00" w:right="900" w:firstLine="198"/>
        <w:spacing w:after="0" w:line="277" w:lineRule="auto"/>
        <w:rPr>
          <w:sz w:val="20"/>
          <w:szCs w:val="20"/>
          <w:color w:val="auto"/>
        </w:rPr>
      </w:pPr>
      <w:r>
        <w:rPr>
          <w:rFonts w:ascii="Arial" w:cs="Arial" w:eastAsia="Arial" w:hAnsi="Arial"/>
          <w:sz w:val="18"/>
          <w:szCs w:val="18"/>
          <w:color w:val="auto"/>
        </w:rPr>
        <w:t>The following table summarizes information concerning options outstanding and options exercisable by five ranges of exercise prices as of December 31, 2010:</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(Shares stated in thousands)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tcPr>
          <w:p>
            <w:pPr>
              <w:spacing w:after="0"/>
              <w:rPr>
                <w:sz w:val="12"/>
                <w:szCs w:val="12"/>
                <w:color w:val="auto"/>
              </w:rPr>
            </w:pPr>
          </w:p>
        </w:tc>
        <w:tc>
          <w:tcPr>
            <w:tcW w:w="2700" w:type="dxa"/>
            <w:vAlign w:val="bottom"/>
            <w:tcBorders>
              <w:top w:val="single" w:sz="8" w:color="auto"/>
              <w:bottom w:val="single" w:sz="8" w:color="auto"/>
            </w:tcBorders>
            <w:gridSpan w:val="6"/>
          </w:tcPr>
          <w:p>
            <w:pPr>
              <w:jc w:val="right"/>
              <w:ind w:right="48"/>
              <w:spacing w:after="0" w:line="142" w:lineRule="exact"/>
              <w:rPr>
                <w:sz w:val="20"/>
                <w:szCs w:val="20"/>
                <w:color w:val="auto"/>
              </w:rPr>
            </w:pPr>
            <w:r>
              <w:rPr>
                <w:rFonts w:ascii="Arial" w:cs="Arial" w:eastAsia="Arial" w:hAnsi="Arial"/>
                <w:sz w:val="14"/>
                <w:szCs w:val="14"/>
                <w:b w:val="1"/>
                <w:bCs w:val="1"/>
                <w:color w:val="auto"/>
              </w:rPr>
              <w:t>OPTIONS OUTSTANDING</w:t>
            </w:r>
          </w:p>
        </w:tc>
        <w:tc>
          <w:tcPr>
            <w:tcW w:w="7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40" w:type="dxa"/>
            <w:vAlign w:val="bottom"/>
            <w:tcBorders>
              <w:top w:val="single" w:sz="8" w:color="auto"/>
              <w:bottom w:val="single" w:sz="8" w:color="auto"/>
            </w:tcBorders>
            <w:gridSpan w:val="4"/>
          </w:tcPr>
          <w:p>
            <w:pPr>
              <w:jc w:val="right"/>
              <w:ind w:right="88"/>
              <w:spacing w:after="0" w:line="142" w:lineRule="exact"/>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Weighted-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remaining</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Exercise prices range</w:t>
            </w: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contractual life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exercise</w:t>
            </w: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6"/>
        </w:trPr>
        <w:tc>
          <w:tcPr>
            <w:tcW w:w="4080" w:type="dxa"/>
            <w:vAlign w:val="bottom"/>
            <w:gridSpan w:val="2"/>
            <w:vMerge w:val="continue"/>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(in years)</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$16.87-$32.46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5,281</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4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27.41</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5,281</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$32.62-$37.85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6,907</w:t>
            </w:r>
          </w:p>
        </w:tc>
        <w:tc>
          <w:tcPr>
            <w:tcW w:w="1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w:t>
            </w:r>
          </w:p>
        </w:tc>
        <w:tc>
          <w:tcPr>
            <w:tcW w:w="4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37.25</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1,887</w:t>
            </w:r>
          </w:p>
        </w:tc>
        <w:tc>
          <w:tcPr>
            <w:tcW w:w="4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$38.53-$55.69</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7,714</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w:t>
            </w:r>
          </w:p>
        </w:tc>
        <w:tc>
          <w:tcPr>
            <w:tcW w:w="4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6,197</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line="149" w:lineRule="exact"/>
              <w:rPr>
                <w:sz w:val="20"/>
                <w:szCs w:val="20"/>
                <w:color w:val="auto"/>
              </w:rPr>
            </w:pPr>
            <w:r>
              <w:rPr>
                <w:rFonts w:ascii="Arial" w:cs="Arial" w:eastAsia="Arial" w:hAnsi="Arial"/>
                <w:sz w:val="14"/>
                <w:szCs w:val="14"/>
                <w:color w:val="auto"/>
              </w:rPr>
              <w:t>$56.61-$74.00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12,289</w:t>
            </w:r>
          </w:p>
        </w:tc>
        <w:tc>
          <w:tcPr>
            <w:tcW w:w="10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w:t>
            </w:r>
          </w:p>
        </w:tc>
        <w:tc>
          <w:tcPr>
            <w:tcW w:w="4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64.86</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2,546</w:t>
            </w:r>
          </w:p>
        </w:tc>
        <w:tc>
          <w:tcPr>
            <w:tcW w:w="44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60.96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$84.93-$110.78</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5,308</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4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88.57</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2,083</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37,499</w:t>
            </w:r>
          </w:p>
        </w:tc>
        <w:tc>
          <w:tcPr>
            <w:tcW w:w="1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6.47</w:t>
            </w: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55.33</w:t>
            </w:r>
          </w:p>
        </w:tc>
        <w:tc>
          <w:tcPr>
            <w:tcW w:w="2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17,994</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weighted average remaining contractual life of stock options exercisable as of December 31, 2010 was 4.6 years.</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stock option activity during the years ended December 31, 2010, 2009 and 2008:</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(Shares stated in thousands)</w:t>
      </w:r>
    </w:p>
    <w:p>
      <w:pPr>
        <w:spacing w:after="0" w:line="4"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34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4"/>
          </w:tcPr>
          <w:p>
            <w:pPr>
              <w:jc w:val="right"/>
              <w:ind w:right="8"/>
              <w:spacing w:after="0" w:line="129" w:lineRule="exact"/>
              <w:rPr>
                <w:sz w:val="20"/>
                <w:szCs w:val="20"/>
                <w:color w:val="auto"/>
              </w:rPr>
            </w:pPr>
            <w:r>
              <w:rPr>
                <w:rFonts w:ascii="Arial" w:cs="Arial" w:eastAsia="Arial" w:hAnsi="Arial"/>
                <w:sz w:val="13"/>
                <w:szCs w:val="13"/>
                <w:b w:val="1"/>
                <w:bCs w:val="1"/>
                <w:color w:val="auto"/>
              </w:rPr>
              <w:t>2010</w:t>
            </w:r>
          </w:p>
        </w:tc>
        <w:tc>
          <w:tcPr>
            <w:tcW w:w="4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4"/>
          </w:tcPr>
          <w:p>
            <w:pPr>
              <w:jc w:val="right"/>
              <w:ind w:right="8"/>
              <w:spacing w:after="0" w:line="129" w:lineRule="exact"/>
              <w:rPr>
                <w:sz w:val="20"/>
                <w:szCs w:val="20"/>
                <w:color w:val="auto"/>
              </w:rPr>
            </w:pPr>
            <w:r>
              <w:rPr>
                <w:rFonts w:ascii="Arial" w:cs="Arial" w:eastAsia="Arial" w:hAnsi="Arial"/>
                <w:sz w:val="13"/>
                <w:szCs w:val="13"/>
                <w:b w:val="1"/>
                <w:bCs w:val="1"/>
                <w:color w:val="auto"/>
              </w:rPr>
              <w:t>2009</w:t>
            </w:r>
          </w:p>
        </w:tc>
        <w:tc>
          <w:tcPr>
            <w:tcW w:w="4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4"/>
          </w:tcPr>
          <w:p>
            <w:pPr>
              <w:jc w:val="right"/>
              <w:ind w:right="8"/>
              <w:spacing w:after="0" w:line="129" w:lineRule="exact"/>
              <w:rPr>
                <w:sz w:val="20"/>
                <w:szCs w:val="20"/>
                <w:color w:val="auto"/>
              </w:rPr>
            </w:pPr>
            <w:r>
              <w:rPr>
                <w:rFonts w:ascii="Arial" w:cs="Arial" w:eastAsia="Arial" w:hAnsi="Arial"/>
                <w:sz w:val="13"/>
                <w:szCs w:val="13"/>
                <w:b w:val="1"/>
                <w:bCs w:val="1"/>
                <w:color w:val="auto"/>
              </w:rPr>
              <w:t>2008</w:t>
            </w:r>
          </w:p>
        </w:tc>
        <w:tc>
          <w:tcPr>
            <w:tcW w:w="44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3"/>
          </w:tcPr>
          <w:p>
            <w:pPr>
              <w:ind w:left="160"/>
              <w:spacing w:after="0" w:line="110" w:lineRule="exact"/>
              <w:rPr>
                <w:sz w:val="20"/>
                <w:szCs w:val="20"/>
                <w:color w:val="auto"/>
              </w:rPr>
            </w:pPr>
            <w:r>
              <w:rPr>
                <w:rFonts w:ascii="Arial" w:cs="Arial" w:eastAsia="Arial" w:hAnsi="Arial"/>
                <w:sz w:val="12"/>
                <w:szCs w:val="12"/>
                <w:b w:val="1"/>
                <w:bCs w:val="1"/>
                <w:color w:val="auto"/>
                <w:w w:val="89"/>
              </w:rPr>
              <w:t>Weighted-</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3"/>
          </w:tcPr>
          <w:p>
            <w:pPr>
              <w:ind w:left="100"/>
              <w:spacing w:after="0" w:line="110" w:lineRule="exact"/>
              <w:rPr>
                <w:sz w:val="20"/>
                <w:szCs w:val="20"/>
                <w:color w:val="auto"/>
              </w:rPr>
            </w:pPr>
            <w:r>
              <w:rPr>
                <w:rFonts w:ascii="Arial" w:cs="Arial" w:eastAsia="Arial" w:hAnsi="Arial"/>
                <w:sz w:val="12"/>
                <w:szCs w:val="12"/>
                <w:b w:val="1"/>
                <w:bCs w:val="1"/>
                <w:color w:val="auto"/>
                <w:w w:val="89"/>
              </w:rPr>
              <w:t>Weighted-</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3"/>
          </w:tcPr>
          <w:p>
            <w:pPr>
              <w:ind w:left="100"/>
              <w:spacing w:after="0" w:line="110" w:lineRule="exact"/>
              <w:rPr>
                <w:sz w:val="20"/>
                <w:szCs w:val="20"/>
                <w:color w:val="auto"/>
              </w:rPr>
            </w:pPr>
            <w:r>
              <w:rPr>
                <w:rFonts w:ascii="Arial" w:cs="Arial" w:eastAsia="Arial" w:hAnsi="Arial"/>
                <w:sz w:val="12"/>
                <w:szCs w:val="12"/>
                <w:b w:val="1"/>
                <w:bCs w:val="1"/>
                <w:color w:val="auto"/>
                <w:w w:val="89"/>
              </w:rPr>
              <w:t>Weighted-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5"/>
              </w:rPr>
              <w:t>average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5"/>
              </w:rPr>
              <w:t>average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0"/>
              </w:rPr>
              <w:t>exercise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w w:val="80"/>
              </w:rPr>
              <w:t>exercise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80"/>
              </w:rPr>
              <w:t>exercise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price</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5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35,500</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50.30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32,301</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50.36</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35,719</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8,283</w:t>
            </w:r>
          </w:p>
        </w:tc>
        <w:tc>
          <w:tcPr>
            <w:tcW w:w="100" w:type="dxa"/>
            <w:vAlign w:val="bottom"/>
          </w:tcPr>
          <w:p>
            <w:pPr>
              <w:spacing w:after="0"/>
              <w:rPr>
                <w:sz w:val="12"/>
                <w:szCs w:val="12"/>
                <w:color w:val="auto"/>
              </w:rPr>
            </w:pP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66.67</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7,981</w:t>
            </w:r>
          </w:p>
        </w:tc>
        <w:tc>
          <w:tcPr>
            <w:tcW w:w="16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40.87</w:t>
            </w:r>
          </w:p>
        </w:tc>
        <w:tc>
          <w:tcPr>
            <w:tcW w:w="2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5,422</w:t>
            </w:r>
          </w:p>
        </w:tc>
        <w:tc>
          <w:tcPr>
            <w:tcW w:w="160" w:type="dxa"/>
            <w:vAlign w:val="bottom"/>
          </w:tcPr>
          <w:p>
            <w:pPr>
              <w:spacing w:after="0"/>
              <w:rPr>
                <w:sz w:val="12"/>
                <w:szCs w:val="12"/>
                <w:color w:val="auto"/>
              </w:rPr>
            </w:pP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84.95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in Smith transaction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581</w:t>
            </w: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28.77</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(5,962)</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37.60</w:t>
            </w:r>
          </w:p>
        </w:tc>
        <w:tc>
          <w:tcPr>
            <w:tcW w:w="2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(3,851)</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29.00</w:t>
            </w:r>
          </w:p>
        </w:tc>
        <w:tc>
          <w:tcPr>
            <w:tcW w:w="2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(5,444)</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Forfeited</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(903)</w:t>
            </w: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61.28</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(931)</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58.82</w:t>
            </w:r>
          </w:p>
        </w:tc>
        <w:tc>
          <w:tcPr>
            <w:tcW w:w="2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(3,396)</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Outstanding at year-end</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37,499</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55.33</w:t>
            </w:r>
          </w:p>
        </w:tc>
        <w:tc>
          <w:tcPr>
            <w:tcW w:w="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35,500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50.30</w:t>
            </w:r>
          </w:p>
        </w:tc>
        <w:tc>
          <w:tcPr>
            <w:tcW w:w="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32,301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020" w:firstLine="198"/>
        <w:spacing w:after="0" w:line="258" w:lineRule="auto"/>
        <w:rPr>
          <w:sz w:val="20"/>
          <w:szCs w:val="20"/>
          <w:color w:val="auto"/>
        </w:rPr>
      </w:pPr>
      <w:r>
        <w:rPr>
          <w:rFonts w:ascii="Arial" w:cs="Arial" w:eastAsia="Arial" w:hAnsi="Arial"/>
          <w:sz w:val="18"/>
          <w:szCs w:val="18"/>
          <w:color w:val="auto"/>
        </w:rPr>
        <w:t>The aggregate intrinsic value of stock options outstanding as of December 31, 2010 was approximately $1.08 billion. The aggregate intrinsic value of stock options exercisable as of December 31, 2010 was approximately $630 million.</w:t>
      </w:r>
    </w:p>
    <w:p>
      <w:pPr>
        <w:spacing w:after="0" w:line="1" w:lineRule="exact"/>
        <w:rPr>
          <w:sz w:val="20"/>
          <w:szCs w:val="20"/>
          <w:color w:val="auto"/>
        </w:rPr>
      </w:pPr>
    </w:p>
    <w:p>
      <w:pPr>
        <w:ind w:left="700" w:right="1640" w:firstLine="198"/>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2010, 2009 and 2008, was $188 million, $103 million and $119 million, respectively.</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6" w:lineRule="exact"/>
        <w:rPr>
          <w:sz w:val="20"/>
          <w:szCs w:val="20"/>
          <w:color w:val="auto"/>
        </w:rPr>
      </w:pPr>
    </w:p>
    <w:p>
      <w:pPr>
        <w:ind w:left="700" w:right="1800" w:firstLine="198"/>
        <w:spacing w:after="0" w:line="258" w:lineRule="auto"/>
        <w:rPr>
          <w:sz w:val="20"/>
          <w:szCs w:val="20"/>
          <w:color w:val="auto"/>
        </w:rPr>
      </w:pPr>
      <w:r>
        <w:rPr>
          <w:rFonts w:ascii="Arial" w:cs="Arial" w:eastAsia="Arial" w:hAnsi="Arial"/>
          <w:sz w:val="18"/>
          <w:szCs w:val="18"/>
          <w:color w:val="auto"/>
        </w:rPr>
        <w:t>Restricted stock awards generally vest at the end of three years. There have not been any grants to date that are subject to performance-based vesting.</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information about restricted stock transactions: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(Shares stated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00" w:type="dxa"/>
            <w:vAlign w:val="bottom"/>
          </w:tcPr>
          <w:p>
            <w:pPr>
              <w:spacing w:after="0"/>
              <w:rPr>
                <w:sz w:val="11"/>
                <w:szCs w:val="11"/>
                <w:color w:val="auto"/>
              </w:rPr>
            </w:pPr>
          </w:p>
        </w:tc>
        <w:tc>
          <w:tcPr>
            <w:tcW w:w="40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4"/>
          </w:tcPr>
          <w:p>
            <w:pPr>
              <w:ind w:left="800"/>
              <w:spacing w:after="0" w:line="129" w:lineRule="exact"/>
              <w:rPr>
                <w:sz w:val="20"/>
                <w:szCs w:val="20"/>
                <w:color w:val="auto"/>
              </w:rPr>
            </w:pPr>
            <w:r>
              <w:rPr>
                <w:rFonts w:ascii="Arial" w:cs="Arial" w:eastAsia="Arial" w:hAnsi="Arial"/>
                <w:sz w:val="13"/>
                <w:szCs w:val="13"/>
                <w:b w:val="1"/>
                <w:bCs w:val="1"/>
                <w:color w:val="auto"/>
              </w:rPr>
              <w:t>2010</w:t>
            </w:r>
          </w:p>
        </w:tc>
        <w:tc>
          <w:tcPr>
            <w:tcW w:w="7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4"/>
          </w:tcPr>
          <w:p>
            <w:pPr>
              <w:jc w:val="right"/>
              <w:ind w:right="80"/>
              <w:spacing w:after="0" w:line="129" w:lineRule="exact"/>
              <w:rPr>
                <w:sz w:val="20"/>
                <w:szCs w:val="20"/>
                <w:color w:val="auto"/>
              </w:rPr>
            </w:pPr>
            <w:r>
              <w:rPr>
                <w:rFonts w:ascii="Arial" w:cs="Arial" w:eastAsia="Arial" w:hAnsi="Arial"/>
                <w:sz w:val="13"/>
                <w:szCs w:val="13"/>
                <w:b w:val="1"/>
                <w:bCs w:val="1"/>
                <w:color w:val="auto"/>
              </w:rPr>
              <w:t>2009</w:t>
            </w:r>
          </w:p>
        </w:tc>
        <w:tc>
          <w:tcPr>
            <w:tcW w:w="6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3"/>
                <w:szCs w:val="13"/>
                <w:b w:val="1"/>
                <w:bCs w:val="1"/>
                <w:color w:val="auto"/>
              </w:rPr>
              <w:t>2008</w:t>
            </w: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0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Weighted</w:t>
            </w: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spacing w:after="0" w:line="110" w:lineRule="exact"/>
              <w:rPr>
                <w:sz w:val="20"/>
                <w:szCs w:val="20"/>
                <w:color w:val="auto"/>
              </w:rPr>
            </w:pPr>
            <w:r>
              <w:rPr>
                <w:rFonts w:ascii="Arial" w:cs="Arial" w:eastAsia="Arial" w:hAnsi="Arial"/>
                <w:sz w:val="12"/>
                <w:szCs w:val="12"/>
                <w:b w:val="1"/>
                <w:bCs w:val="1"/>
                <w:color w:val="auto"/>
              </w:rPr>
              <w:t>Weighted</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Average</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Average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40" w:type="dxa"/>
            <w:vAlign w:val="bottom"/>
            <w:gridSpan w:val="4"/>
          </w:tcPr>
          <w:p>
            <w:pPr>
              <w:jc w:val="right"/>
              <w:ind w:right="320"/>
              <w:spacing w:after="0" w:line="135" w:lineRule="exact"/>
              <w:rPr>
                <w:sz w:val="20"/>
                <w:szCs w:val="20"/>
                <w:color w:val="auto"/>
              </w:rPr>
            </w:pPr>
            <w:r>
              <w:rPr>
                <w:rFonts w:ascii="Arial" w:cs="Arial" w:eastAsia="Arial" w:hAnsi="Arial"/>
                <w:sz w:val="13"/>
                <w:szCs w:val="13"/>
                <w:b w:val="1"/>
                <w:bCs w:val="1"/>
                <w:color w:val="auto"/>
              </w:rPr>
              <w:t>Restricted</w:t>
            </w:r>
          </w:p>
        </w:tc>
        <w:tc>
          <w:tcPr>
            <w:tcW w:w="7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Grant Date</w:t>
            </w:r>
          </w:p>
        </w:tc>
        <w:tc>
          <w:tcPr>
            <w:tcW w:w="200" w:type="dxa"/>
            <w:vAlign w:val="bottom"/>
          </w:tcPr>
          <w:p>
            <w:pPr>
              <w:spacing w:after="0"/>
              <w:rPr>
                <w:sz w:val="11"/>
                <w:szCs w:val="11"/>
                <w:color w:val="auto"/>
              </w:rPr>
            </w:pPr>
          </w:p>
        </w:tc>
        <w:tc>
          <w:tcPr>
            <w:tcW w:w="108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rPr>
              <w:t>Restricted</w:t>
            </w:r>
          </w:p>
        </w:tc>
        <w:tc>
          <w:tcPr>
            <w:tcW w:w="6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Grant Date</w:t>
            </w:r>
          </w:p>
        </w:tc>
        <w:tc>
          <w:tcPr>
            <w:tcW w:w="200" w:type="dxa"/>
            <w:vAlign w:val="bottom"/>
          </w:tcPr>
          <w:p>
            <w:pPr>
              <w:spacing w:after="0"/>
              <w:rPr>
                <w:sz w:val="11"/>
                <w:szCs w:val="11"/>
                <w:color w:val="auto"/>
              </w:rPr>
            </w:pPr>
          </w:p>
        </w:tc>
        <w:tc>
          <w:tcPr>
            <w:tcW w:w="106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rPr>
              <w:t>Restricted</w:t>
            </w: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w w:val="99"/>
              </w:rPr>
              <w:t>Grant Date</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Stock</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Stock</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4"/>
                <w:szCs w:val="14"/>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Fair Value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00" w:type="dxa"/>
            <w:vAlign w:val="bottom"/>
            <w:vMerge w:val="restart"/>
          </w:tcPr>
          <w:p>
            <w:pPr>
              <w:spacing w:after="0"/>
              <w:rPr>
                <w:sz w:val="3"/>
                <w:szCs w:val="3"/>
                <w:color w:val="auto"/>
              </w:rPr>
            </w:pPr>
          </w:p>
        </w:tc>
        <w:tc>
          <w:tcPr>
            <w:tcW w:w="4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700" w:type="dxa"/>
            <w:vAlign w:val="bottom"/>
            <w:vMerge w:val="continue"/>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at beginning of year</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$62.75</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$66.49</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$65.14</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65.79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48.14</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68.04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Vested</w:t>
            </w: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(286)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63.92</w:t>
            </w:r>
          </w:p>
        </w:tc>
        <w:tc>
          <w:tcPr>
            <w:tcW w:w="11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65.15</w:t>
            </w:r>
          </w:p>
        </w:tc>
        <w:tc>
          <w:tcPr>
            <w:tcW w:w="11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65.35</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color w:val="auto"/>
              </w:rPr>
              <w:t>Forfeited</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(95)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64.16</w:t>
            </w:r>
          </w:p>
        </w:tc>
        <w:tc>
          <w:tcPr>
            <w:tcW w:w="2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69.23</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72.44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0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Unvested at end of year</w:t>
            </w: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2,223</w:t>
            </w: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$64.27</w:t>
            </w:r>
          </w:p>
        </w:tc>
        <w:tc>
          <w:tcPr>
            <w:tcW w:w="200" w:type="dxa"/>
            <w:vAlign w:val="bottom"/>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1,343</w:t>
            </w: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$62.75</w:t>
            </w:r>
          </w:p>
        </w:tc>
        <w:tc>
          <w:tcPr>
            <w:tcW w:w="200" w:type="dxa"/>
            <w:vAlign w:val="bottom"/>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1,701</w:t>
            </w: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$66.49</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40" w:type="dxa"/>
            <w:vAlign w:val="bottom"/>
            <w:gridSpan w:val="3"/>
          </w:tcPr>
          <w:p>
            <w:pPr>
              <w:ind w:left="820"/>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Discounted Stock Purchase Plan</w:t>
      </w:r>
    </w:p>
    <w:p>
      <w:pPr>
        <w:spacing w:after="0" w:line="126" w:lineRule="exact"/>
        <w:rPr>
          <w:sz w:val="20"/>
          <w:szCs w:val="20"/>
          <w:color w:val="auto"/>
        </w:rPr>
      </w:pPr>
    </w:p>
    <w:p>
      <w:pPr>
        <w:ind w:left="700" w:right="820" w:firstLine="198"/>
        <w:spacing w:after="0" w:line="256" w:lineRule="auto"/>
        <w:rPr>
          <w:sz w:val="20"/>
          <w:szCs w:val="20"/>
          <w:color w:val="auto"/>
        </w:rPr>
      </w:pPr>
      <w:r>
        <w:rPr>
          <w:rFonts w:ascii="Arial" w:cs="Arial" w:eastAsia="Arial" w:hAnsi="Arial"/>
          <w:sz w:val="18"/>
          <w:szCs w:val="18"/>
          <w:color w:val="auto"/>
        </w:rPr>
        <w:t>Under the terms of the DSPP, employees can choose to have a portion of their earnings withheld, subject to certain restrictions, to purchase Schlumberger common stock. The purchase price of the stock is 92.5% of the lower of the stock price at the beginning or end of the plan period at six-month intervals.</w:t>
      </w:r>
    </w:p>
    <w:p>
      <w:pPr>
        <w:ind w:left="700" w:right="1140" w:firstLine="19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94"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560" w:type="dxa"/>
            <w:vAlign w:val="bottom"/>
          </w:tcPr>
          <w:p>
            <w:pPr>
              <w:jc w:val="right"/>
              <w:ind w:right="188"/>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0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3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1.6%</w:t>
            </w: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35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36%</w:t>
            </w: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44%</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w:t>
            </w:r>
          </w:p>
        </w:tc>
        <w:tc>
          <w:tcPr>
            <w:tcW w:w="35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0.3%</w:t>
            </w: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3560" w:type="dxa"/>
            <w:vAlign w:val="bottom"/>
          </w:tcPr>
          <w:p>
            <w:pPr>
              <w:jc w:val="right"/>
              <w:ind w:right="188"/>
              <w:spacing w:after="0"/>
              <w:rPr>
                <w:sz w:val="20"/>
                <w:szCs w:val="20"/>
                <w:color w:val="auto"/>
              </w:rPr>
            </w:pPr>
            <w:r>
              <w:rPr>
                <w:rFonts w:ascii="Arial" w:cs="Arial" w:eastAsia="Arial" w:hAnsi="Arial"/>
                <w:sz w:val="14"/>
                <w:szCs w:val="14"/>
                <w:b w:val="1"/>
                <w:bCs w:val="1"/>
                <w:color w:val="auto"/>
              </w:rPr>
              <w:t>$10.30</w:t>
            </w:r>
          </w:p>
        </w:tc>
        <w:tc>
          <w:tcPr>
            <w:tcW w:w="660" w:type="dxa"/>
            <w:vAlign w:val="bottom"/>
          </w:tcPr>
          <w:p>
            <w:pPr>
              <w:jc w:val="right"/>
              <w:ind w:right="168"/>
              <w:spacing w:after="0"/>
              <w:rPr>
                <w:sz w:val="20"/>
                <w:szCs w:val="20"/>
                <w:color w:val="auto"/>
              </w:rPr>
            </w:pPr>
            <w:r>
              <w:rPr>
                <w:rFonts w:ascii="Arial" w:cs="Arial" w:eastAsia="Arial" w:hAnsi="Arial"/>
                <w:sz w:val="14"/>
                <w:szCs w:val="14"/>
                <w:color w:val="auto"/>
              </w:rPr>
              <w:t>$9.76</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Total Stock-based Compensation Expense</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4640" w:type="dxa"/>
            <w:vAlign w:val="bottom"/>
            <w:tcBorders>
              <w:top w:val="single" w:sz="8" w:color="auto"/>
            </w:tcBorders>
          </w:tcPr>
          <w:p>
            <w:pPr>
              <w:spacing w:after="0"/>
              <w:rPr>
                <w:sz w:val="16"/>
                <w:szCs w:val="16"/>
                <w:color w:val="auto"/>
              </w:rPr>
            </w:pPr>
          </w:p>
        </w:tc>
        <w:tc>
          <w:tcPr>
            <w:tcW w:w="40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 options</w:t>
            </w:r>
          </w:p>
        </w:tc>
        <w:tc>
          <w:tcPr>
            <w:tcW w:w="40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$ 121</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$ 118</w:t>
            </w:r>
          </w:p>
        </w:tc>
        <w:tc>
          <w:tcPr>
            <w:tcW w:w="5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$ 111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4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4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40" w:type="dxa"/>
            <w:vAlign w:val="bottom"/>
          </w:tcPr>
          <w:p>
            <w:pPr>
              <w:spacing w:after="0"/>
              <w:rPr>
                <w:sz w:val="12"/>
                <w:szCs w:val="12"/>
                <w:color w:val="auto"/>
              </w:rPr>
            </w:pPr>
          </w:p>
        </w:tc>
        <w:tc>
          <w:tcPr>
            <w:tcW w:w="4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$198</w:t>
            </w:r>
          </w:p>
        </w:tc>
        <w:tc>
          <w:tcPr>
            <w:tcW w:w="10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186</w:t>
            </w:r>
          </w:p>
        </w:tc>
        <w:tc>
          <w:tcPr>
            <w:tcW w:w="380" w:type="dxa"/>
            <w:vAlign w:val="bottom"/>
            <w:vMerge w:val="continue"/>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172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640" w:firstLine="198"/>
        <w:spacing w:after="0" w:line="264" w:lineRule="auto"/>
        <w:rPr>
          <w:sz w:val="20"/>
          <w:szCs w:val="20"/>
          <w:color w:val="auto"/>
        </w:rPr>
      </w:pPr>
      <w:r>
        <w:rPr>
          <w:rFonts w:ascii="Arial" w:cs="Arial" w:eastAsia="Arial" w:hAnsi="Arial"/>
          <w:sz w:val="18"/>
          <w:szCs w:val="18"/>
          <w:color w:val="auto"/>
        </w:rPr>
        <w:t>At December 31, 2010, there was $382 million of total unrecognized compensation cost related to nonvested stock-based compensation arrangements. Approximately $156 million is expected to be recognized in 2011, $122 million is expected to be recognized in 2012, $65 million in 2013, $35 million in 2014 and $4 million in 2015.</w:t>
      </w:r>
    </w:p>
    <w:p>
      <w:pPr>
        <w:spacing w:after="0" w:line="186" w:lineRule="exact"/>
        <w:rPr>
          <w:sz w:val="20"/>
          <w:szCs w:val="20"/>
          <w:color w:val="auto"/>
        </w:rPr>
      </w:pPr>
    </w:p>
    <w:p>
      <w:pPr>
        <w:ind w:left="1100" w:hanging="407"/>
        <w:spacing w:after="0"/>
        <w:tabs>
          <w:tab w:leader="none" w:pos="11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operates in more than 100 jurisdictions, where statutory tax rates generally vary from 0% to 50%.</w:t>
      </w:r>
    </w:p>
    <w:p>
      <w:pPr>
        <w:spacing w:after="0" w:line="23" w:lineRule="exact"/>
        <w:rPr>
          <w:sz w:val="20"/>
          <w:szCs w:val="20"/>
          <w:color w:val="auto"/>
        </w:rPr>
      </w:pPr>
    </w:p>
    <w:p>
      <w:pPr>
        <w:ind w:left="700" w:right="900" w:firstLine="198"/>
        <w:spacing w:after="0" w:line="261" w:lineRule="auto"/>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were subject to United States and non-United States income taxes for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years ended December 31, was as follows:</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80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r>
      <w:tr>
        <w:trPr>
          <w:trHeight w:val="149"/>
        </w:trPr>
        <w:tc>
          <w:tcPr>
            <w:tcW w:w="8000" w:type="dxa"/>
            <w:vAlign w:val="bottom"/>
          </w:tcPr>
          <w:p>
            <w:pPr>
              <w:spacing w:after="0" w:line="149" w:lineRule="exact"/>
              <w:rPr>
                <w:sz w:val="20"/>
                <w:szCs w:val="20"/>
                <w:color w:val="auto"/>
              </w:rPr>
            </w:pPr>
            <w:r>
              <w:rPr>
                <w:rFonts w:ascii="Arial" w:cs="Arial" w:eastAsia="Arial" w:hAnsi="Arial"/>
                <w:sz w:val="14"/>
                <w:szCs w:val="14"/>
                <w:color w:val="auto"/>
              </w:rPr>
              <w:t>United States</w:t>
            </w: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638</w:t>
            </w:r>
          </w:p>
        </w:tc>
        <w:tc>
          <w:tcPr>
            <w:tcW w:w="10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$ 1,432</w:t>
            </w:r>
          </w:p>
        </w:tc>
      </w:tr>
      <w:tr>
        <w:trPr>
          <w:trHeight w:val="185"/>
        </w:trPr>
        <w:tc>
          <w:tcPr>
            <w:tcW w:w="8000" w:type="dxa"/>
            <w:vAlign w:val="bottom"/>
          </w:tcPr>
          <w:p>
            <w:pPr>
              <w:spacing w:after="0"/>
              <w:rPr>
                <w:sz w:val="20"/>
                <w:szCs w:val="20"/>
                <w:color w:val="auto"/>
              </w:rPr>
            </w:pPr>
            <w:r>
              <w:rPr>
                <w:rFonts w:ascii="Arial" w:cs="Arial" w:eastAsia="Arial" w:hAnsi="Arial"/>
                <w:sz w:val="14"/>
                <w:szCs w:val="14"/>
                <w:color w:val="auto"/>
              </w:rPr>
              <w:t>Outside United States</w:t>
            </w: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4,518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1"/>
              </w:rPr>
              <w:t>3,848</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5,420</w:t>
            </w:r>
          </w:p>
        </w:tc>
      </w:tr>
      <w:tr>
        <w:trPr>
          <w:trHeight w:val="156"/>
        </w:trPr>
        <w:tc>
          <w:tcPr>
            <w:tcW w:w="80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5,156</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3,934</w:t>
            </w:r>
          </w:p>
        </w:tc>
        <w:tc>
          <w:tcPr>
            <w:tcW w:w="28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$ 6,852</w:t>
            </w:r>
          </w:p>
        </w:tc>
      </w:tr>
      <w:tr>
        <w:trPr>
          <w:trHeight w:val="20"/>
        </w:trPr>
        <w:tc>
          <w:tcPr>
            <w:tcW w:w="8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700" w:right="880" w:firstLine="198"/>
        <w:spacing w:after="0" w:line="254" w:lineRule="auto"/>
        <w:rPr>
          <w:sz w:val="20"/>
          <w:szCs w:val="20"/>
          <w:color w:val="auto"/>
        </w:rPr>
      </w:pPr>
      <w:r>
        <w:rPr>
          <w:rFonts w:ascii="Arial" w:cs="Arial" w:eastAsia="Arial" w:hAnsi="Arial"/>
          <w:sz w:val="18"/>
          <w:szCs w:val="18"/>
          <w:color w:val="auto"/>
        </w:rPr>
        <w:t xml:space="preserve">Schlumberger recorded $621 million of net pretax credits in 2010 ($226 million of net charges in the US and $847 million of net credits outside the US). Schlumberger recorded $238 million of pretax charges in 2009 ($73 million in the US and $165 million outside the US) and $116 million in 2008 ($15 million in the US and $101 million outside the US). These charges and credits are included in the table above and are more fully described in Note 3 – </w:t>
      </w:r>
      <w:r>
        <w:rPr>
          <w:rFonts w:ascii="Arial" w:cs="Arial" w:eastAsia="Arial" w:hAnsi="Arial"/>
          <w:sz w:val="18"/>
          <w:szCs w:val="18"/>
          <w:i w:val="1"/>
          <w:iCs w:val="1"/>
          <w:color w:val="auto"/>
        </w:rPr>
        <w:t>Charges and Credits</w:t>
      </w:r>
      <w:r>
        <w:rPr>
          <w:rFonts w:ascii="Arial" w:cs="Arial" w:eastAsia="Arial" w:hAnsi="Arial"/>
          <w:sz w:val="18"/>
          <w:szCs w:val="18"/>
          <w:color w:val="auto"/>
        </w:rPr>
        <w:t>.</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components of net deferred tax assets (liabilities) were as follows: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53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4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Postretirement benefits</w:t>
            </w:r>
          </w:p>
        </w:tc>
        <w:tc>
          <w:tcPr>
            <w:tcW w:w="5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327</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$ 447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Multiclient seismic data</w:t>
            </w:r>
          </w:p>
        </w:tc>
        <w:tc>
          <w:tcPr>
            <w:tcW w:w="53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w:t>
            </w:r>
          </w:p>
        </w:tc>
        <w:tc>
          <w:tcPr>
            <w:tcW w:w="53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(1,674)</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Investments in non-US subsidiaries</w:t>
            </w:r>
          </w:p>
        </w:tc>
        <w:tc>
          <w:tcPr>
            <w:tcW w:w="534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(353)</w:t>
            </w:r>
          </w:p>
        </w:tc>
        <w:tc>
          <w:tcPr>
            <w:tcW w:w="280" w:type="dxa"/>
            <w:vAlign w:val="bottom"/>
          </w:tcPr>
          <w:p>
            <w:pPr>
              <w:spacing w:after="0"/>
              <w:rPr>
                <w:sz w:val="12"/>
                <w:szCs w:val="12"/>
                <w:color w:val="auto"/>
              </w:rPr>
            </w:pPr>
          </w:p>
        </w:tc>
        <w:tc>
          <w:tcPr>
            <w:tcW w:w="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53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(1,585)</w:t>
            </w:r>
          </w:p>
        </w:tc>
        <w:tc>
          <w:tcPr>
            <w:tcW w:w="280" w:type="dxa"/>
            <w:vAlign w:val="bottom"/>
            <w:vMerge w:val="continue"/>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340" w:type="dxa"/>
            <w:vAlign w:val="bottom"/>
            <w:vMerge w:val="restart"/>
          </w:tcPr>
          <w:p>
            <w:pPr>
              <w:jc w:val="right"/>
              <w:ind w:right="3711"/>
              <w:spacing w:after="0"/>
              <w:rPr>
                <w:sz w:val="20"/>
                <w:szCs w:val="20"/>
                <w:color w:val="auto"/>
              </w:rPr>
            </w:pPr>
            <w:r>
              <w:rPr>
                <w:rFonts w:ascii="Arial" w:cs="Arial" w:eastAsia="Arial" w:hAnsi="Arial"/>
                <w:sz w:val="13"/>
                <w:szCs w:val="13"/>
                <w:color w:val="auto"/>
              </w:rPr>
              <w:t>60</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460" w:type="dxa"/>
            <w:vAlign w:val="bottom"/>
            <w:tcBorders>
              <w:bottom w:val="single" w:sz="8" w:color="808080"/>
            </w:tcBorders>
          </w:tcPr>
          <w:p>
            <w:pPr>
              <w:spacing w:after="0"/>
              <w:rPr>
                <w:sz w:val="18"/>
                <w:szCs w:val="18"/>
                <w:color w:val="auto"/>
              </w:rPr>
            </w:pPr>
          </w:p>
        </w:tc>
        <w:tc>
          <w:tcPr>
            <w:tcW w:w="53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00" w:right="880" w:firstLine="198"/>
        <w:spacing w:after="0" w:line="256" w:lineRule="auto"/>
        <w:rPr>
          <w:sz w:val="20"/>
          <w:szCs w:val="20"/>
          <w:color w:val="auto"/>
        </w:rPr>
      </w:pPr>
      <w:r>
        <w:rPr>
          <w:rFonts w:ascii="Arial" w:cs="Arial" w:eastAsia="Arial" w:hAnsi="Arial"/>
          <w:sz w:val="18"/>
          <w:szCs w:val="18"/>
          <w:color w:val="auto"/>
        </w:rPr>
        <w:t>The above deferred balances at December 31, 2010 and 2009 are net of valuation allowances relating to net operating losses in certain countries of $263 million and $251 million, respectively. The deferred tax balances at December 31, 2009 were net of a valuation allowance relating to a foreign tax credit carryforward of $30 million.</w:t>
      </w:r>
    </w:p>
    <w:p>
      <w:pPr>
        <w:ind w:left="900"/>
        <w:spacing w:after="0"/>
        <w:rPr>
          <w:sz w:val="20"/>
          <w:szCs w:val="20"/>
          <w:color w:val="auto"/>
        </w:rPr>
      </w:pPr>
      <w:r>
        <w:rPr>
          <w:rFonts w:ascii="Arial" w:cs="Arial" w:eastAsia="Arial" w:hAnsi="Arial"/>
          <w:sz w:val="18"/>
          <w:szCs w:val="18"/>
          <w:color w:val="auto"/>
        </w:rPr>
        <w:t xml:space="preserve">The components of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0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6"/>
                <w:szCs w:val="16"/>
                <w:color w:val="auto"/>
              </w:rPr>
            </w:pPr>
          </w:p>
        </w:tc>
      </w:tr>
      <w:tr>
        <w:trPr>
          <w:trHeight w:val="158"/>
        </w:trPr>
        <w:tc>
          <w:tcPr>
            <w:tcW w:w="20" w:type="dxa"/>
            <w:vAlign w:val="bottom"/>
          </w:tcPr>
          <w:p>
            <w:pPr>
              <w:spacing w:after="0"/>
              <w:rPr>
                <w:sz w:val="13"/>
                <w:szCs w:val="13"/>
                <w:color w:val="auto"/>
              </w:rPr>
            </w:pPr>
          </w:p>
        </w:tc>
        <w:tc>
          <w:tcPr>
            <w:tcW w:w="4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Current:</w:t>
            </w:r>
          </w:p>
        </w:tc>
        <w:tc>
          <w:tcPr>
            <w:tcW w:w="3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260"/>
              <w:spacing w:after="0" w:line="149" w:lineRule="exact"/>
              <w:rPr>
                <w:sz w:val="20"/>
                <w:szCs w:val="20"/>
                <w:color w:val="auto"/>
              </w:rPr>
            </w:pPr>
            <w:r>
              <w:rPr>
                <w:rFonts w:ascii="Arial" w:cs="Arial" w:eastAsia="Arial" w:hAnsi="Arial"/>
                <w:sz w:val="14"/>
                <w:szCs w:val="14"/>
                <w:color w:val="auto"/>
              </w:rPr>
              <w:t>United States – Federal</w:t>
            </w:r>
          </w:p>
        </w:tc>
        <w:tc>
          <w:tcPr>
            <w:tcW w:w="3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2"/>
                <w:szCs w:val="12"/>
                <w:color w:val="auto"/>
              </w:rPr>
            </w:pPr>
          </w:p>
        </w:tc>
        <w:tc>
          <w:tcPr>
            <w:tcW w:w="7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 (191)</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United States – State</w:t>
            </w:r>
          </w:p>
        </w:tc>
        <w:tc>
          <w:tcPr>
            <w:tcW w:w="32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r>
      <w:tr>
        <w:trPr>
          <w:trHeight w:val="169"/>
        </w:trPr>
        <w:tc>
          <w:tcPr>
            <w:tcW w:w="20" w:type="dxa"/>
            <w:vAlign w:val="bottom"/>
          </w:tcPr>
          <w:p>
            <w:pPr>
              <w:spacing w:after="0"/>
              <w:rPr>
                <w:sz w:val="14"/>
                <w:szCs w:val="14"/>
                <w:color w:val="auto"/>
              </w:rPr>
            </w:pPr>
          </w:p>
        </w:tc>
        <w:tc>
          <w:tcPr>
            <w:tcW w:w="490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Outside United States</w:t>
            </w:r>
          </w:p>
        </w:tc>
        <w:tc>
          <w:tcPr>
            <w:tcW w:w="3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909</w:t>
            </w:r>
          </w:p>
        </w:tc>
        <w:tc>
          <w:tcPr>
            <w:tcW w:w="1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3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$ 397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1,436</w:t>
            </w:r>
          </w:p>
        </w:tc>
        <w:tc>
          <w:tcPr>
            <w:tcW w:w="100" w:type="dxa"/>
            <w:vAlign w:val="bottom"/>
            <w:shd w:val="clear" w:color="auto" w:fill="CCEEFF"/>
          </w:tcPr>
          <w:p>
            <w:pPr>
              <w:spacing w:after="0"/>
              <w:rPr>
                <w:sz w:val="12"/>
                <w:szCs w:val="12"/>
                <w:color w:val="auto"/>
              </w:rPr>
            </w:pPr>
          </w:p>
        </w:tc>
      </w:tr>
      <w:tr>
        <w:trPr>
          <w:trHeight w:val="156"/>
        </w:trPr>
        <w:tc>
          <w:tcPr>
            <w:tcW w:w="4920" w:type="dxa"/>
            <w:vAlign w:val="bottom"/>
            <w:gridSpan w:val="2"/>
          </w:tcPr>
          <w:p>
            <w:pPr>
              <w:spacing w:after="0" w:line="155" w:lineRule="exact"/>
              <w:rPr>
                <w:sz w:val="20"/>
                <w:szCs w:val="20"/>
                <w:color w:val="auto"/>
              </w:rPr>
            </w:pPr>
            <w:r>
              <w:rPr>
                <w:rFonts w:ascii="Arial" w:cs="Arial" w:eastAsia="Arial" w:hAnsi="Arial"/>
                <w:sz w:val="14"/>
                <w:szCs w:val="14"/>
                <w:color w:val="auto"/>
              </w:rPr>
              <w:t>Deferred:</w:t>
            </w:r>
          </w:p>
        </w:tc>
        <w:tc>
          <w:tcPr>
            <w:tcW w:w="3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United States – Federal</w:t>
            </w:r>
          </w:p>
        </w:tc>
        <w:tc>
          <w:tcPr>
            <w:tcW w:w="3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183</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$ 247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tcPr>
          <w:p>
            <w:pPr>
              <w:ind w:left="260"/>
              <w:spacing w:after="0" w:line="149" w:lineRule="exact"/>
              <w:rPr>
                <w:sz w:val="20"/>
                <w:szCs w:val="20"/>
                <w:color w:val="auto"/>
              </w:rPr>
            </w:pPr>
            <w:r>
              <w:rPr>
                <w:rFonts w:ascii="Arial" w:cs="Arial" w:eastAsia="Arial" w:hAnsi="Arial"/>
                <w:sz w:val="14"/>
                <w:szCs w:val="14"/>
                <w:color w:val="auto"/>
              </w:rPr>
              <w:t>United States – State</w:t>
            </w:r>
          </w:p>
        </w:tc>
        <w:tc>
          <w:tcPr>
            <w:tcW w:w="32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Outside United States</w:t>
            </w:r>
          </w:p>
        </w:tc>
        <w:tc>
          <w:tcPr>
            <w:tcW w:w="32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(281)</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w:t>
            </w:r>
          </w:p>
        </w:tc>
      </w:tr>
      <w:tr>
        <w:trPr>
          <w:trHeight w:val="162"/>
        </w:trPr>
        <w:tc>
          <w:tcPr>
            <w:tcW w:w="20" w:type="dxa"/>
            <w:vAlign w:val="bottom"/>
          </w:tcPr>
          <w:p>
            <w:pPr>
              <w:spacing w:after="0"/>
              <w:rPr>
                <w:sz w:val="14"/>
                <w:szCs w:val="14"/>
                <w:color w:val="auto"/>
              </w:rPr>
            </w:pPr>
          </w:p>
        </w:tc>
        <w:tc>
          <w:tcPr>
            <w:tcW w:w="4900" w:type="dxa"/>
            <w:vAlign w:val="bottom"/>
          </w:tcPr>
          <w:p>
            <w:pPr>
              <w:ind w:left="260"/>
              <w:spacing w:after="0"/>
              <w:rPr>
                <w:sz w:val="20"/>
                <w:szCs w:val="20"/>
                <w:color w:val="auto"/>
              </w:rPr>
            </w:pPr>
            <w:r>
              <w:rPr>
                <w:rFonts w:ascii="Arial" w:cs="Arial" w:eastAsia="Arial" w:hAnsi="Arial"/>
                <w:sz w:val="14"/>
                <w:szCs w:val="14"/>
                <w:color w:val="auto"/>
              </w:rPr>
              <w:t>Valuation allowance</w:t>
            </w:r>
          </w:p>
        </w:tc>
        <w:tc>
          <w:tcPr>
            <w:tcW w:w="328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27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4"/>
                <w:szCs w:val="14"/>
                <w:color w:val="auto"/>
              </w:rPr>
              <w:t>(18)</w:t>
            </w:r>
          </w:p>
        </w:tc>
      </w:tr>
      <w:tr>
        <w:trPr>
          <w:trHeight w:val="27"/>
        </w:trPr>
        <w:tc>
          <w:tcPr>
            <w:tcW w:w="20" w:type="dxa"/>
            <w:vAlign w:val="bottom"/>
          </w:tcPr>
          <w:p>
            <w:pPr>
              <w:spacing w:after="0"/>
              <w:rPr>
                <w:sz w:val="2"/>
                <w:szCs w:val="2"/>
                <w:color w:val="auto"/>
              </w:rPr>
            </w:pPr>
          </w:p>
        </w:tc>
        <w:tc>
          <w:tcPr>
            <w:tcW w:w="4900" w:type="dxa"/>
            <w:vAlign w:val="bottom"/>
            <w:shd w:val="clear" w:color="auto" w:fill="000000"/>
          </w:tcPr>
          <w:p>
            <w:pPr>
              <w:spacing w:after="0"/>
              <w:rPr>
                <w:sz w:val="2"/>
                <w:szCs w:val="2"/>
                <w:color w:val="auto"/>
              </w:rPr>
            </w:pPr>
          </w:p>
        </w:tc>
        <w:tc>
          <w:tcPr>
            <w:tcW w:w="3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3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w w:val="91"/>
              </w:rPr>
              <w:t>(109)</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$ 373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w:t>
            </w:r>
          </w:p>
        </w:tc>
      </w:tr>
      <w:tr>
        <w:trPr>
          <w:trHeight w:val="20"/>
        </w:trPr>
        <w:tc>
          <w:tcPr>
            <w:tcW w:w="492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32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890</w:t>
            </w:r>
          </w:p>
        </w:tc>
        <w:tc>
          <w:tcPr>
            <w:tcW w:w="100" w:type="dxa"/>
            <w:vAlign w:val="bottom"/>
            <w:tcBorders>
              <w:top w:val="single" w:sz="8" w:color="auto"/>
            </w:tcBorders>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770</w:t>
            </w:r>
          </w:p>
        </w:tc>
        <w:tc>
          <w:tcPr>
            <w:tcW w:w="1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1,430</w:t>
            </w:r>
          </w:p>
        </w:tc>
        <w:tc>
          <w:tcPr>
            <w:tcW w:w="1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136"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2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4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1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3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3040" w:type="dxa"/>
            <w:vAlign w:val="bottom"/>
          </w:tcPr>
          <w:p>
            <w:pPr>
              <w:spacing w:after="0"/>
              <w:rPr>
                <w:sz w:val="12"/>
                <w:szCs w:val="12"/>
                <w:color w:val="auto"/>
              </w:rPr>
            </w:pP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Non-US income taxed at different rates</w:t>
            </w:r>
          </w:p>
        </w:tc>
        <w:tc>
          <w:tcPr>
            <w:tcW w:w="34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(14)</w:t>
            </w:r>
          </w:p>
        </w:tc>
        <w:tc>
          <w:tcPr>
            <w:tcW w:w="7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5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3040" w:type="dxa"/>
            <w:vAlign w:val="bottom"/>
          </w:tcPr>
          <w:p>
            <w:pPr>
              <w:spacing w:after="0"/>
              <w:rPr>
                <w:sz w:val="12"/>
                <w:szCs w:val="12"/>
                <w:color w:val="auto"/>
              </w:rPr>
            </w:pP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 (See Note 3)</w:t>
            </w:r>
          </w:p>
        </w:tc>
        <w:tc>
          <w:tcPr>
            <w:tcW w:w="34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Arial" w:cs="Arial" w:eastAsia="Arial" w:hAnsi="Arial"/>
                <w:sz w:val="14"/>
                <w:szCs w:val="14"/>
                <w:color w:val="auto"/>
              </w:rPr>
              <w:t>Other</w:t>
            </w:r>
          </w:p>
        </w:tc>
        <w:tc>
          <w:tcPr>
            <w:tcW w:w="34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shd w:val="clear" w:color="auto" w:fill="000000"/>
          </w:tcPr>
          <w:p>
            <w:pPr>
              <w:spacing w:after="0"/>
              <w:rPr>
                <w:sz w:val="2"/>
                <w:szCs w:val="2"/>
                <w:color w:val="auto"/>
              </w:rPr>
            </w:pPr>
          </w:p>
        </w:tc>
        <w:tc>
          <w:tcPr>
            <w:tcW w:w="30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3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w:t>
            </w:r>
          </w:p>
        </w:tc>
        <w:tc>
          <w:tcPr>
            <w:tcW w:w="3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5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1040" w:firstLine="198"/>
        <w:spacing w:after="0" w:line="272" w:lineRule="auto"/>
        <w:rPr>
          <w:sz w:val="20"/>
          <w:szCs w:val="20"/>
          <w:color w:val="auto"/>
        </w:rPr>
      </w:pPr>
      <w:r>
        <w:rPr>
          <w:rFonts w:ascii="Arial" w:cs="Arial" w:eastAsia="Arial" w:hAnsi="Arial"/>
          <w:sz w:val="17"/>
          <w:szCs w:val="17"/>
          <w:color w:val="auto"/>
        </w:rPr>
        <w:t>Schlumberger conducts business in more than 100 jurisdictions, a number of which have tax laws that are not fully defined and are evolving. Due to the geographic breadth of the Schlumberger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for the years ended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2010, 2009 and 2008 is as follows:</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434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4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Balance at beginning of year</w:t>
            </w:r>
          </w:p>
        </w:tc>
        <w:tc>
          <w:tcPr>
            <w:tcW w:w="41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b w:val="1"/>
                <w:bCs w:val="1"/>
                <w:color w:val="auto"/>
              </w:rPr>
              <w:t>$ 1,026</w:t>
            </w:r>
          </w:p>
        </w:tc>
        <w:tc>
          <w:tcPr>
            <w:tcW w:w="8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877</w:t>
            </w:r>
          </w:p>
        </w:tc>
        <w:tc>
          <w:tcPr>
            <w:tcW w:w="16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$ 858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Additions based on tax positions related to the current year</w:t>
            </w:r>
          </w:p>
        </w:tc>
        <w:tc>
          <w:tcPr>
            <w:tcW w:w="41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190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16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for tax positions of prior years</w:t>
            </w:r>
          </w:p>
        </w:tc>
        <w:tc>
          <w:tcPr>
            <w:tcW w:w="4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Additions related to acquisitions</w:t>
            </w:r>
          </w:p>
        </w:tc>
        <w:tc>
          <w:tcPr>
            <w:tcW w:w="41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115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4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Settlements with tax authorities</w:t>
            </w:r>
          </w:p>
        </w:tc>
        <w:tc>
          <w:tcPr>
            <w:tcW w:w="424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rPr>
              <w:t>(36)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5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Reductions for tax positions of prior years</w:t>
            </w:r>
          </w:p>
        </w:tc>
        <w:tc>
          <w:tcPr>
            <w:tcW w:w="42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w:t>
            </w:r>
          </w:p>
        </w:tc>
        <w:tc>
          <w:tcPr>
            <w:tcW w:w="5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4340" w:type="dxa"/>
            <w:vAlign w:val="bottom"/>
          </w:tcPr>
          <w:p>
            <w:pPr>
              <w:spacing w:after="0"/>
              <w:rPr>
                <w:sz w:val="20"/>
                <w:szCs w:val="20"/>
                <w:color w:val="auto"/>
              </w:rPr>
            </w:pPr>
            <w:r>
              <w:rPr>
                <w:rFonts w:ascii="Arial" w:cs="Arial" w:eastAsia="Arial" w:hAnsi="Arial"/>
                <w:sz w:val="14"/>
                <w:szCs w:val="14"/>
                <w:color w:val="auto"/>
              </w:rPr>
              <w:t>Reductions due to the lapse of the applicable statute of limitations</w:t>
            </w:r>
          </w:p>
        </w:tc>
        <w:tc>
          <w:tcPr>
            <w:tcW w:w="42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560" w:type="dxa"/>
            <w:vAlign w:val="bottom"/>
            <w:gridSpan w:val="3"/>
          </w:tcPr>
          <w:p>
            <w:pPr>
              <w:jc w:val="right"/>
              <w:ind w:right="40"/>
              <w:spacing w:after="0"/>
              <w:rPr>
                <w:sz w:val="20"/>
                <w:szCs w:val="20"/>
                <w:color w:val="auto"/>
              </w:rPr>
            </w:pPr>
            <w:r>
              <w:rPr>
                <w:rFonts w:ascii="Arial" w:cs="Arial" w:eastAsia="Arial" w:hAnsi="Arial"/>
                <w:sz w:val="14"/>
                <w:szCs w:val="14"/>
                <w:color w:val="auto"/>
              </w:rPr>
              <w:t>(20)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34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4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$ 1,165</w:t>
            </w:r>
          </w:p>
        </w:tc>
        <w:tc>
          <w:tcPr>
            <w:tcW w:w="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1,026</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$ 877</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740" w:type="dxa"/>
            <w:vAlign w:val="bottom"/>
            <w:vMerge w:val="restart"/>
          </w:tcPr>
          <w:p>
            <w:pPr>
              <w:jc w:val="right"/>
              <w:ind w:right="2989"/>
              <w:spacing w:after="0"/>
              <w:rPr>
                <w:sz w:val="20"/>
                <w:szCs w:val="20"/>
                <w:color w:val="auto"/>
              </w:rPr>
            </w:pPr>
            <w:r>
              <w:rPr>
                <w:rFonts w:ascii="Arial" w:cs="Arial" w:eastAsia="Arial" w:hAnsi="Arial"/>
                <w:sz w:val="13"/>
                <w:szCs w:val="13"/>
                <w:color w:val="auto"/>
              </w:rPr>
              <w:t>61</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7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340" w:type="dxa"/>
            <w:vAlign w:val="bottom"/>
            <w:tcBorders>
              <w:bottom w:val="single" w:sz="8" w:color="808080"/>
            </w:tcBorders>
          </w:tcPr>
          <w:p>
            <w:pPr>
              <w:spacing w:after="0"/>
              <w:rPr>
                <w:sz w:val="18"/>
                <w:szCs w:val="18"/>
                <w:color w:val="auto"/>
              </w:rPr>
            </w:pPr>
          </w:p>
        </w:tc>
        <w:tc>
          <w:tcPr>
            <w:tcW w:w="37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00" w:firstLine="198"/>
        <w:spacing w:after="0" w:line="274" w:lineRule="auto"/>
        <w:rPr>
          <w:sz w:val="20"/>
          <w:szCs w:val="20"/>
          <w:color w:val="auto"/>
        </w:rPr>
      </w:pPr>
      <w:r>
        <w:rPr>
          <w:rFonts w:ascii="Arial" w:cs="Arial" w:eastAsia="Arial" w:hAnsi="Arial"/>
          <w:sz w:val="17"/>
          <w:szCs w:val="17"/>
          <w:color w:val="auto"/>
        </w:rPr>
        <w:t>The amounts above exclude accrued interest and penalties of $210 million, $168 million and $136 million at December 31, 2010, 2009 and 2008 respectively. All of the unrecognized tax benefits, if recognized, would impact the Schlumberger effective tax rate.</w:t>
      </w:r>
    </w:p>
    <w:p>
      <w:pPr>
        <w:ind w:left="700" w:right="40" w:firstLine="198"/>
        <w:spacing w:after="0" w:line="250" w:lineRule="auto"/>
        <w:rPr>
          <w:sz w:val="20"/>
          <w:szCs w:val="20"/>
          <w:color w:val="auto"/>
        </w:rPr>
      </w:pPr>
      <w:r>
        <w:rPr>
          <w:rFonts w:ascii="Arial" w:cs="Arial" w:eastAsia="Arial" w:hAnsi="Arial"/>
          <w:sz w:val="18"/>
          <w:szCs w:val="18"/>
          <w:color w:val="auto"/>
        </w:rPr>
        <w:t xml:space="preserve">Schlumberger classifies interest and penalties relating to uncertain tax positions within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Income</w:t>
      </w:r>
      <w:r>
        <w:rPr>
          <w:rFonts w:ascii="Arial" w:cs="Arial" w:eastAsia="Arial" w:hAnsi="Arial"/>
          <w:sz w:val="18"/>
          <w:szCs w:val="18"/>
          <w:color w:val="auto"/>
        </w:rPr>
        <w:t>. During 2010, 2009 and 2008, Schlumberger recognized approximately $42 million, $32 million and $25 million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and penalties, respectively.</w:t>
      </w:r>
    </w:p>
    <w:p>
      <w:pPr>
        <w:spacing w:after="0" w:line="1" w:lineRule="exact"/>
        <w:rPr>
          <w:sz w:val="20"/>
          <w:szCs w:val="20"/>
          <w:color w:val="auto"/>
        </w:rPr>
      </w:pPr>
    </w:p>
    <w:p>
      <w:pPr>
        <w:ind w:left="700" w:right="260" w:firstLine="198"/>
        <w:spacing w:after="0" w:line="261"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Brazil</w:t>
            </w:r>
          </w:p>
        </w:tc>
        <w:tc>
          <w:tcPr>
            <w:tcW w:w="4920" w:type="dxa"/>
            <w:vAlign w:val="bottom"/>
            <w:shd w:val="clear" w:color="auto" w:fill="CCEEFF"/>
          </w:tcPr>
          <w:p>
            <w:pPr>
              <w:ind w:left="4020"/>
              <w:spacing w:after="0"/>
              <w:rPr>
                <w:sz w:val="20"/>
                <w:szCs w:val="20"/>
                <w:color w:val="auto"/>
              </w:rPr>
            </w:pPr>
            <w:r>
              <w:rPr>
                <w:rFonts w:ascii="Arial" w:cs="Arial" w:eastAsia="Arial" w:hAnsi="Arial"/>
                <w:sz w:val="14"/>
                <w:szCs w:val="14"/>
                <w:color w:val="auto"/>
              </w:rPr>
              <w:t>2004 – 2010</w:t>
            </w: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Canada</w:t>
            </w:r>
          </w:p>
        </w:tc>
        <w:tc>
          <w:tcPr>
            <w:tcW w:w="4920" w:type="dxa"/>
            <w:vAlign w:val="bottom"/>
          </w:tcPr>
          <w:p>
            <w:pPr>
              <w:ind w:left="4020"/>
              <w:spacing w:after="0" w:line="149" w:lineRule="exact"/>
              <w:rPr>
                <w:sz w:val="20"/>
                <w:szCs w:val="20"/>
                <w:color w:val="auto"/>
              </w:rPr>
            </w:pPr>
            <w:r>
              <w:rPr>
                <w:rFonts w:ascii="Arial" w:cs="Arial" w:eastAsia="Arial" w:hAnsi="Arial"/>
                <w:sz w:val="14"/>
                <w:szCs w:val="14"/>
                <w:color w:val="auto"/>
              </w:rPr>
              <w:t>2003 – 2010</w:t>
            </w: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Mexico</w:t>
            </w:r>
          </w:p>
        </w:tc>
        <w:tc>
          <w:tcPr>
            <w:tcW w:w="4920" w:type="dxa"/>
            <w:vAlign w:val="bottom"/>
            <w:shd w:val="clear" w:color="auto" w:fill="CCEEFF"/>
          </w:tcPr>
          <w:p>
            <w:pPr>
              <w:ind w:left="4020"/>
              <w:spacing w:after="0" w:line="149" w:lineRule="exact"/>
              <w:rPr>
                <w:sz w:val="20"/>
                <w:szCs w:val="20"/>
                <w:color w:val="auto"/>
              </w:rPr>
            </w:pPr>
            <w:r>
              <w:rPr>
                <w:rFonts w:ascii="Arial" w:cs="Arial" w:eastAsia="Arial" w:hAnsi="Arial"/>
                <w:sz w:val="14"/>
                <w:szCs w:val="14"/>
                <w:color w:val="auto"/>
              </w:rPr>
              <w:t>2005 – 2010</w:t>
            </w: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Norway</w:t>
            </w:r>
          </w:p>
        </w:tc>
        <w:tc>
          <w:tcPr>
            <w:tcW w:w="4920" w:type="dxa"/>
            <w:vAlign w:val="bottom"/>
          </w:tcPr>
          <w:p>
            <w:pPr>
              <w:ind w:left="4020"/>
              <w:spacing w:after="0" w:line="149" w:lineRule="exact"/>
              <w:rPr>
                <w:sz w:val="20"/>
                <w:szCs w:val="20"/>
                <w:color w:val="auto"/>
              </w:rPr>
            </w:pPr>
            <w:r>
              <w:rPr>
                <w:rFonts w:ascii="Arial" w:cs="Arial" w:eastAsia="Arial" w:hAnsi="Arial"/>
                <w:sz w:val="14"/>
                <w:szCs w:val="14"/>
                <w:color w:val="auto"/>
              </w:rPr>
              <w:t>2003 – 2010</w:t>
            </w: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Russia</w:t>
            </w:r>
          </w:p>
        </w:tc>
        <w:tc>
          <w:tcPr>
            <w:tcW w:w="4920" w:type="dxa"/>
            <w:vAlign w:val="bottom"/>
            <w:shd w:val="clear" w:color="auto" w:fill="CCEEFF"/>
          </w:tcPr>
          <w:p>
            <w:pPr>
              <w:ind w:left="4020"/>
              <w:spacing w:after="0" w:line="149" w:lineRule="exact"/>
              <w:rPr>
                <w:sz w:val="20"/>
                <w:szCs w:val="20"/>
                <w:color w:val="auto"/>
              </w:rPr>
            </w:pPr>
            <w:r>
              <w:rPr>
                <w:rFonts w:ascii="Arial" w:cs="Arial" w:eastAsia="Arial" w:hAnsi="Arial"/>
                <w:sz w:val="14"/>
                <w:szCs w:val="14"/>
                <w:color w:val="auto"/>
              </w:rPr>
              <w:t>2007 – 2010</w:t>
            </w: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Saudi Arabia</w:t>
            </w:r>
          </w:p>
        </w:tc>
        <w:tc>
          <w:tcPr>
            <w:tcW w:w="4920" w:type="dxa"/>
            <w:vAlign w:val="bottom"/>
          </w:tcPr>
          <w:p>
            <w:pPr>
              <w:ind w:left="4020"/>
              <w:spacing w:after="0" w:line="149" w:lineRule="exact"/>
              <w:rPr>
                <w:sz w:val="20"/>
                <w:szCs w:val="20"/>
                <w:color w:val="auto"/>
              </w:rPr>
            </w:pPr>
            <w:r>
              <w:rPr>
                <w:rFonts w:ascii="Arial" w:cs="Arial" w:eastAsia="Arial" w:hAnsi="Arial"/>
                <w:sz w:val="14"/>
                <w:szCs w:val="14"/>
                <w:color w:val="auto"/>
              </w:rPr>
              <w:t>2001 – 2010</w:t>
            </w: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Kingdom</w:t>
            </w:r>
          </w:p>
        </w:tc>
        <w:tc>
          <w:tcPr>
            <w:tcW w:w="4920" w:type="dxa"/>
            <w:vAlign w:val="bottom"/>
            <w:shd w:val="clear" w:color="auto" w:fill="CCEEFF"/>
          </w:tcPr>
          <w:p>
            <w:pPr>
              <w:ind w:left="4020"/>
              <w:spacing w:after="0" w:line="149" w:lineRule="exact"/>
              <w:rPr>
                <w:sz w:val="20"/>
                <w:szCs w:val="20"/>
                <w:color w:val="auto"/>
              </w:rPr>
            </w:pPr>
            <w:r>
              <w:rPr>
                <w:rFonts w:ascii="Arial" w:cs="Arial" w:eastAsia="Arial" w:hAnsi="Arial"/>
                <w:sz w:val="14"/>
                <w:szCs w:val="14"/>
                <w:color w:val="auto"/>
              </w:rPr>
              <w:t>2008 – 2010</w:t>
            </w:r>
          </w:p>
        </w:tc>
      </w:tr>
      <w:tr>
        <w:trPr>
          <w:trHeight w:val="182"/>
        </w:trPr>
        <w:tc>
          <w:tcPr>
            <w:tcW w:w="5000" w:type="dxa"/>
            <w:vAlign w:val="bottom"/>
          </w:tcPr>
          <w:p>
            <w:pPr>
              <w:spacing w:after="0"/>
              <w:rPr>
                <w:sz w:val="20"/>
                <w:szCs w:val="20"/>
                <w:color w:val="auto"/>
              </w:rPr>
            </w:pPr>
            <w:r>
              <w:rPr>
                <w:rFonts w:ascii="Arial" w:cs="Arial" w:eastAsia="Arial" w:hAnsi="Arial"/>
                <w:sz w:val="14"/>
                <w:szCs w:val="14"/>
                <w:color w:val="auto"/>
              </w:rPr>
              <w:t>United States</w:t>
            </w:r>
          </w:p>
        </w:tc>
        <w:tc>
          <w:tcPr>
            <w:tcW w:w="4920" w:type="dxa"/>
            <w:vAlign w:val="bottom"/>
          </w:tcPr>
          <w:p>
            <w:pPr>
              <w:ind w:left="4020"/>
              <w:spacing w:after="0"/>
              <w:rPr>
                <w:sz w:val="20"/>
                <w:szCs w:val="20"/>
                <w:color w:val="auto"/>
              </w:rPr>
            </w:pPr>
            <w:r>
              <w:rPr>
                <w:rFonts w:ascii="Arial" w:cs="Arial" w:eastAsia="Arial" w:hAnsi="Arial"/>
                <w:sz w:val="14"/>
                <w:szCs w:val="14"/>
                <w:color w:val="auto"/>
              </w:rPr>
              <w:t>2005 – 2010</w:t>
            </w:r>
          </w:p>
        </w:tc>
      </w:tr>
    </w:tbl>
    <w:p>
      <w:pPr>
        <w:spacing w:after="0" w:line="73" w:lineRule="exact"/>
        <w:rPr>
          <w:sz w:val="20"/>
          <w:szCs w:val="20"/>
          <w:color w:val="auto"/>
        </w:rPr>
      </w:pPr>
    </w:p>
    <w:p>
      <w:pPr>
        <w:ind w:left="700" w:right="40" w:firstLine="198"/>
        <w:spacing w:after="0" w:line="302" w:lineRule="auto"/>
        <w:rPr>
          <w:sz w:val="20"/>
          <w:szCs w:val="20"/>
          <w:color w:val="auto"/>
        </w:rPr>
      </w:pPr>
      <w:r>
        <w:rPr>
          <w:rFonts w:ascii="Arial" w:cs="Arial" w:eastAsia="Arial" w:hAnsi="Arial"/>
          <w:sz w:val="16"/>
          <w:szCs w:val="16"/>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159" w:lineRule="exact"/>
        <w:rPr>
          <w:sz w:val="20"/>
          <w:szCs w:val="20"/>
          <w:color w:val="auto"/>
        </w:rPr>
      </w:pPr>
    </w:p>
    <w:p>
      <w:pPr>
        <w:ind w:left="1100" w:hanging="407"/>
        <w:spacing w:after="0"/>
        <w:tabs>
          <w:tab w:leader="none" w:pos="11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 and Lease Commitments</w:t>
      </w:r>
    </w:p>
    <w:p>
      <w:pPr>
        <w:spacing w:after="0" w:line="126" w:lineRule="exact"/>
        <w:rPr>
          <w:sz w:val="20"/>
          <w:szCs w:val="20"/>
          <w:color w:val="auto"/>
        </w:rPr>
      </w:pPr>
    </w:p>
    <w:p>
      <w:pPr>
        <w:ind w:left="700" w:right="380" w:firstLine="198"/>
        <w:spacing w:after="0" w:line="277" w:lineRule="auto"/>
        <w:rPr>
          <w:sz w:val="20"/>
          <w:szCs w:val="20"/>
          <w:color w:val="auto"/>
        </w:rPr>
      </w:pPr>
      <w:r>
        <w:rPr>
          <w:rFonts w:ascii="Arial" w:cs="Arial" w:eastAsia="Arial" w:hAnsi="Arial"/>
          <w:sz w:val="18"/>
          <w:szCs w:val="18"/>
          <w:color w:val="auto"/>
        </w:rPr>
        <w:t>Total rental expense was $1.2 billion in 2010, $1.0 billion in 2009, and $1.1 billion in 2008. Future minimum rental commitments under noncancelable operating leases for each of the next five years are as follows:</w:t>
      </w:r>
    </w:p>
    <w:p>
      <w:pPr>
        <w:spacing w:after="0" w:line="8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wp:posOffset>
            </wp:positionV>
            <wp:extent cx="6243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000" w:type="dxa"/>
            <w:vAlign w:val="bottom"/>
            <w:shd w:val="clear" w:color="auto" w:fill="CCEEFF"/>
          </w:tcPr>
          <w:p>
            <w:pPr>
              <w:spacing w:after="0"/>
              <w:rPr>
                <w:sz w:val="20"/>
                <w:szCs w:val="20"/>
                <w:color w:val="auto"/>
              </w:rPr>
            </w:pPr>
            <w:r>
              <w:rPr>
                <w:rFonts w:ascii="Arial" w:cs="Arial" w:eastAsia="Arial" w:hAnsi="Arial"/>
                <w:sz w:val="14"/>
                <w:szCs w:val="14"/>
                <w:color w:val="auto"/>
              </w:rPr>
              <w:t>2011</w:t>
            </w:r>
          </w:p>
        </w:tc>
        <w:tc>
          <w:tcPr>
            <w:tcW w:w="4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4"/>
                <w:szCs w:val="14"/>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100" w:type="dxa"/>
            <w:vAlign w:val="bottom"/>
          </w:tcPr>
          <w:p>
            <w:pPr>
              <w:spacing w:after="0"/>
              <w:rPr>
                <w:sz w:val="12"/>
                <w:szCs w:val="12"/>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4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2"/>
                <w:szCs w:val="12"/>
                <w:color w:val="auto"/>
              </w:rPr>
            </w:pPr>
          </w:p>
        </w:tc>
      </w:tr>
      <w:tr>
        <w:trPr>
          <w:trHeight w:val="149"/>
        </w:trPr>
        <w:tc>
          <w:tcPr>
            <w:tcW w:w="500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4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100" w:type="dxa"/>
            <w:vAlign w:val="bottom"/>
          </w:tcPr>
          <w:p>
            <w:pPr>
              <w:spacing w:after="0"/>
              <w:rPr>
                <w:sz w:val="12"/>
                <w:szCs w:val="12"/>
                <w:color w:val="auto"/>
              </w:rPr>
            </w:pPr>
          </w:p>
        </w:tc>
      </w:tr>
      <w:tr>
        <w:trPr>
          <w:trHeight w:val="149"/>
        </w:trPr>
        <w:tc>
          <w:tcPr>
            <w:tcW w:w="5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4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2"/>
                <w:szCs w:val="12"/>
                <w:color w:val="auto"/>
              </w:rPr>
            </w:pPr>
          </w:p>
        </w:tc>
      </w:tr>
      <w:tr>
        <w:trPr>
          <w:trHeight w:val="169"/>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Thereafter</w:t>
            </w:r>
          </w:p>
        </w:tc>
        <w:tc>
          <w:tcPr>
            <w:tcW w:w="4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w:t>
            </w:r>
          </w:p>
        </w:tc>
        <w:tc>
          <w:tcPr>
            <w:tcW w:w="100" w:type="dxa"/>
            <w:vAlign w:val="bottom"/>
            <w:tcBorders>
              <w:bottom w:val="single" w:sz="8" w:color="auto"/>
            </w:tcBorders>
          </w:tcPr>
          <w:p>
            <w:pPr>
              <w:spacing w:after="0"/>
              <w:rPr>
                <w:sz w:val="14"/>
                <w:szCs w:val="14"/>
                <w:color w:val="auto"/>
              </w:rPr>
            </w:pPr>
          </w:p>
        </w:tc>
      </w:tr>
      <w:tr>
        <w:trPr>
          <w:trHeight w:val="149"/>
        </w:trPr>
        <w:tc>
          <w:tcPr>
            <w:tcW w:w="5000" w:type="dxa"/>
            <w:vAlign w:val="bottom"/>
            <w:shd w:val="clear" w:color="auto" w:fill="CCEEFF"/>
          </w:tcPr>
          <w:p>
            <w:pPr>
              <w:spacing w:after="0"/>
              <w:rPr>
                <w:sz w:val="12"/>
                <w:szCs w:val="12"/>
                <w:color w:val="auto"/>
              </w:rPr>
            </w:pPr>
          </w:p>
        </w:tc>
        <w:tc>
          <w:tcPr>
            <w:tcW w:w="4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1,334</w:t>
            </w:r>
          </w:p>
        </w:tc>
        <w:tc>
          <w:tcPr>
            <w:tcW w:w="100" w:type="dxa"/>
            <w:vAlign w:val="bottom"/>
            <w:shd w:val="clear" w:color="auto" w:fill="CCEEFF"/>
          </w:tcPr>
          <w:p>
            <w:pPr>
              <w:spacing w:after="0"/>
              <w:rPr>
                <w:sz w:val="12"/>
                <w:szCs w:val="12"/>
                <w:color w:val="auto"/>
              </w:rPr>
            </w:pPr>
          </w:p>
        </w:tc>
      </w:tr>
      <w:tr>
        <w:trPr>
          <w:trHeight w:val="20"/>
        </w:trPr>
        <w:tc>
          <w:tcPr>
            <w:tcW w:w="50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0" w:lineRule="exact"/>
        <w:rPr>
          <w:sz w:val="20"/>
          <w:szCs w:val="20"/>
          <w:color w:val="auto"/>
        </w:rPr>
      </w:pPr>
    </w:p>
    <w:p>
      <w:pPr>
        <w:ind w:left="1100" w:hanging="407"/>
        <w:spacing w:after="0"/>
        <w:tabs>
          <w:tab w:leader="none" w:pos="11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6" w:lineRule="exact"/>
        <w:rPr>
          <w:sz w:val="20"/>
          <w:szCs w:val="20"/>
          <w:color w:val="auto"/>
        </w:rPr>
      </w:pPr>
    </w:p>
    <w:p>
      <w:pPr>
        <w:ind w:left="700" w:right="40" w:firstLine="198"/>
        <w:spacing w:after="0" w:line="286" w:lineRule="auto"/>
        <w:rPr>
          <w:sz w:val="20"/>
          <w:szCs w:val="20"/>
          <w:color w:val="auto"/>
        </w:rPr>
      </w:pPr>
      <w:r>
        <w:rPr>
          <w:rFonts w:ascii="Arial" w:cs="Arial" w:eastAsia="Arial" w:hAnsi="Arial"/>
          <w:sz w:val="16"/>
          <w:szCs w:val="16"/>
          <w:color w:val="auto"/>
        </w:rPr>
        <w:t>In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Schlumberger is cooperating with the governmental authorities and is currently unable to predict the outcome of this matter.</w:t>
      </w:r>
    </w:p>
    <w:p>
      <w:pPr>
        <w:spacing w:after="0" w:line="2" w:lineRule="exact"/>
        <w:rPr>
          <w:sz w:val="20"/>
          <w:szCs w:val="20"/>
          <w:color w:val="auto"/>
        </w:rPr>
      </w:pPr>
    </w:p>
    <w:p>
      <w:pPr>
        <w:ind w:left="700" w:right="140" w:firstLine="198"/>
        <w:spacing w:after="0" w:line="250" w:lineRule="auto"/>
        <w:rPr>
          <w:sz w:val="20"/>
          <w:szCs w:val="20"/>
          <w:color w:val="auto"/>
        </w:rPr>
      </w:pPr>
      <w:r>
        <w:rPr>
          <w:rFonts w:ascii="Arial" w:cs="Arial" w:eastAsia="Arial" w:hAnsi="Arial"/>
          <w:sz w:val="18"/>
          <w:szCs w:val="18"/>
          <w:color w:val="auto"/>
        </w:rPr>
        <w:t>In 2009, Schlumberger learned that United States officials began a grand jury investigation and an associated regulatory inquiry, both related to certain Schlumberger operations in specified countries that are subject to United States trade and economic sanctions. Also in 2009, Smith received an administrative subpoena with respect to its historical business practices in certain countries that are subject to United States trade and economic sanctions. Schlumberger is cooperating with the governmental authorities and is currently unable to predict the outcome of these matters.</w:t>
      </w:r>
    </w:p>
    <w:p>
      <w:pPr>
        <w:spacing w:after="0" w:line="2" w:lineRule="exact"/>
        <w:rPr>
          <w:sz w:val="20"/>
          <w:szCs w:val="20"/>
          <w:color w:val="auto"/>
        </w:rPr>
      </w:pPr>
    </w:p>
    <w:p>
      <w:pPr>
        <w:ind w:left="700" w:right="120" w:firstLine="198"/>
        <w:spacing w:after="0" w:line="254" w:lineRule="auto"/>
        <w:rPr>
          <w:sz w:val="20"/>
          <w:szCs w:val="20"/>
          <w:color w:val="auto"/>
        </w:rPr>
      </w:pPr>
      <w:r>
        <w:rPr>
          <w:rFonts w:ascii="Arial" w:cs="Arial" w:eastAsia="Arial" w:hAnsi="Arial"/>
          <w:sz w:val="18"/>
          <w:szCs w:val="18"/>
          <w:color w:val="auto"/>
        </w:rPr>
        <w:t xml:space="preserve">On April 20, 2010, a fire and explosion occurred onboard the semisubmersible drilling rig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owned by Transocean Ltd. and under contract to a subsidiary of BP plc. Pursuant to a contract between M-I SWACO and BP, M-I SWACO provided certain services under the direction of BP. A number of legal actions, certain of which name an M-I SWACO entity as a defendant, have been filed in connection with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and additional legal</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220"/>
        <w:spacing w:after="0" w:line="291" w:lineRule="auto"/>
        <w:rPr>
          <w:sz w:val="20"/>
          <w:szCs w:val="20"/>
          <w:color w:val="auto"/>
        </w:rPr>
      </w:pPr>
      <w:r>
        <w:rPr>
          <w:rFonts w:ascii="Arial" w:cs="Arial" w:eastAsia="Arial" w:hAnsi="Arial"/>
          <w:sz w:val="16"/>
          <w:szCs w:val="16"/>
          <w:color w:val="auto"/>
        </w:rPr>
        <w:t>actions may be filed in the future. Based on information currently known, the amount of any potential loss attributable to M-I SWACO with respect to potential liabilities related to the incident would not be material to Schlumberger’s consolidated financial position.</w:t>
      </w:r>
    </w:p>
    <w:p>
      <w:pPr>
        <w:jc w:val="both"/>
        <w:ind w:left="700" w:right="160" w:firstLine="198"/>
        <w:spacing w:after="0" w:line="273" w:lineRule="auto"/>
        <w:rPr>
          <w:sz w:val="20"/>
          <w:szCs w:val="20"/>
          <w:color w:val="auto"/>
        </w:rPr>
      </w:pPr>
      <w:r>
        <w:rPr>
          <w:rFonts w:ascii="Arial" w:cs="Arial" w:eastAsia="Arial" w:hAnsi="Arial"/>
          <w:sz w:val="17"/>
          <w:szCs w:val="17"/>
          <w:color w:val="auto"/>
        </w:rPr>
        <w:t>Schlumberger and its subsidiaries are party to various other legal proceedings from time to time. A liability is accrued when a loss is both probable and can be reasonably estimated. Management believes that the probability of a material loss is remote and, as such, that any liability that might ensue would not be material in relation to Schlumberger’s consolidated financial position. However, litigation is inherently uncertain and it is not possible to predict the ultimate disposition of these proceedings.</w:t>
      </w:r>
    </w:p>
    <w:p>
      <w:pPr>
        <w:spacing w:after="0" w:line="182" w:lineRule="exact"/>
        <w:rPr>
          <w:sz w:val="20"/>
          <w:szCs w:val="20"/>
          <w:color w:val="auto"/>
        </w:rPr>
      </w:pPr>
    </w:p>
    <w:p>
      <w:pPr>
        <w:ind w:left="1100" w:hanging="407"/>
        <w:spacing w:after="0"/>
        <w:tabs>
          <w:tab w:leader="none" w:pos="11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126" w:lineRule="exact"/>
        <w:rPr>
          <w:sz w:val="20"/>
          <w:szCs w:val="20"/>
          <w:color w:val="auto"/>
        </w:rPr>
      </w:pPr>
    </w:p>
    <w:p>
      <w:pPr>
        <w:ind w:left="700" w:firstLine="198"/>
        <w:spacing w:after="0" w:line="258" w:lineRule="auto"/>
        <w:rPr>
          <w:sz w:val="20"/>
          <w:szCs w:val="20"/>
          <w:color w:val="auto"/>
        </w:rPr>
      </w:pPr>
      <w:r>
        <w:rPr>
          <w:rFonts w:ascii="Arial" w:cs="Arial" w:eastAsia="Arial" w:hAnsi="Arial"/>
          <w:sz w:val="18"/>
          <w:szCs w:val="18"/>
          <w:color w:val="auto"/>
        </w:rPr>
        <w:t>Schlumberger operates five business segments as of December 31, 2010: Oilfield Services, WesternGeco, M-I SWACO, Smith Oilfield and Distribution.</w:t>
      </w:r>
    </w:p>
    <w:p>
      <w:pPr>
        <w:spacing w:after="0" w:line="1" w:lineRule="exact"/>
        <w:rPr>
          <w:sz w:val="20"/>
          <w:szCs w:val="20"/>
          <w:color w:val="auto"/>
        </w:rPr>
      </w:pPr>
    </w:p>
    <w:p>
      <w:pPr>
        <w:ind w:left="700" w:right="60" w:firstLine="198"/>
        <w:spacing w:after="0" w:line="265" w:lineRule="auto"/>
        <w:rPr>
          <w:sz w:val="20"/>
          <w:szCs w:val="20"/>
          <w:color w:val="auto"/>
        </w:rPr>
      </w:pPr>
      <w:r>
        <w:rPr>
          <w:rFonts w:ascii="Arial" w:cs="Arial" w:eastAsia="Arial" w:hAnsi="Arial"/>
          <w:sz w:val="17"/>
          <w:szCs w:val="17"/>
          <w:color w:val="auto"/>
        </w:rPr>
        <w:t>The Oilfield Services segment falls into four clearly defined economic and geographical areas and is evaluated on the following basis: North America, Latin America, Europe including the CIS and Africa, and Middle East &amp; Asia. The Oilfield Services segment provides virtually all exploration and production services required during the life of an oil and gas reservoir.</w:t>
      </w:r>
    </w:p>
    <w:p>
      <w:pPr>
        <w:spacing w:after="0" w:line="1" w:lineRule="exact"/>
        <w:rPr>
          <w:sz w:val="20"/>
          <w:szCs w:val="20"/>
          <w:color w:val="auto"/>
        </w:rPr>
      </w:pPr>
    </w:p>
    <w:p>
      <w:pPr>
        <w:jc w:val="both"/>
        <w:ind w:left="700" w:right="360" w:firstLine="198"/>
        <w:spacing w:after="0" w:line="265" w:lineRule="auto"/>
        <w:rPr>
          <w:sz w:val="20"/>
          <w:szCs w:val="20"/>
          <w:color w:val="auto"/>
        </w:rPr>
      </w:pPr>
      <w:r>
        <w:rPr>
          <w:rFonts w:ascii="Arial" w:cs="Arial" w:eastAsia="Arial" w:hAnsi="Arial"/>
          <w:sz w:val="17"/>
          <w:szCs w:val="17"/>
          <w:color w:val="auto"/>
        </w:rPr>
        <w:t>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1" w:lineRule="exact"/>
        <w:rPr>
          <w:sz w:val="20"/>
          <w:szCs w:val="20"/>
          <w:color w:val="auto"/>
        </w:rPr>
      </w:pPr>
    </w:p>
    <w:p>
      <w:pPr>
        <w:ind w:left="700" w:right="120" w:firstLine="198"/>
        <w:spacing w:after="0" w:line="250" w:lineRule="auto"/>
        <w:rPr>
          <w:sz w:val="20"/>
          <w:szCs w:val="20"/>
          <w:color w:val="auto"/>
        </w:rPr>
      </w:pPr>
      <w:r>
        <w:rPr>
          <w:rFonts w:ascii="Arial" w:cs="Arial" w:eastAsia="Arial" w:hAnsi="Arial"/>
          <w:sz w:val="18"/>
          <w:szCs w:val="18"/>
          <w:color w:val="auto"/>
        </w:rPr>
        <w:t>M-I SWACO is a leading supplier of drilling fluid systems engineered to improve wellbore quality and increase drilling performance. It also offers a broad range of waste management equipment and services, provides completion fluid and related tools and supplies oilfield production chemicals.</w:t>
      </w:r>
    </w:p>
    <w:p>
      <w:pPr>
        <w:spacing w:after="0" w:line="1" w:lineRule="exact"/>
        <w:rPr>
          <w:sz w:val="20"/>
          <w:szCs w:val="20"/>
          <w:color w:val="auto"/>
        </w:rPr>
      </w:pPr>
    </w:p>
    <w:p>
      <w:pPr>
        <w:ind w:left="700" w:right="20" w:firstLine="198"/>
        <w:spacing w:after="0" w:line="250" w:lineRule="auto"/>
        <w:rPr>
          <w:sz w:val="20"/>
          <w:szCs w:val="20"/>
          <w:color w:val="auto"/>
        </w:rPr>
      </w:pPr>
      <w:r>
        <w:rPr>
          <w:rFonts w:ascii="Arial" w:cs="Arial" w:eastAsia="Arial" w:hAnsi="Arial"/>
          <w:sz w:val="18"/>
          <w:szCs w:val="18"/>
          <w:color w:val="auto"/>
        </w:rPr>
        <w:t>The Smith Oilfield segment provides a comprehensive suite of premium products and services used in oil and natural gas development activities. It is comprised of drilling and completion services operations, which include drill bits, directional drilling services and downhole tools.</w:t>
      </w:r>
    </w:p>
    <w:p>
      <w:pPr>
        <w:spacing w:after="0" w:line="1" w:lineRule="exact"/>
        <w:rPr>
          <w:sz w:val="20"/>
          <w:szCs w:val="20"/>
          <w:color w:val="auto"/>
        </w:rPr>
      </w:pPr>
    </w:p>
    <w:p>
      <w:pPr>
        <w:ind w:left="700" w:firstLine="198"/>
        <w:spacing w:after="0" w:line="255" w:lineRule="auto"/>
        <w:rPr>
          <w:sz w:val="20"/>
          <w:szCs w:val="20"/>
          <w:color w:val="auto"/>
        </w:rPr>
      </w:pPr>
      <w:r>
        <w:rPr>
          <w:rFonts w:ascii="Arial" w:cs="Arial" w:eastAsia="Arial" w:hAnsi="Arial"/>
          <w:sz w:val="18"/>
          <w:szCs w:val="18"/>
          <w:color w:val="auto"/>
        </w:rPr>
        <w:t>Distribution consists of the Wilson International Inc. distribution operations and a majority-owned interest in CE Franklin Ltd., a publicly traded Canadian distribution company. It provides products and services to the energy, refining, petrochemical, power generation and mining industries.</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Financial information for the years ended December 31, 2010, 2009 and 2008, by segment, is as follows: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Depn. &amp;</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Amortn.</w:t>
            </w:r>
          </w:p>
        </w:tc>
        <w:tc>
          <w:tcPr>
            <w:tcW w:w="20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Expenditures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33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North America</w:t>
            </w:r>
          </w:p>
        </w:tc>
        <w:tc>
          <w:tcPr>
            <w:tcW w:w="2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5,010</w:t>
            </w:r>
          </w:p>
        </w:tc>
        <w:tc>
          <w:tcPr>
            <w:tcW w:w="1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802</w:t>
            </w:r>
          </w:p>
        </w:tc>
        <w:tc>
          <w:tcPr>
            <w:tcW w:w="14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2,725</w:t>
            </w: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440" w:type="dxa"/>
            <w:vAlign w:val="bottom"/>
            <w:gridSpan w:val="2"/>
          </w:tcPr>
          <w:p>
            <w:pPr>
              <w:jc w:val="right"/>
              <w:ind w:right="115"/>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Latin America</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Europe/CIS/Africa</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6,882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1,269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4,917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715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849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Middle East &amp; Asia</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4"/>
                <w:szCs w:val="14"/>
                <w:color w:val="auto"/>
              </w:rPr>
              <w:t>Elims/Other</w:t>
            </w:r>
            <w:r>
              <w:rPr>
                <w:rFonts w:ascii="Arial" w:cs="Arial" w:eastAsia="Arial" w:hAnsi="Arial"/>
                <w:sz w:val="12"/>
                <w:szCs w:val="12"/>
                <w:color w:val="auto"/>
              </w:rPr>
              <w:t>(1)</w:t>
            </w: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1,639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Borders>
              <w:top w:val="single" w:sz="8" w:color="auto"/>
            </w:tcBorders>
            <w:shd w:val="clear" w:color="auto" w:fill="CCEEFF"/>
          </w:tcPr>
          <w:p>
            <w:pPr>
              <w:spacing w:after="0"/>
              <w:rPr>
                <w:sz w:val="12"/>
                <w:szCs w:val="12"/>
                <w:color w:val="auto"/>
              </w:rPr>
            </w:pPr>
          </w:p>
        </w:tc>
        <w:tc>
          <w:tcPr>
            <w:tcW w:w="2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22,079</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15,737</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1,964</w:t>
            </w:r>
          </w:p>
        </w:tc>
        <w:tc>
          <w:tcPr>
            <w:tcW w:w="2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2,445</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i w:val="1"/>
                <w:iCs w:val="1"/>
                <w:color w:val="auto"/>
              </w:rPr>
              <w:t>WESTERNGECO</w:t>
            </w:r>
          </w:p>
        </w:tc>
        <w:tc>
          <w:tcPr>
            <w:tcW w:w="2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1,987</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2,896</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579</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276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M-I SWACO</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SMITH OILFIELD</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2,329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DISTRIBUTION</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19,114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 assets</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Corporate</w:t>
            </w:r>
            <w:r>
              <w:rPr>
                <w:rFonts w:ascii="Arial" w:cs="Arial" w:eastAsia="Arial" w:hAnsi="Arial"/>
                <w:sz w:val="12"/>
                <w:szCs w:val="12"/>
                <w:color w:val="auto"/>
              </w:rPr>
              <w:t>(2)</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6,545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r>
              <w:rPr>
                <w:rFonts w:ascii="Arial" w:cs="Arial" w:eastAsia="Arial" w:hAnsi="Arial"/>
                <w:sz w:val="12"/>
                <w:szCs w:val="12"/>
                <w:color w:val="auto"/>
              </w:rPr>
              <w:t>(3)</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(4)</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r>
              <w:rPr>
                <w:rFonts w:ascii="Arial" w:cs="Arial" w:eastAsia="Arial" w:hAnsi="Arial"/>
                <w:sz w:val="12"/>
                <w:szCs w:val="12"/>
                <w:color w:val="auto"/>
              </w:rPr>
              <w:t>(5)</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27,447</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5,156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7"/>
              </w:rPr>
              <w:t>51,767</w:t>
            </w:r>
          </w:p>
        </w:tc>
        <w:tc>
          <w:tcPr>
            <w:tcW w:w="180" w:type="dxa"/>
            <w:vAlign w:val="bottom"/>
          </w:tcPr>
          <w:p>
            <w:pPr>
              <w:spacing w:after="0"/>
              <w:rPr>
                <w:sz w:val="12"/>
                <w:szCs w:val="12"/>
                <w:color w:val="auto"/>
              </w:rPr>
            </w:pPr>
          </w:p>
        </w:tc>
        <w:tc>
          <w:tcPr>
            <w:tcW w:w="160" w:type="dxa"/>
            <w:vAlign w:val="bottom"/>
            <w:tcBorders>
              <w:top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2,759</w:t>
            </w:r>
          </w:p>
        </w:tc>
        <w:tc>
          <w:tcPr>
            <w:tcW w:w="200" w:type="dxa"/>
            <w:vAlign w:val="bottom"/>
          </w:tcPr>
          <w:p>
            <w:pPr>
              <w:spacing w:after="0"/>
              <w:rPr>
                <w:sz w:val="12"/>
                <w:szCs w:val="12"/>
                <w:color w:val="auto"/>
              </w:rPr>
            </w:pPr>
          </w:p>
        </w:tc>
        <w:tc>
          <w:tcPr>
            <w:tcW w:w="240" w:type="dxa"/>
            <w:vAlign w:val="bottom"/>
            <w:tcBorders>
              <w:top w:val="single" w:sz="8" w:color="auto"/>
            </w:tcBorders>
          </w:tcPr>
          <w:p>
            <w:pPr>
              <w:jc w:val="right"/>
              <w:ind w:right="11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2,914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(Stated in millions)</w:t>
            </w: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20" w:type="dxa"/>
            <w:vAlign w:val="bottom"/>
            <w:gridSpan w:val="2"/>
            <w:vMerge w:val="continue"/>
          </w:tcPr>
          <w:p>
            <w:pPr>
              <w:spacing w:after="0"/>
              <w:rPr>
                <w:sz w:val="24"/>
                <w:szCs w:val="24"/>
                <w:color w:val="auto"/>
              </w:rPr>
            </w:pPr>
          </w:p>
        </w:tc>
        <w:tc>
          <w:tcPr>
            <w:tcW w:w="2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2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Depn. &amp;</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Amortn.</w:t>
            </w:r>
          </w:p>
        </w:tc>
        <w:tc>
          <w:tcPr>
            <w:tcW w:w="20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Expenditures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33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North America</w:t>
            </w:r>
          </w:p>
        </w:tc>
        <w:tc>
          <w:tcPr>
            <w:tcW w:w="2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3,707</w:t>
            </w:r>
          </w:p>
        </w:tc>
        <w:tc>
          <w:tcPr>
            <w:tcW w:w="12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14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2,264</w:t>
            </w:r>
          </w:p>
        </w:tc>
        <w:tc>
          <w:tcPr>
            <w:tcW w:w="3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440" w:type="dxa"/>
            <w:vAlign w:val="bottom"/>
            <w:gridSpan w:val="2"/>
          </w:tcPr>
          <w:p>
            <w:pPr>
              <w:jc w:val="right"/>
              <w:ind w:right="115"/>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Latin America</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Europe/CIS/Africa</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4,603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653</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824</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Middle East &amp; Asia</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3320" w:type="dxa"/>
            <w:vAlign w:val="bottom"/>
          </w:tcPr>
          <w:p>
            <w:pPr>
              <w:ind w:left="200"/>
              <w:spacing w:after="0"/>
              <w:rPr>
                <w:sz w:val="20"/>
                <w:szCs w:val="20"/>
                <w:color w:val="auto"/>
              </w:rPr>
            </w:pPr>
            <w:r>
              <w:rPr>
                <w:rFonts w:ascii="Arial" w:cs="Arial" w:eastAsia="Arial" w:hAnsi="Arial"/>
                <w:sz w:val="14"/>
                <w:szCs w:val="14"/>
                <w:color w:val="auto"/>
              </w:rPr>
              <w:t>Elims/Other</w:t>
            </w:r>
            <w:r>
              <w:rPr>
                <w:rFonts w:ascii="Arial" w:cs="Arial" w:eastAsia="Arial" w:hAnsi="Arial"/>
                <w:sz w:val="12"/>
                <w:szCs w:val="12"/>
                <w:color w:val="auto"/>
              </w:rPr>
              <w:t>(1)</w:t>
            </w: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1,630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Borders>
              <w:top w:val="single" w:sz="8" w:color="auto"/>
            </w:tcBorders>
            <w:shd w:val="clear" w:color="auto" w:fill="CCEEFF"/>
          </w:tcPr>
          <w:p>
            <w:pPr>
              <w:spacing w:after="0"/>
              <w:rPr>
                <w:sz w:val="12"/>
                <w:szCs w:val="12"/>
                <w:color w:val="auto"/>
              </w:rPr>
            </w:pPr>
          </w:p>
        </w:tc>
        <w:tc>
          <w:tcPr>
            <w:tcW w:w="2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20,518</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14,776</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1,879</w:t>
            </w:r>
          </w:p>
        </w:tc>
        <w:tc>
          <w:tcPr>
            <w:tcW w:w="2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i w:val="1"/>
                <w:iCs w:val="1"/>
                <w:color w:val="auto"/>
              </w:rPr>
              <w:t>WESTERNGECO</w:t>
            </w:r>
          </w:p>
        </w:tc>
        <w:tc>
          <w:tcPr>
            <w:tcW w:w="2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2,122</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3,065</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566</w:t>
            </w:r>
          </w:p>
        </w:tc>
        <w:tc>
          <w:tcPr>
            <w:tcW w:w="2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All other assets</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1,873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r>
              <w:rPr>
                <w:rFonts w:ascii="Arial" w:cs="Arial" w:eastAsia="Arial" w:hAnsi="Arial"/>
                <w:sz w:val="12"/>
                <w:szCs w:val="12"/>
                <w:color w:val="auto"/>
              </w:rPr>
              <w:t>(2)</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Interest income</w:t>
            </w:r>
            <w:r>
              <w:rPr>
                <w:rFonts w:ascii="Arial" w:cs="Arial" w:eastAsia="Arial" w:hAnsi="Arial"/>
                <w:sz w:val="12"/>
                <w:szCs w:val="12"/>
                <w:color w:val="auto"/>
              </w:rPr>
              <w:t>(3)</w:t>
            </w:r>
          </w:p>
        </w:tc>
        <w:tc>
          <w:tcPr>
            <w:tcW w:w="2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(4)</w:t>
            </w:r>
          </w:p>
        </w:tc>
        <w:tc>
          <w:tcPr>
            <w:tcW w:w="2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Charges &amp; credits</w:t>
            </w:r>
            <w:r>
              <w:rPr>
                <w:rFonts w:ascii="Arial" w:cs="Arial" w:eastAsia="Arial" w:hAnsi="Arial"/>
                <w:sz w:val="12"/>
                <w:szCs w:val="12"/>
                <w:color w:val="auto"/>
              </w:rPr>
              <w:t>(5)</w:t>
            </w:r>
          </w:p>
        </w:tc>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(238)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22,702</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3,934</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33,465</w:t>
            </w:r>
          </w:p>
        </w:tc>
        <w:tc>
          <w:tcPr>
            <w:tcW w:w="3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w:t>
            </w:r>
          </w:p>
        </w:tc>
        <w:tc>
          <w:tcPr>
            <w:tcW w:w="440" w:type="dxa"/>
            <w:vAlign w:val="bottom"/>
            <w:gridSpan w:val="2"/>
            <w:shd w:val="clear" w:color="auto" w:fill="CCEEFF"/>
          </w:tcPr>
          <w:p>
            <w:pPr>
              <w:jc w:val="right"/>
              <w:ind w:right="115"/>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340" w:type="dxa"/>
            <w:vAlign w:val="bottom"/>
            <w:vMerge w:val="restart"/>
          </w:tcPr>
          <w:p>
            <w:pPr>
              <w:jc w:val="right"/>
              <w:ind w:right="570"/>
              <w:spacing w:after="0"/>
              <w:rPr>
                <w:sz w:val="20"/>
                <w:szCs w:val="20"/>
                <w:color w:val="auto"/>
              </w:rPr>
            </w:pPr>
            <w:r>
              <w:rPr>
                <w:rFonts w:ascii="Arial" w:cs="Arial" w:eastAsia="Arial" w:hAnsi="Arial"/>
                <w:sz w:val="13"/>
                <w:szCs w:val="13"/>
                <w:color w:val="auto"/>
              </w:rPr>
              <w:t>64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320" w:type="dxa"/>
            <w:vAlign w:val="bottom"/>
            <w:tcBorders>
              <w:bottom w:val="single" w:sz="8" w:color="808080"/>
            </w:tcBorders>
          </w:tcPr>
          <w:p>
            <w:pPr>
              <w:spacing w:after="0"/>
              <w:rPr>
                <w:sz w:val="18"/>
                <w:szCs w:val="18"/>
                <w:color w:val="auto"/>
              </w:rPr>
            </w:pPr>
          </w:p>
        </w:tc>
        <w:tc>
          <w:tcPr>
            <w:tcW w:w="23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6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Depn. &amp;</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before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taxes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Amortn.</w:t>
            </w:r>
          </w:p>
        </w:tc>
        <w:tc>
          <w:tcPr>
            <w:tcW w:w="80" w:type="dxa"/>
            <w:vAlign w:val="bottom"/>
          </w:tcPr>
          <w:p>
            <w:pPr>
              <w:spacing w:after="0"/>
              <w:rPr>
                <w:sz w:val="16"/>
                <w:szCs w:val="16"/>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Expenditures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70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80"/>
              <w:spacing w:after="0" w:line="149" w:lineRule="exact"/>
              <w:rPr>
                <w:sz w:val="20"/>
                <w:szCs w:val="20"/>
                <w:color w:val="auto"/>
              </w:rPr>
            </w:pPr>
            <w:r>
              <w:rPr>
                <w:rFonts w:ascii="Arial" w:cs="Arial" w:eastAsia="Arial" w:hAnsi="Arial"/>
                <w:sz w:val="14"/>
                <w:szCs w:val="14"/>
                <w:color w:val="auto"/>
              </w:rPr>
              <w:t>North America</w:t>
            </w:r>
          </w:p>
        </w:tc>
        <w:tc>
          <w:tcPr>
            <w:tcW w:w="2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5,914</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1,371</w:t>
            </w:r>
          </w:p>
        </w:tc>
        <w:tc>
          <w:tcPr>
            <w:tcW w:w="140" w:type="dxa"/>
            <w:vAlign w:val="bottom"/>
          </w:tcPr>
          <w:p>
            <w:pPr>
              <w:spacing w:after="0"/>
              <w:rPr>
                <w:sz w:val="12"/>
                <w:szCs w:val="12"/>
                <w:color w:val="auto"/>
              </w:rPr>
            </w:pPr>
          </w:p>
        </w:tc>
        <w:tc>
          <w:tcPr>
            <w:tcW w:w="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2,728</w:t>
            </w:r>
          </w:p>
        </w:tc>
        <w:tc>
          <w:tcPr>
            <w:tcW w:w="3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120" w:type="dxa"/>
            <w:vAlign w:val="bottom"/>
          </w:tcPr>
          <w:p>
            <w:pPr>
              <w:spacing w:after="0"/>
              <w:rPr>
                <w:sz w:val="12"/>
                <w:szCs w:val="12"/>
                <w:color w:val="auto"/>
              </w:rPr>
            </w:pPr>
          </w:p>
        </w:tc>
        <w:tc>
          <w:tcPr>
            <w:tcW w:w="3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Latin America</w:t>
            </w: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180"/>
              <w:spacing w:after="0" w:line="149" w:lineRule="exact"/>
              <w:rPr>
                <w:sz w:val="20"/>
                <w:szCs w:val="20"/>
                <w:color w:val="auto"/>
              </w:rPr>
            </w:pPr>
            <w:r>
              <w:rPr>
                <w:rFonts w:ascii="Arial" w:cs="Arial" w:eastAsia="Arial" w:hAnsi="Arial"/>
                <w:sz w:val="14"/>
                <w:szCs w:val="14"/>
                <w:color w:val="auto"/>
              </w:rPr>
              <w:t>Europe/CIS/Africa</w:t>
            </w: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2,244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4,410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Middle East &amp; Asia</w:t>
            </w: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00" w:type="dxa"/>
            <w:vAlign w:val="bottom"/>
          </w:tcPr>
          <w:p>
            <w:pPr>
              <w:ind w:left="180"/>
              <w:spacing w:after="0"/>
              <w:rPr>
                <w:sz w:val="20"/>
                <w:szCs w:val="20"/>
                <w:color w:val="auto"/>
              </w:rPr>
            </w:pPr>
            <w:r>
              <w:rPr>
                <w:rFonts w:ascii="Arial" w:cs="Arial" w:eastAsia="Arial" w:hAnsi="Arial"/>
                <w:sz w:val="14"/>
                <w:szCs w:val="14"/>
                <w:color w:val="auto"/>
              </w:rPr>
              <w:t>Elims/Other</w:t>
            </w:r>
            <w:r>
              <w:rPr>
                <w:rFonts w:ascii="Arial" w:cs="Arial" w:eastAsia="Arial" w:hAnsi="Arial"/>
                <w:sz w:val="12"/>
                <w:szCs w:val="12"/>
                <w:color w:val="auto"/>
              </w:rPr>
              <w:t>(1)</w:t>
            </w: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2,014</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top w:val="single" w:sz="8" w:color="auto"/>
            </w:tcBorders>
            <w:shd w:val="clear" w:color="auto" w:fill="CCEEFF"/>
          </w:tcPr>
          <w:p>
            <w:pPr>
              <w:spacing w:after="0"/>
              <w:rPr>
                <w:sz w:val="12"/>
                <w:szCs w:val="12"/>
                <w:color w:val="auto"/>
              </w:rPr>
            </w:pPr>
          </w:p>
        </w:tc>
        <w:tc>
          <w:tcPr>
            <w:tcW w:w="1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24,282</w:t>
            </w: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6,505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15,184</w:t>
            </w:r>
          </w:p>
        </w:tc>
        <w:tc>
          <w:tcPr>
            <w:tcW w:w="1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i w:val="1"/>
                <w:iCs w:val="1"/>
                <w:color w:val="auto"/>
              </w:rPr>
              <w:t>WESTERNGECO</w:t>
            </w:r>
          </w:p>
        </w:tc>
        <w:tc>
          <w:tcPr>
            <w:tcW w:w="1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2,838</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2,956</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All other assets</w:t>
            </w: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1,914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Corporate</w:t>
            </w:r>
            <w:r>
              <w:rPr>
                <w:rFonts w:ascii="Arial" w:cs="Arial" w:eastAsia="Arial" w:hAnsi="Arial"/>
                <w:sz w:val="12"/>
                <w:szCs w:val="12"/>
                <w:color w:val="auto"/>
              </w:rPr>
              <w:t>(2)</w:t>
            </w: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Interest income</w:t>
            </w:r>
            <w:r>
              <w:rPr>
                <w:rFonts w:ascii="Arial" w:cs="Arial" w:eastAsia="Arial" w:hAnsi="Arial"/>
                <w:sz w:val="12"/>
                <w:szCs w:val="12"/>
                <w:color w:val="auto"/>
              </w:rPr>
              <w:t>(3)</w:t>
            </w:r>
          </w:p>
        </w:tc>
        <w:tc>
          <w:tcPr>
            <w:tcW w:w="1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r>
              <w:rPr>
                <w:rFonts w:ascii="Arial" w:cs="Arial" w:eastAsia="Arial" w:hAnsi="Arial"/>
                <w:sz w:val="12"/>
                <w:szCs w:val="12"/>
                <w:color w:val="auto"/>
              </w:rPr>
              <w:t>(4)</w:t>
            </w: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Charges &amp; credits</w:t>
            </w:r>
            <w:r>
              <w:rPr>
                <w:rFonts w:ascii="Arial" w:cs="Arial" w:eastAsia="Arial" w:hAnsi="Arial"/>
                <w:sz w:val="12"/>
                <w:szCs w:val="12"/>
                <w:color w:val="auto"/>
              </w:rPr>
              <w:t>(5)</w:t>
            </w: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27,163</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6,852</w:t>
            </w: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32,094</w:t>
            </w:r>
          </w:p>
        </w:tc>
        <w:tc>
          <w:tcPr>
            <w:tcW w:w="3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2,269</w:t>
            </w: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940" w:right="120" w:hanging="240"/>
        <w:spacing w:after="0" w:line="253" w:lineRule="auto"/>
        <w:tabs>
          <w:tab w:leader="none" w:pos="9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certain headquarter administrative costs which are not allocated geographically, manufacturing and certain other operations, and other cost and income items maintained at the Oilfield Services level.</w:t>
      </w:r>
    </w:p>
    <w:p>
      <w:pPr>
        <w:spacing w:after="0" w:line="11" w:lineRule="exact"/>
        <w:rPr>
          <w:rFonts w:ascii="Arial" w:cs="Arial" w:eastAsia="Arial" w:hAnsi="Arial"/>
          <w:sz w:val="14"/>
          <w:szCs w:val="14"/>
          <w:color w:val="auto"/>
        </w:rPr>
      </w:pPr>
    </w:p>
    <w:p>
      <w:pPr>
        <w:ind w:left="940" w:right="140" w:hanging="240"/>
        <w:spacing w:after="0" w:line="238" w:lineRule="auto"/>
        <w:tabs>
          <w:tab w:leader="none" w:pos="9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Comprised principally of corporate expenses not allocated to the segments, interest on postretirement medical benefits, stock-based compensation costs, amortization expense associated with intangible assets recorded as a result of the merger with Smith and certain other nonoperating items. Corporate assets consist of cash, short-term investments, fixed income investments, held to maturity and investments in affiliates.</w:t>
      </w:r>
    </w:p>
    <w:p>
      <w:pPr>
        <w:spacing w:after="0" w:line="20" w:lineRule="exact"/>
        <w:rPr>
          <w:rFonts w:ascii="Arial" w:cs="Arial" w:eastAsia="Arial" w:hAnsi="Arial"/>
          <w:sz w:val="14"/>
          <w:szCs w:val="14"/>
          <w:color w:val="auto"/>
        </w:rPr>
      </w:pPr>
    </w:p>
    <w:p>
      <w:pPr>
        <w:ind w:left="940" w:hanging="240"/>
        <w:spacing w:after="0"/>
        <w:tabs>
          <w:tab w:leader="none" w:pos="9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Interest income excludes amounts which are included in the segments’ income (2010 - $7 million: 2009 – $10 million; 2008 – $7 million).</w:t>
      </w:r>
    </w:p>
    <w:p>
      <w:pPr>
        <w:spacing w:after="0" w:line="41" w:lineRule="exact"/>
        <w:rPr>
          <w:rFonts w:ascii="Arial" w:cs="Arial" w:eastAsia="Arial" w:hAnsi="Arial"/>
          <w:sz w:val="14"/>
          <w:szCs w:val="14"/>
          <w:color w:val="auto"/>
        </w:rPr>
      </w:pPr>
    </w:p>
    <w:p>
      <w:pPr>
        <w:ind w:left="940" w:hanging="240"/>
        <w:spacing w:after="0"/>
        <w:tabs>
          <w:tab w:leader="none" w:pos="9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Interest expense excludes amounts which are included in the segments’ income (2010 - $5 million; 2009 – $33 million; 2008 – $30 million).</w:t>
      </w:r>
    </w:p>
    <w:p>
      <w:pPr>
        <w:spacing w:after="0" w:line="41" w:lineRule="exact"/>
        <w:rPr>
          <w:rFonts w:ascii="Arial" w:cs="Arial" w:eastAsia="Arial" w:hAnsi="Arial"/>
          <w:sz w:val="14"/>
          <w:szCs w:val="14"/>
          <w:color w:val="auto"/>
        </w:rPr>
      </w:pPr>
    </w:p>
    <w:p>
      <w:pPr>
        <w:ind w:left="940" w:hanging="240"/>
        <w:spacing w:after="0"/>
        <w:tabs>
          <w:tab w:leader="none" w:pos="9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See Note 3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Segment assets consist of receivables, inventories, fixed assets and multiclient seismic data.</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Depreciation &amp; Amortization includes multiclient seismic data costs.</w:t>
      </w:r>
    </w:p>
    <w:p>
      <w:pPr>
        <w:spacing w:after="0" w:line="9" w:lineRule="exact"/>
        <w:rPr>
          <w:sz w:val="20"/>
          <w:szCs w:val="20"/>
          <w:color w:val="auto"/>
        </w:rPr>
      </w:pPr>
    </w:p>
    <w:p>
      <w:pPr>
        <w:ind w:left="900" w:right="120"/>
        <w:spacing w:after="0" w:line="281" w:lineRule="auto"/>
        <w:rPr>
          <w:sz w:val="20"/>
          <w:szCs w:val="20"/>
          <w:color w:val="auto"/>
        </w:rPr>
      </w:pPr>
      <w:r>
        <w:rPr>
          <w:rFonts w:ascii="Arial" w:cs="Arial" w:eastAsia="Arial" w:hAnsi="Arial"/>
          <w:sz w:val="16"/>
          <w:szCs w:val="16"/>
          <w:color w:val="auto"/>
        </w:rPr>
        <w:t>During each of the three years ended December 31, 2010, 2009 and 2008, no single customer exceeded 10% of consolidated revenue. Schlumberger did not have revenue from third-party customers in its country of domicile during the last three years. Revenue in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United States in 2010, 2009 and 2008 was $6.5 billion, $3.7 billion and $5.9 billion, respectively.</w:t>
      </w:r>
    </w:p>
    <w:p>
      <w:pPr>
        <w:spacing w:after="0" w:line="216" w:lineRule="exact"/>
        <w:rPr>
          <w:sz w:val="20"/>
          <w:szCs w:val="20"/>
          <w:color w:val="auto"/>
        </w:rPr>
      </w:pPr>
    </w:p>
    <w:p>
      <w:pPr>
        <w:ind w:left="700" w:right="6740" w:hanging="7"/>
        <w:spacing w:after="0" w:line="380" w:lineRule="auto"/>
        <w:tabs>
          <w:tab w:leader="none" w:pos="110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Pension and Other Benefit Plans </w:t>
      </w:r>
      <w:r>
        <w:rPr>
          <w:rFonts w:ascii="Arial" w:cs="Arial" w:eastAsia="Arial" w:hAnsi="Arial"/>
          <w:sz w:val="18"/>
          <w:szCs w:val="18"/>
          <w:b w:val="1"/>
          <w:bCs w:val="1"/>
          <w:i w:val="1"/>
          <w:iCs w:val="1"/>
          <w:color w:val="auto"/>
        </w:rPr>
        <w:t>Pension Plans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Schlumberger sponsors several defined benefit pension plans that cover substantially all US employees hired prior to October 1, 2004.</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benefits are based on years of service and compensation, on a career-average pay basis.</w:t>
      </w:r>
    </w:p>
    <w:p>
      <w:pPr>
        <w:spacing w:after="0" w:line="9" w:lineRule="exact"/>
        <w:rPr>
          <w:sz w:val="20"/>
          <w:szCs w:val="20"/>
          <w:color w:val="auto"/>
        </w:rPr>
      </w:pPr>
    </w:p>
    <w:p>
      <w:pPr>
        <w:ind w:left="700" w:right="40" w:firstLine="198"/>
        <w:spacing w:after="0" w:line="252" w:lineRule="auto"/>
        <w:rPr>
          <w:sz w:val="20"/>
          <w:szCs w:val="20"/>
          <w:color w:val="auto"/>
        </w:rPr>
      </w:pPr>
      <w:r>
        <w:rPr>
          <w:rFonts w:ascii="Arial" w:cs="Arial" w:eastAsia="Arial" w:hAnsi="Arial"/>
          <w:sz w:val="18"/>
          <w:szCs w:val="18"/>
          <w:color w:val="auto"/>
        </w:rPr>
        <w:t>In addition to the United States defined benefit pension plans, Schlumberger sponsors several other international defined benefit pension plans. The most significant of these international plans are the International Staff Pension Plan, which was converted from a defined contribution plan to a defined benefit pension plan during the fourth quarter of 2008, and the UK pension plan (collectively, the “International plans”). The International Staff Pension Plan covers certain international employees and is based on years of service and compensation on a career-average pay basis. The UK plan covers employees hired prior to April 1, 1999, and is based on years of service and compensation, on a final salary basis.</w:t>
      </w:r>
    </w:p>
    <w:p>
      <w:pPr>
        <w:spacing w:after="0" w:line="16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900" w:firstLine="198"/>
        <w:spacing w:after="0" w:line="277" w:lineRule="auto"/>
        <w:rPr>
          <w:sz w:val="20"/>
          <w:szCs w:val="20"/>
          <w:color w:val="auto"/>
        </w:rPr>
      </w:pPr>
      <w:r>
        <w:rPr>
          <w:rFonts w:ascii="Arial" w:cs="Arial" w:eastAsia="Arial" w:hAnsi="Arial"/>
          <w:sz w:val="18"/>
          <w:szCs w:val="18"/>
          <w:color w:val="auto"/>
        </w:rPr>
        <w:t>The weighted-average assumed discount rate, compensation increases and the expected long-term rate of return on plan assets used to determine the net pension cost for the US and International plans were as follows:</w:t>
      </w:r>
    </w:p>
    <w:p>
      <w:pPr>
        <w:spacing w:after="0" w:line="8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US</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9"/>
          </w:tcPr>
          <w:p>
            <w:pPr>
              <w:jc w:val="center"/>
              <w:ind w:right="240"/>
              <w:spacing w:after="0"/>
              <w:rPr>
                <w:sz w:val="20"/>
                <w:szCs w:val="20"/>
                <w:color w:val="auto"/>
              </w:rPr>
            </w:pPr>
            <w:r>
              <w:rPr>
                <w:rFonts w:ascii="Arial" w:cs="Arial" w:eastAsia="Arial" w:hAnsi="Arial"/>
                <w:sz w:val="13"/>
                <w:szCs w:val="13"/>
                <w:b w:val="1"/>
                <w:bCs w:val="1"/>
                <w:color w:val="auto"/>
                <w:w w:val="89"/>
              </w:rPr>
              <w:t>International</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680" w:type="dxa"/>
            <w:vAlign w:val="bottom"/>
          </w:tcPr>
          <w:p>
            <w:pPr>
              <w:jc w:val="right"/>
              <w:ind w:right="150"/>
              <w:spacing w:after="0" w:line="129"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460" w:type="dxa"/>
            <w:vAlign w:val="bottom"/>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3"/>
          </w:tcPr>
          <w:p>
            <w:pPr>
              <w:jc w:val="right"/>
              <w:ind w:right="29"/>
              <w:spacing w:after="0" w:line="129" w:lineRule="exact"/>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gridSpan w:val="2"/>
          </w:tcPr>
          <w:p>
            <w:pPr>
              <w:jc w:val="right"/>
              <w:ind w:right="80"/>
              <w:spacing w:after="0" w:line="129" w:lineRule="exact"/>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5"/>
          </w:tcPr>
          <w:p>
            <w:pPr>
              <w:jc w:val="right"/>
              <w:ind w:right="29"/>
              <w:spacing w:after="0" w:line="129"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right"/>
              <w:ind w:right="28"/>
              <w:spacing w:after="0" w:line="129" w:lineRule="exact"/>
              <w:rPr>
                <w:sz w:val="20"/>
                <w:szCs w:val="20"/>
                <w:color w:val="auto"/>
              </w:rPr>
            </w:pPr>
            <w:r>
              <w:rPr>
                <w:rFonts w:ascii="Arial" w:cs="Arial" w:eastAsia="Arial" w:hAnsi="Arial"/>
                <w:sz w:val="13"/>
                <w:szCs w:val="13"/>
                <w:b w:val="1"/>
                <w:bCs w:val="1"/>
                <w:color w:val="auto"/>
                <w:w w:val="89"/>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1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Discount rate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6.00%</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6.50%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6.81%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4.00%</w:t>
            </w:r>
          </w:p>
        </w:tc>
        <w:tc>
          <w:tcPr>
            <w:tcW w:w="16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0"/>
              </w:rPr>
              <w:t>4.00%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4.93%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4.93%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4"/>
          </w:tcPr>
          <w:p>
            <w:pPr>
              <w:ind w:left="100"/>
              <w:spacing w:after="0" w:line="149" w:lineRule="exact"/>
              <w:rPr>
                <w:sz w:val="20"/>
                <w:szCs w:val="20"/>
                <w:color w:val="auto"/>
              </w:rPr>
            </w:pPr>
            <w:r>
              <w:rPr>
                <w:rFonts w:ascii="Arial" w:cs="Arial" w:eastAsia="Arial" w:hAnsi="Arial"/>
                <w:sz w:val="14"/>
                <w:szCs w:val="14"/>
                <w:color w:val="auto"/>
                <w:w w:val="90"/>
              </w:rPr>
              <w:t>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8.50%</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8.50%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8.00%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8.00%</w:t>
            </w: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5980" w:type="dxa"/>
            <w:vAlign w:val="bottom"/>
            <w:gridSpan w:val="3"/>
          </w:tcPr>
          <w:p>
            <w:pPr>
              <w:ind w:left="180"/>
              <w:spacing w:after="0"/>
              <w:rPr>
                <w:sz w:val="20"/>
                <w:szCs w:val="20"/>
                <w:color w:val="auto"/>
              </w:rPr>
            </w:pPr>
            <w:r>
              <w:rPr>
                <w:rFonts w:ascii="Arial" w:cs="Arial" w:eastAsia="Arial" w:hAnsi="Arial"/>
                <w:sz w:val="18"/>
                <w:szCs w:val="18"/>
                <w:color w:val="auto"/>
                <w:w w:val="93"/>
              </w:rPr>
              <w:t>Net pension cost for 2010, 2009 and 2008 included the following components: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gridSpan w:val="2"/>
          </w:tcPr>
          <w:p>
            <w:pPr>
              <w:spacing w:after="0"/>
              <w:rPr>
                <w:sz w:val="20"/>
                <w:szCs w:val="20"/>
                <w:color w:val="auto"/>
              </w:rPr>
            </w:pPr>
            <w:r>
              <w:rPr>
                <w:rFonts w:ascii="Arial" w:cs="Arial" w:eastAsia="Arial" w:hAnsi="Arial"/>
                <w:sz w:val="13"/>
                <w:szCs w:val="13"/>
                <w:b w:val="1"/>
                <w:bCs w:val="1"/>
                <w:color w:val="auto"/>
              </w:rPr>
              <w:t>(Stated in millions)</w:t>
            </w: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9"/>
              </w:rPr>
              <w:t>US</w:t>
            </w:r>
          </w:p>
        </w:tc>
        <w:tc>
          <w:tcPr>
            <w:tcW w:w="16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6"/>
          </w:tcPr>
          <w:p>
            <w:pPr>
              <w:jc w:val="right"/>
              <w:ind w:right="40"/>
              <w:spacing w:after="0" w:line="129" w:lineRule="exact"/>
              <w:rPr>
                <w:sz w:val="20"/>
                <w:szCs w:val="20"/>
                <w:color w:val="auto"/>
              </w:rPr>
            </w:pPr>
            <w:r>
              <w:rPr>
                <w:rFonts w:ascii="Arial" w:cs="Arial" w:eastAsia="Arial" w:hAnsi="Arial"/>
                <w:sz w:val="13"/>
                <w:szCs w:val="13"/>
                <w:b w:val="1"/>
                <w:bCs w:val="1"/>
                <w:color w:val="auto"/>
                <w:w w:val="89"/>
              </w:rPr>
              <w:t>International</w:t>
            </w:r>
          </w:p>
        </w:tc>
        <w:tc>
          <w:tcPr>
            <w:tcW w:w="10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b w:val="1"/>
                <w:bCs w:val="1"/>
                <w:color w:val="auto"/>
                <w:w w:val="82"/>
              </w:rPr>
              <w:t>2010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w w:val="82"/>
              </w:rPr>
              <w:t>2008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2010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2009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160" w:type="dxa"/>
            <w:vAlign w:val="bottom"/>
            <w:gridSpan w:val="2"/>
          </w:tcPr>
          <w:p>
            <w:pPr>
              <w:spacing w:after="0" w:line="151" w:lineRule="exact"/>
              <w:rPr>
                <w:sz w:val="20"/>
                <w:szCs w:val="20"/>
                <w:color w:val="auto"/>
              </w:rPr>
            </w:pPr>
            <w:r>
              <w:rPr>
                <w:rFonts w:ascii="Arial" w:cs="Arial" w:eastAsia="Arial" w:hAnsi="Arial"/>
                <w:sz w:val="14"/>
                <w:szCs w:val="14"/>
                <w:color w:val="auto"/>
              </w:rPr>
              <w:t>Service cost – benefits earned during the period</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jc w:val="right"/>
              <w:ind w:right="40"/>
              <w:spacing w:after="0" w:line="151" w:lineRule="exact"/>
              <w:rPr>
                <w:sz w:val="20"/>
                <w:szCs w:val="20"/>
                <w:color w:val="auto"/>
              </w:rPr>
            </w:pPr>
            <w:r>
              <w:rPr>
                <w:rFonts w:ascii="Arial" w:cs="Arial" w:eastAsia="Arial" w:hAnsi="Arial"/>
                <w:sz w:val="14"/>
                <w:szCs w:val="14"/>
                <w:b w:val="1"/>
                <w:bCs w:val="1"/>
                <w:color w:val="auto"/>
              </w:rPr>
              <w:t>$</w:t>
            </w: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3"/>
                <w:szCs w:val="13"/>
                <w:color w:val="auto"/>
              </w:rPr>
            </w:pPr>
          </w:p>
        </w:tc>
        <w:tc>
          <w:tcPr>
            <w:tcW w:w="24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1" w:lineRule="exact"/>
              <w:rPr>
                <w:sz w:val="20"/>
                <w:szCs w:val="20"/>
                <w:color w:val="auto"/>
              </w:rPr>
            </w:pPr>
            <w:r>
              <w:rPr>
                <w:rFonts w:ascii="Arial" w:cs="Arial" w:eastAsia="Arial" w:hAnsi="Arial"/>
                <w:sz w:val="14"/>
                <w:szCs w:val="14"/>
                <w:color w:val="auto"/>
              </w:rPr>
              <w:t>52</w:t>
            </w:r>
          </w:p>
        </w:tc>
        <w:tc>
          <w:tcPr>
            <w:tcW w:w="100" w:type="dxa"/>
            <w:vAlign w:val="bottom"/>
          </w:tcPr>
          <w:p>
            <w:pPr>
              <w:spacing w:after="0"/>
              <w:rPr>
                <w:sz w:val="13"/>
                <w:szCs w:val="13"/>
                <w:color w:val="auto"/>
              </w:rPr>
            </w:pPr>
          </w:p>
        </w:tc>
        <w:tc>
          <w:tcPr>
            <w:tcW w:w="2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51"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3"/>
                <w:szCs w:val="13"/>
                <w:color w:val="auto"/>
              </w:rPr>
            </w:pPr>
          </w:p>
        </w:tc>
        <w:tc>
          <w:tcPr>
            <w:tcW w:w="180" w:type="dxa"/>
            <w:vAlign w:val="bottom"/>
            <w:gridSpan w:val="3"/>
          </w:tcPr>
          <w:p>
            <w:pPr>
              <w:jc w:val="right"/>
              <w:spacing w:after="0" w:line="151" w:lineRule="exact"/>
              <w:rPr>
                <w:sz w:val="20"/>
                <w:szCs w:val="20"/>
                <w:color w:val="auto"/>
              </w:rPr>
            </w:pPr>
            <w:r>
              <w:rPr>
                <w:rFonts w:ascii="Arial" w:cs="Arial" w:eastAsia="Arial" w:hAnsi="Arial"/>
                <w:sz w:val="14"/>
                <w:szCs w:val="14"/>
                <w:b w:val="1"/>
                <w:bCs w:val="1"/>
                <w:color w:val="auto"/>
              </w:rPr>
              <w:t>$</w:t>
            </w:r>
          </w:p>
        </w:tc>
        <w:tc>
          <w:tcPr>
            <w:tcW w:w="2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51</w:t>
            </w:r>
          </w:p>
        </w:tc>
        <w:tc>
          <w:tcPr>
            <w:tcW w:w="60" w:type="dxa"/>
            <w:vAlign w:val="bottom"/>
          </w:tcPr>
          <w:p>
            <w:pPr>
              <w:spacing w:after="0"/>
              <w:rPr>
                <w:sz w:val="13"/>
                <w:szCs w:val="13"/>
                <w:color w:val="auto"/>
              </w:rPr>
            </w:pPr>
          </w:p>
        </w:tc>
        <w:tc>
          <w:tcPr>
            <w:tcW w:w="300" w:type="dxa"/>
            <w:vAlign w:val="bottom"/>
            <w:gridSpan w:val="2"/>
          </w:tcPr>
          <w:p>
            <w:pPr>
              <w:jc w:val="center"/>
              <w:ind w:left="130"/>
              <w:spacing w:after="0" w:line="151" w:lineRule="exact"/>
              <w:rPr>
                <w:sz w:val="20"/>
                <w:szCs w:val="20"/>
                <w:color w:val="auto"/>
              </w:rPr>
            </w:pPr>
            <w:r>
              <w:rPr>
                <w:rFonts w:ascii="Arial" w:cs="Arial" w:eastAsia="Arial" w:hAnsi="Arial"/>
                <w:sz w:val="14"/>
                <w:szCs w:val="14"/>
                <w:color w:val="auto"/>
                <w:w w:val="76"/>
              </w:rPr>
              <w:t>$</w:t>
            </w:r>
          </w:p>
        </w:tc>
        <w:tc>
          <w:tcPr>
            <w:tcW w:w="2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67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51"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208</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5"/>
              </w:rPr>
              <w:t>(191)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7"/>
              </w:rPr>
              <w:t>(166)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(162)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97"/>
              </w:rPr>
              <w:t>(228)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w w:val="91"/>
              </w:rPr>
              <w:t>(181)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(75)</w:t>
            </w: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Amortization of net loss</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160" w:type="dxa"/>
            <w:vAlign w:val="bottom"/>
            <w:gridSpan w:val="2"/>
          </w:tcPr>
          <w:p>
            <w:pPr>
              <w:spacing w:after="0"/>
              <w:rPr>
                <w:sz w:val="20"/>
                <w:szCs w:val="20"/>
                <w:color w:val="auto"/>
              </w:rPr>
            </w:pPr>
            <w:r>
              <w:rPr>
                <w:rFonts w:ascii="Arial" w:cs="Arial" w:eastAsia="Arial" w:hAnsi="Arial"/>
                <w:sz w:val="14"/>
                <w:szCs w:val="14"/>
                <w:color w:val="auto"/>
              </w:rPr>
              <w:t>Amortization of prior service cost</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rPr>
              <w:t>113</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71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63</w:t>
            </w:r>
          </w:p>
        </w:tc>
        <w:tc>
          <w:tcPr>
            <w:tcW w:w="1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163</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rPr>
              <w:t>192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7"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160" w:type="dxa"/>
            <w:vAlign w:val="bottom"/>
            <w:gridSpan w:val="2"/>
          </w:tcPr>
          <w:p>
            <w:pPr>
              <w:spacing w:after="0"/>
              <w:rPr>
                <w:sz w:val="20"/>
                <w:szCs w:val="20"/>
                <w:color w:val="auto"/>
              </w:rPr>
            </w:pPr>
            <w:r>
              <w:rPr>
                <w:rFonts w:ascii="Arial" w:cs="Arial" w:eastAsia="Arial" w:hAnsi="Arial"/>
                <w:sz w:val="14"/>
                <w:szCs w:val="14"/>
                <w:color w:val="auto"/>
              </w:rPr>
              <w:t>Curtailment charge</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71</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163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290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960" w:firstLine="198"/>
        <w:spacing w:after="0" w:line="267" w:lineRule="auto"/>
        <w:rPr>
          <w:sz w:val="20"/>
          <w:szCs w:val="20"/>
          <w:color w:val="auto"/>
        </w:rPr>
      </w:pPr>
      <w:r>
        <w:rPr>
          <w:rFonts w:ascii="Arial" w:cs="Arial" w:eastAsia="Arial" w:hAnsi="Arial"/>
          <w:sz w:val="17"/>
          <w:szCs w:val="17"/>
          <w:color w:val="auto"/>
        </w:rPr>
        <w:t xml:space="preserve">During 2009, due to the actions taken by Schlumberger to reduce its global workforce (See Note 3 – </w:t>
      </w:r>
      <w:r>
        <w:rPr>
          <w:rFonts w:ascii="Arial" w:cs="Arial" w:eastAsia="Arial" w:hAnsi="Arial"/>
          <w:sz w:val="17"/>
          <w:szCs w:val="17"/>
          <w:i w:val="1"/>
          <w:iCs w:val="1"/>
          <w:color w:val="auto"/>
        </w:rPr>
        <w:t>Charges and Credits</w:t>
      </w:r>
      <w:r>
        <w:rPr>
          <w:rFonts w:ascii="Arial" w:cs="Arial" w:eastAsia="Arial" w:hAnsi="Arial"/>
          <w:sz w:val="17"/>
          <w:szCs w:val="17"/>
          <w:color w:val="auto"/>
        </w:rPr>
        <w:t>), Schlumberger experienced a significant reduction in the expected aggregate years of future service of its employees in certain of its pension plans and its postretirement medical plan. Accordingly, Schlumberger recorded a curtailment charge of $136 million during the second quarter of 2009 ($130 million relating to the pension plans and $6 million relating to the postretirement medical plan). The curtailment charge includes recognition of the change in benefit obligations as well as a portion of the previously unrecognized prior service costs, reflecting the reduction in expected future service for the impacted plans. As a result of the curtailment, Schlumberger performed a remeasurement of the impacted plans using a discount rate of 7.25% (as compared to 6.50% at December 31, 2008). All other significant assumptions were unchanged from December 31, 2008 measurement date.</w:t>
      </w:r>
    </w:p>
    <w:p>
      <w:pPr>
        <w:spacing w:after="0" w:line="3" w:lineRule="exact"/>
        <w:rPr>
          <w:sz w:val="20"/>
          <w:szCs w:val="20"/>
          <w:color w:val="auto"/>
        </w:rPr>
      </w:pPr>
    </w:p>
    <w:p>
      <w:pPr>
        <w:ind w:left="700" w:right="1260" w:firstLine="198"/>
        <w:spacing w:after="0" w:line="250" w:lineRule="auto"/>
        <w:rPr>
          <w:sz w:val="20"/>
          <w:szCs w:val="20"/>
          <w:color w:val="auto"/>
        </w:rPr>
      </w:pPr>
      <w:r>
        <w:rPr>
          <w:rFonts w:ascii="Arial" w:cs="Arial" w:eastAsia="Arial" w:hAnsi="Arial"/>
          <w:sz w:val="18"/>
          <w:szCs w:val="18"/>
          <w:color w:val="auto"/>
        </w:rPr>
        <w:t>As the International Staff Pension Plan was converted to a defined benefit pension plan during the fourth quarter of 2008, the net pension cost for this plan was not significant in 2008.</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weighted-average assumed discount rate and compensation increases used to determine the projected benefit obligations for the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US and International plans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US</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4"/>
                <w:szCs w:val="14"/>
                <w:color w:val="auto"/>
              </w:rPr>
            </w:pPr>
          </w:p>
        </w:tc>
        <w:tc>
          <w:tcPr>
            <w:tcW w:w="920" w:type="dxa"/>
            <w:vAlign w:val="bottom"/>
          </w:tcPr>
          <w:p>
            <w:pPr>
              <w:spacing w:after="0"/>
              <w:rPr>
                <w:sz w:val="14"/>
                <w:szCs w:val="14"/>
                <w:color w:val="auto"/>
              </w:rPr>
            </w:pPr>
          </w:p>
        </w:tc>
      </w:tr>
      <w:tr>
        <w:trPr>
          <w:trHeight w:val="173"/>
        </w:trPr>
        <w:tc>
          <w:tcPr>
            <w:tcW w:w="38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5"/>
                <w:szCs w:val="15"/>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920" w:type="dxa"/>
            <w:vAlign w:val="bottom"/>
          </w:tcPr>
          <w:p>
            <w:pPr>
              <w:spacing w:after="0"/>
              <w:rPr>
                <w:sz w:val="15"/>
                <w:szCs w:val="15"/>
                <w:color w:val="auto"/>
              </w:rPr>
            </w:pPr>
          </w:p>
        </w:tc>
      </w:tr>
      <w:tr>
        <w:trPr>
          <w:trHeight w:val="149"/>
        </w:trPr>
        <w:tc>
          <w:tcPr>
            <w:tcW w:w="3840" w:type="dxa"/>
            <w:vAlign w:val="bottom"/>
          </w:tcPr>
          <w:p>
            <w:pPr>
              <w:ind w:left="700"/>
              <w:spacing w:after="0" w:line="149" w:lineRule="exact"/>
              <w:rPr>
                <w:sz w:val="20"/>
                <w:szCs w:val="20"/>
                <w:color w:val="auto"/>
              </w:rPr>
            </w:pPr>
            <w:r>
              <w:rPr>
                <w:rFonts w:ascii="Arial" w:cs="Arial" w:eastAsia="Arial" w:hAnsi="Arial"/>
                <w:sz w:val="14"/>
                <w:szCs w:val="14"/>
                <w:color w:val="auto"/>
              </w:rPr>
              <w:t>Discount rate</w:t>
            </w:r>
          </w:p>
        </w:tc>
        <w:tc>
          <w:tcPr>
            <w:tcW w:w="4420" w:type="dxa"/>
            <w:vAlign w:val="bottom"/>
            <w:gridSpan w:val="2"/>
          </w:tcPr>
          <w:p>
            <w:pPr>
              <w:jc w:val="right"/>
              <w:ind w:right="108"/>
              <w:spacing w:after="0" w:line="149" w:lineRule="exact"/>
              <w:rPr>
                <w:sz w:val="20"/>
                <w:szCs w:val="20"/>
                <w:color w:val="auto"/>
              </w:rPr>
            </w:pPr>
            <w:r>
              <w:rPr>
                <w:rFonts w:ascii="Arial" w:cs="Arial" w:eastAsia="Arial" w:hAnsi="Arial"/>
                <w:sz w:val="14"/>
                <w:szCs w:val="14"/>
                <w:b w:val="1"/>
                <w:bCs w:val="1"/>
                <w:color w:val="auto"/>
              </w:rPr>
              <w:t>5.50%</w:t>
            </w: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6.00%</w:t>
            </w:r>
          </w:p>
        </w:tc>
        <w:tc>
          <w:tcPr>
            <w:tcW w:w="114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rPr>
              <w:t>5.47%</w:t>
            </w:r>
          </w:p>
        </w:tc>
        <w:tc>
          <w:tcPr>
            <w:tcW w:w="122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5.89%</w:t>
            </w:r>
          </w:p>
        </w:tc>
      </w:tr>
      <w:tr>
        <w:trPr>
          <w:trHeight w:val="186"/>
        </w:trPr>
        <w:tc>
          <w:tcPr>
            <w:tcW w:w="3840" w:type="dxa"/>
            <w:vAlign w:val="bottom"/>
          </w:tcPr>
          <w:p>
            <w:pPr>
              <w:ind w:left="700"/>
              <w:spacing w:after="0"/>
              <w:rPr>
                <w:sz w:val="20"/>
                <w:szCs w:val="20"/>
                <w:color w:val="auto"/>
              </w:rPr>
            </w:pPr>
            <w:r>
              <w:rPr>
                <w:rFonts w:ascii="Arial" w:cs="Arial" w:eastAsia="Arial" w:hAnsi="Arial"/>
                <w:sz w:val="14"/>
                <w:szCs w:val="14"/>
                <w:color w:val="auto"/>
              </w:rPr>
              <w:t>Compensation increases</w:t>
            </w:r>
          </w:p>
        </w:tc>
        <w:tc>
          <w:tcPr>
            <w:tcW w:w="44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4.00%</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4.00%</w:t>
            </w: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4.91%</w:t>
            </w:r>
          </w:p>
        </w:tc>
        <w:tc>
          <w:tcPr>
            <w:tcW w:w="1220" w:type="dxa"/>
            <w:vAlign w:val="bottom"/>
            <w:gridSpan w:val="2"/>
          </w:tcPr>
          <w:p>
            <w:pPr>
              <w:jc w:val="right"/>
              <w:ind w:right="800"/>
              <w:spacing w:after="0"/>
              <w:rPr>
                <w:sz w:val="20"/>
                <w:szCs w:val="20"/>
                <w:color w:val="auto"/>
              </w:rPr>
            </w:pPr>
            <w:r>
              <w:rPr>
                <w:rFonts w:ascii="Arial" w:cs="Arial" w:eastAsia="Arial" w:hAnsi="Arial"/>
                <w:sz w:val="14"/>
                <w:szCs w:val="14"/>
                <w:color w:val="auto"/>
              </w:rPr>
              <w:t>4.93%</w:t>
            </w:r>
          </w:p>
        </w:tc>
      </w:tr>
      <w:tr>
        <w:trPr>
          <w:trHeight w:val="536"/>
        </w:trPr>
        <w:tc>
          <w:tcPr>
            <w:tcW w:w="3840" w:type="dxa"/>
            <w:vAlign w:val="bottom"/>
          </w:tcPr>
          <w:p>
            <w:pPr>
              <w:spacing w:after="0"/>
              <w:rPr>
                <w:sz w:val="24"/>
                <w:szCs w:val="24"/>
                <w:color w:val="auto"/>
              </w:rPr>
            </w:pPr>
          </w:p>
        </w:tc>
        <w:tc>
          <w:tcPr>
            <w:tcW w:w="3560" w:type="dxa"/>
            <w:vAlign w:val="bottom"/>
          </w:tcPr>
          <w:p>
            <w:pPr>
              <w:jc w:val="right"/>
              <w:ind w:right="1611"/>
              <w:spacing w:after="0"/>
              <w:rPr>
                <w:sz w:val="20"/>
                <w:szCs w:val="20"/>
                <w:color w:val="auto"/>
              </w:rPr>
            </w:pPr>
            <w:r>
              <w:rPr>
                <w:rFonts w:ascii="Arial" w:cs="Arial" w:eastAsia="Arial" w:hAnsi="Arial"/>
                <w:sz w:val="13"/>
                <w:szCs w:val="13"/>
                <w:color w:val="auto"/>
              </w:rPr>
              <w:t>66</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5"/>
        </w:trPr>
        <w:tc>
          <w:tcPr>
            <w:tcW w:w="3840" w:type="dxa"/>
            <w:vAlign w:val="bottom"/>
            <w:tcBorders>
              <w:bottom w:val="single" w:sz="8" w:color="808080"/>
            </w:tcBorders>
          </w:tcPr>
          <w:p>
            <w:pPr>
              <w:spacing w:after="0"/>
              <w:rPr>
                <w:sz w:val="18"/>
                <w:szCs w:val="18"/>
                <w:color w:val="auto"/>
              </w:rPr>
            </w:pPr>
          </w:p>
        </w:tc>
        <w:tc>
          <w:tcPr>
            <w:tcW w:w="35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changes in the projected benefit obligation, plan assets and funded status of the plans were as follows: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3"/>
          </w:tcPr>
          <w:p>
            <w:pPr>
              <w:jc w:val="right"/>
              <w:ind w:right="48"/>
              <w:spacing w:after="0" w:line="142" w:lineRule="exact"/>
              <w:rPr>
                <w:sz w:val="20"/>
                <w:szCs w:val="20"/>
                <w:color w:val="auto"/>
              </w:rPr>
            </w:pPr>
            <w:r>
              <w:rPr>
                <w:rFonts w:ascii="Arial" w:cs="Arial" w:eastAsia="Arial" w:hAnsi="Arial"/>
                <w:sz w:val="14"/>
                <w:szCs w:val="14"/>
                <w:b w:val="1"/>
                <w:bCs w:val="1"/>
                <w:color w:val="auto"/>
                <w:w w:val="92"/>
              </w:rPr>
              <w:t>US</w:t>
            </w:r>
          </w:p>
        </w:tc>
        <w:tc>
          <w:tcPr>
            <w:tcW w:w="3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5"/>
          </w:tcPr>
          <w:p>
            <w:pPr>
              <w:jc w:val="right"/>
              <w:ind w:right="68"/>
              <w:spacing w:after="0" w:line="142" w:lineRule="exact"/>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Change in Projected Benefit Obligations</w:t>
            </w: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Projected benefit obligation at beginning of year</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2,439</w:t>
            </w:r>
          </w:p>
        </w:tc>
        <w:tc>
          <w:tcPr>
            <w:tcW w:w="4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2,150</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3,518</w:t>
            </w:r>
          </w:p>
        </w:tc>
        <w:tc>
          <w:tcPr>
            <w:tcW w:w="1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2,767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172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(122)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amendments</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Impact of curtailment</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year</w:t>
            </w:r>
          </w:p>
        </w:tc>
        <w:tc>
          <w:tcPr>
            <w:tcW w:w="17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2,769</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2,439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4,088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3,518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Change in Plan Assets</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beginning of year</w:t>
            </w:r>
          </w:p>
        </w:tc>
        <w:tc>
          <w:tcPr>
            <w:tcW w:w="1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2,254</w:t>
            </w:r>
          </w:p>
        </w:tc>
        <w:tc>
          <w:tcPr>
            <w:tcW w:w="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1,490</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2,976</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Company contributions</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586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Benefits paid</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(122)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79"/>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Plan assets at fair value at end of year</w:t>
            </w:r>
          </w:p>
        </w:tc>
        <w:tc>
          <w:tcPr>
            <w:tcW w:w="1720" w:type="dxa"/>
            <w:vAlign w:val="bottom"/>
            <w:tcBorders>
              <w:top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2,635</w:t>
            </w:r>
          </w:p>
        </w:tc>
        <w:tc>
          <w:tcPr>
            <w:tcW w:w="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3,764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2,976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Unfunded Liability</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gridSpan w:val="2"/>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(134</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240" w:type="dxa"/>
            <w:vAlign w:val="bottom"/>
            <w:gridSpan w:val="2"/>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(185</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(324</w:t>
            </w:r>
          </w:p>
        </w:tc>
        <w:tc>
          <w:tcPr>
            <w:tcW w:w="160" w:type="dxa"/>
            <w:vAlign w:val="bottom"/>
          </w:tcPr>
          <w:p>
            <w:pPr>
              <w:jc w:val="right"/>
              <w:ind w:right="28"/>
              <w:spacing w:after="0" w:line="143"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(542</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rPr>
              <w:t>Amounts Recognized in Balance Sheet</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Postretirement Benefits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(185)</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(367)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(185</w:t>
            </w:r>
          </w:p>
        </w:tc>
        <w:tc>
          <w:tcPr>
            <w:tcW w:w="160" w:type="dxa"/>
            <w:vAlign w:val="bottom"/>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(324</w:t>
            </w:r>
          </w:p>
        </w:tc>
        <w:tc>
          <w:tcPr>
            <w:tcW w:w="16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w w:val="84"/>
              </w:rPr>
              <w:t>)</w:t>
            </w: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(542</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i w:val="1"/>
                <w:iCs w:val="1"/>
                <w:color w:val="auto"/>
              </w:rPr>
              <w:t>Amounts Recognized in Accumulated Other Comprehensive Income</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1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819</w:t>
            </w:r>
          </w:p>
        </w:tc>
        <w:tc>
          <w:tcPr>
            <w:tcW w:w="4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447</w:t>
            </w:r>
          </w:p>
        </w:tc>
        <w:tc>
          <w:tcPr>
            <w:tcW w:w="1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Prior service cost</w:t>
            </w: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114</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933</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869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1,287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1,216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6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Accumulated benefit obligation</w:t>
            </w:r>
          </w:p>
        </w:tc>
        <w:tc>
          <w:tcPr>
            <w:tcW w:w="17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91"/>
              </w:rPr>
              <w:t>2,568</w:t>
            </w:r>
          </w:p>
        </w:tc>
        <w:tc>
          <w:tcPr>
            <w:tcW w:w="4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1"/>
              </w:rPr>
              <w:t>2,226</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w w:val="91"/>
              </w:rPr>
              <w:t>3,785</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85"/>
              </w:rPr>
              <w:t>3,257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right="20" w:firstLine="198"/>
        <w:spacing w:after="0" w:line="269" w:lineRule="auto"/>
        <w:rPr>
          <w:sz w:val="20"/>
          <w:szCs w:val="20"/>
          <w:color w:val="auto"/>
        </w:rPr>
      </w:pPr>
      <w:r>
        <w:rPr>
          <w:rFonts w:ascii="Arial" w:cs="Arial" w:eastAsia="Arial" w:hAnsi="Arial"/>
          <w:sz w:val="17"/>
          <w:szCs w:val="17"/>
          <w:color w:val="auto"/>
        </w:rPr>
        <w:t>The funded status position represents the difference between the plan assets and the projected benefit obligation (“PBO”). The PBO represents the actuarial present value of benefits based on employee service and compensation and includes an assumption about future compensation levels. The accumulated benefit obligation represents the actuarial present value of benefits based on employee service and compensation, but does not include an assumption about future compensation levels.</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weighted-average allocation of plan assets and the target allocation by asset category are as follows:</w:t>
      </w:r>
    </w:p>
    <w:p>
      <w:pPr>
        <w:spacing w:after="0" w:line="126" w:lineRule="exact"/>
        <w:rPr>
          <w:sz w:val="20"/>
          <w:szCs w:val="20"/>
          <w:color w:val="auto"/>
        </w:rPr>
      </w:pPr>
    </w:p>
    <w:tbl>
      <w:tblPr>
        <w:tblLayout w:type="fixed"/>
        <w:tblInd w:w="7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b w:val="1"/>
                <w:bCs w:val="1"/>
                <w:color w:val="auto"/>
              </w:rPr>
              <w:t>US</w:t>
            </w:r>
          </w:p>
        </w:tc>
        <w:tc>
          <w:tcPr>
            <w:tcW w:w="3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b w:val="1"/>
                <w:bCs w:val="1"/>
                <w:color w:val="auto"/>
                <w:w w:val="89"/>
              </w:rPr>
              <w:t>International</w:t>
            </w: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Target</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2010</w:t>
            </w:r>
          </w:p>
        </w:tc>
        <w:tc>
          <w:tcPr>
            <w:tcW w:w="3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96"/>
              </w:rPr>
              <w:t>2009</w:t>
            </w:r>
          </w:p>
        </w:tc>
        <w:tc>
          <w:tcPr>
            <w:tcW w:w="300" w:type="dxa"/>
            <w:vAlign w:val="bottom"/>
          </w:tcPr>
          <w:p>
            <w:pPr>
              <w:spacing w:after="0"/>
              <w:rPr>
                <w:sz w:val="13"/>
                <w:szCs w:val="13"/>
                <w:color w:val="auto"/>
              </w:rPr>
            </w:pPr>
          </w:p>
        </w:tc>
        <w:tc>
          <w:tcPr>
            <w:tcW w:w="860" w:type="dxa"/>
            <w:vAlign w:val="bottom"/>
            <w:gridSpan w:val="3"/>
          </w:tcPr>
          <w:p>
            <w:pPr>
              <w:jc w:val="right"/>
              <w:ind w:right="277"/>
              <w:spacing w:after="0"/>
              <w:rPr>
                <w:sz w:val="20"/>
                <w:szCs w:val="20"/>
                <w:color w:val="auto"/>
              </w:rPr>
            </w:pPr>
            <w:r>
              <w:rPr>
                <w:rFonts w:ascii="Arial" w:cs="Arial" w:eastAsia="Arial" w:hAnsi="Arial"/>
                <w:sz w:val="13"/>
                <w:szCs w:val="13"/>
                <w:b w:val="1"/>
                <w:bCs w:val="1"/>
                <w:color w:val="auto"/>
              </w:rPr>
              <w:t>Target</w:t>
            </w: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96"/>
              </w:rPr>
              <w:t>2010</w:t>
            </w:r>
          </w:p>
        </w:tc>
        <w:tc>
          <w:tcPr>
            <w:tcW w:w="3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b w:val="1"/>
                <w:bCs w:val="1"/>
                <w:color w:val="auto"/>
                <w:w w:val="96"/>
              </w:rPr>
              <w:t>2009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60%</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52%</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c>
          <w:tcPr>
            <w:tcW w:w="6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b w:val="1"/>
                <w:bCs w:val="1"/>
                <w:color w:val="auto"/>
              </w:rPr>
              <w:t>– 70%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61%</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line="149" w:lineRule="exact"/>
              <w:rPr>
                <w:sz w:val="20"/>
                <w:szCs w:val="20"/>
                <w:color w:val="auto"/>
              </w:rPr>
            </w:pPr>
            <w:r>
              <w:rPr>
                <w:rFonts w:ascii="Arial" w:cs="Arial" w:eastAsia="Arial" w:hAnsi="Arial"/>
                <w:sz w:val="14"/>
                <w:szCs w:val="14"/>
                <w:color w:val="auto"/>
              </w:rPr>
              <w:t>Debt securities</w:t>
            </w: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28</w:t>
            </w:r>
          </w:p>
        </w:tc>
        <w:tc>
          <w:tcPr>
            <w:tcW w:w="4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 38</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3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3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w:t>
            </w:r>
          </w:p>
        </w:tc>
        <w:tc>
          <w:tcPr>
            <w:tcW w:w="600" w:type="dxa"/>
            <w:vAlign w:val="bottom"/>
            <w:gridSpan w:val="2"/>
          </w:tcPr>
          <w:p>
            <w:pPr>
              <w:jc w:val="right"/>
              <w:ind w:right="277"/>
              <w:spacing w:after="0" w:line="149" w:lineRule="exact"/>
              <w:rPr>
                <w:sz w:val="20"/>
                <w:szCs w:val="20"/>
                <w:color w:val="auto"/>
              </w:rPr>
            </w:pPr>
            <w:r>
              <w:rPr>
                <w:rFonts w:ascii="Arial" w:cs="Arial" w:eastAsia="Arial" w:hAnsi="Arial"/>
                <w:sz w:val="14"/>
                <w:szCs w:val="14"/>
                <w:b w:val="1"/>
                <w:bCs w:val="1"/>
                <w:color w:val="auto"/>
                <w:w w:val="87"/>
              </w:rPr>
              <w:t>– 35</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3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77"/>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w:t>
            </w: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investments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4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5"/>
              </w:rPr>
              <w:t>– 12</w:t>
            </w: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 10</w:t>
            </w:r>
          </w:p>
        </w:tc>
        <w:tc>
          <w:tcPr>
            <w:tcW w:w="3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3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8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100%</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17"/>
              <w:spacing w:after="0" w:line="149" w:lineRule="exact"/>
              <w:rPr>
                <w:sz w:val="20"/>
                <w:szCs w:val="20"/>
                <w:color w:val="auto"/>
              </w:rPr>
            </w:pPr>
            <w:r>
              <w:rPr>
                <w:rFonts w:ascii="Arial" w:cs="Arial" w:eastAsia="Arial" w:hAnsi="Arial"/>
                <w:sz w:val="14"/>
                <w:szCs w:val="14"/>
                <w:b w:val="1"/>
                <w:bCs w:val="1"/>
                <w:color w:val="auto"/>
              </w:rPr>
              <w:t>100%</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100%</w:t>
            </w: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00" w:firstLine="198"/>
        <w:spacing w:after="0" w:line="257" w:lineRule="auto"/>
        <w:rPr>
          <w:sz w:val="20"/>
          <w:szCs w:val="20"/>
          <w:color w:val="auto"/>
        </w:rPr>
      </w:pPr>
      <w:r>
        <w:rPr>
          <w:rFonts w:ascii="Arial" w:cs="Arial" w:eastAsia="Arial" w:hAnsi="Arial"/>
          <w:sz w:val="18"/>
          <w:szCs w:val="18"/>
          <w:color w:val="auto"/>
        </w:rPr>
        <w:t>Schlumberger’s investment policy includes various guidelines and procedures designed to ensure that assets are prudently invested in a manner necessary to meet the future benefit obligation of the pension plans. The policy does not permit the direct investment of plan assets in any Schlumberger security. Schlumberger’s investment horizon is long-term and accordingly the target asset allocations encompass a strategic, long-term perspective of capital markets, expected risk and return behavior and perceived future economic conditions. The key investment principles of</w:t>
      </w:r>
    </w:p>
    <w:p>
      <w:pPr>
        <w:spacing w:after="0" w:line="3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9" w:lineRule="exact"/>
        <w:rPr>
          <w:sz w:val="20"/>
          <w:szCs w:val="20"/>
          <w:color w:val="auto"/>
        </w:rPr>
      </w:pPr>
    </w:p>
    <w:p>
      <w:pPr>
        <w:ind w:left="700" w:right="880"/>
        <w:spacing w:after="0" w:line="284" w:lineRule="auto"/>
        <w:rPr>
          <w:sz w:val="20"/>
          <w:szCs w:val="20"/>
          <w:color w:val="auto"/>
        </w:rPr>
      </w:pPr>
      <w:r>
        <w:rPr>
          <w:rFonts w:ascii="Arial" w:cs="Arial" w:eastAsia="Arial" w:hAnsi="Arial"/>
          <w:sz w:val="16"/>
          <w:szCs w:val="16"/>
          <w:color w:val="auto"/>
        </w:rPr>
        <w:t>diversification, assessment of risk and targeting the optimal expected returns for given levels of risk are applied. The target asset allocation is reviewed periodically and is determined based on a long-term projection of capital market outcomes, inflation rates, fixed income yields, returns, volatilities and correlation relationships. The inclusion of any given asset class in the target asset allocation is considered in relation to its impact on the overall risk/return characteristics as well as its impact on the overall investment return. As part of its strategy, Schlumberger may utilize certain derivative instruments, such as options, futures, swaps and forwards, within the plans to manage risks (currency, interest rate, etc.) or as a substitute for physical securities or to obtain exposure to different markets.</w:t>
      </w:r>
    </w:p>
    <w:p>
      <w:pPr>
        <w:spacing w:after="0" w:line="5" w:lineRule="exact"/>
        <w:rPr>
          <w:sz w:val="20"/>
          <w:szCs w:val="20"/>
          <w:color w:val="auto"/>
        </w:rPr>
      </w:pPr>
    </w:p>
    <w:p>
      <w:pPr>
        <w:ind w:left="700" w:right="1020" w:firstLine="198"/>
        <w:spacing w:after="0" w:line="250" w:lineRule="auto"/>
        <w:rPr>
          <w:sz w:val="20"/>
          <w:szCs w:val="20"/>
          <w:color w:val="auto"/>
        </w:rPr>
      </w:pPr>
      <w:r>
        <w:rPr>
          <w:rFonts w:ascii="Arial" w:cs="Arial" w:eastAsia="Arial" w:hAnsi="Arial"/>
          <w:sz w:val="18"/>
          <w:szCs w:val="18"/>
          <w:color w:val="auto"/>
        </w:rPr>
        <w:t>Asset performance is monitored frequently with an overall expectation that plan assets will meet or exceed the weighted index of its target asset allocation and component benchmark over rolling five year periods.</w:t>
      </w:r>
    </w:p>
    <w:p>
      <w:pPr>
        <w:spacing w:after="0" w:line="1" w:lineRule="exact"/>
        <w:rPr>
          <w:sz w:val="20"/>
          <w:szCs w:val="20"/>
          <w:color w:val="auto"/>
        </w:rPr>
      </w:pPr>
    </w:p>
    <w:p>
      <w:pPr>
        <w:ind w:left="700" w:right="960" w:firstLine="198"/>
        <w:spacing w:after="0" w:line="281" w:lineRule="auto"/>
        <w:rPr>
          <w:sz w:val="20"/>
          <w:szCs w:val="20"/>
          <w:color w:val="auto"/>
        </w:rPr>
      </w:pPr>
      <w:r>
        <w:rPr>
          <w:rFonts w:ascii="Arial" w:cs="Arial" w:eastAsia="Arial" w:hAnsi="Arial"/>
          <w:sz w:val="16"/>
          <w:szCs w:val="16"/>
          <w:color w:val="auto"/>
        </w:rPr>
        <w:t>The expected long-term rate of return on assets assumptions reflect the average rate of earnings expected on funds invested or to be invested. The assumptions have been determined by reflecting expectations regarding future rates of return for the portfolio considering the asset allocation and related historical rates of return. The appropriateness of the assumptions is reviewed annually.</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fair value of Schlumberger’s pension plan assets at December 31, 2010, by asset category, was as follows: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fair values presented below were determined based on valuation techniques categorized as follows:</w:t>
      </w:r>
    </w:p>
    <w:p>
      <w:pPr>
        <w:spacing w:after="0" w:line="116" w:lineRule="exact"/>
        <w:rPr>
          <w:sz w:val="20"/>
          <w:szCs w:val="20"/>
          <w:color w:val="auto"/>
        </w:rPr>
      </w:pPr>
    </w:p>
    <w:p>
      <w:pPr>
        <w:ind w:left="1480" w:hanging="382"/>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one: The use of quoted prices in active markets for identical instruments.</w:t>
      </w:r>
    </w:p>
    <w:p>
      <w:pPr>
        <w:spacing w:after="0" w:line="117" w:lineRule="exact"/>
        <w:rPr>
          <w:rFonts w:ascii="Arial" w:cs="Arial" w:eastAsia="Arial" w:hAnsi="Arial"/>
          <w:sz w:val="18"/>
          <w:szCs w:val="18"/>
          <w:color w:val="auto"/>
        </w:rPr>
      </w:pPr>
    </w:p>
    <w:p>
      <w:pPr>
        <w:jc w:val="both"/>
        <w:ind w:left="1480" w:right="1520" w:hanging="382"/>
        <w:spacing w:after="0" w:line="264"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two: The use of quoted prices for similar instruments in active markets or quoted prices for identical or similar instruments in markets that are not active or other inputs that are observable in the market or can be corroborated by observable market data.</w:t>
      </w:r>
    </w:p>
    <w:p>
      <w:pPr>
        <w:spacing w:after="0" w:line="73" w:lineRule="exact"/>
        <w:rPr>
          <w:rFonts w:ascii="Arial" w:cs="Arial" w:eastAsia="Arial" w:hAnsi="Arial"/>
          <w:sz w:val="18"/>
          <w:szCs w:val="18"/>
          <w:color w:val="auto"/>
        </w:rPr>
      </w:pPr>
    </w:p>
    <w:p>
      <w:pPr>
        <w:ind w:left="1480" w:right="1540" w:hanging="382"/>
        <w:spacing w:after="0" w:line="277"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Level three: The use of significantly unobservable inputs that typically require the use of management’s estimates of assumptions that market participants would use in pricing.</w:t>
      </w:r>
    </w:p>
    <w:p>
      <w:pPr>
        <w:spacing w:after="0" w:line="86"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(Stated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00" w:type="dxa"/>
            <w:vAlign w:val="bottom"/>
          </w:tcPr>
          <w:p>
            <w:pPr>
              <w:spacing w:after="0"/>
              <w:rPr>
                <w:sz w:val="11"/>
                <w:szCs w:val="11"/>
                <w:color w:val="auto"/>
              </w:rPr>
            </w:pPr>
          </w:p>
        </w:tc>
        <w:tc>
          <w:tcPr>
            <w:tcW w:w="4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gridSpan w:val="4"/>
          </w:tcPr>
          <w:p>
            <w:pPr>
              <w:jc w:val="right"/>
              <w:ind w:right="129"/>
              <w:spacing w:after="0" w:line="129" w:lineRule="exact"/>
              <w:rPr>
                <w:sz w:val="20"/>
                <w:szCs w:val="20"/>
                <w:color w:val="auto"/>
              </w:rPr>
            </w:pPr>
            <w:r>
              <w:rPr>
                <w:rFonts w:ascii="Arial" w:cs="Arial" w:eastAsia="Arial" w:hAnsi="Arial"/>
                <w:sz w:val="13"/>
                <w:szCs w:val="13"/>
                <w:b w:val="1"/>
                <w:bCs w:val="1"/>
                <w:color w:val="auto"/>
                <w:w w:val="81"/>
              </w:rPr>
              <w:t>US Plan Assets</w:t>
            </w:r>
          </w:p>
        </w:tc>
        <w:tc>
          <w:tcPr>
            <w:tcW w:w="2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2009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700" w:type="dxa"/>
            <w:vAlign w:val="bottom"/>
          </w:tcPr>
          <w:p>
            <w:pPr>
              <w:spacing w:after="0"/>
              <w:rPr>
                <w:sz w:val="9"/>
                <w:szCs w:val="9"/>
                <w:color w:val="auto"/>
              </w:rPr>
            </w:pPr>
          </w:p>
        </w:tc>
        <w:tc>
          <w:tcPr>
            <w:tcW w:w="4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7"/>
              </w:rPr>
              <w:t>Level</w:t>
            </w:r>
          </w:p>
        </w:tc>
        <w:tc>
          <w:tcPr>
            <w:tcW w:w="80" w:type="dxa"/>
            <w:vAlign w:val="bottom"/>
          </w:tcPr>
          <w:p>
            <w:pPr>
              <w:spacing w:after="0"/>
              <w:rPr>
                <w:sz w:val="9"/>
                <w:szCs w:val="9"/>
                <w:color w:val="auto"/>
              </w:rPr>
            </w:pPr>
          </w:p>
        </w:tc>
        <w:tc>
          <w:tcPr>
            <w:tcW w:w="3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Level</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1"/>
              </w:rPr>
              <w:t>Level</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rPr>
              <w:t>Level</w:t>
            </w:r>
          </w:p>
        </w:tc>
        <w:tc>
          <w:tcPr>
            <w:tcW w:w="40" w:type="dxa"/>
            <w:vAlign w:val="bottom"/>
          </w:tcPr>
          <w:p>
            <w:pPr>
              <w:spacing w:after="0"/>
              <w:rPr>
                <w:sz w:val="9"/>
                <w:szCs w:val="9"/>
                <w:color w:val="auto"/>
              </w:rPr>
            </w:pPr>
          </w:p>
        </w:tc>
        <w:tc>
          <w:tcPr>
            <w:tcW w:w="3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1"/>
              </w:rPr>
              <w:t>Level</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1"/>
              </w:rPr>
              <w:t>Level</w:t>
            </w: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One</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Two</w:t>
            </w:r>
          </w:p>
        </w:tc>
        <w:tc>
          <w:tcPr>
            <w:tcW w:w="2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One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w w:val="84"/>
              </w:rPr>
              <w:t>Two</w:t>
            </w:r>
          </w:p>
        </w:tc>
        <w:tc>
          <w:tcPr>
            <w:tcW w:w="28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5"/>
              </w:rPr>
              <w:t>Three</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70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700" w:type="dxa"/>
            <w:vAlign w:val="bottom"/>
            <w:vMerge w:val="continue"/>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Category:</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191</w:t>
            </w:r>
          </w:p>
        </w:tc>
        <w:tc>
          <w:tcPr>
            <w:tcW w:w="22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Pr>
          <w:p>
            <w:pPr>
              <w:ind w:left="200"/>
              <w:spacing w:after="0" w:line="149" w:lineRule="exact"/>
              <w:rPr>
                <w:sz w:val="20"/>
                <w:szCs w:val="20"/>
                <w:color w:val="auto"/>
              </w:rPr>
            </w:pPr>
            <w:r>
              <w:rPr>
                <w:rFonts w:ascii="Arial" w:cs="Arial" w:eastAsia="Arial" w:hAnsi="Arial"/>
                <w:sz w:val="14"/>
                <w:szCs w:val="14"/>
                <w:color w:val="auto"/>
              </w:rPr>
              <w:t>US</w:t>
            </w:r>
            <w:r>
              <w:rPr>
                <w:rFonts w:ascii="Arial" w:cs="Arial" w:eastAsia="Arial" w:hAnsi="Arial"/>
                <w:sz w:val="12"/>
                <w:szCs w:val="12"/>
                <w:color w:val="auto"/>
              </w:rPr>
              <w:t>(a)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710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International</w:t>
            </w:r>
            <w:r>
              <w:rPr>
                <w:rFonts w:ascii="Arial" w:cs="Arial" w:eastAsia="Arial" w:hAnsi="Arial"/>
                <w:sz w:val="12"/>
                <w:szCs w:val="12"/>
                <w:color w:val="auto"/>
              </w:rPr>
              <w:t>(b)</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Pr>
          <w:p>
            <w:pPr>
              <w:spacing w:after="0" w:line="149" w:lineRule="exact"/>
              <w:rPr>
                <w:sz w:val="20"/>
                <w:szCs w:val="20"/>
                <w:color w:val="auto"/>
              </w:rPr>
            </w:pPr>
            <w:r>
              <w:rPr>
                <w:rFonts w:ascii="Arial" w:cs="Arial" w:eastAsia="Arial" w:hAnsi="Arial"/>
                <w:sz w:val="14"/>
                <w:szCs w:val="14"/>
                <w:b w:val="1"/>
                <w:bCs w:val="1"/>
                <w:color w:val="auto"/>
              </w:rPr>
              <w:t>Debt securities: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Corporate bonds</w:t>
            </w:r>
            <w:r>
              <w:rPr>
                <w:rFonts w:ascii="Arial" w:cs="Arial" w:eastAsia="Arial" w:hAnsi="Arial"/>
                <w:sz w:val="12"/>
                <w:szCs w:val="12"/>
                <w:color w:val="auto"/>
              </w:rPr>
              <w:t>(c)</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193</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Pr>
          <w:p>
            <w:pPr>
              <w:ind w:left="200"/>
              <w:spacing w:after="0" w:line="149" w:lineRule="exact"/>
              <w:rPr>
                <w:sz w:val="20"/>
                <w:szCs w:val="20"/>
                <w:color w:val="auto"/>
              </w:rPr>
            </w:pPr>
            <w:r>
              <w:rPr>
                <w:rFonts w:ascii="Arial" w:cs="Arial" w:eastAsia="Arial" w:hAnsi="Arial"/>
                <w:sz w:val="14"/>
                <w:szCs w:val="14"/>
                <w:color w:val="auto"/>
              </w:rPr>
              <w:t>Government and government-related debt securities</w:t>
            </w:r>
            <w:r>
              <w:rPr>
                <w:rFonts w:ascii="Arial" w:cs="Arial" w:eastAsia="Arial" w:hAnsi="Arial"/>
                <w:sz w:val="12"/>
                <w:szCs w:val="12"/>
                <w:color w:val="auto"/>
              </w:rPr>
              <w:t>(d)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406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301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47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3"/>
              </w:rPr>
              <w:t>Government agency collateralized mortgage obligations and mortgage backed</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201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securities</w:t>
            </w:r>
            <w:r>
              <w:rPr>
                <w:rFonts w:ascii="Arial" w:cs="Arial" w:eastAsia="Arial" w:hAnsi="Arial"/>
                <w:sz w:val="12"/>
                <w:szCs w:val="12"/>
                <w:color w:val="auto"/>
              </w:rPr>
              <w:t>(e)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136</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Pr>
          <w:p>
            <w:pPr>
              <w:ind w:left="200"/>
              <w:spacing w:after="0" w:line="149" w:lineRule="exact"/>
              <w:rPr>
                <w:sz w:val="20"/>
                <w:szCs w:val="20"/>
                <w:color w:val="auto"/>
              </w:rPr>
            </w:pPr>
            <w:r>
              <w:rPr>
                <w:rFonts w:ascii="Arial" w:cs="Arial" w:eastAsia="Arial" w:hAnsi="Arial"/>
                <w:sz w:val="14"/>
                <w:szCs w:val="14"/>
                <w:color w:val="auto"/>
                <w:w w:val="96"/>
              </w:rPr>
              <w:t>Other collateralized mortgage obligations and mortgage-backed securities</w:t>
            </w:r>
            <w:r>
              <w:rPr>
                <w:rFonts w:ascii="Arial" w:cs="Arial" w:eastAsia="Arial" w:hAnsi="Arial"/>
                <w:sz w:val="12"/>
                <w:szCs w:val="12"/>
                <w:color w:val="auto"/>
                <w:w w:val="96"/>
              </w:rPr>
              <w:t>(f)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71</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Investments: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Pr>
          <w:p>
            <w:pPr>
              <w:ind w:left="200"/>
              <w:spacing w:after="0" w:line="149" w:lineRule="exact"/>
              <w:rPr>
                <w:sz w:val="20"/>
                <w:szCs w:val="20"/>
                <w:color w:val="auto"/>
              </w:rPr>
            </w:pPr>
            <w:r>
              <w:rPr>
                <w:rFonts w:ascii="Arial" w:cs="Arial" w:eastAsia="Arial" w:hAnsi="Arial"/>
                <w:sz w:val="14"/>
                <w:szCs w:val="14"/>
                <w:color w:val="auto"/>
              </w:rPr>
              <w:t>Private equity</w:t>
            </w:r>
            <w:r>
              <w:rPr>
                <w:rFonts w:ascii="Arial" w:cs="Arial" w:eastAsia="Arial" w:hAnsi="Arial"/>
                <w:sz w:val="12"/>
                <w:szCs w:val="12"/>
                <w:color w:val="auto"/>
              </w:rPr>
              <w:t>(g)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128</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Real estate</w:t>
            </w:r>
            <w:r>
              <w:rPr>
                <w:rFonts w:ascii="Arial" w:cs="Arial" w:eastAsia="Arial" w:hAnsi="Arial"/>
                <w:sz w:val="12"/>
                <w:szCs w:val="12"/>
                <w:color w:val="auto"/>
              </w:rPr>
              <w:t>(h)</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47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Total</w:t>
            </w:r>
          </w:p>
        </w:tc>
        <w:tc>
          <w:tcPr>
            <w:tcW w:w="14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2,635</w:t>
            </w:r>
          </w:p>
        </w:tc>
        <w:tc>
          <w:tcPr>
            <w:tcW w:w="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1,438</w:t>
            </w:r>
          </w:p>
        </w:tc>
        <w:tc>
          <w:tcPr>
            <w:tcW w:w="24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1,029</w:t>
            </w: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168</w:t>
            </w:r>
          </w:p>
        </w:tc>
        <w:tc>
          <w:tcPr>
            <w:tcW w:w="2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2,254</w:t>
            </w:r>
          </w:p>
        </w:tc>
        <w:tc>
          <w:tcPr>
            <w:tcW w:w="2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1,342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776</w:t>
            </w:r>
          </w:p>
        </w:tc>
        <w:tc>
          <w:tcPr>
            <w:tcW w:w="2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5"/>
        </w:trPr>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2"/>
                <w:szCs w:val="12"/>
                <w:color w:val="auto"/>
                <w:w w:val="74"/>
              </w:rPr>
              <w:t>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76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69" w:lineRule="exact"/>
        <w:rPr>
          <w:sz w:val="20"/>
          <w:szCs w:val="20"/>
          <w:color w:val="auto"/>
        </w:rPr>
      </w:pPr>
    </w:p>
    <w:p>
      <w:pPr>
        <w:ind w:left="700"/>
        <w:spacing w:after="0"/>
        <w:rPr>
          <w:sz w:val="20"/>
          <w:szCs w:val="20"/>
          <w:color w:val="auto"/>
        </w:rPr>
      </w:pPr>
      <w:r>
        <w:rPr>
          <w:rFonts w:ascii="Arial" w:cs="Arial" w:eastAsia="Arial" w:hAnsi="Arial"/>
          <w:sz w:val="13"/>
          <w:szCs w:val="13"/>
          <w:b w:val="1"/>
          <w:bCs w:val="1"/>
          <w:color w:val="auto"/>
        </w:rPr>
        <w:t>(Stated in millions)</w:t>
      </w:r>
    </w:p>
    <w:p>
      <w:pPr>
        <w:spacing w:after="0" w:line="4" w:lineRule="exact"/>
        <w:rPr>
          <w:sz w:val="20"/>
          <w:szCs w:val="20"/>
          <w:color w:val="auto"/>
        </w:rPr>
      </w:pPr>
    </w:p>
    <w:tbl>
      <w:tblPr>
        <w:tblLayout w:type="fixed"/>
        <w:tblInd w:w="70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8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1540" w:type="dxa"/>
            <w:vAlign w:val="bottom"/>
            <w:tcBorders>
              <w:top w:val="single" w:sz="8" w:color="auto"/>
              <w:bottom w:val="single" w:sz="8" w:color="auto"/>
            </w:tcBorders>
            <w:gridSpan w:val="7"/>
          </w:tcPr>
          <w:p>
            <w:pPr>
              <w:ind w:left="100"/>
              <w:spacing w:after="0" w:line="129" w:lineRule="exact"/>
              <w:rPr>
                <w:sz w:val="20"/>
                <w:szCs w:val="20"/>
                <w:color w:val="auto"/>
              </w:rPr>
            </w:pPr>
            <w:r>
              <w:rPr>
                <w:rFonts w:ascii="Arial" w:cs="Arial" w:eastAsia="Arial" w:hAnsi="Arial"/>
                <w:sz w:val="13"/>
                <w:szCs w:val="13"/>
                <w:b w:val="1"/>
                <w:bCs w:val="1"/>
                <w:color w:val="auto"/>
                <w:w w:val="91"/>
              </w:rPr>
              <w:t>International Plan Assets</w:t>
            </w: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b w:val="1"/>
                <w:bCs w:val="1"/>
                <w:color w:val="auto"/>
              </w:rPr>
              <w:t>2010</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b w:val="1"/>
                <w:bCs w:val="1"/>
                <w:color w:val="auto"/>
              </w:rPr>
              <w:t>2009</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rPr>
              <w:t>Level</w:t>
            </w:r>
          </w:p>
        </w:tc>
        <w:tc>
          <w:tcPr>
            <w:tcW w:w="40" w:type="dxa"/>
            <w:vAlign w:val="bottom"/>
          </w:tcPr>
          <w:p>
            <w:pPr>
              <w:spacing w:after="0"/>
              <w:rPr>
                <w:sz w:val="9"/>
                <w:szCs w:val="9"/>
                <w:color w:val="auto"/>
              </w:rPr>
            </w:pPr>
          </w:p>
        </w:tc>
        <w:tc>
          <w:tcPr>
            <w:tcW w:w="3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1"/>
              </w:rPr>
              <w:t>Level</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1"/>
              </w:rPr>
              <w:t>Level</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rPr>
              <w:t>Level</w:t>
            </w:r>
          </w:p>
        </w:tc>
        <w:tc>
          <w:tcPr>
            <w:tcW w:w="40" w:type="dxa"/>
            <w:vAlign w:val="bottom"/>
          </w:tcPr>
          <w:p>
            <w:pPr>
              <w:spacing w:after="0"/>
              <w:rPr>
                <w:sz w:val="9"/>
                <w:szCs w:val="9"/>
                <w:color w:val="auto"/>
              </w:rPr>
            </w:pPr>
          </w:p>
        </w:tc>
        <w:tc>
          <w:tcPr>
            <w:tcW w:w="32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w w:val="91"/>
              </w:rPr>
              <w:t>Level</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w w:val="91"/>
              </w:rPr>
              <w:t>Level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One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w w:val="84"/>
              </w:rPr>
              <w:t>Two</w:t>
            </w:r>
          </w:p>
        </w:tc>
        <w:tc>
          <w:tcPr>
            <w:tcW w:w="2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One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w w:val="84"/>
              </w:rPr>
              <w:t>Two</w:t>
            </w:r>
          </w:p>
        </w:tc>
        <w:tc>
          <w:tcPr>
            <w:tcW w:w="280" w:type="dxa"/>
            <w:vAlign w:val="bottom"/>
          </w:tcPr>
          <w:p>
            <w:pPr>
              <w:spacing w:after="0"/>
              <w:rPr>
                <w:sz w:val="14"/>
                <w:szCs w:val="14"/>
                <w:color w:val="auto"/>
              </w:rPr>
            </w:pPr>
          </w:p>
        </w:tc>
        <w:tc>
          <w:tcPr>
            <w:tcW w:w="46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5"/>
              </w:rPr>
              <w:t>Three</w:t>
            </w: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48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 Category:</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22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111</w:t>
            </w:r>
          </w:p>
        </w:tc>
        <w:tc>
          <w:tcPr>
            <w:tcW w:w="220" w:type="dxa"/>
            <w:vAlign w:val="bottom"/>
          </w:tcPr>
          <w:p>
            <w:pPr>
              <w:spacing w:after="0"/>
              <w:rPr>
                <w:sz w:val="12"/>
                <w:szCs w:val="12"/>
                <w:color w:val="auto"/>
              </w:rPr>
            </w:pPr>
          </w:p>
        </w:tc>
        <w:tc>
          <w:tcPr>
            <w:tcW w:w="120" w:type="dxa"/>
            <w:vAlign w:val="bottom"/>
            <w:gridSpan w:val="2"/>
          </w:tcPr>
          <w:p>
            <w:pPr>
              <w:ind w:left="40"/>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 Securities: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180"/>
              <w:spacing w:after="0" w:line="149" w:lineRule="exact"/>
              <w:rPr>
                <w:sz w:val="20"/>
                <w:szCs w:val="20"/>
                <w:color w:val="auto"/>
              </w:rPr>
            </w:pPr>
            <w:r>
              <w:rPr>
                <w:rFonts w:ascii="Arial" w:cs="Arial" w:eastAsia="Arial" w:hAnsi="Arial"/>
                <w:sz w:val="14"/>
                <w:szCs w:val="14"/>
                <w:color w:val="auto"/>
              </w:rPr>
              <w:t>US</w:t>
            </w:r>
            <w:r>
              <w:rPr>
                <w:rFonts w:ascii="Arial" w:cs="Arial" w:eastAsia="Arial" w:hAnsi="Arial"/>
                <w:sz w:val="12"/>
                <w:szCs w:val="12"/>
                <w:color w:val="auto"/>
              </w:rPr>
              <w:t>(a)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1,268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1,268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85"/>
              </w:rPr>
              <w:t>1,113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1,113</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International</w:t>
            </w:r>
            <w:r>
              <w:rPr>
                <w:rFonts w:ascii="Arial" w:cs="Arial" w:eastAsia="Arial" w:hAnsi="Arial"/>
                <w:sz w:val="12"/>
                <w:szCs w:val="12"/>
                <w:color w:val="auto"/>
              </w:rPr>
              <w:t>(b)</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1,031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1,031</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line="149" w:lineRule="exact"/>
              <w:rPr>
                <w:sz w:val="20"/>
                <w:szCs w:val="20"/>
                <w:color w:val="auto"/>
              </w:rPr>
            </w:pPr>
            <w:r>
              <w:rPr>
                <w:rFonts w:ascii="Arial" w:cs="Arial" w:eastAsia="Arial" w:hAnsi="Arial"/>
                <w:sz w:val="14"/>
                <w:szCs w:val="14"/>
                <w:b w:val="1"/>
                <w:bCs w:val="1"/>
                <w:color w:val="auto"/>
              </w:rPr>
              <w:t>Debt 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Corporate bonds</w:t>
            </w:r>
            <w:r>
              <w:rPr>
                <w:rFonts w:ascii="Arial" w:cs="Arial" w:eastAsia="Arial" w:hAnsi="Arial"/>
                <w:sz w:val="12"/>
                <w:szCs w:val="12"/>
                <w:color w:val="auto"/>
              </w:rPr>
              <w:t>(c)</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4"/>
              </w:rPr>
              <w:t>274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246</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180"/>
              <w:spacing w:after="0" w:line="149" w:lineRule="exact"/>
              <w:rPr>
                <w:sz w:val="20"/>
                <w:szCs w:val="20"/>
                <w:color w:val="auto"/>
              </w:rPr>
            </w:pPr>
            <w:r>
              <w:rPr>
                <w:rFonts w:ascii="Arial" w:cs="Arial" w:eastAsia="Arial" w:hAnsi="Arial"/>
                <w:sz w:val="14"/>
                <w:szCs w:val="14"/>
                <w:color w:val="auto"/>
              </w:rPr>
              <w:t>Government and government-related</w:t>
            </w:r>
            <w:r>
              <w:rPr>
                <w:rFonts w:ascii="Arial" w:cs="Arial" w:eastAsia="Arial" w:hAnsi="Arial"/>
                <w:sz w:val="12"/>
                <w:szCs w:val="12"/>
                <w:color w:val="auto"/>
              </w:rPr>
              <w:t>(d)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171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492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w w:val="94"/>
              </w:rPr>
              <w:t>114</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8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w w:val="96"/>
              </w:rPr>
              <w:t>Government agency collateralized mortgage obligations and mortgage backed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securities</w:t>
            </w:r>
            <w:r>
              <w:rPr>
                <w:rFonts w:ascii="Arial" w:cs="Arial" w:eastAsia="Arial" w:hAnsi="Arial"/>
                <w:sz w:val="12"/>
                <w:szCs w:val="12"/>
                <w:color w:val="auto"/>
              </w:rPr>
              <w:t>(e)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117</w:t>
            </w: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180"/>
              <w:spacing w:after="0" w:line="149" w:lineRule="exact"/>
              <w:rPr>
                <w:sz w:val="20"/>
                <w:szCs w:val="20"/>
                <w:color w:val="auto"/>
              </w:rPr>
            </w:pPr>
            <w:r>
              <w:rPr>
                <w:rFonts w:ascii="Arial" w:cs="Arial" w:eastAsia="Arial" w:hAnsi="Arial"/>
                <w:sz w:val="14"/>
                <w:szCs w:val="14"/>
                <w:color w:val="auto"/>
                <w:w w:val="99"/>
              </w:rPr>
              <w:t>Other collateralized mortgage obligations and mortgage-backed securities</w:t>
            </w:r>
            <w:r>
              <w:rPr>
                <w:rFonts w:ascii="Arial" w:cs="Arial" w:eastAsia="Arial" w:hAnsi="Arial"/>
                <w:sz w:val="12"/>
                <w:szCs w:val="12"/>
                <w:color w:val="auto"/>
                <w:w w:val="99"/>
              </w:rPr>
              <w:t>(f)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Investments: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ind w:left="180"/>
              <w:spacing w:after="0" w:line="149" w:lineRule="exact"/>
              <w:rPr>
                <w:sz w:val="20"/>
                <w:szCs w:val="20"/>
                <w:color w:val="auto"/>
              </w:rPr>
            </w:pPr>
            <w:r>
              <w:rPr>
                <w:rFonts w:ascii="Arial" w:cs="Arial" w:eastAsia="Arial" w:hAnsi="Arial"/>
                <w:sz w:val="14"/>
                <w:szCs w:val="14"/>
                <w:color w:val="auto"/>
              </w:rPr>
              <w:t>Private equity</w:t>
            </w:r>
            <w:r>
              <w:rPr>
                <w:rFonts w:ascii="Arial" w:cs="Arial" w:eastAsia="Arial" w:hAnsi="Arial"/>
                <w:sz w:val="12"/>
                <w:szCs w:val="12"/>
                <w:color w:val="auto"/>
              </w:rPr>
              <w:t>(g)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Real estate</w:t>
            </w:r>
            <w:r>
              <w:rPr>
                <w:rFonts w:ascii="Arial" w:cs="Arial" w:eastAsia="Arial" w:hAnsi="Arial"/>
                <w:sz w:val="12"/>
                <w:szCs w:val="12"/>
                <w:color w:val="auto"/>
              </w:rPr>
              <w:t>(h)</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5"/>
              </w:rPr>
              <w:t>3,764</w:t>
            </w:r>
          </w:p>
        </w:tc>
        <w:tc>
          <w:tcPr>
            <w:tcW w:w="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1"/>
              </w:rPr>
              <w:t>2,986</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94"/>
              </w:rPr>
              <w:t>600</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178</w:t>
            </w: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5"/>
              </w:rPr>
              <w:t>2,976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2,276</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547</w:t>
            </w:r>
          </w:p>
        </w:tc>
        <w:tc>
          <w:tcPr>
            <w:tcW w:w="2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1000" w:right="1340" w:hanging="307"/>
        <w:spacing w:after="0" w:line="230" w:lineRule="auto"/>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US equities include companies that are well diversified by industry sector and equity style (i.e., growth and value strategies). Active and passive management strategies are employed. Investments are primarily in large capitalization stocks and, to a lesser extent, mid- and small-cap stocks.</w:t>
      </w:r>
    </w:p>
    <w:p>
      <w:pPr>
        <w:ind w:left="1000" w:right="1000" w:hanging="307"/>
        <w:spacing w:after="0" w:line="221" w:lineRule="auto"/>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International equities are invested in companies that are traded on exchanges outside the US and are well diversified by industry sector, country and equity style. Active and passive strategies are employed. The vast majority of the investments are made in companies in developed markets with a small percentage in emerging markets.</w:t>
      </w:r>
    </w:p>
    <w:p>
      <w:pPr>
        <w:ind w:left="1000" w:hanging="307"/>
        <w:spacing w:after="0" w:line="221" w:lineRule="auto"/>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Corporate bonds consist primarily of investment grade bonds from diversified industries.</w:t>
      </w:r>
    </w:p>
    <w:p>
      <w:pPr>
        <w:ind w:left="1000" w:right="1140" w:hanging="307"/>
        <w:spacing w:after="0" w:line="221" w:lineRule="auto"/>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Government and government-related debt securities are comprised primarily of inflation protected US treasuries and, to a lesser extent, other government-related securities.</w:t>
      </w:r>
    </w:p>
    <w:p>
      <w:pPr>
        <w:ind w:left="1000" w:right="880" w:hanging="307"/>
        <w:spacing w:after="0" w:line="221" w:lineRule="auto"/>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Government agency collateralized mortgage obligations and mortgage backed-securities are debt obligations that represent claims to the cash flows from pools of mortgage loans which are purchased from banks, mortgage companies, and other originators and then assembled into pools by governmental and quasi-governmental entities.</w:t>
      </w:r>
    </w:p>
    <w:p>
      <w:pPr>
        <w:ind w:left="1000" w:right="1020" w:hanging="307"/>
        <w:spacing w:after="0" w:line="221" w:lineRule="auto"/>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Other collateralized mortgage obligations and mortgage-backed securities are debt obligations that represent claims to the cash flows from pools of mortgage loans which are purchased from banks, mortgage companies, and other originators and then assembled into pools by private entities.</w:t>
      </w:r>
    </w:p>
    <w:p>
      <w:pPr>
        <w:ind w:left="1000" w:hanging="307"/>
        <w:spacing w:after="0"/>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Private equity includes investments in several fund of funds limited partnerships.</w:t>
      </w:r>
    </w:p>
    <w:p>
      <w:pPr>
        <w:spacing w:after="0" w:line="29" w:lineRule="exact"/>
        <w:rPr>
          <w:rFonts w:ascii="Arial" w:cs="Arial" w:eastAsia="Arial" w:hAnsi="Arial"/>
          <w:sz w:val="14"/>
          <w:szCs w:val="14"/>
          <w:color w:val="auto"/>
        </w:rPr>
      </w:pPr>
    </w:p>
    <w:p>
      <w:pPr>
        <w:ind w:left="1000" w:hanging="307"/>
        <w:spacing w:after="0"/>
        <w:tabs>
          <w:tab w:leader="none" w:pos="10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Real estate primarily includes investments in real estate limited partnerships, concentrated in commercial real estate.</w:t>
      </w:r>
    </w:p>
    <w:p>
      <w:pPr>
        <w:spacing w:after="0" w:line="113" w:lineRule="exact"/>
        <w:rPr>
          <w:sz w:val="20"/>
          <w:szCs w:val="20"/>
          <w:color w:val="auto"/>
        </w:rPr>
      </w:pPr>
    </w:p>
    <w:p>
      <w:pPr>
        <w:ind w:left="700" w:right="920" w:firstLine="198"/>
        <w:spacing w:after="0" w:line="259" w:lineRule="auto"/>
        <w:rPr>
          <w:sz w:val="20"/>
          <w:szCs w:val="20"/>
          <w:color w:val="auto"/>
        </w:rPr>
      </w:pPr>
      <w:r>
        <w:rPr>
          <w:rFonts w:ascii="Arial" w:cs="Arial" w:eastAsia="Arial" w:hAnsi="Arial"/>
          <w:sz w:val="18"/>
          <w:szCs w:val="18"/>
          <w:color w:val="auto"/>
        </w:rPr>
        <w:t>The funding policy is to annually contribute amounts that are based upon a number of factors including the actuarial accrued liability, amounts that are deductible for income tax purposes, legal funding requirements and available cash flow. Schlumberger currently anticipates contributing approximately $600 million to $650 million to its postretirement benefit plans in 2011, subject to market and business conditions.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Schlumberger provides certain health care benefits to former US employees who have retired.</w:t>
      </w:r>
    </w:p>
    <w:p>
      <w:pPr>
        <w:spacing w:after="0" w:line="23" w:lineRule="exact"/>
        <w:rPr>
          <w:sz w:val="20"/>
          <w:szCs w:val="20"/>
          <w:color w:val="auto"/>
        </w:rPr>
      </w:pPr>
    </w:p>
    <w:p>
      <w:pPr>
        <w:ind w:left="700" w:right="820" w:firstLine="198"/>
        <w:spacing w:after="0" w:line="261" w:lineRule="auto"/>
        <w:rPr>
          <w:sz w:val="20"/>
          <w:szCs w:val="20"/>
          <w:color w:val="auto"/>
        </w:rPr>
      </w:pPr>
      <w:r>
        <w:rPr>
          <w:rFonts w:ascii="Arial" w:cs="Arial" w:eastAsia="Arial" w:hAnsi="Arial"/>
          <w:sz w:val="18"/>
          <w:szCs w:val="18"/>
          <w:color w:val="auto"/>
        </w:rPr>
        <w:t>The actuarial assumptions used to determine the accumulated postretirement benefit obligation and net periodic benefit cost for the US postretirement medical plan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Benefit Obligation</w:t>
            </w:r>
          </w:p>
        </w:tc>
        <w:tc>
          <w:tcPr>
            <w:tcW w:w="20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Net Periodic Benefit Cost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tcPr>
          <w:p>
            <w:pPr>
              <w:spacing w:after="0"/>
              <w:rPr>
                <w:sz w:val="14"/>
                <w:szCs w:val="14"/>
                <w:color w:val="auto"/>
              </w:rPr>
            </w:pPr>
          </w:p>
        </w:tc>
        <w:tc>
          <w:tcPr>
            <w:tcW w:w="1280" w:type="dxa"/>
            <w:vAlign w:val="bottom"/>
          </w:tcPr>
          <w:p>
            <w:pPr>
              <w:jc w:val="right"/>
              <w:ind w:right="428"/>
              <w:spacing w:after="0"/>
              <w:rPr>
                <w:sz w:val="20"/>
                <w:szCs w:val="20"/>
                <w:color w:val="auto"/>
              </w:rPr>
            </w:pPr>
            <w:r>
              <w:rPr>
                <w:rFonts w:ascii="Arial" w:cs="Arial" w:eastAsia="Arial" w:hAnsi="Arial"/>
                <w:sz w:val="14"/>
                <w:szCs w:val="14"/>
                <w:b w:val="1"/>
                <w:bCs w:val="1"/>
                <w:color w:val="auto"/>
                <w:w w:val="99"/>
              </w:rPr>
              <w:t>for the year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0"/>
        </w:trPr>
        <w:tc>
          <w:tcPr>
            <w:tcW w:w="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5"/>
                <w:szCs w:val="15"/>
                <w:color w:val="auto"/>
              </w:rPr>
            </w:pPr>
          </w:p>
        </w:tc>
        <w:tc>
          <w:tcPr>
            <w:tcW w:w="7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2010</w:t>
            </w:r>
          </w:p>
        </w:tc>
        <w:tc>
          <w:tcPr>
            <w:tcW w:w="1280" w:type="dxa"/>
            <w:vAlign w:val="bottom"/>
            <w:tcBorders>
              <w:top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5"/>
        </w:trPr>
        <w:tc>
          <w:tcPr>
            <w:tcW w:w="70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27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5.50%</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6.00%</w:t>
            </w:r>
          </w:p>
        </w:tc>
        <w:tc>
          <w:tcPr>
            <w:tcW w:w="12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6.94%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800" w:type="dxa"/>
            <w:vAlign w:val="bottom"/>
          </w:tcPr>
          <w:p>
            <w:pPr>
              <w:spacing w:after="0"/>
              <w:rPr>
                <w:sz w:val="14"/>
                <w:szCs w:val="14"/>
                <w:color w:val="auto"/>
              </w:rPr>
            </w:pPr>
          </w:p>
        </w:tc>
      </w:tr>
      <w:tr>
        <w:trPr>
          <w:trHeight w:val="149"/>
        </w:trPr>
        <w:tc>
          <w:tcPr>
            <w:tcW w:w="70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Return on plan assets</w:t>
            </w:r>
          </w:p>
        </w:tc>
        <w:tc>
          <w:tcPr>
            <w:tcW w:w="1740" w:type="dxa"/>
            <w:vAlign w:val="bottom"/>
          </w:tcPr>
          <w:p>
            <w:pPr>
              <w:spacing w:after="0"/>
              <w:rPr>
                <w:sz w:val="12"/>
                <w:szCs w:val="12"/>
                <w:color w:val="auto"/>
              </w:rPr>
            </w:pPr>
          </w:p>
        </w:tc>
        <w:tc>
          <w:tcPr>
            <w:tcW w:w="98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8.00%</w:t>
            </w:r>
          </w:p>
        </w:tc>
        <w:tc>
          <w:tcPr>
            <w:tcW w:w="128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8.00%</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medical cost trend rate</w:t>
            </w:r>
          </w:p>
        </w:tc>
        <w:tc>
          <w:tcPr>
            <w:tcW w:w="27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b w:val="1"/>
                <w:bCs w:val="1"/>
                <w:color w:val="auto"/>
              </w:rPr>
              <w:t>8.00%</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8.00%</w:t>
            </w:r>
          </w:p>
        </w:tc>
        <w:tc>
          <w:tcPr>
            <w:tcW w:w="1280" w:type="dxa"/>
            <w:vAlign w:val="bottom"/>
            <w:shd w:val="clear" w:color="auto" w:fill="CCEEFF"/>
          </w:tcPr>
          <w:p>
            <w:pPr>
              <w:jc w:val="right"/>
              <w:ind w:right="348"/>
              <w:spacing w:after="0" w:line="149" w:lineRule="exact"/>
              <w:rPr>
                <w:sz w:val="20"/>
                <w:szCs w:val="20"/>
                <w:color w:val="auto"/>
              </w:rPr>
            </w:pPr>
            <w:r>
              <w:rPr>
                <w:rFonts w:ascii="Arial" w:cs="Arial" w:eastAsia="Arial" w:hAnsi="Arial"/>
                <w:sz w:val="14"/>
                <w:szCs w:val="14"/>
                <w:color w:val="auto"/>
              </w:rPr>
              <w:t>8.00%</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820" w:type="dxa"/>
            <w:vAlign w:val="bottom"/>
          </w:tcPr>
          <w:p>
            <w:pPr>
              <w:spacing w:after="0" w:line="149" w:lineRule="exact"/>
              <w:rPr>
                <w:sz w:val="20"/>
                <w:szCs w:val="20"/>
                <w:color w:val="auto"/>
              </w:rPr>
            </w:pPr>
            <w:r>
              <w:rPr>
                <w:rFonts w:ascii="Arial" w:cs="Arial" w:eastAsia="Arial" w:hAnsi="Arial"/>
                <w:sz w:val="14"/>
                <w:szCs w:val="14"/>
                <w:color w:val="auto"/>
              </w:rPr>
              <w:t>Ultimate medical cost trend rate</w:t>
            </w:r>
          </w:p>
        </w:tc>
        <w:tc>
          <w:tcPr>
            <w:tcW w:w="2720" w:type="dxa"/>
            <w:vAlign w:val="bottom"/>
            <w:gridSpan w:val="2"/>
          </w:tcPr>
          <w:p>
            <w:pPr>
              <w:jc w:val="right"/>
              <w:ind w:right="168"/>
              <w:spacing w:after="0" w:line="149" w:lineRule="exact"/>
              <w:rPr>
                <w:sz w:val="20"/>
                <w:szCs w:val="20"/>
                <w:color w:val="auto"/>
              </w:rPr>
            </w:pPr>
            <w:r>
              <w:rPr>
                <w:rFonts w:ascii="Arial" w:cs="Arial" w:eastAsia="Arial" w:hAnsi="Arial"/>
                <w:sz w:val="14"/>
                <w:szCs w:val="14"/>
                <w:b w:val="1"/>
                <w:bCs w:val="1"/>
                <w:color w:val="auto"/>
              </w:rPr>
              <w:t>5.00%</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5.00%</w:t>
            </w:r>
          </w:p>
        </w:tc>
        <w:tc>
          <w:tcPr>
            <w:tcW w:w="1280" w:type="dxa"/>
            <w:vAlign w:val="bottom"/>
          </w:tcPr>
          <w:p>
            <w:pPr>
              <w:jc w:val="right"/>
              <w:ind w:right="348"/>
              <w:spacing w:after="0" w:line="149" w:lineRule="exact"/>
              <w:rPr>
                <w:sz w:val="20"/>
                <w:szCs w:val="20"/>
                <w:color w:val="auto"/>
              </w:rPr>
            </w:pPr>
            <w:r>
              <w:rPr>
                <w:rFonts w:ascii="Arial" w:cs="Arial" w:eastAsia="Arial" w:hAnsi="Arial"/>
                <w:sz w:val="14"/>
                <w:szCs w:val="14"/>
                <w:color w:val="auto"/>
              </w:rPr>
              <w:t>5.00%</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3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Year that the rate reaches the ultimate trend rate</w:t>
            </w:r>
          </w:p>
        </w:tc>
        <w:tc>
          <w:tcPr>
            <w:tcW w:w="272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b w:val="1"/>
                <w:bCs w:val="1"/>
                <w:color w:val="auto"/>
              </w:rPr>
              <w:t>2017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b w:val="1"/>
                <w:bCs w:val="1"/>
                <w:color w:val="auto"/>
              </w:rPr>
              <w:t>2016</w:t>
            </w:r>
          </w:p>
        </w:tc>
        <w:tc>
          <w:tcPr>
            <w:tcW w:w="1280" w:type="dxa"/>
            <w:vAlign w:val="bottom"/>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2015</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r>
      <w:tr>
        <w:trPr>
          <w:trHeight w:val="335"/>
        </w:trPr>
        <w:tc>
          <w:tcPr>
            <w:tcW w:w="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740" w:type="dxa"/>
            <w:vAlign w:val="bottom"/>
          </w:tcPr>
          <w:p>
            <w:pPr>
              <w:jc w:val="right"/>
              <w:ind w:right="470"/>
              <w:spacing w:after="0"/>
              <w:rPr>
                <w:sz w:val="20"/>
                <w:szCs w:val="20"/>
                <w:color w:val="auto"/>
              </w:rPr>
            </w:pPr>
            <w:r>
              <w:rPr>
                <w:rFonts w:ascii="Arial" w:cs="Arial" w:eastAsia="Arial" w:hAnsi="Arial"/>
                <w:sz w:val="13"/>
                <w:szCs w:val="13"/>
                <w:color w:val="auto"/>
              </w:rPr>
              <w:t>69</w:t>
            </w: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382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net periodic benefit cost for the US postretirement medical plan included the following components: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82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1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6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60" w:type="dxa"/>
            <w:vAlign w:val="bottom"/>
          </w:tcPr>
          <w:p>
            <w:pPr>
              <w:spacing w:after="0"/>
              <w:rPr>
                <w:sz w:val="12"/>
                <w:szCs w:val="12"/>
                <w:color w:val="auto"/>
              </w:rPr>
            </w:pP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120" w:type="dxa"/>
            <w:vAlign w:val="bottom"/>
          </w:tcPr>
          <w:p>
            <w:pPr>
              <w:spacing w:after="0"/>
              <w:rPr>
                <w:sz w:val="12"/>
                <w:szCs w:val="12"/>
                <w:color w:val="auto"/>
              </w:rPr>
            </w:pP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9"/>
        </w:trPr>
        <w:tc>
          <w:tcPr>
            <w:tcW w:w="820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credit</w:t>
            </w:r>
          </w:p>
        </w:tc>
        <w:tc>
          <w:tcPr>
            <w:tcW w:w="120" w:type="dxa"/>
            <w:vAlign w:val="bottom"/>
          </w:tcPr>
          <w:p>
            <w:pPr>
              <w:spacing w:after="0"/>
              <w:rPr>
                <w:sz w:val="12"/>
                <w:szCs w:val="12"/>
                <w:color w:val="auto"/>
              </w:rPr>
            </w:pP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w:t>
            </w:r>
          </w:p>
        </w:tc>
      </w:tr>
      <w:tr>
        <w:trPr>
          <w:trHeight w:val="185"/>
        </w:trPr>
        <w:tc>
          <w:tcPr>
            <w:tcW w:w="8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Amortization of net loss</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6"/>
                <w:szCs w:val="16"/>
                <w:color w:val="auto"/>
              </w:rPr>
            </w:pPr>
          </w:p>
        </w:tc>
      </w:tr>
      <w:tr>
        <w:trPr>
          <w:trHeight w:val="137"/>
        </w:trPr>
        <w:tc>
          <w:tcPr>
            <w:tcW w:w="8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7" w:lineRule="exact"/>
              <w:rPr>
                <w:sz w:val="20"/>
                <w:szCs w:val="20"/>
                <w:color w:val="auto"/>
              </w:rPr>
            </w:pPr>
            <w:r>
              <w:rPr>
                <w:rFonts w:ascii="Arial" w:cs="Arial" w:eastAsia="Arial" w:hAnsi="Arial"/>
                <w:sz w:val="14"/>
                <w:szCs w:val="14"/>
                <w:b w:val="1"/>
                <w:bCs w:val="1"/>
                <w:color w:val="auto"/>
              </w:rPr>
              <w:t>65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7" w:lineRule="exact"/>
              <w:rPr>
                <w:sz w:val="20"/>
                <w:szCs w:val="20"/>
                <w:color w:val="auto"/>
              </w:rPr>
            </w:pPr>
            <w:r>
              <w:rPr>
                <w:rFonts w:ascii="Arial" w:cs="Arial" w:eastAsia="Arial" w:hAnsi="Arial"/>
                <w:sz w:val="14"/>
                <w:szCs w:val="14"/>
                <w:color w:val="auto"/>
              </w:rPr>
              <w:t>51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jc w:val="right"/>
              <w:spacing w:after="0" w:line="137"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1"/>
                <w:szCs w:val="11"/>
                <w:color w:val="auto"/>
              </w:rPr>
            </w:pPr>
          </w:p>
        </w:tc>
      </w:tr>
      <w:tr>
        <w:trPr>
          <w:trHeight w:val="181"/>
        </w:trPr>
        <w:tc>
          <w:tcPr>
            <w:tcW w:w="8200" w:type="dxa"/>
            <w:vAlign w:val="bottom"/>
          </w:tcPr>
          <w:p>
            <w:pPr>
              <w:spacing w:after="0"/>
              <w:rPr>
                <w:sz w:val="20"/>
                <w:szCs w:val="20"/>
                <w:color w:val="auto"/>
              </w:rPr>
            </w:pPr>
            <w:r>
              <w:rPr>
                <w:rFonts w:ascii="Arial" w:cs="Arial" w:eastAsia="Arial" w:hAnsi="Arial"/>
                <w:sz w:val="14"/>
                <w:szCs w:val="14"/>
                <w:color w:val="auto"/>
              </w:rPr>
              <w:t>Curtailment charge</w:t>
            </w:r>
          </w:p>
        </w:tc>
        <w:tc>
          <w:tcPr>
            <w:tcW w:w="12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56"/>
        </w:trPr>
        <w:tc>
          <w:tcPr>
            <w:tcW w:w="8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3"/>
                <w:szCs w:val="13"/>
                <w:color w:val="auto"/>
              </w:rPr>
            </w:pPr>
          </w:p>
        </w:tc>
      </w:tr>
      <w:tr>
        <w:trPr>
          <w:trHeight w:val="20"/>
        </w:trPr>
        <w:tc>
          <w:tcPr>
            <w:tcW w:w="8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changes in the accumulated postretirement benefit obligation, plan assets and funded status were as follows: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77"/>
        </w:trPr>
        <w:tc>
          <w:tcPr>
            <w:tcW w:w="87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Change in Accumulated Postretirement Benefit Obligation</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991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760" w:type="dxa"/>
            <w:vAlign w:val="bottom"/>
          </w:tcPr>
          <w:p>
            <w:pPr>
              <w:spacing w:after="0" w:line="145" w:lineRule="exact"/>
              <w:rPr>
                <w:sz w:val="20"/>
                <w:szCs w:val="20"/>
                <w:color w:val="auto"/>
              </w:rPr>
            </w:pPr>
            <w:r>
              <w:rPr>
                <w:rFonts w:ascii="Arial" w:cs="Arial" w:eastAsia="Arial" w:hAnsi="Arial"/>
                <w:sz w:val="14"/>
                <w:szCs w:val="14"/>
                <w:color w:val="auto"/>
              </w:rPr>
              <w:t>Benefit obligation at beginning of year</w:t>
            </w:r>
          </w:p>
        </w:tc>
        <w:tc>
          <w:tcPr>
            <w:tcW w:w="8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5" w:lineRule="exact"/>
              <w:rPr>
                <w:sz w:val="20"/>
                <w:szCs w:val="20"/>
                <w:color w:val="auto"/>
              </w:rPr>
            </w:pPr>
            <w:r>
              <w:rPr>
                <w:rFonts w:ascii="Arial" w:cs="Arial" w:eastAsia="Arial" w:hAnsi="Arial"/>
                <w:sz w:val="14"/>
                <w:szCs w:val="14"/>
                <w:color w:val="auto"/>
              </w:rPr>
              <w:t>862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Interest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Actuarial losses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760" w:type="dxa"/>
            <w:vAlign w:val="bottom"/>
          </w:tcPr>
          <w:p>
            <w:pPr>
              <w:spacing w:after="0" w:line="153" w:lineRule="exact"/>
              <w:rPr>
                <w:sz w:val="20"/>
                <w:szCs w:val="20"/>
                <w:color w:val="auto"/>
              </w:rPr>
            </w:pPr>
            <w:r>
              <w:rPr>
                <w:rFonts w:ascii="Arial" w:cs="Arial" w:eastAsia="Arial" w:hAnsi="Arial"/>
                <w:sz w:val="14"/>
                <w:szCs w:val="14"/>
                <w:color w:val="auto"/>
              </w:rPr>
              <w:t>Benefits paid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19"/>
              <w:spacing w:after="0" w:line="153" w:lineRule="exact"/>
              <w:rPr>
                <w:sz w:val="20"/>
                <w:szCs w:val="20"/>
                <w:color w:val="auto"/>
              </w:rPr>
            </w:pPr>
            <w:r>
              <w:rPr>
                <w:rFonts w:ascii="Arial" w:cs="Arial" w:eastAsia="Arial" w:hAnsi="Arial"/>
                <w:sz w:val="14"/>
                <w:szCs w:val="14"/>
                <w:b w:val="1"/>
                <w:bCs w:val="1"/>
                <w:color w:val="auto"/>
              </w:rPr>
              <w:t>(33)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spacing w:after="0" w:line="153"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1"/>
        </w:trPr>
        <w:tc>
          <w:tcPr>
            <w:tcW w:w="8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Impact of curtailment</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760" w:type="dxa"/>
            <w:vAlign w:val="bottom"/>
          </w:tcPr>
          <w:p>
            <w:pPr>
              <w:spacing w:after="0" w:line="155" w:lineRule="exact"/>
              <w:rPr>
                <w:sz w:val="20"/>
                <w:szCs w:val="20"/>
                <w:color w:val="auto"/>
              </w:rPr>
            </w:pPr>
            <w:r>
              <w:rPr>
                <w:rFonts w:ascii="Arial" w:cs="Arial" w:eastAsia="Arial" w:hAnsi="Arial"/>
                <w:sz w:val="14"/>
                <w:szCs w:val="14"/>
                <w:color w:val="auto"/>
              </w:rPr>
              <w:t>Benefit obligation at end of year</w:t>
            </w:r>
          </w:p>
        </w:tc>
        <w:tc>
          <w:tcPr>
            <w:tcW w:w="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1,051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line="155" w:lineRule="exact"/>
              <w:rPr>
                <w:sz w:val="20"/>
                <w:szCs w:val="20"/>
                <w:color w:val="auto"/>
              </w:rPr>
            </w:pPr>
            <w:r>
              <w:rPr>
                <w:rFonts w:ascii="Arial" w:cs="Arial" w:eastAsia="Arial" w:hAnsi="Arial"/>
                <w:sz w:val="14"/>
                <w:szCs w:val="14"/>
                <w:color w:val="auto"/>
              </w:rPr>
              <w:t>991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Change in Plan Assets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760" w:type="dxa"/>
            <w:vAlign w:val="bottom"/>
            <w:vMerge w:val="continue"/>
          </w:tcPr>
          <w:p>
            <w:pPr>
              <w:spacing w:after="0"/>
              <w:rPr>
                <w:sz w:val="10"/>
                <w:szCs w:val="10"/>
                <w:color w:val="auto"/>
              </w:rPr>
            </w:pP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760" w:type="dxa"/>
            <w:vAlign w:val="bottom"/>
          </w:tcPr>
          <w:p>
            <w:pPr>
              <w:spacing w:after="0" w:line="145" w:lineRule="exact"/>
              <w:rPr>
                <w:sz w:val="20"/>
                <w:szCs w:val="20"/>
                <w:color w:val="auto"/>
              </w:rPr>
            </w:pPr>
            <w:r>
              <w:rPr>
                <w:rFonts w:ascii="Arial" w:cs="Arial" w:eastAsia="Arial" w:hAnsi="Arial"/>
                <w:sz w:val="14"/>
                <w:szCs w:val="14"/>
                <w:color w:val="auto"/>
              </w:rPr>
              <w:t>Plan assets at fair value at beginning of year</w:t>
            </w:r>
          </w:p>
        </w:tc>
        <w:tc>
          <w:tcPr>
            <w:tcW w:w="8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5" w:lineRule="exact"/>
              <w:rPr>
                <w:sz w:val="20"/>
                <w:szCs w:val="20"/>
                <w:color w:val="auto"/>
              </w:rPr>
            </w:pPr>
            <w:r>
              <w:rPr>
                <w:rFonts w:ascii="Arial" w:cs="Arial" w:eastAsia="Arial" w:hAnsi="Arial"/>
                <w:sz w:val="14"/>
                <w:szCs w:val="14"/>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Company contributions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rPr>
              <w:t>(33)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5"/>
        </w:trPr>
        <w:tc>
          <w:tcPr>
            <w:tcW w:w="8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Actual return on plan assets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760" w:type="dxa"/>
            <w:vAlign w:val="bottom"/>
          </w:tcPr>
          <w:p>
            <w:pPr>
              <w:spacing w:after="0" w:line="155" w:lineRule="exact"/>
              <w:rPr>
                <w:sz w:val="20"/>
                <w:szCs w:val="20"/>
                <w:color w:val="auto"/>
              </w:rPr>
            </w:pPr>
            <w:r>
              <w:rPr>
                <w:rFonts w:ascii="Arial" w:cs="Arial" w:eastAsia="Arial" w:hAnsi="Arial"/>
                <w:sz w:val="14"/>
                <w:szCs w:val="14"/>
                <w:color w:val="auto"/>
              </w:rPr>
              <w:t>Plan assets at fair value at end of year</w:t>
            </w:r>
          </w:p>
        </w:tc>
        <w:tc>
          <w:tcPr>
            <w:tcW w:w="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Unfunded Liability</w:t>
            </w:r>
          </w:p>
        </w:tc>
        <w:tc>
          <w:tcPr>
            <w:tcW w:w="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(761</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2"/>
              </w:rPr>
              <w:t>(933</w:t>
            </w:r>
          </w:p>
        </w:tc>
        <w:tc>
          <w:tcPr>
            <w:tcW w:w="60" w:type="dxa"/>
            <w:vAlign w:val="bottom"/>
          </w:tcPr>
          <w:p>
            <w:pPr>
              <w:jc w:val="right"/>
              <w:spacing w:after="0" w:line="143"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Amounts Recognized in Accumulated</w:t>
            </w: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760" w:type="dxa"/>
            <w:vAlign w:val="bottom"/>
          </w:tcPr>
          <w:p>
            <w:pPr>
              <w:spacing w:after="0" w:line="149" w:lineRule="exact"/>
              <w:rPr>
                <w:sz w:val="20"/>
                <w:szCs w:val="20"/>
                <w:color w:val="auto"/>
              </w:rPr>
            </w:pPr>
            <w:r>
              <w:rPr>
                <w:rFonts w:ascii="Arial" w:cs="Arial" w:eastAsia="Arial" w:hAnsi="Arial"/>
                <w:sz w:val="14"/>
                <w:szCs w:val="14"/>
                <w:b w:val="1"/>
                <w:bCs w:val="1"/>
                <w:i w:val="1"/>
                <w:iCs w:val="1"/>
                <w:color w:val="auto"/>
              </w:rPr>
              <w:t>Other Comprehensive Income</w:t>
            </w:r>
          </w:p>
        </w:tc>
        <w:tc>
          <w:tcPr>
            <w:tcW w:w="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760" w:type="dxa"/>
            <w:vAlign w:val="bottom"/>
          </w:tcPr>
          <w:p>
            <w:pPr>
              <w:spacing w:after="0" w:line="145" w:lineRule="exact"/>
              <w:rPr>
                <w:sz w:val="20"/>
                <w:szCs w:val="20"/>
                <w:color w:val="auto"/>
              </w:rPr>
            </w:pPr>
            <w:r>
              <w:rPr>
                <w:rFonts w:ascii="Arial" w:cs="Arial" w:eastAsia="Arial" w:hAnsi="Arial"/>
                <w:sz w:val="14"/>
                <w:szCs w:val="14"/>
                <w:color w:val="auto"/>
              </w:rPr>
              <w:t>Actuarial losses</w:t>
            </w:r>
          </w:p>
        </w:tc>
        <w:tc>
          <w:tcPr>
            <w:tcW w:w="8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5" w:lineRule="exact"/>
              <w:rPr>
                <w:sz w:val="20"/>
                <w:szCs w:val="20"/>
                <w:color w:val="auto"/>
              </w:rPr>
            </w:pPr>
            <w:r>
              <w:rPr>
                <w:rFonts w:ascii="Arial" w:cs="Arial" w:eastAsia="Arial" w:hAnsi="Arial"/>
                <w:sz w:val="14"/>
                <w:szCs w:val="14"/>
                <w:color w:val="auto"/>
              </w:rPr>
              <w:t>223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760" w:type="dxa"/>
            <w:vAlign w:val="bottom"/>
          </w:tcPr>
          <w:p>
            <w:pPr>
              <w:spacing w:after="0"/>
              <w:rPr>
                <w:sz w:val="20"/>
                <w:szCs w:val="20"/>
                <w:color w:val="auto"/>
              </w:rPr>
            </w:pPr>
            <w:r>
              <w:rPr>
                <w:rFonts w:ascii="Arial" w:cs="Arial" w:eastAsia="Arial" w:hAnsi="Arial"/>
                <w:sz w:val="14"/>
                <w:szCs w:val="14"/>
                <w:color w:val="auto"/>
              </w:rPr>
              <w:t>Prior service cost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56"/>
        </w:trPr>
        <w:tc>
          <w:tcPr>
            <w:tcW w:w="876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177</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The unfunded position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p>
    <w:p>
      <w:pPr>
        <w:spacing w:after="0" w:line="23" w:lineRule="exact"/>
        <w:rPr>
          <w:sz w:val="20"/>
          <w:szCs w:val="20"/>
          <w:color w:val="auto"/>
        </w:rPr>
      </w:pPr>
    </w:p>
    <w:p>
      <w:pPr>
        <w:ind w:left="700" w:right="920" w:firstLine="198"/>
        <w:spacing w:after="0" w:line="281" w:lineRule="auto"/>
        <w:rPr>
          <w:sz w:val="20"/>
          <w:szCs w:val="20"/>
          <w:color w:val="auto"/>
        </w:rPr>
      </w:pPr>
      <w:r>
        <w:rPr>
          <w:rFonts w:ascii="Arial" w:cs="Arial" w:eastAsia="Arial" w:hAnsi="Arial"/>
          <w:sz w:val="16"/>
          <w:szCs w:val="16"/>
          <w:color w:val="auto"/>
        </w:rPr>
        <w:t>The assets of the US postretirement medical plan are invested 60% in US equity securities and 40% in government and government-related debt securities. The fair value of these assets were determined based on quoted prices in active markets for identical instruments.</w:t>
      </w:r>
    </w:p>
    <w:p>
      <w:pPr>
        <w:spacing w:after="0" w:line="1" w:lineRule="exact"/>
        <w:rPr>
          <w:sz w:val="20"/>
          <w:szCs w:val="20"/>
          <w:color w:val="auto"/>
        </w:rPr>
      </w:pPr>
    </w:p>
    <w:p>
      <w:pPr>
        <w:ind w:left="700" w:right="960" w:firstLine="198"/>
        <w:spacing w:after="0" w:line="261" w:lineRule="auto"/>
        <w:rPr>
          <w:sz w:val="20"/>
          <w:szCs w:val="20"/>
          <w:color w:val="auto"/>
        </w:rPr>
      </w:pPr>
      <w:r>
        <w:rPr>
          <w:rFonts w:ascii="Arial" w:cs="Arial" w:eastAsia="Arial" w:hAnsi="Arial"/>
          <w:sz w:val="18"/>
          <w:szCs w:val="18"/>
          <w:color w:val="auto"/>
        </w:rPr>
        <w:t>Assumed health care cost trend rates have a significant effect on the amounts reported for the US postretirement medical plan. A one percentage point change in assumed health care cost trend rates would have the following effects:</w:t>
      </w:r>
    </w:p>
    <w:p>
      <w:pPr>
        <w:spacing w:after="0" w:line="9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700" w:type="dxa"/>
            <w:vAlign w:val="bottom"/>
          </w:tcPr>
          <w:p>
            <w:pPr>
              <w:spacing w:after="0"/>
              <w:rPr>
                <w:sz w:val="10"/>
                <w:szCs w:val="10"/>
                <w:color w:val="auto"/>
              </w:rPr>
            </w:pPr>
          </w:p>
        </w:tc>
        <w:tc>
          <w:tcPr>
            <w:tcW w:w="4060" w:type="dxa"/>
            <w:vAlign w:val="bottom"/>
            <w:tcBorders>
              <w:top w:val="single" w:sz="8" w:color="auto"/>
            </w:tcBorders>
          </w:tcPr>
          <w:p>
            <w:pPr>
              <w:spacing w:after="0"/>
              <w:rPr>
                <w:sz w:val="10"/>
                <w:szCs w:val="10"/>
                <w:color w:val="auto"/>
              </w:rPr>
            </w:pPr>
          </w:p>
        </w:tc>
        <w:tc>
          <w:tcPr>
            <w:tcW w:w="3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right"/>
              <w:ind w:right="48"/>
              <w:spacing w:after="0" w:line="119" w:lineRule="exact"/>
              <w:rPr>
                <w:sz w:val="20"/>
                <w:szCs w:val="20"/>
                <w:color w:val="auto"/>
              </w:rPr>
            </w:pPr>
            <w:r>
              <w:rPr>
                <w:rFonts w:ascii="Arial" w:cs="Arial" w:eastAsia="Arial" w:hAnsi="Arial"/>
                <w:sz w:val="13"/>
                <w:szCs w:val="13"/>
                <w:b w:val="1"/>
                <w:bCs w:val="1"/>
                <w:color w:val="auto"/>
              </w:rPr>
              <w:t>One percentage</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68"/>
              <w:spacing w:after="0" w:line="119" w:lineRule="exact"/>
              <w:rPr>
                <w:sz w:val="20"/>
                <w:szCs w:val="20"/>
                <w:color w:val="auto"/>
              </w:rPr>
            </w:pPr>
            <w:r>
              <w:rPr>
                <w:rFonts w:ascii="Arial" w:cs="Arial" w:eastAsia="Arial" w:hAnsi="Arial"/>
                <w:sz w:val="13"/>
                <w:szCs w:val="13"/>
                <w:b w:val="1"/>
                <w:bCs w:val="1"/>
                <w:color w:val="auto"/>
              </w:rPr>
              <w:t>One percentage</w:t>
            </w:r>
          </w:p>
        </w:tc>
        <w:tc>
          <w:tcPr>
            <w:tcW w:w="800" w:type="dxa"/>
            <w:vAlign w:val="bottom"/>
          </w:tcPr>
          <w:p>
            <w:pPr>
              <w:spacing w:after="0"/>
              <w:rPr>
                <w:sz w:val="10"/>
                <w:szCs w:val="10"/>
                <w:color w:val="auto"/>
              </w:rPr>
            </w:pPr>
          </w:p>
        </w:tc>
      </w:tr>
      <w:tr>
        <w:trPr>
          <w:trHeight w:val="171"/>
        </w:trPr>
        <w:tc>
          <w:tcPr>
            <w:tcW w:w="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point increase</w:t>
            </w:r>
          </w:p>
        </w:tc>
        <w:tc>
          <w:tcPr>
            <w:tcW w:w="18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point decrease</w:t>
            </w:r>
          </w:p>
        </w:tc>
        <w:tc>
          <w:tcPr>
            <w:tcW w:w="800" w:type="dxa"/>
            <w:vAlign w:val="bottom"/>
          </w:tcPr>
          <w:p>
            <w:pPr>
              <w:spacing w:after="0"/>
              <w:rPr>
                <w:sz w:val="14"/>
                <w:szCs w:val="14"/>
                <w:color w:val="auto"/>
              </w:rPr>
            </w:pPr>
          </w:p>
        </w:tc>
      </w:tr>
      <w:tr>
        <w:trPr>
          <w:trHeight w:val="173"/>
        </w:trPr>
        <w:tc>
          <w:tcPr>
            <w:tcW w:w="4760" w:type="dxa"/>
            <w:vAlign w:val="bottom"/>
            <w:gridSpan w:val="2"/>
          </w:tcPr>
          <w:p>
            <w:pPr>
              <w:ind w:left="700"/>
              <w:spacing w:after="0"/>
              <w:rPr>
                <w:sz w:val="20"/>
                <w:szCs w:val="20"/>
                <w:color w:val="auto"/>
              </w:rPr>
            </w:pPr>
            <w:r>
              <w:rPr>
                <w:rFonts w:ascii="Arial" w:cs="Arial" w:eastAsia="Arial" w:hAnsi="Arial"/>
                <w:sz w:val="14"/>
                <w:szCs w:val="14"/>
                <w:color w:val="auto"/>
              </w:rPr>
              <w:t>Effect on total service and interest cost components</w:t>
            </w:r>
          </w:p>
        </w:tc>
        <w:tc>
          <w:tcPr>
            <w:tcW w:w="4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0" w:type="dxa"/>
            <w:vAlign w:val="bottom"/>
          </w:tcPr>
          <w:p>
            <w:pPr>
              <w:spacing w:after="0"/>
              <w:rPr>
                <w:sz w:val="15"/>
                <w:szCs w:val="15"/>
                <w:color w:val="auto"/>
              </w:rPr>
            </w:pPr>
          </w:p>
        </w:tc>
      </w:tr>
      <w:tr>
        <w:trPr>
          <w:trHeight w:val="186"/>
        </w:trPr>
        <w:tc>
          <w:tcPr>
            <w:tcW w:w="4760" w:type="dxa"/>
            <w:vAlign w:val="bottom"/>
            <w:gridSpan w:val="2"/>
          </w:tcPr>
          <w:p>
            <w:pPr>
              <w:ind w:left="700"/>
              <w:spacing w:after="0"/>
              <w:rPr>
                <w:sz w:val="20"/>
                <w:szCs w:val="20"/>
                <w:color w:val="auto"/>
              </w:rPr>
            </w:pPr>
            <w:r>
              <w:rPr>
                <w:rFonts w:ascii="Arial" w:cs="Arial" w:eastAsia="Arial" w:hAnsi="Arial"/>
                <w:sz w:val="14"/>
                <w:szCs w:val="14"/>
                <w:color w:val="auto"/>
              </w:rPr>
              <w:t>Effect on accumulated postretirement benefit obligation</w:t>
            </w:r>
          </w:p>
        </w:tc>
        <w:tc>
          <w:tcPr>
            <w:tcW w:w="4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28"/>
              <w:spacing w:after="0"/>
              <w:rPr>
                <w:sz w:val="20"/>
                <w:szCs w:val="20"/>
                <w:color w:val="auto"/>
              </w:rPr>
            </w:pPr>
            <w:r>
              <w:rPr>
                <w:rFonts w:ascii="Arial" w:cs="Arial" w:eastAsia="Arial" w:hAnsi="Arial"/>
                <w:sz w:val="14"/>
                <w:szCs w:val="14"/>
                <w:b w:val="1"/>
                <w:bCs w:val="1"/>
                <w:color w:val="auto"/>
                <w:w w:val="85"/>
              </w:rPr>
              <w:t>177</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1"/>
              </w:rPr>
              <w:t>(145)</w:t>
            </w:r>
          </w:p>
        </w:tc>
        <w:tc>
          <w:tcPr>
            <w:tcW w:w="800" w:type="dxa"/>
            <w:vAlign w:val="bottom"/>
          </w:tcPr>
          <w:p>
            <w:pPr>
              <w:spacing w:after="0"/>
              <w:rPr>
                <w:sz w:val="16"/>
                <w:szCs w:val="16"/>
                <w:color w:val="auto"/>
              </w:rPr>
            </w:pPr>
          </w:p>
        </w:tc>
      </w:tr>
      <w:tr>
        <w:trPr>
          <w:trHeight w:val="536"/>
        </w:trPr>
        <w:tc>
          <w:tcPr>
            <w:tcW w:w="7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20" w:type="dxa"/>
            <w:vAlign w:val="bottom"/>
          </w:tcPr>
          <w:p>
            <w:pPr>
              <w:jc w:val="right"/>
              <w:ind w:right="2191"/>
              <w:spacing w:after="0"/>
              <w:rPr>
                <w:sz w:val="20"/>
                <w:szCs w:val="20"/>
                <w:color w:val="auto"/>
              </w:rPr>
            </w:pPr>
            <w:r>
              <w:rPr>
                <w:rFonts w:ascii="Arial" w:cs="Arial" w:eastAsia="Arial" w:hAnsi="Arial"/>
                <w:sz w:val="13"/>
                <w:szCs w:val="13"/>
                <w:color w:val="auto"/>
              </w:rPr>
              <w:t>70</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322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26" w:lineRule="exact"/>
        <w:rPr>
          <w:sz w:val="20"/>
          <w:szCs w:val="20"/>
          <w:color w:val="auto"/>
        </w:rPr>
      </w:pPr>
    </w:p>
    <w:p>
      <w:pPr>
        <w:ind w:left="700" w:right="1120" w:firstLine="198"/>
        <w:spacing w:after="0" w:line="342" w:lineRule="auto"/>
        <w:rPr>
          <w:sz w:val="20"/>
          <w:szCs w:val="20"/>
          <w:color w:val="auto"/>
        </w:rPr>
      </w:pPr>
      <w:r>
        <w:rPr>
          <w:rFonts w:ascii="Arial" w:cs="Arial" w:eastAsia="Arial" w:hAnsi="Arial"/>
          <w:sz w:val="16"/>
          <w:szCs w:val="16"/>
          <w:color w:val="auto"/>
        </w:rPr>
        <w:t>The expected benefits to be paid under the US and International pension plans as well as the postretirement medical plan (which is disclosed net of the annual Medicare Part D subsidy, which ranges from $3 million to $7 million per year) were as follows:</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0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3"/>
          </w:tcPr>
          <w:p>
            <w:pPr>
              <w:jc w:val="right"/>
              <w:ind w:right="288"/>
              <w:spacing w:after="0" w:line="142" w:lineRule="exact"/>
              <w:rPr>
                <w:sz w:val="20"/>
                <w:szCs w:val="20"/>
                <w:color w:val="auto"/>
              </w:rPr>
            </w:pPr>
            <w:r>
              <w:rPr>
                <w:rFonts w:ascii="Arial" w:cs="Arial" w:eastAsia="Arial" w:hAnsi="Arial"/>
                <w:sz w:val="14"/>
                <w:szCs w:val="14"/>
                <w:b w:val="1"/>
                <w:bCs w:val="1"/>
                <w:color w:val="auto"/>
                <w:w w:val="88"/>
              </w:rPr>
              <w:t>Pension Benefits</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Postretirement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7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$ 125</w:t>
            </w:r>
          </w:p>
        </w:tc>
        <w:tc>
          <w:tcPr>
            <w:tcW w:w="138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  134</w:t>
            </w:r>
          </w:p>
        </w:tc>
        <w:tc>
          <w:tcPr>
            <w:tcW w:w="11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$ 40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Arial" w:cs="Arial" w:eastAsia="Arial" w:hAnsi="Arial"/>
                <w:sz w:val="14"/>
                <w:szCs w:val="14"/>
                <w:color w:val="auto"/>
              </w:rPr>
              <w:t>2012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13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146</w:t>
            </w:r>
          </w:p>
        </w:tc>
        <w:tc>
          <w:tcPr>
            <w:tcW w:w="11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138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158</w:t>
            </w:r>
          </w:p>
        </w:tc>
        <w:tc>
          <w:tcPr>
            <w:tcW w:w="11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line="149" w:lineRule="exact"/>
              <w:rPr>
                <w:sz w:val="20"/>
                <w:szCs w:val="20"/>
                <w:color w:val="auto"/>
              </w:rPr>
            </w:pPr>
            <w:r>
              <w:rPr>
                <w:rFonts w:ascii="Arial" w:cs="Arial" w:eastAsia="Arial" w:hAnsi="Arial"/>
                <w:sz w:val="14"/>
                <w:szCs w:val="14"/>
                <w:color w:val="auto"/>
              </w:rPr>
              <w:t>2014</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138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170</w:t>
            </w:r>
          </w:p>
        </w:tc>
        <w:tc>
          <w:tcPr>
            <w:tcW w:w="11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2015</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380" w:type="dxa"/>
            <w:vAlign w:val="bottom"/>
            <w:gridSpan w:val="3"/>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182</w:t>
            </w:r>
          </w:p>
        </w:tc>
        <w:tc>
          <w:tcPr>
            <w:tcW w:w="11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20" w:type="dxa"/>
            <w:vAlign w:val="bottom"/>
          </w:tcPr>
          <w:p>
            <w:pPr>
              <w:spacing w:after="0"/>
              <w:rPr>
                <w:sz w:val="20"/>
                <w:szCs w:val="20"/>
                <w:color w:val="auto"/>
              </w:rPr>
            </w:pPr>
            <w:r>
              <w:rPr>
                <w:rFonts w:ascii="Arial" w:cs="Arial" w:eastAsia="Arial" w:hAnsi="Arial"/>
                <w:sz w:val="14"/>
                <w:szCs w:val="14"/>
                <w:color w:val="auto"/>
              </w:rPr>
              <w:t>2016- 2020</w:t>
            </w:r>
          </w:p>
        </w:tc>
        <w:tc>
          <w:tcPr>
            <w:tcW w:w="320" w:type="dxa"/>
            <w:vAlign w:val="bottom"/>
          </w:tcPr>
          <w:p>
            <w:pPr>
              <w:jc w:val="right"/>
              <w:spacing w:after="0"/>
              <w:rPr>
                <w:sz w:val="20"/>
                <w:szCs w:val="20"/>
                <w:color w:val="auto"/>
              </w:rPr>
            </w:pPr>
            <w:r>
              <w:rPr>
                <w:rFonts w:ascii="Arial" w:cs="Arial" w:eastAsia="Arial" w:hAnsi="Arial"/>
                <w:sz w:val="14"/>
                <w:szCs w:val="14"/>
                <w:color w:val="auto"/>
              </w:rPr>
              <w:t>856</w:t>
            </w:r>
          </w:p>
        </w:tc>
        <w:tc>
          <w:tcPr>
            <w:tcW w:w="1380" w:type="dxa"/>
            <w:vAlign w:val="bottom"/>
            <w:gridSpan w:val="3"/>
          </w:tcPr>
          <w:p>
            <w:pPr>
              <w:jc w:val="right"/>
              <w:ind w:right="28"/>
              <w:spacing w:after="0"/>
              <w:rPr>
                <w:sz w:val="20"/>
                <w:szCs w:val="20"/>
                <w:color w:val="auto"/>
              </w:rPr>
            </w:pPr>
            <w:r>
              <w:rPr>
                <w:rFonts w:ascii="Arial" w:cs="Arial" w:eastAsia="Arial" w:hAnsi="Arial"/>
                <w:sz w:val="14"/>
                <w:szCs w:val="14"/>
                <w:color w:val="auto"/>
              </w:rPr>
              <w:t>1,083</w:t>
            </w:r>
          </w:p>
        </w:tc>
        <w:tc>
          <w:tcPr>
            <w:tcW w:w="1180" w:type="dxa"/>
            <w:vAlign w:val="bottom"/>
            <w:gridSpan w:val="2"/>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700" w:right="1020" w:firstLine="198"/>
        <w:spacing w:after="0" w:line="259"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xml:space="preserve"> at December 31, 2010 are non-cash pretax charges which have not yet been recognized in net periodic benefit cost. The estimated amounts that will be amortized from the estimated portion of each component of </w:t>
      </w:r>
      <w:r>
        <w:rPr>
          <w:rFonts w:ascii="Arial" w:cs="Arial" w:eastAsia="Arial" w:hAnsi="Arial"/>
          <w:sz w:val="18"/>
          <w:szCs w:val="18"/>
          <w:i w:val="1"/>
          <w:iCs w:val="1"/>
          <w:color w:val="auto"/>
        </w:rPr>
        <w:t xml:space="preserve">Accumulated Other Comprehensive Income </w:t>
      </w:r>
      <w:r>
        <w:rPr>
          <w:rFonts w:ascii="Arial" w:cs="Arial" w:eastAsia="Arial" w:hAnsi="Arial"/>
          <w:sz w:val="18"/>
          <w:szCs w:val="18"/>
          <w:color w:val="auto"/>
        </w:rPr>
        <w:t>which is expected to be recognized as a component of net periodic benefit cost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year-ending December 31, 2011 are as follows:</w:t>
      </w:r>
    </w:p>
    <w:p>
      <w:pPr>
        <w:spacing w:after="0" w:line="7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79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jc w:val="center"/>
              <w:ind w:left="28"/>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Postretirement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Medical</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Plans</w:t>
            </w:r>
          </w:p>
        </w:tc>
        <w:tc>
          <w:tcPr>
            <w:tcW w:w="280" w:type="dxa"/>
            <w:vAlign w:val="bottom"/>
          </w:tcPr>
          <w:p>
            <w:pPr>
              <w:spacing w:after="0"/>
              <w:rPr>
                <w:sz w:val="14"/>
                <w:szCs w:val="14"/>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177"/>
        </w:trPr>
        <w:tc>
          <w:tcPr>
            <w:tcW w:w="7960" w:type="dxa"/>
            <w:vAlign w:val="bottom"/>
          </w:tcPr>
          <w:p>
            <w:pPr>
              <w:spacing w:after="0"/>
              <w:rPr>
                <w:sz w:val="20"/>
                <w:szCs w:val="20"/>
                <w:color w:val="auto"/>
              </w:rPr>
            </w:pPr>
            <w:r>
              <w:rPr>
                <w:rFonts w:ascii="Arial" w:cs="Arial" w:eastAsia="Arial" w:hAnsi="Arial"/>
                <w:sz w:val="14"/>
                <w:szCs w:val="14"/>
                <w:color w:val="auto"/>
              </w:rPr>
              <w:t>Net actuarial losses</w:t>
            </w:r>
          </w:p>
        </w:tc>
        <w:tc>
          <w:tcPr>
            <w:tcW w:w="360" w:type="dxa"/>
            <w:vAlign w:val="bottom"/>
            <w:tcBorders>
              <w:top w:val="single" w:sz="8" w:color="auto"/>
            </w:tcBorders>
          </w:tcPr>
          <w:p>
            <w:pPr>
              <w:jc w:val="center"/>
              <w:ind w:left="228"/>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960" w:type="dxa"/>
            <w:vAlign w:val="bottom"/>
          </w:tcPr>
          <w:p>
            <w:pPr>
              <w:spacing w:after="0"/>
              <w:rPr>
                <w:sz w:val="20"/>
                <w:szCs w:val="20"/>
                <w:color w:val="auto"/>
              </w:rPr>
            </w:pPr>
            <w:r>
              <w:rPr>
                <w:rFonts w:ascii="Arial" w:cs="Arial" w:eastAsia="Arial" w:hAnsi="Arial"/>
                <w:sz w:val="14"/>
                <w:szCs w:val="14"/>
                <w:color w:val="auto"/>
              </w:rPr>
              <w:t>Prior service cost/(credit)</w:t>
            </w:r>
          </w:p>
        </w:tc>
        <w:tc>
          <w:tcPr>
            <w:tcW w:w="360" w:type="dxa"/>
            <w:vAlign w:val="bottom"/>
          </w:tcPr>
          <w:p>
            <w:pPr>
              <w:jc w:val="center"/>
              <w:ind w:left="228"/>
              <w:spacing w:after="0"/>
              <w:rPr>
                <w:sz w:val="20"/>
                <w:szCs w:val="20"/>
                <w:color w:val="auto"/>
              </w:rPr>
            </w:pPr>
            <w:r>
              <w:rPr>
                <w:rFonts w:ascii="Arial" w:cs="Arial" w:eastAsia="Arial" w:hAnsi="Arial"/>
                <w:sz w:val="14"/>
                <w:szCs w:val="14"/>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5"/>
              </w:rPr>
              <w:t>132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w w:val="96"/>
              </w:rPr>
              <w:t>(12)</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700" w:right="1220" w:firstLine="198"/>
        <w:spacing w:after="0" w:line="264" w:lineRule="auto"/>
        <w:rPr>
          <w:sz w:val="20"/>
          <w:szCs w:val="20"/>
          <w:color w:val="auto"/>
        </w:rPr>
      </w:pPr>
      <w:r>
        <w:rPr>
          <w:rFonts w:ascii="Arial" w:cs="Arial" w:eastAsia="Arial" w:hAnsi="Arial"/>
          <w:sz w:val="18"/>
          <w:szCs w:val="18"/>
          <w:color w:val="auto"/>
        </w:rPr>
        <w:t>In addition to providing defined pension benefits and a postretirement medical plan, Schlumberger and its subsidiaries have other deferred benefit programs, primarily profit sharing and defined contribution pension plans. Expenses for these programs were $403 million, $418 million and $482 million in 2010, 2009 and 2008, respectively.</w:t>
      </w:r>
    </w:p>
    <w:p>
      <w:pPr>
        <w:spacing w:after="0" w:line="186" w:lineRule="exact"/>
        <w:rPr>
          <w:sz w:val="20"/>
          <w:szCs w:val="20"/>
          <w:color w:val="auto"/>
        </w:rPr>
      </w:pPr>
    </w:p>
    <w:p>
      <w:pPr>
        <w:ind w:left="700"/>
        <w:spacing w:after="0"/>
        <w:tabs>
          <w:tab w:leader="none" w:pos="108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u w:val="single" w:color="auto"/>
          <w:color w:val="auto"/>
        </w:rPr>
        <w:t>Supplementary Information</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Cash paid for interest and income taxes was as follows: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2010</w:t>
            </w: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Interest</w:t>
            </w:r>
          </w:p>
        </w:tc>
        <w:tc>
          <w:tcPr>
            <w:tcW w:w="194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$234</w:t>
            </w:r>
          </w:p>
        </w:tc>
        <w:tc>
          <w:tcPr>
            <w:tcW w:w="4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$249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289</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400" w:type="dxa"/>
            <w:vAlign w:val="bottom"/>
            <w:gridSpan w:val="2"/>
          </w:tcPr>
          <w:p>
            <w:pPr>
              <w:ind w:left="700"/>
              <w:spacing w:after="0"/>
              <w:rPr>
                <w:sz w:val="20"/>
                <w:szCs w:val="20"/>
                <w:color w:val="auto"/>
              </w:rPr>
            </w:pPr>
            <w:r>
              <w:rPr>
                <w:rFonts w:ascii="Arial" w:cs="Arial" w:eastAsia="Arial" w:hAnsi="Arial"/>
                <w:sz w:val="14"/>
                <w:szCs w:val="14"/>
                <w:color w:val="auto"/>
              </w:rPr>
              <w:t>Income taxes</w:t>
            </w:r>
          </w:p>
        </w:tc>
        <w:tc>
          <w:tcPr>
            <w:tcW w:w="19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$571</w:t>
            </w: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$1,158</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00" w:type="dxa"/>
            <w:vAlign w:val="bottom"/>
          </w:tcPr>
          <w:p>
            <w:pPr>
              <w:spacing w:after="0"/>
              <w:rPr>
                <w:sz w:val="24"/>
                <w:szCs w:val="24"/>
                <w:color w:val="auto"/>
              </w:rPr>
            </w:pPr>
          </w:p>
        </w:tc>
        <w:tc>
          <w:tcPr>
            <w:tcW w:w="6700" w:type="dxa"/>
            <w:vAlign w:val="bottom"/>
          </w:tcPr>
          <w:p>
            <w:pPr>
              <w:ind w:left="20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00" w:type="dxa"/>
            <w:vAlign w:val="bottom"/>
            <w:gridSpan w:val="2"/>
          </w:tcPr>
          <w:p>
            <w:pPr>
              <w:ind w:left="700"/>
              <w:spacing w:after="0"/>
              <w:rPr>
                <w:sz w:val="20"/>
                <w:szCs w:val="20"/>
                <w:color w:val="auto"/>
              </w:rPr>
            </w:pPr>
            <w:r>
              <w:rPr>
                <w:rFonts w:ascii="Arial" w:cs="Arial" w:eastAsia="Arial" w:hAnsi="Arial"/>
                <w:sz w:val="14"/>
                <w:szCs w:val="14"/>
                <w:b w:val="1"/>
                <w:bCs w:val="1"/>
                <w:color w:val="auto"/>
              </w:rPr>
              <w:t>(Stated in millions)</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0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Payroll, vacation and employee benefits</w:t>
            </w: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w w:val="98"/>
              </w:rPr>
              <w:t>$ 1,414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$ 1,047</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00" w:type="dxa"/>
            <w:vAlign w:val="bottom"/>
            <w:gridSpan w:val="2"/>
          </w:tcPr>
          <w:p>
            <w:pPr>
              <w:ind w:left="700"/>
              <w:spacing w:after="0" w:line="149" w:lineRule="exact"/>
              <w:rPr>
                <w:sz w:val="20"/>
                <w:szCs w:val="20"/>
                <w:color w:val="auto"/>
              </w:rPr>
            </w:pPr>
            <w:r>
              <w:rPr>
                <w:rFonts w:ascii="Arial" w:cs="Arial" w:eastAsia="Arial" w:hAnsi="Arial"/>
                <w:sz w:val="14"/>
                <w:szCs w:val="14"/>
                <w:color w:val="auto"/>
              </w:rPr>
              <w:t>Trade</w:t>
            </w: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2,649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1,793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400" w:type="dxa"/>
            <w:vAlign w:val="bottom"/>
            <w:gridSpan w:val="2"/>
          </w:tcPr>
          <w:p>
            <w:pPr>
              <w:ind w:left="700"/>
              <w:spacing w:after="0"/>
              <w:rPr>
                <w:sz w:val="20"/>
                <w:szCs w:val="20"/>
                <w:color w:val="auto"/>
              </w:rPr>
            </w:pPr>
            <w:r>
              <w:rPr>
                <w:rFonts w:ascii="Arial" w:cs="Arial" w:eastAsia="Arial" w:hAnsi="Arial"/>
                <w:sz w:val="14"/>
                <w:szCs w:val="14"/>
                <w:color w:val="auto"/>
              </w:rPr>
              <w:t>Other</w:t>
            </w:r>
          </w:p>
        </w:tc>
        <w:tc>
          <w:tcPr>
            <w:tcW w:w="1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2,425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67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w w:val="98"/>
              </w:rPr>
              <w:t>$ 6,488</w:t>
            </w:r>
          </w:p>
        </w:tc>
        <w:tc>
          <w:tcPr>
            <w:tcW w:w="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5"/>
              </w:rPr>
              <w:t>$ 5,003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00" w:type="dxa"/>
            <w:vAlign w:val="bottom"/>
            <w:vMerge w:val="restart"/>
          </w:tcPr>
          <w:p>
            <w:pPr>
              <w:ind w:left="200"/>
              <w:spacing w:after="0"/>
              <w:rPr>
                <w:sz w:val="20"/>
                <w:szCs w:val="20"/>
                <w:color w:val="auto"/>
              </w:rPr>
            </w:pPr>
            <w:r>
              <w:rPr>
                <w:rFonts w:ascii="Arial" w:cs="Arial" w:eastAsia="Arial" w:hAnsi="Arial"/>
                <w:sz w:val="18"/>
                <w:szCs w:val="18"/>
                <w:i w:val="1"/>
                <w:iCs w:val="1"/>
                <w:color w:val="auto"/>
              </w:rPr>
              <w:t xml:space="preserve">Interest and other income, net </w:t>
            </w:r>
            <w:r>
              <w:rPr>
                <w:rFonts w:ascii="Arial" w:cs="Arial" w:eastAsia="Arial" w:hAnsi="Arial"/>
                <w:sz w:val="18"/>
                <w:szCs w:val="18"/>
                <w:color w:val="auto"/>
              </w:rPr>
              <w:t>includes the following:</w:t>
            </w: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70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00" w:type="dxa"/>
            <w:vAlign w:val="bottom"/>
            <w:gridSpan w:val="2"/>
          </w:tcPr>
          <w:p>
            <w:pPr>
              <w:ind w:left="700"/>
              <w:spacing w:after="0"/>
              <w:rPr>
                <w:sz w:val="20"/>
                <w:szCs w:val="20"/>
                <w:color w:val="auto"/>
              </w:rPr>
            </w:pPr>
            <w:r>
              <w:rPr>
                <w:rFonts w:ascii="Arial" w:cs="Arial" w:eastAsia="Arial" w:hAnsi="Arial"/>
                <w:sz w:val="14"/>
                <w:szCs w:val="14"/>
                <w:b w:val="1"/>
                <w:bCs w:val="1"/>
                <w:color w:val="auto"/>
              </w:rPr>
              <w:t>(Stated in millions)</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67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600" w:type="dxa"/>
            <w:vAlign w:val="bottom"/>
            <w:tcBorders>
              <w:top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50</w:t>
            </w: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  61</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$ 119</w:t>
            </w: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700" w:type="dxa"/>
            <w:vAlign w:val="bottom"/>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1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7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M-I SWACO</w:t>
            </w:r>
          </w:p>
        </w:tc>
        <w:tc>
          <w:tcPr>
            <w:tcW w:w="1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5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700" w:type="dxa"/>
            <w:vAlign w:val="bottom"/>
          </w:tcPr>
          <w:p>
            <w:pPr>
              <w:ind w:left="200"/>
              <w:spacing w:after="0" w:line="149" w:lineRule="exact"/>
              <w:rPr>
                <w:sz w:val="20"/>
                <w:szCs w:val="20"/>
                <w:color w:val="auto"/>
              </w:rPr>
            </w:pPr>
            <w:r>
              <w:rPr>
                <w:rFonts w:ascii="Arial" w:cs="Arial" w:eastAsia="Arial" w:hAnsi="Arial"/>
                <w:sz w:val="14"/>
                <w:szCs w:val="14"/>
                <w:color w:val="auto"/>
              </w:rPr>
              <w:t>Others</w:t>
            </w:r>
          </w:p>
        </w:tc>
        <w:tc>
          <w:tcPr>
            <w:tcW w:w="1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86</w:t>
            </w:r>
          </w:p>
        </w:tc>
        <w:tc>
          <w:tcPr>
            <w:tcW w:w="600" w:type="dxa"/>
            <w:vAlign w:val="bottom"/>
            <w:gridSpan w:val="6"/>
          </w:tcPr>
          <w:p>
            <w:pPr>
              <w:jc w:val="right"/>
              <w:spacing w:after="0" w:line="149" w:lineRule="exact"/>
              <w:rPr>
                <w:sz w:val="20"/>
                <w:szCs w:val="20"/>
                <w:color w:val="auto"/>
              </w:rPr>
            </w:pPr>
            <w:r>
              <w:rPr>
                <w:rFonts w:ascii="Arial" w:cs="Arial" w:eastAsia="Arial" w:hAnsi="Arial"/>
                <w:sz w:val="14"/>
                <w:szCs w:val="14"/>
                <w:color w:val="auto"/>
              </w:rPr>
              <w:t>78</w:t>
            </w:r>
          </w:p>
        </w:tc>
        <w:tc>
          <w:tcPr>
            <w:tcW w:w="5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6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6"/>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0" w:type="dxa"/>
            <w:vAlign w:val="bottom"/>
          </w:tcPr>
          <w:p>
            <w:pPr>
              <w:spacing w:after="0"/>
              <w:rPr>
                <w:sz w:val="12"/>
                <w:szCs w:val="12"/>
                <w:color w:val="auto"/>
              </w:rPr>
            </w:pPr>
          </w:p>
        </w:tc>
        <w:tc>
          <w:tcPr>
            <w:tcW w:w="67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$ 214</w:t>
            </w:r>
          </w:p>
        </w:tc>
        <w:tc>
          <w:tcPr>
            <w:tcW w:w="100" w:type="dxa"/>
            <w:vAlign w:val="bottom"/>
            <w:tcBorders>
              <w:top w:val="single" w:sz="8" w:color="auto"/>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85"/>
              </w:rPr>
              <w:t>$ 273</w:t>
            </w:r>
          </w:p>
        </w:tc>
        <w:tc>
          <w:tcPr>
            <w:tcW w:w="280" w:type="dxa"/>
            <w:vAlign w:val="bottom"/>
            <w:gridSpan w:val="2"/>
          </w:tcPr>
          <w:p>
            <w:pPr>
              <w:spacing w:after="0"/>
              <w:rPr>
                <w:sz w:val="12"/>
                <w:szCs w:val="12"/>
                <w:color w:val="auto"/>
              </w:rPr>
            </w:pPr>
          </w:p>
        </w:tc>
        <w:tc>
          <w:tcPr>
            <w:tcW w:w="3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9"/>
              </w:rPr>
              <w:t>$ 412</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5600"/>
              <w:spacing w:after="0"/>
              <w:rPr>
                <w:sz w:val="20"/>
                <w:szCs w:val="20"/>
                <w:color w:val="auto"/>
              </w:rPr>
            </w:pPr>
            <w:r>
              <w:rPr>
                <w:rFonts w:ascii="Arial" w:cs="Arial" w:eastAsia="Arial" w:hAnsi="Arial"/>
                <w:sz w:val="13"/>
                <w:szCs w:val="13"/>
                <w:color w:val="auto"/>
              </w:rPr>
              <w:t>71</w:t>
            </w:r>
          </w:p>
        </w:tc>
        <w:tc>
          <w:tcPr>
            <w:tcW w:w="1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740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670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83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5"/>
                <w:szCs w:val="15"/>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$ 160</w:t>
            </w: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$ 133</w:t>
            </w:r>
          </w:p>
        </w:tc>
        <w:tc>
          <w:tcPr>
            <w:tcW w:w="160" w:type="dxa"/>
            <w:vAlign w:val="bottom"/>
          </w:tcPr>
          <w:p>
            <w:pPr>
              <w:spacing w:after="0"/>
              <w:rPr>
                <w:sz w:val="12"/>
                <w:szCs w:val="12"/>
                <w:color w:val="auto"/>
              </w:rPr>
            </w:pP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60" w:type="dxa"/>
            <w:vAlign w:val="bottom"/>
          </w:tcPr>
          <w:p>
            <w:pPr>
              <w:spacing w:after="0"/>
              <w:rPr>
                <w:sz w:val="12"/>
                <w:szCs w:val="12"/>
                <w:color w:val="auto"/>
              </w:rPr>
            </w:pPr>
          </w:p>
        </w:tc>
      </w:tr>
      <w:tr>
        <w:trPr>
          <w:trHeight w:val="149"/>
        </w:trPr>
        <w:tc>
          <w:tcPr>
            <w:tcW w:w="832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65</w:t>
            </w:r>
          </w:p>
        </w:tc>
        <w:tc>
          <w:tcPr>
            <w:tcW w:w="60" w:type="dxa"/>
            <w:vAlign w:val="bottom"/>
          </w:tcPr>
          <w:p>
            <w:pPr>
              <w:spacing w:after="0"/>
              <w:rPr>
                <w:sz w:val="12"/>
                <w:szCs w:val="12"/>
                <w:color w:val="auto"/>
              </w:rPr>
            </w:pPr>
          </w:p>
        </w:tc>
      </w:tr>
      <w:tr>
        <w:trPr>
          <w:trHeight w:val="185"/>
        </w:trPr>
        <w:tc>
          <w:tcPr>
            <w:tcW w:w="8320" w:type="dxa"/>
            <w:vAlign w:val="bottom"/>
          </w:tcPr>
          <w:p>
            <w:pPr>
              <w:spacing w:after="0"/>
              <w:rPr>
                <w:sz w:val="20"/>
                <w:szCs w:val="20"/>
                <w:color w:val="auto"/>
              </w:rPr>
            </w:pPr>
            <w:r>
              <w:rPr>
                <w:rFonts w:ascii="Arial" w:cs="Arial" w:eastAsia="Arial" w:hAnsi="Arial"/>
                <w:sz w:val="14"/>
                <w:szCs w:val="14"/>
                <w:color w:val="auto"/>
              </w:rPr>
              <w:t>Amounts written off</w:t>
            </w: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w:t>
            </w:r>
          </w:p>
        </w:tc>
        <w:tc>
          <w:tcPr>
            <w:tcW w:w="660" w:type="dxa"/>
            <w:vAlign w:val="bottom"/>
            <w:gridSpan w:val="3"/>
          </w:tcPr>
          <w:p>
            <w:pPr>
              <w:jc w:val="right"/>
              <w:ind w:right="120"/>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(18)</w:t>
            </w:r>
          </w:p>
        </w:tc>
      </w:tr>
      <w:tr>
        <w:trPr>
          <w:trHeight w:val="156"/>
        </w:trPr>
        <w:tc>
          <w:tcPr>
            <w:tcW w:w="83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Balance at end of year</w:t>
            </w: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$ 185</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$ 160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133</w:t>
            </w:r>
          </w:p>
        </w:tc>
        <w:tc>
          <w:tcPr>
            <w:tcW w:w="60" w:type="dxa"/>
            <w:vAlign w:val="bottom"/>
          </w:tcPr>
          <w:p>
            <w:pPr>
              <w:spacing w:after="0"/>
              <w:rPr>
                <w:sz w:val="13"/>
                <w:szCs w:val="13"/>
                <w:color w:val="auto"/>
              </w:rPr>
            </w:pP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26" w:lineRule="exact"/>
        <w:rPr>
          <w:sz w:val="20"/>
          <w:szCs w:val="20"/>
          <w:color w:val="auto"/>
        </w:rPr>
      </w:pPr>
    </w:p>
    <w:p>
      <w:pPr>
        <w:ind w:left="700" w:right="160" w:firstLine="198"/>
        <w:spacing w:after="0" w:line="254" w:lineRule="auto"/>
        <w:rPr>
          <w:sz w:val="20"/>
          <w:szCs w:val="20"/>
          <w:color w:val="auto"/>
        </w:rPr>
      </w:pPr>
      <w:r>
        <w:rPr>
          <w:rFonts w:ascii="Arial" w:cs="Arial" w:eastAsia="Arial" w:hAnsi="Arial"/>
          <w:sz w:val="18"/>
          <w:szCs w:val="18"/>
          <w:color w:val="auto"/>
        </w:rPr>
        <w:t xml:space="preserve">During the fourth quarter of 2009, Schlumberger recorded a net $22 million charge related to the resolution of a customs assessment pertaining to its former offshore contract drilling business, as well as the resolution of certain contingencies associated with other previously disposed of businesses. This amount is included in </w:t>
      </w: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2" w:lineRule="exact"/>
        <w:rPr>
          <w:sz w:val="20"/>
          <w:szCs w:val="20"/>
          <w:color w:val="auto"/>
        </w:rPr>
      </w:pPr>
    </w:p>
    <w:p>
      <w:pPr>
        <w:ind w:left="700" w:right="320" w:firstLine="198"/>
        <w:spacing w:after="0" w:line="255" w:lineRule="auto"/>
        <w:rPr>
          <w:sz w:val="20"/>
          <w:szCs w:val="20"/>
          <w:color w:val="auto"/>
        </w:rPr>
      </w:pPr>
      <w:r>
        <w:rPr>
          <w:rFonts w:ascii="Arial" w:cs="Arial" w:eastAsia="Arial" w:hAnsi="Arial"/>
          <w:sz w:val="18"/>
          <w:szCs w:val="18"/>
          <w:color w:val="auto"/>
        </w:rPr>
        <w:t xml:space="preserve">During the first quarter of 2008, Schlumberger recorded a gain of $38 million related to the resolution of a contingency associated with a previously disposed of business. This gain is included in </w:t>
      </w:r>
      <w:r>
        <w:rPr>
          <w:rFonts w:ascii="Arial" w:cs="Arial" w:eastAsia="Arial" w:hAnsi="Arial"/>
          <w:sz w:val="18"/>
          <w:szCs w:val="18"/>
          <w:i w:val="1"/>
          <w:iCs w:val="1"/>
          <w:color w:val="auto"/>
        </w:rPr>
        <w:t>Income (Loss) from Discontinued Operations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w:t>
      </w:r>
      <w:r>
        <w:rPr>
          <w:rFonts w:ascii="Arial" w:cs="Arial" w:eastAsia="Arial" w:hAnsi="Arial"/>
          <w:sz w:val="18"/>
          <w:szCs w:val="18"/>
          <w:color w:val="auto"/>
        </w:rPr>
        <w:t>.</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6" w:lineRule="exact"/>
        <w:rPr>
          <w:sz w:val="20"/>
          <w:szCs w:val="20"/>
          <w:color w:val="auto"/>
        </w:rPr>
      </w:pPr>
    </w:p>
    <w:p>
      <w:pPr>
        <w:ind w:left="700" w:right="240" w:firstLine="198"/>
        <w:spacing w:after="0" w:line="286" w:lineRule="auto"/>
        <w:rPr>
          <w:sz w:val="20"/>
          <w:szCs w:val="20"/>
          <w:color w:val="auto"/>
        </w:rPr>
      </w:pPr>
      <w:r>
        <w:rPr>
          <w:rFonts w:ascii="Arial" w:cs="Arial" w:eastAsia="Arial" w:hAnsi="Arial"/>
          <w:sz w:val="16"/>
          <w:szCs w:val="16"/>
          <w:color w:val="auto"/>
        </w:rPr>
        <w:t>The management of Schlumberger Limited is responsible for establishing and maintaining adequate internal control over financial reporting as defined in Rule 13a – 15(f) of the Securities Exchange Act of 1934, as amended.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2" w:lineRule="exact"/>
        <w:rPr>
          <w:sz w:val="20"/>
          <w:szCs w:val="20"/>
          <w:color w:val="auto"/>
        </w:rPr>
      </w:pPr>
    </w:p>
    <w:p>
      <w:pPr>
        <w:ind w:left="700" w:right="20" w:firstLine="19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left="700" w:firstLine="198"/>
        <w:spacing w:after="0" w:line="265" w:lineRule="auto"/>
        <w:rPr>
          <w:sz w:val="20"/>
          <w:szCs w:val="20"/>
          <w:color w:val="auto"/>
        </w:rPr>
      </w:pPr>
      <w:r>
        <w:rPr>
          <w:rFonts w:ascii="Arial" w:cs="Arial" w:eastAsia="Arial" w:hAnsi="Arial"/>
          <w:sz w:val="17"/>
          <w:szCs w:val="17"/>
          <w:color w:val="auto"/>
        </w:rPr>
        <w:t xml:space="preserve">Schlumberger Limited management assessed the effectiveness of its internal control over financial reporting as of December 31, 2010. In making this assessment, it used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Based on this assessment Schlumberger Limited management has concluded that, as of December 31, 2010, its internal control over financial reporting is effective based on those criteria.</w:t>
      </w:r>
    </w:p>
    <w:p>
      <w:pPr>
        <w:spacing w:after="0" w:line="1" w:lineRule="exact"/>
        <w:rPr>
          <w:sz w:val="20"/>
          <w:szCs w:val="20"/>
          <w:color w:val="auto"/>
        </w:rPr>
      </w:pPr>
    </w:p>
    <w:p>
      <w:pPr>
        <w:ind w:left="700" w:right="180" w:firstLine="198"/>
        <w:spacing w:after="0" w:line="323" w:lineRule="auto"/>
        <w:rPr>
          <w:sz w:val="20"/>
          <w:szCs w:val="20"/>
          <w:color w:val="auto"/>
        </w:rPr>
      </w:pPr>
      <w:r>
        <w:rPr>
          <w:rFonts w:ascii="Arial" w:cs="Arial" w:eastAsia="Arial" w:hAnsi="Arial"/>
          <w:sz w:val="16"/>
          <w:szCs w:val="16"/>
          <w:color w:val="auto"/>
        </w:rPr>
        <w:t>The effectiveness of Schlumberger Limited’s internal control over financial reporting as of December 31, 2010, has been audited by PricewaterhouseCoopers LLP, an independent registered public accounting firm, as stated in their report which appears herein.</w:t>
      </w:r>
    </w:p>
    <w:p>
      <w:pPr>
        <w:spacing w:after="0" w:line="328"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3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of Schlumberger Limited</w:t>
      </w:r>
    </w:p>
    <w:p>
      <w:pPr>
        <w:spacing w:after="0" w:line="116" w:lineRule="exact"/>
        <w:rPr>
          <w:sz w:val="20"/>
          <w:szCs w:val="20"/>
          <w:color w:val="auto"/>
        </w:rPr>
      </w:pPr>
    </w:p>
    <w:p>
      <w:pPr>
        <w:ind w:left="700" w:firstLine="198"/>
        <w:spacing w:after="0" w:line="282"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income, of stockholders’ equity and of cash flows present fairly, in all material respects, the financial position of Schlumberger Limited and its subsidiaries at December 31, 2010 and 2009, and the results of their operations and their cash flows for each of the three years in the period ended December 31, 2010 in conformity with accounting principles generally accepted in the United States of America. Also in our opinion, the Company maintained, in all material respects, effective internal control over financial reporting as of December 31,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 w:lineRule="exact"/>
        <w:rPr>
          <w:sz w:val="20"/>
          <w:szCs w:val="20"/>
          <w:color w:val="auto"/>
        </w:rPr>
      </w:pPr>
    </w:p>
    <w:p>
      <w:pPr>
        <w:ind w:left="700" w:firstLine="198"/>
        <w:spacing w:after="0" w:line="250"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4" w:lineRule="exact"/>
        <w:rPr>
          <w:sz w:val="20"/>
          <w:szCs w:val="20"/>
          <w:color w:val="auto"/>
        </w:rPr>
      </w:pPr>
    </w:p>
    <w:p>
      <w:pPr>
        <w:ind w:left="700" w:right="40" w:firstLine="19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RICEWATERHOUSE</w:t>
      </w:r>
      <w:r>
        <w:rPr>
          <w:rFonts w:ascii="Arial" w:cs="Arial" w:eastAsia="Arial" w:hAnsi="Arial"/>
          <w:sz w:val="18"/>
          <w:szCs w:val="18"/>
          <w:color w:val="auto"/>
        </w:rPr>
        <w:t>C</w:t>
      </w:r>
      <w:r>
        <w:rPr>
          <w:rFonts w:ascii="Arial" w:cs="Arial" w:eastAsia="Arial" w:hAnsi="Arial"/>
          <w:sz w:val="12"/>
          <w:szCs w:val="12"/>
          <w:color w:val="auto"/>
        </w:rPr>
        <w:t>OOPERS</w:t>
      </w:r>
      <w:r>
        <w:rPr>
          <w:rFonts w:ascii="Arial" w:cs="Arial" w:eastAsia="Arial" w:hAnsi="Arial"/>
          <w:sz w:val="18"/>
          <w:szCs w:val="18"/>
          <w:color w:val="auto"/>
        </w:rPr>
        <w:t xml:space="preserve"> LLP</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-130175</wp:posOffset>
            </wp:positionV>
            <wp:extent cx="188658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4, 2011</w:t>
      </w:r>
    </w:p>
    <w:p>
      <w:pPr>
        <w:spacing w:after="0" w:line="38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 Item 8, 9, 9A, 9B</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u w:val="single" w:color="auto"/>
          <w:color w:val="auto"/>
        </w:rPr>
        <w:t>Quarterly Results</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(Unaudited)</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table summarizes Schlumberger’s results by quarter for the years ended December 31, 2010 and 2009.</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(Stated in millions except per share amounts)</w:t>
      </w:r>
    </w:p>
    <w:p>
      <w:pPr>
        <w:spacing w:after="0" w:line="10" w:lineRule="exact"/>
        <w:rPr>
          <w:sz w:val="20"/>
          <w:szCs w:val="20"/>
          <w:color w:val="auto"/>
        </w:rPr>
      </w:pPr>
    </w:p>
    <w:tbl>
      <w:tblPr>
        <w:tblLayout w:type="fixed"/>
        <w:tblInd w:w="70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5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4"/>
          </w:tcPr>
          <w:p>
            <w:pPr>
              <w:jc w:val="right"/>
              <w:spacing w:after="0" w:line="119" w:lineRule="exact"/>
              <w:rPr>
                <w:sz w:val="20"/>
                <w:szCs w:val="20"/>
                <w:color w:val="auto"/>
              </w:rPr>
            </w:pPr>
            <w:r>
              <w:rPr>
                <w:rFonts w:ascii="Arial" w:cs="Arial" w:eastAsia="Arial" w:hAnsi="Arial"/>
                <w:sz w:val="13"/>
                <w:szCs w:val="13"/>
                <w:b w:val="1"/>
                <w:bCs w:val="1"/>
                <w:color w:val="auto"/>
              </w:rPr>
              <w:t>Earnings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share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attributable to</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Schlumberger</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w:t>
            </w:r>
          </w:p>
        </w:tc>
        <w:tc>
          <w:tcPr>
            <w:tcW w:w="94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Margin</w:t>
            </w:r>
            <w:r>
              <w:rPr>
                <w:rFonts w:ascii="Arial" w:cs="Arial" w:eastAsia="Arial" w:hAnsi="Arial"/>
                <w:sz w:val="12"/>
                <w:szCs w:val="12"/>
                <w:b w:val="1"/>
                <w:bCs w:val="1"/>
                <w:color w:val="auto"/>
              </w:rPr>
              <w:t>1,2</w:t>
            </w:r>
          </w:p>
        </w:tc>
        <w:tc>
          <w:tcPr>
            <w:tcW w:w="106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Schlumberger</w:t>
            </w:r>
            <w:r>
              <w:rPr>
                <w:rFonts w:ascii="Arial" w:cs="Arial" w:eastAsia="Arial" w:hAnsi="Arial"/>
                <w:sz w:val="12"/>
                <w:szCs w:val="12"/>
                <w:b w:val="1"/>
                <w:bCs w:val="1"/>
                <w:color w:val="auto"/>
                <w:w w:val="89"/>
              </w:rPr>
              <w:t>2</w:t>
            </w: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Basic</w:t>
            </w:r>
          </w:p>
        </w:tc>
        <w:tc>
          <w:tcPr>
            <w:tcW w:w="2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Diluted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Quarters-2010</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260"/>
              <w:spacing w:after="0" w:line="149" w:lineRule="exact"/>
              <w:rPr>
                <w:sz w:val="20"/>
                <w:szCs w:val="20"/>
                <w:color w:val="auto"/>
              </w:rPr>
            </w:pPr>
            <w:r>
              <w:rPr>
                <w:rFonts w:ascii="Arial" w:cs="Arial" w:eastAsia="Arial" w:hAnsi="Arial"/>
                <w:sz w:val="14"/>
                <w:szCs w:val="14"/>
                <w:color w:val="auto"/>
              </w:rPr>
              <w:t>First</w:t>
            </w:r>
            <w:r>
              <w:rPr>
                <w:rFonts w:ascii="Arial" w:cs="Arial" w:eastAsia="Arial" w:hAnsi="Arial"/>
                <w:sz w:val="12"/>
                <w:szCs w:val="12"/>
                <w:color w:val="auto"/>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5,598</w:t>
            </w:r>
          </w:p>
        </w:tc>
        <w:tc>
          <w:tcPr>
            <w:tcW w:w="100" w:type="dxa"/>
            <w:vAlign w:val="bottom"/>
          </w:tcPr>
          <w:p>
            <w:pPr>
              <w:spacing w:after="0"/>
              <w:rPr>
                <w:sz w:val="12"/>
                <w:szCs w:val="12"/>
                <w:color w:val="auto"/>
              </w:rPr>
            </w:pP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1,256</w:t>
            </w:r>
          </w:p>
        </w:tc>
        <w:tc>
          <w:tcPr>
            <w:tcW w:w="140" w:type="dxa"/>
            <w:vAlign w:val="bottom"/>
          </w:tcPr>
          <w:p>
            <w:pPr>
              <w:spacing w:after="0"/>
              <w:rPr>
                <w:sz w:val="12"/>
                <w:szCs w:val="12"/>
                <w:color w:val="auto"/>
              </w:rPr>
            </w:pP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0.56</w:t>
            </w:r>
          </w:p>
        </w:tc>
        <w:tc>
          <w:tcPr>
            <w:tcW w:w="4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Second</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5,937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0.69</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260"/>
              <w:spacing w:after="0" w:line="149" w:lineRule="exact"/>
              <w:rPr>
                <w:sz w:val="20"/>
                <w:szCs w:val="20"/>
                <w:color w:val="auto"/>
              </w:rPr>
            </w:pPr>
            <w:r>
              <w:rPr>
                <w:rFonts w:ascii="Arial" w:cs="Arial" w:eastAsia="Arial" w:hAnsi="Arial"/>
                <w:sz w:val="14"/>
                <w:szCs w:val="14"/>
                <w:color w:val="auto"/>
              </w:rPr>
              <w:t>Third</w:t>
            </w:r>
            <w:r>
              <w:rPr>
                <w:rFonts w:ascii="Arial" w:cs="Arial" w:eastAsia="Arial" w:hAnsi="Arial"/>
                <w:sz w:val="12"/>
                <w:szCs w:val="12"/>
                <w:color w:val="auto"/>
              </w:rPr>
              <w:t>4</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1,461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1,734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Fourth</w:t>
            </w:r>
            <w:r>
              <w:rPr>
                <w:rFonts w:ascii="Arial" w:cs="Arial" w:eastAsia="Arial" w:hAnsi="Arial"/>
                <w:sz w:val="12"/>
                <w:szCs w:val="12"/>
                <w:color w:val="auto"/>
              </w:rPr>
              <w:t>5</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27,447</w:t>
            </w:r>
          </w:p>
        </w:tc>
        <w:tc>
          <w:tcPr>
            <w:tcW w:w="1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5,948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4,267</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3.41</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Quarters-2009</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260"/>
              <w:spacing w:after="0" w:line="149" w:lineRule="exact"/>
              <w:rPr>
                <w:sz w:val="20"/>
                <w:szCs w:val="20"/>
                <w:color w:val="auto"/>
              </w:rPr>
            </w:pPr>
            <w:r>
              <w:rPr>
                <w:rFonts w:ascii="Arial" w:cs="Arial" w:eastAsia="Arial" w:hAnsi="Arial"/>
                <w:sz w:val="14"/>
                <w:szCs w:val="14"/>
                <w:color w:val="auto"/>
              </w:rPr>
              <w:t>First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6,000</w:t>
            </w:r>
          </w:p>
        </w:tc>
        <w:tc>
          <w:tcPr>
            <w:tcW w:w="100" w:type="dxa"/>
            <w:vAlign w:val="bottom"/>
          </w:tcPr>
          <w:p>
            <w:pPr>
              <w:spacing w:after="0"/>
              <w:rPr>
                <w:sz w:val="12"/>
                <w:szCs w:val="12"/>
                <w:color w:val="auto"/>
              </w:rPr>
            </w:pPr>
          </w:p>
        </w:tc>
        <w:tc>
          <w:tcPr>
            <w:tcW w:w="3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1,490</w:t>
            </w:r>
          </w:p>
        </w:tc>
        <w:tc>
          <w:tcPr>
            <w:tcW w:w="140" w:type="dxa"/>
            <w:vAlign w:val="bottom"/>
          </w:tcPr>
          <w:p>
            <w:pPr>
              <w:spacing w:after="0"/>
              <w:rPr>
                <w:sz w:val="12"/>
                <w:szCs w:val="12"/>
                <w:color w:val="auto"/>
              </w:rPr>
            </w:pPr>
          </w:p>
        </w:tc>
        <w:tc>
          <w:tcPr>
            <w:tcW w:w="2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938</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4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 xml:space="preserve">Second </w:t>
            </w:r>
            <w:r>
              <w:rPr>
                <w:rFonts w:ascii="Arial" w:cs="Arial" w:eastAsia="Arial" w:hAnsi="Arial"/>
                <w:sz w:val="12"/>
                <w:szCs w:val="12"/>
                <w:color w:val="auto"/>
              </w:rPr>
              <w:t>6</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5,528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260"/>
              <w:spacing w:after="0" w:line="149" w:lineRule="exact"/>
              <w:rPr>
                <w:sz w:val="20"/>
                <w:szCs w:val="20"/>
                <w:color w:val="auto"/>
              </w:rPr>
            </w:pPr>
            <w:r>
              <w:rPr>
                <w:rFonts w:ascii="Arial" w:cs="Arial" w:eastAsia="Arial" w:hAnsi="Arial"/>
                <w:sz w:val="14"/>
                <w:szCs w:val="14"/>
                <w:color w:val="auto"/>
              </w:rPr>
              <w:t>Third</w:t>
            </w: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5,430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1,286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0.66</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Fourth</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5,744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22,702</w:t>
            </w:r>
          </w:p>
        </w:tc>
        <w:tc>
          <w:tcPr>
            <w:tcW w:w="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3,134</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w:t>
            </w:r>
          </w:p>
        </w:tc>
        <w:tc>
          <w:tcPr>
            <w:tcW w:w="2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900" w:hanging="207"/>
        <w:spacing w:after="0"/>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Gross margin equals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less </w:t>
      </w:r>
      <w:r>
        <w:rPr>
          <w:rFonts w:ascii="Arial" w:cs="Arial" w:eastAsia="Arial" w:hAnsi="Arial"/>
          <w:sz w:val="14"/>
          <w:szCs w:val="14"/>
          <w:i w:val="1"/>
          <w:iCs w:val="1"/>
          <w:color w:val="auto"/>
        </w:rPr>
        <w:t>Cost of revenue</w:t>
      </w:r>
      <w:r>
        <w:rPr>
          <w:rFonts w:ascii="Arial" w:cs="Arial" w:eastAsia="Arial" w:hAnsi="Arial"/>
          <w:sz w:val="14"/>
          <w:szCs w:val="14"/>
          <w:color w:val="auto"/>
        </w:rPr>
        <w:t>.</w:t>
      </w:r>
    </w:p>
    <w:p>
      <w:pPr>
        <w:ind w:left="900" w:hanging="207"/>
        <w:spacing w:after="0" w:line="221"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ind w:left="900" w:hanging="207"/>
        <w:spacing w:after="0" w:line="221"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in the first quarter of 2010 includes after-tax charges of $75 million.</w:t>
      </w:r>
    </w:p>
    <w:p>
      <w:pPr>
        <w:ind w:left="900" w:hanging="207"/>
        <w:spacing w:after="0" w:line="221"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in the third quarter of 2010 includes net after-tax credits of $859 million.</w:t>
      </w:r>
    </w:p>
    <w:p>
      <w:pPr>
        <w:ind w:left="900" w:hanging="207"/>
        <w:spacing w:after="0" w:line="221"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in the fourth quarter of 2010 includes after-tax charges of $121 million.</w:t>
      </w:r>
    </w:p>
    <w:p>
      <w:pPr>
        <w:ind w:left="700" w:right="4860" w:hanging="7"/>
        <w:spacing w:after="0" w:line="237" w:lineRule="auto"/>
        <w:tabs>
          <w:tab w:leader="none" w:pos="903" w:val="left"/>
        </w:tabs>
        <w:numPr>
          <w:ilvl w:val="0"/>
          <w:numId w:val="53"/>
        </w:numPr>
        <w:rPr>
          <w:rFonts w:ascii="Arial" w:cs="Arial" w:eastAsia="Arial" w:hAnsi="Arial"/>
          <w:sz w:val="14"/>
          <w:szCs w:val="14"/>
          <w:color w:val="auto"/>
        </w:rPr>
      </w:pPr>
      <w:r>
        <w:rPr>
          <w:rFonts w:ascii="Arial" w:cs="Arial" w:eastAsia="Arial" w:hAnsi="Arial"/>
          <w:sz w:val="14"/>
          <w:szCs w:val="14"/>
          <w:color w:val="auto"/>
        </w:rPr>
        <w:t>Net income in the second quarter of 2009 includes after-tax charges of $207 million. * Mark of Schlumberger</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9</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Changes in and Disagreements with Accountants on Accounting and Financial Disclosure</w:t>
      </w:r>
      <w:r>
        <w:rPr>
          <w:rFonts w:ascii="Arial" w:cs="Arial" w:eastAsia="Arial" w:hAnsi="Arial"/>
          <w:sz w:val="18"/>
          <w:szCs w:val="18"/>
          <w:b w:val="1"/>
          <w:bCs w:val="1"/>
          <w:i w:val="1"/>
          <w:iCs w:val="1"/>
          <w:color w:val="auto"/>
        </w:rPr>
        <w: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122"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9A</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Controls and Procedures</w:t>
      </w:r>
      <w:r>
        <w:rPr>
          <w:rFonts w:ascii="Arial" w:cs="Arial" w:eastAsia="Arial" w:hAnsi="Arial"/>
          <w:sz w:val="18"/>
          <w:szCs w:val="18"/>
          <w:b w:val="1"/>
          <w:bCs w:val="1"/>
          <w:i w:val="1"/>
          <w:iCs w:val="1"/>
          <w:color w:val="auto"/>
        </w:rPr>
        <w:t>.</w:t>
      </w:r>
    </w:p>
    <w:p>
      <w:pPr>
        <w:spacing w:after="0" w:line="126" w:lineRule="exact"/>
        <w:rPr>
          <w:sz w:val="20"/>
          <w:szCs w:val="20"/>
          <w:color w:val="auto"/>
        </w:rPr>
      </w:pPr>
    </w:p>
    <w:p>
      <w:pPr>
        <w:ind w:left="700" w:right="20" w:firstLine="198"/>
        <w:spacing w:after="0" w:line="268"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2010,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 rules and forms.</w:t>
      </w:r>
    </w:p>
    <w:p>
      <w:pPr>
        <w:spacing w:after="0" w:line="1" w:lineRule="exact"/>
        <w:rPr>
          <w:sz w:val="20"/>
          <w:szCs w:val="20"/>
          <w:color w:val="auto"/>
        </w:rPr>
      </w:pPr>
    </w:p>
    <w:p>
      <w:pPr>
        <w:ind w:left="700" w:firstLine="198"/>
        <w:spacing w:after="0" w:line="250" w:lineRule="auto"/>
        <w:rPr>
          <w:sz w:val="20"/>
          <w:szCs w:val="20"/>
          <w:color w:val="auto"/>
        </w:rPr>
      </w:pPr>
      <w:r>
        <w:rPr>
          <w:rFonts w:ascii="Arial" w:cs="Arial" w:eastAsia="Arial" w:hAnsi="Arial"/>
          <w:sz w:val="18"/>
          <w:szCs w:val="18"/>
          <w:color w:val="auto"/>
        </w:rPr>
        <w:t>There has been no change in Schlumberger’s internal control over financial reporting that occurred during the quarter ended December 31, 2010 that has materially affected, or is reasonably likely to materially affect, Schlumberger’s internal control over financial reporting.</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See Management’s Report on Internal Control Over Financial Reporting.</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9B</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u w:val="single" w:color="auto"/>
          <w:color w:val="auto"/>
        </w:rPr>
        <w:t>Other Information</w:t>
      </w:r>
      <w:r>
        <w:rPr>
          <w:rFonts w:ascii="Arial" w:cs="Arial" w:eastAsia="Arial" w:hAnsi="Arial"/>
          <w:sz w:val="18"/>
          <w:szCs w:val="18"/>
          <w:b w:val="1"/>
          <w:bCs w:val="1"/>
          <w:i w:val="1"/>
          <w:iCs w:val="1"/>
          <w:color w:val="auto"/>
        </w:rPr>
        <w:t>.</w:t>
      </w:r>
    </w:p>
    <w:p>
      <w:pPr>
        <w:spacing w:after="0" w:line="1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III, Item 10, 11, 12</w:t>
      </w:r>
    </w:p>
    <w:p>
      <w:pPr>
        <w:spacing w:after="0" w:line="3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PART III</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Directors, Executive Officers and Corporate Governance of Schlumberger</w:t>
      </w:r>
      <w:r>
        <w:rPr>
          <w:rFonts w:ascii="Arial" w:cs="Arial" w:eastAsia="Arial" w:hAnsi="Arial"/>
          <w:sz w:val="18"/>
          <w:szCs w:val="18"/>
          <w:b w:val="1"/>
          <w:bCs w:val="1"/>
          <w:color w:val="auto"/>
        </w:rPr>
        <w:t>.</w:t>
      </w:r>
    </w:p>
    <w:p>
      <w:pPr>
        <w:spacing w:after="0" w:line="126" w:lineRule="exact"/>
        <w:rPr>
          <w:sz w:val="20"/>
          <w:szCs w:val="20"/>
          <w:color w:val="auto"/>
        </w:rPr>
      </w:pPr>
    </w:p>
    <w:p>
      <w:pPr>
        <w:jc w:val="both"/>
        <w:ind w:left="700" w:right="280" w:firstLine="198"/>
        <w:spacing w:after="0" w:line="286" w:lineRule="auto"/>
        <w:rPr>
          <w:sz w:val="20"/>
          <w:szCs w:val="20"/>
          <w:color w:val="auto"/>
        </w:rPr>
      </w:pPr>
      <w:r>
        <w:rPr>
          <w:rFonts w:ascii="Arial" w:cs="Arial" w:eastAsia="Arial" w:hAnsi="Arial"/>
          <w:sz w:val="16"/>
          <w:szCs w:val="16"/>
          <w:color w:val="auto"/>
        </w:rPr>
        <w:t>See “Item 4. Submission of Matters to a Vote of Security Holders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2011 Proxy Statement is incorporated herein by reference.</w:t>
      </w:r>
    </w:p>
    <w:p>
      <w:pPr>
        <w:spacing w:after="0" w:line="2" w:lineRule="exact"/>
        <w:rPr>
          <w:sz w:val="20"/>
          <w:szCs w:val="20"/>
          <w:color w:val="auto"/>
        </w:rPr>
      </w:pPr>
    </w:p>
    <w:p>
      <w:pPr>
        <w:ind w:left="700" w:firstLine="198"/>
        <w:spacing w:after="0" w:line="253" w:lineRule="auto"/>
        <w:rPr>
          <w:sz w:val="20"/>
          <w:szCs w:val="20"/>
          <w:color w:val="auto"/>
        </w:rPr>
      </w:pPr>
      <w:r>
        <w:rPr>
          <w:rFonts w:ascii="Arial" w:cs="Arial" w:eastAsia="Arial" w:hAnsi="Arial"/>
          <w:sz w:val="18"/>
          <w:szCs w:val="18"/>
          <w:color w:val="auto"/>
        </w:rPr>
        <w:t xml:space="preserve">Schlumberger has adopted a Code of Ethics that applies to all of its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8"/>
          <w:szCs w:val="18"/>
          <w:u w:val="single" w:color="auto"/>
          <w:color w:val="auto"/>
        </w:rPr>
        <w:t>www.slb.com/ir</w:t>
      </w:r>
      <w:r>
        <w:rPr>
          <w:rFonts w:ascii="Arial" w:cs="Arial" w:eastAsia="Arial" w:hAnsi="Arial"/>
          <w:sz w:val="18"/>
          <w:szCs w:val="18"/>
          <w:color w:val="auto"/>
        </w:rPr>
        <w:t xml:space="preserve">. In addition, amendments to the Code of Ethics and any grant of a waiver from a provision of the Code of Ethics requiring disclosure under applicable SEC rules will be disclosed on Schlumberger’s corporate governance website located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88"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Executive Compensation</w:t>
      </w:r>
      <w:r>
        <w:rPr>
          <w:rFonts w:ascii="Arial" w:cs="Arial" w:eastAsia="Arial" w:hAnsi="Arial"/>
          <w:sz w:val="18"/>
          <w:szCs w:val="18"/>
          <w:b w:val="1"/>
          <w:bCs w:val="1"/>
          <w:color w:val="auto"/>
        </w:rPr>
        <w:t>.</w:t>
      </w:r>
    </w:p>
    <w:p>
      <w:pPr>
        <w:spacing w:after="0" w:line="126" w:lineRule="exact"/>
        <w:rPr>
          <w:sz w:val="20"/>
          <w:szCs w:val="20"/>
          <w:color w:val="auto"/>
        </w:rPr>
      </w:pPr>
    </w:p>
    <w:p>
      <w:pPr>
        <w:ind w:left="700" w:right="220" w:firstLine="198"/>
        <w:spacing w:after="0" w:line="342" w:lineRule="auto"/>
        <w:rPr>
          <w:sz w:val="20"/>
          <w:szCs w:val="20"/>
          <w:color w:val="auto"/>
        </w:rPr>
      </w:pPr>
      <w:r>
        <w:rPr>
          <w:rFonts w:ascii="Arial" w:cs="Arial" w:eastAsia="Arial" w:hAnsi="Arial"/>
          <w:sz w:val="16"/>
          <w:szCs w:val="16"/>
          <w:color w:val="auto"/>
        </w:rPr>
        <w:t>The information set forth under the captions “Compensation Discussion and Analysis,” “Executive Compensation,” “Compensation Committee Report” and “Director Compensation” in Schlumberger’s 2011 Proxy Statement is incorporated herein by reference.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Security Ownership of Certain Beneficial Owners and Management and Related Stockholder Matters</w:t>
      </w:r>
      <w:r>
        <w:rPr>
          <w:rFonts w:ascii="Arial" w:cs="Arial" w:eastAsia="Arial" w:hAnsi="Arial"/>
          <w:sz w:val="18"/>
          <w:szCs w:val="18"/>
          <w:b w:val="1"/>
          <w:bCs w:val="1"/>
          <w:color w:val="auto"/>
        </w:rPr>
        <w:t>.</w:t>
      </w:r>
    </w:p>
    <w:p>
      <w:pPr>
        <w:spacing w:after="0" w:line="126" w:lineRule="exact"/>
        <w:rPr>
          <w:sz w:val="20"/>
          <w:szCs w:val="20"/>
          <w:color w:val="auto"/>
        </w:rPr>
      </w:pPr>
    </w:p>
    <w:p>
      <w:pPr>
        <w:ind w:left="700" w:right="20" w:firstLine="198"/>
        <w:spacing w:after="0" w:line="277" w:lineRule="auto"/>
        <w:rPr>
          <w:sz w:val="20"/>
          <w:szCs w:val="20"/>
          <w:color w:val="auto"/>
        </w:rPr>
      </w:pPr>
      <w:r>
        <w:rPr>
          <w:rFonts w:ascii="Arial" w:cs="Arial" w:eastAsia="Arial" w:hAnsi="Arial"/>
          <w:sz w:val="18"/>
          <w:szCs w:val="18"/>
          <w:color w:val="auto"/>
        </w:rPr>
        <w:t>The information under the captions “Security Ownership by Certain Beneficial Owners” and “Security Ownership by Management” in Schlumberger’s 2011 Proxy Statement is incorporated herein by reference.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126" w:lineRule="exact"/>
        <w:rPr>
          <w:sz w:val="20"/>
          <w:szCs w:val="20"/>
          <w:color w:val="auto"/>
        </w:rPr>
      </w:pPr>
    </w:p>
    <w:p>
      <w:pPr>
        <w:ind w:left="700" w:right="160" w:firstLine="198"/>
        <w:spacing w:after="0" w:line="277" w:lineRule="auto"/>
        <w:rPr>
          <w:sz w:val="20"/>
          <w:szCs w:val="20"/>
          <w:color w:val="auto"/>
        </w:rPr>
      </w:pPr>
      <w:r>
        <w:rPr>
          <w:rFonts w:ascii="Arial" w:cs="Arial" w:eastAsia="Arial" w:hAnsi="Arial"/>
          <w:sz w:val="18"/>
          <w:szCs w:val="18"/>
          <w:color w:val="auto"/>
        </w:rPr>
        <w:t>The table below sets forth the following information as of December 31, 2010 for (1) all compensation plans previously approved by our stockholders and (2) all compensation plans not previously approved by our stockholders.</w:t>
      </w:r>
    </w:p>
    <w:p>
      <w:pPr>
        <w:spacing w:after="0" w:line="6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 Number of securities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(c) 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(b) Weighted-average exercise</w:t>
            </w:r>
          </w:p>
        </w:tc>
        <w:tc>
          <w:tcPr>
            <w:tcW w:w="280" w:type="dxa"/>
            <w:vAlign w:val="bottom"/>
          </w:tcPr>
          <w:p>
            <w:pPr>
              <w:spacing w:after="0"/>
              <w:rPr>
                <w:sz w:val="12"/>
                <w:szCs w:val="12"/>
                <w:color w:val="auto"/>
              </w:rPr>
            </w:pPr>
          </w:p>
        </w:tc>
        <w:tc>
          <w:tcPr>
            <w:tcW w:w="1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to be issued upon exercise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162"/>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price of such outstanding</w:t>
            </w:r>
          </w:p>
        </w:tc>
        <w:tc>
          <w:tcPr>
            <w:tcW w:w="28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warrants and rights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w w:val="98"/>
              </w:rPr>
              <w:t>options, warrants and rights</w:t>
            </w:r>
          </w:p>
        </w:tc>
        <w:tc>
          <w:tcPr>
            <w:tcW w:w="28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compensation plans *</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compensation plans approved by security holders</w:t>
            </w:r>
          </w:p>
        </w:tc>
        <w:tc>
          <w:tcPr>
            <w:tcW w:w="1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39,721,715</w:t>
            </w:r>
          </w:p>
        </w:tc>
        <w:tc>
          <w:tcPr>
            <w:tcW w:w="4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52.24</w:t>
            </w:r>
          </w:p>
        </w:tc>
        <w:tc>
          <w:tcPr>
            <w:tcW w:w="1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31,458,983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w:t>
            </w:r>
          </w:p>
        </w:tc>
        <w:tc>
          <w:tcPr>
            <w:tcW w:w="1900" w:type="dxa"/>
            <w:vAlign w:val="bottom"/>
          </w:tcPr>
          <w:p>
            <w:pPr>
              <w:jc w:val="right"/>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14"/>
                <w:szCs w:val="14"/>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rPr>
                <w:sz w:val="12"/>
                <w:szCs w:val="12"/>
                <w:color w:val="auto"/>
              </w:rPr>
            </w:pPr>
          </w:p>
        </w:tc>
        <w:tc>
          <w:tcPr>
            <w:tcW w:w="1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39,721,715</w:t>
            </w:r>
          </w:p>
        </w:tc>
        <w:tc>
          <w:tcPr>
            <w:tcW w:w="1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52.24</w:t>
            </w:r>
          </w:p>
        </w:tc>
        <w:tc>
          <w:tcPr>
            <w:tcW w:w="1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31,458,983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3780" w:type="dxa"/>
            <w:vAlign w:val="bottom"/>
            <w:gridSpan w:val="2"/>
          </w:tcPr>
          <w:p>
            <w:pPr>
              <w:spacing w:after="0"/>
              <w:rPr>
                <w:sz w:val="20"/>
                <w:szCs w:val="20"/>
                <w:color w:val="auto"/>
              </w:rPr>
            </w:pPr>
            <w:r>
              <w:rPr>
                <w:rFonts w:ascii="Arial" w:cs="Arial" w:eastAsia="Arial" w:hAnsi="Arial"/>
                <w:sz w:val="14"/>
                <w:szCs w:val="14"/>
                <w:color w:val="auto"/>
              </w:rPr>
              <w:t>*  Excluding securities reflected in column (a)</w:t>
            </w:r>
          </w:p>
        </w:tc>
        <w:tc>
          <w:tcPr>
            <w:tcW w:w="1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-549275</wp:posOffset>
            </wp:positionV>
            <wp:extent cx="1714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72" w:lineRule="exact"/>
        <w:rPr>
          <w:sz w:val="20"/>
          <w:szCs w:val="20"/>
          <w:color w:val="auto"/>
        </w:rPr>
      </w:pPr>
    </w:p>
    <w:p>
      <w:pPr>
        <w:ind w:left="700" w:right="100" w:firstLine="198"/>
        <w:spacing w:after="0" w:line="257" w:lineRule="auto"/>
        <w:rPr>
          <w:sz w:val="20"/>
          <w:szCs w:val="20"/>
          <w:color w:val="auto"/>
        </w:rPr>
      </w:pPr>
      <w:r>
        <w:rPr>
          <w:rFonts w:ascii="Arial" w:cs="Arial" w:eastAsia="Arial" w:hAnsi="Arial"/>
          <w:sz w:val="18"/>
          <w:szCs w:val="18"/>
          <w:color w:val="auto"/>
        </w:rPr>
        <w:t>Equity compensation plans approved by Schlumberger stockholders include the Schlumberger 1994 Stock Option Plan, as amended; the Schlumberger 1998 Stock Option Plan, as amended; the Schlumberger 2001 Stock Option Plan, as amended; the Schlumberger 2005 Stock Incentive Plan, as amended; the Schlumberger 2008 Stock Incentive Plan, as amended; the 2010 Schlumberger Omnibus Stock Incentive Plan; the Schlumberger Discounted Stock Purchase Plan, as amended and the Schlumberger 2004 Stock and Deferral Plan for Non-Employee Directors.</w:t>
      </w:r>
    </w:p>
    <w:p>
      <w:pPr>
        <w:spacing w:after="0" w:line="377"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III, Item 13, 14</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Relationships and Related Transactions, and Director Independence</w:t>
      </w:r>
      <w:r>
        <w:rPr>
          <w:rFonts w:ascii="Arial" w:cs="Arial" w:eastAsia="Arial" w:hAnsi="Arial"/>
          <w:sz w:val="18"/>
          <w:szCs w:val="18"/>
          <w:b w:val="1"/>
          <w:bCs w:val="1"/>
          <w:color w:val="auto"/>
        </w:rPr>
        <w:t>.</w:t>
      </w:r>
    </w:p>
    <w:p>
      <w:pPr>
        <w:spacing w:after="0" w:line="126" w:lineRule="exact"/>
        <w:rPr>
          <w:sz w:val="20"/>
          <w:szCs w:val="20"/>
          <w:color w:val="auto"/>
        </w:rPr>
      </w:pPr>
    </w:p>
    <w:p>
      <w:pPr>
        <w:ind w:left="700" w:right="40" w:firstLine="198"/>
        <w:spacing w:after="0" w:line="342" w:lineRule="auto"/>
        <w:rPr>
          <w:sz w:val="20"/>
          <w:szCs w:val="20"/>
          <w:color w:val="auto"/>
        </w:rPr>
      </w:pPr>
      <w:r>
        <w:rPr>
          <w:rFonts w:ascii="Arial" w:cs="Arial" w:eastAsia="Arial" w:hAnsi="Arial"/>
          <w:sz w:val="16"/>
          <w:szCs w:val="16"/>
          <w:color w:val="auto"/>
        </w:rPr>
        <w:t>The information under the captions “Corporate Governance – Director Independence” and “Corporate Governance – Policies and Procedures for Approval of Related Person Transactions” in Schlumberger’s 2011 Proxy Statement is incorporated herein by reference.</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Principal Accounting Fees and Services</w:t>
      </w:r>
      <w:r>
        <w:rPr>
          <w:rFonts w:ascii="Arial" w:cs="Arial" w:eastAsia="Arial" w:hAnsi="Arial"/>
          <w:sz w:val="18"/>
          <w:szCs w:val="18"/>
          <w:b w:val="1"/>
          <w:bCs w:val="1"/>
          <w:color w:val="auto"/>
        </w:rPr>
        <w:t>.</w:t>
      </w:r>
    </w:p>
    <w:p>
      <w:pPr>
        <w:spacing w:after="0" w:line="126" w:lineRule="exact"/>
        <w:rPr>
          <w:sz w:val="20"/>
          <w:szCs w:val="20"/>
          <w:color w:val="auto"/>
        </w:rPr>
      </w:pPr>
    </w:p>
    <w:p>
      <w:pPr>
        <w:ind w:left="700" w:firstLine="198"/>
        <w:spacing w:after="0" w:line="277"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2011 Proxy Statement is incorporated herein by reference.</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Part IV, Item 15</w:t>
      </w:r>
    </w:p>
    <w:p>
      <w:pPr>
        <w:spacing w:after="0" w:line="33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PART IV</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Item 15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Exhibits and Financial Statement Schedules</w:t>
      </w:r>
      <w:r>
        <w:rPr>
          <w:rFonts w:ascii="Arial" w:cs="Arial" w:eastAsia="Arial" w:hAnsi="Arial"/>
          <w:sz w:val="18"/>
          <w:szCs w:val="18"/>
          <w:b w:val="1"/>
          <w:bCs w:val="1"/>
          <w:color w:val="auto"/>
        </w:rPr>
        <w:t>.</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244"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20" w:type="dxa"/>
            <w:vAlign w:val="bottom"/>
          </w:tcPr>
          <w:p>
            <w:pPr>
              <w:ind w:left="1380"/>
              <w:spacing w:after="0"/>
              <w:rPr>
                <w:sz w:val="20"/>
                <w:szCs w:val="20"/>
                <w:color w:val="auto"/>
              </w:rPr>
            </w:pPr>
            <w:r>
              <w:rPr>
                <w:rFonts w:ascii="Arial" w:cs="Arial" w:eastAsia="Arial" w:hAnsi="Arial"/>
                <w:sz w:val="14"/>
                <w:szCs w:val="14"/>
                <w:b w:val="1"/>
                <w:bCs w:val="1"/>
                <w:color w:val="auto"/>
              </w:rPr>
              <w:t>Page(s)</w:t>
            </w:r>
          </w:p>
        </w:tc>
      </w:tr>
      <w:tr>
        <w:trPr>
          <w:trHeight w:val="232"/>
        </w:trPr>
        <w:tc>
          <w:tcPr>
            <w:tcW w:w="7700" w:type="dxa"/>
            <w:vAlign w:val="bottom"/>
            <w:gridSpan w:val="9"/>
          </w:tcPr>
          <w:p>
            <w:pPr>
              <w:spacing w:after="0"/>
              <w:rPr>
                <w:sz w:val="20"/>
                <w:szCs w:val="20"/>
                <w:color w:val="auto"/>
              </w:rPr>
            </w:pPr>
            <w:r>
              <w:rPr>
                <w:rFonts w:ascii="Arial" w:cs="Arial" w:eastAsia="Arial" w:hAnsi="Arial"/>
                <w:sz w:val="16"/>
                <w:szCs w:val="16"/>
                <w:color w:val="auto"/>
              </w:rPr>
              <w:t>(1) Financial Statements</w:t>
            </w:r>
          </w:p>
        </w:tc>
        <w:tc>
          <w:tcPr>
            <w:tcW w:w="1920" w:type="dxa"/>
            <w:vAlign w:val="bottom"/>
          </w:tcPr>
          <w:p>
            <w:pPr>
              <w:spacing w:after="0"/>
              <w:rPr>
                <w:sz w:val="20"/>
                <w:szCs w:val="20"/>
                <w:color w:val="auto"/>
              </w:rPr>
            </w:pPr>
          </w:p>
        </w:tc>
      </w:tr>
      <w:tr>
        <w:trPr>
          <w:trHeight w:val="172"/>
        </w:trPr>
        <w:tc>
          <w:tcPr>
            <w:tcW w:w="320" w:type="dxa"/>
            <w:vAlign w:val="bottom"/>
          </w:tcPr>
          <w:p>
            <w:pPr>
              <w:spacing w:after="0"/>
              <w:rPr>
                <w:sz w:val="14"/>
                <w:szCs w:val="14"/>
                <w:color w:val="auto"/>
              </w:rPr>
            </w:pPr>
          </w:p>
        </w:tc>
        <w:tc>
          <w:tcPr>
            <w:tcW w:w="5200" w:type="dxa"/>
            <w:vAlign w:val="bottom"/>
            <w:tcBorders>
              <w:bottom w:val="single" w:sz="8" w:color="0000EE"/>
            </w:tcBorders>
            <w:gridSpan w:val="5"/>
          </w:tcPr>
          <w:p>
            <w:pPr>
              <w:spacing w:after="0" w:line="172" w:lineRule="exact"/>
              <w:rPr>
                <w:rFonts w:ascii="Arial" w:cs="Arial" w:eastAsia="Arial" w:hAnsi="Arial"/>
                <w:sz w:val="16"/>
                <w:szCs w:val="16"/>
                <w:color w:val="0000EE"/>
                <w:w w:val="90"/>
              </w:rPr>
            </w:pPr>
            <w:hyperlink w:anchor="page37">
              <w:r>
                <w:rPr>
                  <w:rFonts w:ascii="Arial" w:cs="Arial" w:eastAsia="Arial" w:hAnsi="Arial"/>
                  <w:sz w:val="16"/>
                  <w:szCs w:val="16"/>
                  <w:color w:val="0000EE"/>
                  <w:w w:val="90"/>
                </w:rPr>
                <w:t>Consolidated Statement of Income for the three years ended December 31, 2010</w:t>
              </w:r>
            </w:hyperlink>
          </w:p>
        </w:tc>
        <w:tc>
          <w:tcPr>
            <w:tcW w:w="2180" w:type="dxa"/>
            <w:vAlign w:val="bottom"/>
            <w:gridSpan w:val="3"/>
          </w:tcPr>
          <w:p>
            <w:pPr>
              <w:spacing w:after="0"/>
              <w:rPr>
                <w:sz w:val="14"/>
                <w:szCs w:val="14"/>
                <w:color w:val="auto"/>
              </w:rPr>
            </w:pPr>
          </w:p>
        </w:tc>
        <w:tc>
          <w:tcPr>
            <w:tcW w:w="1920" w:type="dxa"/>
            <w:vAlign w:val="bottom"/>
          </w:tcPr>
          <w:p>
            <w:pPr>
              <w:ind w:left="1280"/>
              <w:spacing w:after="0" w:line="172" w:lineRule="exact"/>
              <w:rPr>
                <w:sz w:val="20"/>
                <w:szCs w:val="20"/>
                <w:color w:val="auto"/>
              </w:rPr>
            </w:pPr>
            <w:r>
              <w:rPr>
                <w:rFonts w:ascii="Arial" w:cs="Arial" w:eastAsia="Arial" w:hAnsi="Arial"/>
                <w:sz w:val="16"/>
                <w:szCs w:val="16"/>
                <w:color w:val="auto"/>
              </w:rPr>
              <w:t>36</w:t>
            </w:r>
          </w:p>
        </w:tc>
      </w:tr>
      <w:tr>
        <w:trPr>
          <w:trHeight w:val="183"/>
        </w:trPr>
        <w:tc>
          <w:tcPr>
            <w:tcW w:w="320" w:type="dxa"/>
            <w:vAlign w:val="bottom"/>
          </w:tcPr>
          <w:p>
            <w:pPr>
              <w:spacing w:after="0"/>
              <w:rPr>
                <w:sz w:val="15"/>
                <w:szCs w:val="15"/>
                <w:color w:val="auto"/>
              </w:rPr>
            </w:pPr>
          </w:p>
        </w:tc>
        <w:tc>
          <w:tcPr>
            <w:tcW w:w="7380" w:type="dxa"/>
            <w:vAlign w:val="bottom"/>
            <w:gridSpan w:val="8"/>
          </w:tcPr>
          <w:p>
            <w:pPr>
              <w:spacing w:after="0" w:line="183" w:lineRule="exact"/>
              <w:rPr>
                <w:rFonts w:ascii="Arial" w:cs="Arial" w:eastAsia="Arial" w:hAnsi="Arial"/>
                <w:sz w:val="16"/>
                <w:szCs w:val="16"/>
                <w:color w:val="0000EE"/>
              </w:rPr>
            </w:pPr>
            <w:hyperlink w:anchor="page38">
              <w:r>
                <w:rPr>
                  <w:rFonts w:ascii="Arial" w:cs="Arial" w:eastAsia="Arial" w:hAnsi="Arial"/>
                  <w:sz w:val="16"/>
                  <w:szCs w:val="16"/>
                  <w:color w:val="0000EE"/>
                </w:rPr>
                <w:t>Consolidated Balance Sheet at December 31, 2010 and 2009</w:t>
              </w:r>
            </w:hyperlink>
          </w:p>
        </w:tc>
        <w:tc>
          <w:tcPr>
            <w:tcW w:w="1920" w:type="dxa"/>
            <w:vAlign w:val="bottom"/>
          </w:tcPr>
          <w:p>
            <w:pPr>
              <w:ind w:left="1280"/>
              <w:spacing w:after="0" w:line="183" w:lineRule="exact"/>
              <w:rPr>
                <w:sz w:val="20"/>
                <w:szCs w:val="20"/>
                <w:color w:val="auto"/>
              </w:rPr>
            </w:pPr>
            <w:r>
              <w:rPr>
                <w:rFonts w:ascii="Arial" w:cs="Arial" w:eastAsia="Arial" w:hAnsi="Arial"/>
                <w:sz w:val="16"/>
                <w:szCs w:val="16"/>
                <w:color w:val="auto"/>
              </w:rPr>
              <w:t>37</w:t>
            </w:r>
          </w:p>
        </w:tc>
      </w:tr>
      <w:tr>
        <w:trPr>
          <w:trHeight w:val="20"/>
        </w:trPr>
        <w:tc>
          <w:tcPr>
            <w:tcW w:w="32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bottom w:val="single" w:sz="8" w:color="0000EE"/>
            </w:tcBorders>
            <w:gridSpan w:val="6"/>
          </w:tcPr>
          <w:p>
            <w:pPr>
              <w:spacing w:after="0" w:line="183" w:lineRule="exact"/>
              <w:rPr>
                <w:rFonts w:ascii="Arial" w:cs="Arial" w:eastAsia="Arial" w:hAnsi="Arial"/>
                <w:sz w:val="16"/>
                <w:szCs w:val="16"/>
                <w:color w:val="0000EE"/>
                <w:w w:val="90"/>
              </w:rPr>
            </w:pPr>
            <w:hyperlink w:anchor="page39">
              <w:r>
                <w:rPr>
                  <w:rFonts w:ascii="Arial" w:cs="Arial" w:eastAsia="Arial" w:hAnsi="Arial"/>
                  <w:sz w:val="16"/>
                  <w:szCs w:val="16"/>
                  <w:color w:val="0000EE"/>
                  <w:w w:val="90"/>
                </w:rPr>
                <w:t>Consolidated Statement of Cash Flows for the three years ended December 31, 2010</w:t>
              </w:r>
            </w:hyperlink>
          </w:p>
        </w:tc>
        <w:tc>
          <w:tcPr>
            <w:tcW w:w="1900" w:type="dxa"/>
            <w:vAlign w:val="bottom"/>
            <w:gridSpan w:val="2"/>
          </w:tcPr>
          <w:p>
            <w:pPr>
              <w:spacing w:after="0"/>
              <w:rPr>
                <w:sz w:val="15"/>
                <w:szCs w:val="15"/>
                <w:color w:val="auto"/>
              </w:rPr>
            </w:pPr>
          </w:p>
        </w:tc>
        <w:tc>
          <w:tcPr>
            <w:tcW w:w="1920" w:type="dxa"/>
            <w:vAlign w:val="bottom"/>
          </w:tcPr>
          <w:p>
            <w:pPr>
              <w:ind w:left="1280"/>
              <w:spacing w:after="0" w:line="183" w:lineRule="exact"/>
              <w:rPr>
                <w:sz w:val="20"/>
                <w:szCs w:val="20"/>
                <w:color w:val="auto"/>
              </w:rPr>
            </w:pPr>
            <w:r>
              <w:rPr>
                <w:rFonts w:ascii="Arial" w:cs="Arial" w:eastAsia="Arial" w:hAnsi="Arial"/>
                <w:sz w:val="16"/>
                <w:szCs w:val="16"/>
                <w:color w:val="auto"/>
              </w:rPr>
              <w:t>38</w:t>
            </w:r>
          </w:p>
        </w:tc>
      </w:tr>
      <w:tr>
        <w:trPr>
          <w:trHeight w:val="183"/>
        </w:trPr>
        <w:tc>
          <w:tcPr>
            <w:tcW w:w="320" w:type="dxa"/>
            <w:vAlign w:val="bottom"/>
          </w:tcPr>
          <w:p>
            <w:pPr>
              <w:spacing w:after="0"/>
              <w:rPr>
                <w:sz w:val="15"/>
                <w:szCs w:val="15"/>
                <w:color w:val="auto"/>
              </w:rPr>
            </w:pPr>
          </w:p>
        </w:tc>
        <w:tc>
          <w:tcPr>
            <w:tcW w:w="6080" w:type="dxa"/>
            <w:vAlign w:val="bottom"/>
            <w:tcBorders>
              <w:bottom w:val="single" w:sz="8" w:color="0000EE"/>
            </w:tcBorders>
            <w:gridSpan w:val="7"/>
          </w:tcPr>
          <w:p>
            <w:pPr>
              <w:spacing w:after="0" w:line="183" w:lineRule="exact"/>
              <w:rPr>
                <w:rFonts w:ascii="Arial" w:cs="Arial" w:eastAsia="Arial" w:hAnsi="Arial"/>
                <w:sz w:val="16"/>
                <w:szCs w:val="16"/>
                <w:color w:val="0000EE"/>
                <w:w w:val="90"/>
              </w:rPr>
            </w:pPr>
            <w:hyperlink w:anchor="page40">
              <w:r>
                <w:rPr>
                  <w:rFonts w:ascii="Arial" w:cs="Arial" w:eastAsia="Arial" w:hAnsi="Arial"/>
                  <w:sz w:val="16"/>
                  <w:szCs w:val="16"/>
                  <w:color w:val="0000EE"/>
                  <w:w w:val="90"/>
                </w:rPr>
                <w:t>Consolidated Statement of Stockholders’ Equity for the three years ended December 31, 2010</w:t>
              </w:r>
            </w:hyperlink>
          </w:p>
        </w:tc>
        <w:tc>
          <w:tcPr>
            <w:tcW w:w="1300" w:type="dxa"/>
            <w:vAlign w:val="bottom"/>
          </w:tcPr>
          <w:p>
            <w:pPr>
              <w:spacing w:after="0"/>
              <w:rPr>
                <w:sz w:val="15"/>
                <w:szCs w:val="15"/>
                <w:color w:val="auto"/>
              </w:rPr>
            </w:pPr>
          </w:p>
        </w:tc>
        <w:tc>
          <w:tcPr>
            <w:tcW w:w="1920" w:type="dxa"/>
            <w:vAlign w:val="bottom"/>
          </w:tcPr>
          <w:p>
            <w:pPr>
              <w:ind w:left="1280"/>
              <w:spacing w:after="0" w:line="183" w:lineRule="exact"/>
              <w:rPr>
                <w:sz w:val="20"/>
                <w:szCs w:val="20"/>
                <w:color w:val="auto"/>
              </w:rPr>
            </w:pPr>
            <w:r>
              <w:rPr>
                <w:rFonts w:ascii="Arial" w:cs="Arial" w:eastAsia="Arial" w:hAnsi="Arial"/>
                <w:sz w:val="16"/>
                <w:szCs w:val="16"/>
                <w:color w:val="auto"/>
                <w:w w:val="87"/>
              </w:rPr>
              <w:t>39 and 40</w:t>
            </w:r>
          </w:p>
        </w:tc>
      </w:tr>
      <w:tr>
        <w:trPr>
          <w:trHeight w:val="183"/>
        </w:trPr>
        <w:tc>
          <w:tcPr>
            <w:tcW w:w="320" w:type="dxa"/>
            <w:vAlign w:val="bottom"/>
          </w:tcPr>
          <w:p>
            <w:pPr>
              <w:spacing w:after="0"/>
              <w:rPr>
                <w:sz w:val="15"/>
                <w:szCs w:val="15"/>
                <w:color w:val="auto"/>
              </w:rPr>
            </w:pPr>
          </w:p>
        </w:tc>
        <w:tc>
          <w:tcPr>
            <w:tcW w:w="284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w:anchor="page42">
              <w:r>
                <w:rPr>
                  <w:rFonts w:ascii="Arial" w:cs="Arial" w:eastAsia="Arial" w:hAnsi="Arial"/>
                  <w:sz w:val="16"/>
                  <w:szCs w:val="16"/>
                  <w:color w:val="0000EE"/>
                  <w:w w:val="90"/>
                </w:rPr>
                <w:t>Notes to Consolidated Financial Statements</w:t>
              </w:r>
            </w:hyperlink>
          </w:p>
        </w:tc>
        <w:tc>
          <w:tcPr>
            <w:tcW w:w="4540" w:type="dxa"/>
            <w:vAlign w:val="bottom"/>
            <w:gridSpan w:val="6"/>
          </w:tcPr>
          <w:p>
            <w:pPr>
              <w:spacing w:after="0"/>
              <w:rPr>
                <w:sz w:val="15"/>
                <w:szCs w:val="15"/>
                <w:color w:val="auto"/>
              </w:rPr>
            </w:pPr>
          </w:p>
        </w:tc>
        <w:tc>
          <w:tcPr>
            <w:tcW w:w="1920" w:type="dxa"/>
            <w:vAlign w:val="bottom"/>
          </w:tcPr>
          <w:p>
            <w:pPr>
              <w:ind w:left="1280"/>
              <w:spacing w:after="0" w:line="183" w:lineRule="exact"/>
              <w:rPr>
                <w:sz w:val="20"/>
                <w:szCs w:val="20"/>
                <w:color w:val="auto"/>
              </w:rPr>
            </w:pPr>
            <w:r>
              <w:rPr>
                <w:rFonts w:ascii="Arial" w:cs="Arial" w:eastAsia="Arial" w:hAnsi="Arial"/>
                <w:sz w:val="16"/>
                <w:szCs w:val="16"/>
                <w:color w:val="auto"/>
              </w:rPr>
              <w:t>41 to 72</w:t>
            </w:r>
          </w:p>
        </w:tc>
      </w:tr>
      <w:tr>
        <w:trPr>
          <w:trHeight w:val="183"/>
        </w:trPr>
        <w:tc>
          <w:tcPr>
            <w:tcW w:w="320" w:type="dxa"/>
            <w:vAlign w:val="bottom"/>
          </w:tcPr>
          <w:p>
            <w:pPr>
              <w:spacing w:after="0"/>
              <w:rPr>
                <w:sz w:val="15"/>
                <w:szCs w:val="15"/>
                <w:color w:val="auto"/>
              </w:rPr>
            </w:pPr>
          </w:p>
        </w:tc>
        <w:tc>
          <w:tcPr>
            <w:tcW w:w="3800" w:type="dxa"/>
            <w:vAlign w:val="bottom"/>
            <w:tcBorders>
              <w:bottom w:val="single" w:sz="8" w:color="0000EE"/>
            </w:tcBorders>
            <w:gridSpan w:val="3"/>
          </w:tcPr>
          <w:p>
            <w:pPr>
              <w:spacing w:after="0" w:line="183" w:lineRule="exact"/>
              <w:rPr>
                <w:rFonts w:ascii="Arial" w:cs="Arial" w:eastAsia="Arial" w:hAnsi="Arial"/>
                <w:sz w:val="16"/>
                <w:szCs w:val="16"/>
                <w:color w:val="0000EE"/>
                <w:w w:val="92"/>
              </w:rPr>
            </w:pPr>
            <w:hyperlink w:anchor="page75">
              <w:r>
                <w:rPr>
                  <w:rFonts w:ascii="Arial" w:cs="Arial" w:eastAsia="Arial" w:hAnsi="Arial"/>
                  <w:sz w:val="16"/>
                  <w:szCs w:val="16"/>
                  <w:color w:val="0000EE"/>
                  <w:w w:val="92"/>
                </w:rPr>
                <w:t>Report of Independent Registered Public Accounting Firm</w:t>
              </w:r>
            </w:hyperlink>
          </w:p>
        </w:tc>
        <w:tc>
          <w:tcPr>
            <w:tcW w:w="3580" w:type="dxa"/>
            <w:vAlign w:val="bottom"/>
            <w:gridSpan w:val="5"/>
          </w:tcPr>
          <w:p>
            <w:pPr>
              <w:spacing w:after="0"/>
              <w:rPr>
                <w:sz w:val="15"/>
                <w:szCs w:val="15"/>
                <w:color w:val="auto"/>
              </w:rPr>
            </w:pPr>
          </w:p>
        </w:tc>
        <w:tc>
          <w:tcPr>
            <w:tcW w:w="1920" w:type="dxa"/>
            <w:vAlign w:val="bottom"/>
          </w:tcPr>
          <w:p>
            <w:pPr>
              <w:ind w:left="1280"/>
              <w:spacing w:after="0" w:line="183" w:lineRule="exact"/>
              <w:rPr>
                <w:sz w:val="20"/>
                <w:szCs w:val="20"/>
                <w:color w:val="auto"/>
              </w:rPr>
            </w:pPr>
            <w:r>
              <w:rPr>
                <w:rFonts w:ascii="Arial" w:cs="Arial" w:eastAsia="Arial" w:hAnsi="Arial"/>
                <w:sz w:val="16"/>
                <w:szCs w:val="16"/>
                <w:color w:val="auto"/>
              </w:rPr>
              <w:t>74</w:t>
            </w:r>
          </w:p>
        </w:tc>
      </w:tr>
      <w:tr>
        <w:trPr>
          <w:trHeight w:val="183"/>
        </w:trPr>
        <w:tc>
          <w:tcPr>
            <w:tcW w:w="320" w:type="dxa"/>
            <w:vAlign w:val="bottom"/>
          </w:tcPr>
          <w:p>
            <w:pPr>
              <w:spacing w:after="0"/>
              <w:rPr>
                <w:sz w:val="15"/>
                <w:szCs w:val="15"/>
                <w:color w:val="auto"/>
              </w:rPr>
            </w:pPr>
          </w:p>
        </w:tc>
        <w:tc>
          <w:tcPr>
            <w:tcW w:w="1960" w:type="dxa"/>
            <w:vAlign w:val="bottom"/>
            <w:tcBorders>
              <w:bottom w:val="single" w:sz="8" w:color="0000EE"/>
            </w:tcBorders>
          </w:tcPr>
          <w:p>
            <w:pPr>
              <w:spacing w:after="0" w:line="183" w:lineRule="exact"/>
              <w:rPr>
                <w:rFonts w:ascii="Arial" w:cs="Arial" w:eastAsia="Arial" w:hAnsi="Arial"/>
                <w:sz w:val="16"/>
                <w:szCs w:val="16"/>
                <w:color w:val="0000EE"/>
                <w:w w:val="91"/>
              </w:rPr>
            </w:pPr>
            <w:hyperlink w:anchor="page76">
              <w:r>
                <w:rPr>
                  <w:rFonts w:ascii="Arial" w:cs="Arial" w:eastAsia="Arial" w:hAnsi="Arial"/>
                  <w:sz w:val="16"/>
                  <w:szCs w:val="16"/>
                  <w:color w:val="0000EE"/>
                  <w:w w:val="91"/>
                </w:rPr>
                <w:t>Quarterly Results (Unaudited)</w:t>
              </w:r>
            </w:hyperlink>
          </w:p>
        </w:tc>
        <w:tc>
          <w:tcPr>
            <w:tcW w:w="5420" w:type="dxa"/>
            <w:vAlign w:val="bottom"/>
            <w:gridSpan w:val="7"/>
          </w:tcPr>
          <w:p>
            <w:pPr>
              <w:spacing w:after="0"/>
              <w:rPr>
                <w:sz w:val="15"/>
                <w:szCs w:val="15"/>
                <w:color w:val="auto"/>
              </w:rPr>
            </w:pPr>
          </w:p>
        </w:tc>
        <w:tc>
          <w:tcPr>
            <w:tcW w:w="1920" w:type="dxa"/>
            <w:vAlign w:val="bottom"/>
          </w:tcPr>
          <w:p>
            <w:pPr>
              <w:ind w:left="1280"/>
              <w:spacing w:after="0" w:line="183" w:lineRule="exact"/>
              <w:rPr>
                <w:sz w:val="20"/>
                <w:szCs w:val="20"/>
                <w:color w:val="auto"/>
              </w:rPr>
            </w:pPr>
            <w:r>
              <w:rPr>
                <w:rFonts w:ascii="Arial" w:cs="Arial" w:eastAsia="Arial" w:hAnsi="Arial"/>
                <w:sz w:val="16"/>
                <w:szCs w:val="16"/>
                <w:color w:val="auto"/>
              </w:rPr>
              <w:t>75</w:t>
            </w:r>
          </w:p>
        </w:tc>
      </w:tr>
    </w:tbl>
    <w:p>
      <w:pPr>
        <w:spacing w:after="0" w:line="134"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Financial statements of 20%-50% owned companies accounted for under the equity method and unconsolidated subsidiaries have been omitted because they do not meet the materiality tests for assets or income.</w:t>
      </w:r>
    </w:p>
    <w:p>
      <w:pPr>
        <w:spacing w:after="0" w:line="76" w:lineRule="exact"/>
        <w:rPr>
          <w:sz w:val="20"/>
          <w:szCs w:val="20"/>
          <w:color w:val="auto"/>
        </w:rPr>
      </w:pPr>
    </w:p>
    <w:p>
      <w:pPr>
        <w:ind w:left="1480" w:hanging="47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Statement Schedules not required</w:t>
      </w:r>
    </w:p>
    <w:p>
      <w:pPr>
        <w:spacing w:after="0" w:line="117" w:lineRule="exact"/>
        <w:rPr>
          <w:rFonts w:ascii="Arial" w:cs="Arial" w:eastAsia="Arial" w:hAnsi="Arial"/>
          <w:sz w:val="18"/>
          <w:szCs w:val="18"/>
          <w:color w:val="auto"/>
        </w:rPr>
      </w:pPr>
    </w:p>
    <w:p>
      <w:pPr>
        <w:ind w:left="1480" w:right="200" w:hanging="47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 the exhibits listed in the accompanying “Index to Exhibits” are filed or incorporated by reference as part of this Form 10-K.</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419" w:right="1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left="700" w:right="840" w:firstLine="1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700"/>
        <w:spacing w:after="0"/>
        <w:tabs>
          <w:tab w:leader="none" w:pos="5840" w:val="left"/>
        </w:tabs>
        <w:rPr>
          <w:sz w:val="20"/>
          <w:szCs w:val="20"/>
          <w:color w:val="auto"/>
        </w:rPr>
      </w:pPr>
      <w:r>
        <w:rPr>
          <w:rFonts w:ascii="Arial" w:cs="Arial" w:eastAsia="Arial" w:hAnsi="Arial"/>
          <w:sz w:val="18"/>
          <w:szCs w:val="18"/>
          <w:color w:val="auto"/>
        </w:rPr>
        <w:t>Date: February 4, 2011</w:t>
      </w:r>
      <w:r>
        <w:rPr>
          <w:sz w:val="20"/>
          <w:szCs w:val="20"/>
          <w:color w:val="auto"/>
        </w:rPr>
        <w:tab/>
      </w:r>
      <w:r>
        <w:rPr>
          <w:rFonts w:ascii="Arial" w:cs="Arial" w:eastAsia="Arial" w:hAnsi="Arial"/>
          <w:sz w:val="17"/>
          <w:szCs w:val="17"/>
          <w:color w:val="auto"/>
        </w:rPr>
        <w:t>S</w:t>
      </w:r>
      <w:r>
        <w:rPr>
          <w:rFonts w:ascii="Arial" w:cs="Arial" w:eastAsia="Arial" w:hAnsi="Arial"/>
          <w:sz w:val="11"/>
          <w:szCs w:val="11"/>
          <w:color w:val="auto"/>
        </w:rPr>
        <w:t>CHLUMBERGER</w:t>
      </w:r>
      <w:r>
        <w:rPr>
          <w:rFonts w:ascii="Arial" w:cs="Arial" w:eastAsia="Arial" w:hAnsi="Arial"/>
          <w:sz w:val="17"/>
          <w:szCs w:val="17"/>
          <w:color w:val="auto"/>
        </w:rPr>
        <w:t xml:space="preserve"> L</w:t>
      </w:r>
      <w:r>
        <w:rPr>
          <w:rFonts w:ascii="Arial" w:cs="Arial" w:eastAsia="Arial" w:hAnsi="Arial"/>
          <w:sz w:val="11"/>
          <w:szCs w:val="11"/>
          <w:color w:val="auto"/>
        </w:rPr>
        <w:t>IMITED</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H</w:t>
      </w:r>
      <w:r>
        <w:rPr>
          <w:rFonts w:ascii="Arial" w:cs="Arial" w:eastAsia="Arial" w:hAnsi="Arial"/>
          <w:sz w:val="12"/>
          <w:szCs w:val="12"/>
          <w:color w:val="auto"/>
        </w:rPr>
        <w:t>OWARD</w:t>
      </w:r>
      <w:r>
        <w:rPr>
          <w:rFonts w:ascii="Arial" w:cs="Arial" w:eastAsia="Arial" w:hAnsi="Arial"/>
          <w:sz w:val="18"/>
          <w:szCs w:val="18"/>
          <w:color w:val="auto"/>
        </w:rPr>
        <w:t xml:space="preserve"> G</w:t>
      </w:r>
      <w:r>
        <w:rPr>
          <w:rFonts w:ascii="Arial" w:cs="Arial" w:eastAsia="Arial" w:hAnsi="Arial"/>
          <w:sz w:val="12"/>
          <w:szCs w:val="12"/>
          <w:color w:val="auto"/>
        </w:rPr>
        <w:t>UILD</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286448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Accounting Officer</w:t>
      </w:r>
    </w:p>
    <w:p>
      <w:pPr>
        <w:spacing w:after="0" w:line="103" w:lineRule="exact"/>
        <w:rPr>
          <w:sz w:val="20"/>
          <w:szCs w:val="20"/>
          <w:color w:val="auto"/>
        </w:rPr>
      </w:pPr>
    </w:p>
    <w:p>
      <w:pPr>
        <w:ind w:left="700" w:right="980" w:firstLine="1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1" w:lineRule="exact"/>
        <w:rPr>
          <w:sz w:val="20"/>
          <w:szCs w:val="20"/>
          <w:color w:val="auto"/>
        </w:rPr>
      </w:pPr>
    </w:p>
    <w:p>
      <w:pPr>
        <w:ind w:left="3000"/>
        <w:spacing w:after="0"/>
        <w:tabs>
          <w:tab w:leader="none" w:pos="81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Chairman and Chief Executive Officer</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760" w:type="dxa"/>
            <w:vAlign w:val="bottom"/>
            <w:vMerge w:val="restart"/>
          </w:tcPr>
          <w:p>
            <w:pPr>
              <w:ind w:left="3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4"/>
              </w:rPr>
              <w:t>Andrew Gould</w:t>
            </w:r>
          </w:p>
        </w:tc>
        <w:tc>
          <w:tcPr>
            <w:tcW w:w="88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00" w:type="dxa"/>
            <w:vAlign w:val="bottom"/>
          </w:tcPr>
          <w:p>
            <w:pPr>
              <w:spacing w:after="0"/>
              <w:rPr>
                <w:sz w:val="24"/>
                <w:szCs w:val="24"/>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IMON</w:t>
            </w:r>
            <w:r>
              <w:rPr>
                <w:rFonts w:ascii="Arial" w:cs="Arial" w:eastAsia="Arial" w:hAnsi="Arial"/>
                <w:sz w:val="18"/>
                <w:szCs w:val="18"/>
                <w:color w:val="auto"/>
              </w:rPr>
              <w:t xml:space="preserve"> A</w:t>
            </w:r>
            <w:r>
              <w:rPr>
                <w:rFonts w:ascii="Arial" w:cs="Arial" w:eastAsia="Arial" w:hAnsi="Arial"/>
                <w:sz w:val="12"/>
                <w:szCs w:val="12"/>
                <w:color w:val="auto"/>
              </w:rPr>
              <w:t>YAT</w:t>
            </w:r>
          </w:p>
        </w:tc>
        <w:tc>
          <w:tcPr>
            <w:tcW w:w="8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Executive Vice President and Chief Financial Officer (Principal</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760" w:type="dxa"/>
            <w:vAlign w:val="bottom"/>
            <w:vMerge w:val="restart"/>
          </w:tcPr>
          <w:p>
            <w:pPr>
              <w:ind w:left="30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1"/>
              </w:rPr>
              <w:t>Simon Ayat</w:t>
            </w:r>
          </w:p>
        </w:tc>
        <w:tc>
          <w:tcPr>
            <w:tcW w:w="88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00" w:type="dxa"/>
            <w:vAlign w:val="bottom"/>
          </w:tcPr>
          <w:p>
            <w:pPr>
              <w:spacing w:after="0"/>
              <w:rPr>
                <w:sz w:val="24"/>
                <w:szCs w:val="24"/>
                <w:color w:val="auto"/>
              </w:rPr>
            </w:pPr>
          </w:p>
        </w:tc>
        <w:tc>
          <w:tcPr>
            <w:tcW w:w="4080" w:type="dxa"/>
            <w:vAlign w:val="bottom"/>
          </w:tcPr>
          <w:p>
            <w:pPr>
              <w:jc w:val="center"/>
              <w:ind w:left="77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OWARD</w:t>
            </w:r>
            <w:r>
              <w:rPr>
                <w:rFonts w:ascii="Arial" w:cs="Arial" w:eastAsia="Arial" w:hAnsi="Arial"/>
                <w:sz w:val="18"/>
                <w:szCs w:val="18"/>
                <w:color w:val="auto"/>
              </w:rPr>
              <w:t xml:space="preserve"> G</w:t>
            </w:r>
            <w:r>
              <w:rPr>
                <w:rFonts w:ascii="Arial" w:cs="Arial" w:eastAsia="Arial" w:hAnsi="Arial"/>
                <w:sz w:val="12"/>
                <w:szCs w:val="12"/>
                <w:color w:val="auto"/>
              </w:rPr>
              <w:t>UILD</w:t>
            </w:r>
          </w:p>
        </w:tc>
        <w:tc>
          <w:tcPr>
            <w:tcW w:w="8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760" w:type="dxa"/>
            <w:vAlign w:val="bottom"/>
            <w:vMerge w:val="restart"/>
          </w:tcPr>
          <w:p>
            <w:pPr>
              <w:ind w:left="3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5"/>
              </w:rPr>
              <w:t>Howard Guild</w:t>
            </w:r>
          </w:p>
        </w:tc>
        <w:tc>
          <w:tcPr>
            <w:tcW w:w="88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1"/>
              </w:rPr>
              <w:t>Philippe Camus</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70"/>
              <w:spacing w:after="0"/>
              <w:rPr>
                <w:sz w:val="20"/>
                <w:szCs w:val="20"/>
                <w:color w:val="auto"/>
              </w:rPr>
            </w:pPr>
            <w:r>
              <w:rPr>
                <w:rFonts w:ascii="Arial" w:cs="Arial" w:eastAsia="Arial" w:hAnsi="Arial"/>
                <w:sz w:val="18"/>
                <w:szCs w:val="18"/>
                <w:color w:val="auto"/>
                <w:w w:val="90"/>
              </w:rPr>
              <w:t>Peter L.S. Currie</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70"/>
              <w:spacing w:after="0"/>
              <w:rPr>
                <w:sz w:val="20"/>
                <w:szCs w:val="20"/>
                <w:color w:val="auto"/>
              </w:rPr>
            </w:pPr>
            <w:r>
              <w:rPr>
                <w:rFonts w:ascii="Arial" w:cs="Arial" w:eastAsia="Arial" w:hAnsi="Arial"/>
                <w:sz w:val="18"/>
                <w:szCs w:val="18"/>
                <w:color w:val="auto"/>
                <w:w w:val="88"/>
              </w:rPr>
              <w:t>Tony Isaac</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70"/>
              <w:spacing w:after="0"/>
              <w:rPr>
                <w:sz w:val="20"/>
                <w:szCs w:val="20"/>
                <w:color w:val="auto"/>
              </w:rPr>
            </w:pPr>
            <w:r>
              <w:rPr>
                <w:rFonts w:ascii="Arial" w:cs="Arial" w:eastAsia="Arial" w:hAnsi="Arial"/>
                <w:sz w:val="18"/>
                <w:szCs w:val="18"/>
                <w:color w:val="auto"/>
                <w:w w:val="92"/>
              </w:rPr>
              <w:t>K.V. Kamath</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5"/>
              </w:rPr>
              <w:t>Nikolay Kudryavtsev</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4"/>
              </w:rPr>
              <w:t>Adrian Lajous</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2"/>
              </w:rPr>
              <w:t>Michael E. Marks</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3"/>
              </w:rPr>
              <w:t>Elizabeth Moler</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700" w:type="dxa"/>
            <w:vAlign w:val="bottom"/>
          </w:tcPr>
          <w:p>
            <w:pPr>
              <w:spacing w:after="0"/>
              <w:rPr>
                <w:sz w:val="24"/>
                <w:szCs w:val="24"/>
                <w:color w:val="auto"/>
              </w:rPr>
            </w:pPr>
          </w:p>
        </w:tc>
        <w:tc>
          <w:tcPr>
            <w:tcW w:w="4080" w:type="dxa"/>
            <w:vAlign w:val="bottom"/>
            <w:tcBorders>
              <w:bottom w:val="single" w:sz="8" w:color="auto"/>
            </w:tcBorders>
          </w:tcPr>
          <w:p>
            <w:pPr>
              <w:jc w:val="center"/>
              <w:ind w:left="7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080" w:type="dxa"/>
            <w:vAlign w:val="bottom"/>
          </w:tcPr>
          <w:p>
            <w:pPr>
              <w:jc w:val="center"/>
              <w:ind w:left="790"/>
              <w:spacing w:after="0"/>
              <w:rPr>
                <w:sz w:val="20"/>
                <w:szCs w:val="20"/>
                <w:color w:val="auto"/>
              </w:rPr>
            </w:pPr>
            <w:r>
              <w:rPr>
                <w:rFonts w:ascii="Arial" w:cs="Arial" w:eastAsia="Arial" w:hAnsi="Arial"/>
                <w:sz w:val="18"/>
                <w:szCs w:val="18"/>
                <w:color w:val="auto"/>
                <w:w w:val="93"/>
              </w:rPr>
              <w:t>Leo Rafael Reif</w:t>
            </w:r>
          </w:p>
        </w:tc>
        <w:tc>
          <w:tcPr>
            <w:tcW w:w="88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3"/>
        </w:trPr>
        <w:tc>
          <w:tcPr>
            <w:tcW w:w="7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640" w:type="dxa"/>
            <w:vAlign w:val="bottom"/>
            <w:gridSpan w:val="2"/>
          </w:tcPr>
          <w:p>
            <w:pPr>
              <w:jc w:val="right"/>
              <w:ind w:right="561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15"/>
        </w:trPr>
        <w:tc>
          <w:tcPr>
            <w:tcW w:w="700" w:type="dxa"/>
            <w:vAlign w:val="bottom"/>
            <w:tcBorders>
              <w:bottom w:val="single" w:sz="8" w:color="808080"/>
            </w:tcBorders>
          </w:tcPr>
          <w:p>
            <w:pPr>
              <w:spacing w:after="0"/>
              <w:rPr>
                <w:sz w:val="18"/>
                <w:szCs w:val="18"/>
                <w:color w:val="auto"/>
              </w:rPr>
            </w:pPr>
          </w:p>
        </w:tc>
        <w:tc>
          <w:tcPr>
            <w:tcW w:w="40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57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left="3000"/>
        <w:spacing w:after="0"/>
        <w:tabs>
          <w:tab w:leader="none" w:pos="812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44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0"/>
                <w:szCs w:val="20"/>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p>
        </w:tc>
        <w:tc>
          <w:tcPr>
            <w:tcW w:w="4440" w:type="dxa"/>
            <w:vAlign w:val="bottom"/>
          </w:tcPr>
          <w:p>
            <w:pPr>
              <w:jc w:val="center"/>
              <w:ind w:left="430"/>
              <w:spacing w:after="0"/>
              <w:rPr>
                <w:sz w:val="20"/>
                <w:szCs w:val="20"/>
                <w:color w:val="auto"/>
              </w:rPr>
            </w:pPr>
            <w:r>
              <w:rPr>
                <w:rFonts w:ascii="Arial" w:cs="Arial" w:eastAsia="Arial" w:hAnsi="Arial"/>
                <w:sz w:val="18"/>
                <w:szCs w:val="18"/>
                <w:color w:val="auto"/>
                <w:w w:val="88"/>
              </w:rPr>
              <w:t>Tore Sandvold</w:t>
            </w:r>
          </w:p>
        </w:tc>
        <w:tc>
          <w:tcPr>
            <w:tcW w:w="5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438"/>
        </w:trPr>
        <w:tc>
          <w:tcPr>
            <w:tcW w:w="700" w:type="dxa"/>
            <w:vAlign w:val="bottom"/>
          </w:tcPr>
          <w:p>
            <w:pPr>
              <w:spacing w:after="0"/>
              <w:rPr>
                <w:sz w:val="24"/>
                <w:szCs w:val="24"/>
                <w:color w:val="auto"/>
              </w:rPr>
            </w:pPr>
          </w:p>
        </w:tc>
        <w:tc>
          <w:tcPr>
            <w:tcW w:w="444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700" w:type="dxa"/>
            <w:vAlign w:val="bottom"/>
          </w:tcPr>
          <w:p>
            <w:pPr>
              <w:spacing w:after="0"/>
              <w:rPr>
                <w:sz w:val="20"/>
                <w:szCs w:val="20"/>
                <w:color w:val="auto"/>
              </w:rPr>
            </w:pPr>
          </w:p>
        </w:tc>
        <w:tc>
          <w:tcPr>
            <w:tcW w:w="4440" w:type="dxa"/>
            <w:vAlign w:val="bottom"/>
          </w:tcPr>
          <w:p>
            <w:pPr>
              <w:jc w:val="center"/>
              <w:ind w:left="430"/>
              <w:spacing w:after="0"/>
              <w:rPr>
                <w:sz w:val="20"/>
                <w:szCs w:val="20"/>
                <w:color w:val="auto"/>
              </w:rPr>
            </w:pPr>
            <w:r>
              <w:rPr>
                <w:rFonts w:ascii="Arial" w:cs="Arial" w:eastAsia="Arial" w:hAnsi="Arial"/>
                <w:sz w:val="18"/>
                <w:szCs w:val="18"/>
                <w:color w:val="auto"/>
                <w:w w:val="91"/>
              </w:rPr>
              <w:t>Henri Seydoux</w:t>
            </w:r>
          </w:p>
        </w:tc>
        <w:tc>
          <w:tcPr>
            <w:tcW w:w="5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438"/>
        </w:trPr>
        <w:tc>
          <w:tcPr>
            <w:tcW w:w="700" w:type="dxa"/>
            <w:vAlign w:val="bottom"/>
          </w:tcPr>
          <w:p>
            <w:pPr>
              <w:spacing w:after="0"/>
              <w:rPr>
                <w:sz w:val="24"/>
                <w:szCs w:val="24"/>
                <w:color w:val="auto"/>
              </w:rPr>
            </w:pPr>
          </w:p>
        </w:tc>
        <w:tc>
          <w:tcPr>
            <w:tcW w:w="444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LEXANDER</w:t>
            </w:r>
            <w:r>
              <w:rPr>
                <w:rFonts w:ascii="Arial" w:cs="Arial" w:eastAsia="Arial" w:hAnsi="Arial"/>
                <w:sz w:val="18"/>
                <w:szCs w:val="18"/>
                <w:color w:val="auto"/>
              </w:rPr>
              <w:t xml:space="preserve"> C. J</w:t>
            </w:r>
            <w:r>
              <w:rPr>
                <w:rFonts w:ascii="Arial" w:cs="Arial" w:eastAsia="Arial" w:hAnsi="Arial"/>
                <w:sz w:val="12"/>
                <w:szCs w:val="12"/>
                <w:color w:val="auto"/>
              </w:rPr>
              <w:t>UDEN</w:t>
            </w:r>
          </w:p>
        </w:tc>
        <w:tc>
          <w:tcPr>
            <w:tcW w:w="520" w:type="dxa"/>
            <w:vAlign w:val="bottom"/>
            <w:tcBorders>
              <w:bottom w:val="single" w:sz="8" w:color="auto"/>
            </w:tcBorders>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February 4, 2011</w:t>
            </w:r>
          </w:p>
        </w:tc>
      </w:tr>
      <w:tr>
        <w:trPr>
          <w:trHeight w:val="230"/>
        </w:trPr>
        <w:tc>
          <w:tcPr>
            <w:tcW w:w="700" w:type="dxa"/>
            <w:vAlign w:val="bottom"/>
          </w:tcPr>
          <w:p>
            <w:pPr>
              <w:spacing w:after="0"/>
              <w:rPr>
                <w:sz w:val="20"/>
                <w:szCs w:val="20"/>
                <w:color w:val="auto"/>
              </w:rPr>
            </w:pPr>
          </w:p>
        </w:tc>
        <w:tc>
          <w:tcPr>
            <w:tcW w:w="4440" w:type="dxa"/>
            <w:vAlign w:val="bottom"/>
          </w:tcPr>
          <w:p>
            <w:pPr>
              <w:jc w:val="center"/>
              <w:ind w:left="430"/>
              <w:spacing w:after="0"/>
              <w:rPr>
                <w:sz w:val="20"/>
                <w:szCs w:val="20"/>
                <w:color w:val="auto"/>
              </w:rPr>
            </w:pPr>
            <w:r>
              <w:rPr>
                <w:rFonts w:ascii="Arial" w:cs="Arial" w:eastAsia="Arial" w:hAnsi="Arial"/>
                <w:sz w:val="18"/>
                <w:szCs w:val="18"/>
                <w:color w:val="auto"/>
                <w:w w:val="93"/>
              </w:rPr>
              <w:t>*By Alexander C. Juden Attorney-in-Fact</w:t>
            </w:r>
          </w:p>
        </w:tc>
        <w:tc>
          <w:tcPr>
            <w:tcW w:w="520" w:type="dxa"/>
            <w:vAlign w:val="bottom"/>
          </w:tcPr>
          <w:p>
            <w:pPr>
              <w:spacing w:after="0"/>
              <w:rPr>
                <w:sz w:val="20"/>
                <w:szCs w:val="20"/>
                <w:color w:val="auto"/>
              </w:rPr>
            </w:pPr>
          </w:p>
        </w:tc>
        <w:tc>
          <w:tcPr>
            <w:tcW w:w="5760" w:type="dxa"/>
            <w:vAlign w:val="bottom"/>
          </w:tcPr>
          <w:p>
            <w:pPr>
              <w:spacing w:after="0"/>
              <w:rPr>
                <w:sz w:val="20"/>
                <w:szCs w:val="20"/>
                <w:color w:val="auto"/>
              </w:rPr>
            </w:pPr>
          </w:p>
        </w:tc>
      </w:tr>
      <w:tr>
        <w:trPr>
          <w:trHeight w:val="523"/>
        </w:trPr>
        <w:tc>
          <w:tcPr>
            <w:tcW w:w="7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280" w:type="dxa"/>
            <w:vAlign w:val="bottom"/>
            <w:gridSpan w:val="2"/>
          </w:tcPr>
          <w:p>
            <w:pPr>
              <w:jc w:val="right"/>
              <w:ind w:right="5610"/>
              <w:spacing w:after="0"/>
              <w:rPr>
                <w:sz w:val="20"/>
                <w:szCs w:val="20"/>
                <w:color w:val="auto"/>
              </w:rPr>
            </w:pPr>
            <w:r>
              <w:rPr>
                <w:rFonts w:ascii="Arial" w:cs="Arial" w:eastAsia="Arial" w:hAnsi="Arial"/>
                <w:sz w:val="13"/>
                <w:szCs w:val="13"/>
                <w:color w:val="auto"/>
              </w:rPr>
              <w:t>80</w:t>
            </w:r>
          </w:p>
        </w:tc>
      </w:tr>
      <w:tr>
        <w:trPr>
          <w:trHeight w:val="215"/>
        </w:trPr>
        <w:tc>
          <w:tcPr>
            <w:tcW w:w="700" w:type="dxa"/>
            <w:vAlign w:val="bottom"/>
            <w:tcBorders>
              <w:bottom w:val="single" w:sz="8" w:color="808080"/>
            </w:tcBorders>
          </w:tcPr>
          <w:p>
            <w:pPr>
              <w:spacing w:after="0"/>
              <w:rPr>
                <w:sz w:val="18"/>
                <w:szCs w:val="18"/>
                <w:color w:val="auto"/>
              </w:rPr>
            </w:pPr>
          </w:p>
        </w:tc>
        <w:tc>
          <w:tcPr>
            <w:tcW w:w="444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5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INDEX TO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60" w:type="dxa"/>
            <w:vAlign w:val="bottom"/>
          </w:tcPr>
          <w:p>
            <w:pPr>
              <w:spacing w:after="0"/>
              <w:rPr>
                <w:sz w:val="16"/>
                <w:szCs w:val="16"/>
                <w:color w:val="auto"/>
              </w:rPr>
            </w:pPr>
          </w:p>
        </w:tc>
        <w:tc>
          <w:tcPr>
            <w:tcW w:w="1560" w:type="dxa"/>
            <w:vAlign w:val="bottom"/>
          </w:tcPr>
          <w:p>
            <w:pPr>
              <w:jc w:val="right"/>
              <w:ind w:right="831"/>
              <w:spacing w:after="0"/>
              <w:rPr>
                <w:sz w:val="20"/>
                <w:szCs w:val="20"/>
                <w:color w:val="auto"/>
              </w:rPr>
            </w:pPr>
            <w:r>
              <w:rPr>
                <w:rFonts w:ascii="Arial" w:cs="Arial" w:eastAsia="Arial" w:hAnsi="Arial"/>
                <w:sz w:val="14"/>
                <w:szCs w:val="14"/>
                <w:b w:val="1"/>
                <w:bCs w:val="1"/>
                <w:color w:val="auto"/>
              </w:rPr>
              <w:t>Exhibit</w:t>
            </w:r>
          </w:p>
        </w:tc>
      </w:tr>
      <w:tr>
        <w:trPr>
          <w:trHeight w:val="241"/>
        </w:trPr>
        <w:tc>
          <w:tcPr>
            <w:tcW w:w="9860" w:type="dxa"/>
            <w:vAlign w:val="bottom"/>
          </w:tcPr>
          <w:p>
            <w:pPr>
              <w:ind w:left="700"/>
              <w:spacing w:after="0"/>
              <w:rPr>
                <w:sz w:val="20"/>
                <w:szCs w:val="20"/>
                <w:color w:val="auto"/>
              </w:rPr>
            </w:pPr>
            <w:r>
              <w:rPr>
                <w:rFonts w:ascii="Arial" w:cs="Arial" w:eastAsia="Arial" w:hAnsi="Arial"/>
                <w:sz w:val="18"/>
                <w:szCs w:val="18"/>
                <w:color w:val="auto"/>
                <w:w w:val="93"/>
              </w:rPr>
              <w:t>Articles of Incorporation of Schlumberger Limited (Schlumberger N.V.), as last amended on April 12, 2006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3.1</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9"/>
              </w:rPr>
              <w:t>reference to Exhibit 3.1 to Schlumberger’s Quarterly Report on Form 10-Q for the quarter ended March 31, 2006)</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9"/>
              </w:rPr>
              <w:t>Amended and Restated By-Laws of Schlumberger Limited (Schlumberger N.V.), as last amended on April 21, 2005</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3.2</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(incorporated by reference to Exhibit 3.1 to Schlumberger’s Current Report on Form 8-K filed on April 22, 2005)</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3"/>
              </w:rPr>
              <w:t>Indenture dated as of June 9, 2003, by and between Schlumberger Limited and Citibank, N.A., as Trustee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4.1</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reference to Exhibit 4.3 to Schlumberger’s Registration Statement on Form S-3 filed on September 12, 2003)</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1"/>
              </w:rPr>
              <w:t>First Supplemental Indenture dated as of June 9, 2003, by and between Schlumberger Limited and Citibank, N.A., as Trustee</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4.2</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4"/>
              </w:rPr>
              <w:t>(incorporated by reference to Exhibit 4.4 to Schlumberger’s Registration Statement on Form S-3 filed on September 12,</w:t>
            </w:r>
          </w:p>
        </w:tc>
        <w:tc>
          <w:tcPr>
            <w:tcW w:w="1560" w:type="dxa"/>
            <w:vAlign w:val="bottom"/>
          </w:tcPr>
          <w:p>
            <w:pPr>
              <w:spacing w:after="0"/>
              <w:rPr>
                <w:sz w:val="18"/>
                <w:szCs w:val="18"/>
                <w:color w:val="auto"/>
              </w:rPr>
            </w:pP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2003)</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6"/>
              </w:rPr>
              <w:t>Schlumberger 1994 Stock Option Plan, as conformed to include amendments through January 1, 2009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10.1</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9"/>
              </w:rPr>
              <w:t>reference to Exhibit 10.1 to Schlumberger’s Annual Report on Form 10-K for year ended December 31, 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rPr>
              <w:t>Schlumberger Limited Supplementary Benefit Plan, as conformed to include amendments through January 1, 2009</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10.2</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3"/>
              </w:rPr>
              <w:t>(incorporated by reference to Exhibit 10.2 to Schlumberger’s Annual Report on Form 10-K for year ended December 31,</w:t>
            </w:r>
          </w:p>
        </w:tc>
        <w:tc>
          <w:tcPr>
            <w:tcW w:w="1560" w:type="dxa"/>
            <w:vAlign w:val="bottom"/>
          </w:tcPr>
          <w:p>
            <w:pPr>
              <w:spacing w:after="0"/>
              <w:rPr>
                <w:sz w:val="18"/>
                <w:szCs w:val="18"/>
                <w:color w:val="auto"/>
              </w:rPr>
            </w:pP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rPr>
              <w:t>Schlumberger Limited Restoration Savings Plan, as conformed to include amendments through January 1, 2009</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10.3</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3"/>
              </w:rPr>
              <w:t>(incorporated by reference to Exhibit 10.3 to Schlumberger’s Annual Report on Form 10-K for year ended December 31,</w:t>
            </w:r>
          </w:p>
        </w:tc>
        <w:tc>
          <w:tcPr>
            <w:tcW w:w="1560" w:type="dxa"/>
            <w:vAlign w:val="bottom"/>
          </w:tcPr>
          <w:p>
            <w:pPr>
              <w:spacing w:after="0"/>
              <w:rPr>
                <w:sz w:val="18"/>
                <w:szCs w:val="18"/>
                <w:color w:val="auto"/>
              </w:rPr>
            </w:pP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6"/>
              </w:rPr>
              <w:t>Schlumberger 1998 Stock Option Plan, as conformed to include amendments through January 1, 2009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10.4</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9"/>
              </w:rPr>
              <w:t>reference to Exhibit 10.4 to Schlumberger’s Annual Report on Form 10-K for year ended December 31, 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6"/>
              </w:rPr>
              <w:t>Schlumberger 2001 Stock Option Plan, as conformed to include amendments through January 1, 2009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10.5</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9"/>
              </w:rPr>
              <w:t>reference to Exhibit 10.5 to Schlumberger’s Annual Report on Form 10-K for year ended December 31, 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4"/>
              </w:rPr>
              <w:t>Schlumberger 2005 Stock Incentive Plan, as conformed to include amendments through January 1, 2009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10.6</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9"/>
              </w:rPr>
              <w:t>reference to Exhibit 10.6 to Schlumberger’s Annual Report on Form 10-K for year ended December 31, 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5"/>
              </w:rPr>
              <w:t>Schlumberger Limited 2004 Stock and Deferral Plan for Non-Employee Directors, as conformed to include amendments</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10.7</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5"/>
              </w:rPr>
              <w:t>through January 1, 2009 (incorporated by reference to Exhibit 10.7 to Schlumberger’s Annual Report on Form 10-K for</w:t>
            </w:r>
          </w:p>
        </w:tc>
        <w:tc>
          <w:tcPr>
            <w:tcW w:w="1560" w:type="dxa"/>
            <w:vAlign w:val="bottom"/>
          </w:tcPr>
          <w:p>
            <w:pPr>
              <w:spacing w:after="0"/>
              <w:rPr>
                <w:sz w:val="18"/>
                <w:szCs w:val="18"/>
                <w:color w:val="auto"/>
              </w:rPr>
            </w:pP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year ended December 31, 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4"/>
              </w:rPr>
              <w:t>Schlumberger 2008 Stock Incentive Plan, as conformed to include amendments through January 1, 2009 (incorporated by</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10.8</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w w:val="99"/>
              </w:rPr>
              <w:t>reference to Exhibit 10.8 to Schlumberger’s Annual Report on Form 10-K for year ended December 31, 2008)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5"/>
              </w:rPr>
              <w:t>Form of Option Agreement, Capped Incentive Stock Option (incorporated by reference to Exhibit 10.1 to Schlumberger’s</w:t>
            </w:r>
          </w:p>
        </w:tc>
        <w:tc>
          <w:tcPr>
            <w:tcW w:w="1560" w:type="dxa"/>
            <w:vAlign w:val="bottom"/>
          </w:tcPr>
          <w:p>
            <w:pPr>
              <w:jc w:val="right"/>
              <w:ind w:right="811"/>
              <w:spacing w:after="0"/>
              <w:rPr>
                <w:sz w:val="20"/>
                <w:szCs w:val="20"/>
                <w:color w:val="auto"/>
              </w:rPr>
            </w:pPr>
            <w:r>
              <w:rPr>
                <w:rFonts w:ascii="Arial" w:cs="Arial" w:eastAsia="Arial" w:hAnsi="Arial"/>
                <w:sz w:val="18"/>
                <w:szCs w:val="18"/>
                <w:color w:val="auto"/>
              </w:rPr>
              <w:t>10.9</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Current Report on Form 8-K filed on January 19, 2006)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rPr>
              <w:t>Form of Option Agreement, Capped Non-Qualified Stock Option (incorporated by reference to Exhibit 10.2 to</w:t>
            </w:r>
          </w:p>
        </w:tc>
        <w:tc>
          <w:tcPr>
            <w:tcW w:w="1560" w:type="dxa"/>
            <w:vAlign w:val="bottom"/>
          </w:tcPr>
          <w:p>
            <w:pPr>
              <w:jc w:val="right"/>
              <w:ind w:right="711"/>
              <w:spacing w:after="0"/>
              <w:rPr>
                <w:sz w:val="20"/>
                <w:szCs w:val="20"/>
                <w:color w:val="auto"/>
              </w:rPr>
            </w:pPr>
            <w:r>
              <w:rPr>
                <w:rFonts w:ascii="Arial" w:cs="Arial" w:eastAsia="Arial" w:hAnsi="Arial"/>
                <w:sz w:val="18"/>
                <w:szCs w:val="18"/>
                <w:color w:val="auto"/>
              </w:rPr>
              <w:t>10.10</w:t>
            </w:r>
          </w:p>
        </w:tc>
      </w:tr>
      <w:tr>
        <w:trPr>
          <w:trHeight w:val="216"/>
        </w:trPr>
        <w:tc>
          <w:tcPr>
            <w:tcW w:w="9860" w:type="dxa"/>
            <w:vAlign w:val="bottom"/>
          </w:tcPr>
          <w:p>
            <w:pPr>
              <w:ind w:left="880"/>
              <w:spacing w:after="0"/>
              <w:rPr>
                <w:sz w:val="20"/>
                <w:szCs w:val="20"/>
                <w:color w:val="auto"/>
              </w:rPr>
            </w:pPr>
            <w:r>
              <w:rPr>
                <w:rFonts w:ascii="Arial" w:cs="Arial" w:eastAsia="Arial" w:hAnsi="Arial"/>
                <w:sz w:val="18"/>
                <w:szCs w:val="18"/>
                <w:color w:val="auto"/>
              </w:rPr>
              <w:t>Schlumberger’s Current Report on Form 8-K filed on January 19, 2006) (+)</w:t>
            </w:r>
          </w:p>
        </w:tc>
        <w:tc>
          <w:tcPr>
            <w:tcW w:w="1560" w:type="dxa"/>
            <w:vAlign w:val="bottom"/>
          </w:tcPr>
          <w:p>
            <w:pPr>
              <w:spacing w:after="0"/>
              <w:rPr>
                <w:sz w:val="18"/>
                <w:szCs w:val="18"/>
                <w:color w:val="auto"/>
              </w:rPr>
            </w:pPr>
          </w:p>
        </w:tc>
      </w:tr>
      <w:tr>
        <w:trPr>
          <w:trHeight w:val="216"/>
        </w:trPr>
        <w:tc>
          <w:tcPr>
            <w:tcW w:w="9860" w:type="dxa"/>
            <w:vAlign w:val="bottom"/>
          </w:tcPr>
          <w:p>
            <w:pPr>
              <w:ind w:left="700"/>
              <w:spacing w:after="0"/>
              <w:rPr>
                <w:sz w:val="20"/>
                <w:szCs w:val="20"/>
                <w:color w:val="auto"/>
              </w:rPr>
            </w:pPr>
            <w:r>
              <w:rPr>
                <w:rFonts w:ascii="Arial" w:cs="Arial" w:eastAsia="Arial" w:hAnsi="Arial"/>
                <w:sz w:val="18"/>
                <w:szCs w:val="18"/>
                <w:color w:val="auto"/>
                <w:w w:val="97"/>
              </w:rPr>
              <w:t>Form of Option Agreement, Uncapped Incentive Stock Option (for 2001, 2005 and 2008 stock plans) (incorporated by</w:t>
            </w:r>
          </w:p>
        </w:tc>
        <w:tc>
          <w:tcPr>
            <w:tcW w:w="1560" w:type="dxa"/>
            <w:vAlign w:val="bottom"/>
          </w:tcPr>
          <w:p>
            <w:pPr>
              <w:jc w:val="right"/>
              <w:ind w:right="731"/>
              <w:spacing w:after="0"/>
              <w:rPr>
                <w:sz w:val="20"/>
                <w:szCs w:val="20"/>
                <w:color w:val="auto"/>
              </w:rPr>
            </w:pPr>
            <w:r>
              <w:rPr>
                <w:rFonts w:ascii="Arial" w:cs="Arial" w:eastAsia="Arial" w:hAnsi="Arial"/>
                <w:sz w:val="18"/>
                <w:szCs w:val="18"/>
                <w:color w:val="auto"/>
              </w:rPr>
              <w:t>10.11</w:t>
            </w:r>
          </w:p>
        </w:tc>
      </w:tr>
      <w:tr>
        <w:trPr>
          <w:trHeight w:val="230"/>
        </w:trPr>
        <w:tc>
          <w:tcPr>
            <w:tcW w:w="9860" w:type="dxa"/>
            <w:vAlign w:val="bottom"/>
          </w:tcPr>
          <w:p>
            <w:pPr>
              <w:ind w:left="880"/>
              <w:spacing w:after="0"/>
              <w:rPr>
                <w:sz w:val="20"/>
                <w:szCs w:val="20"/>
                <w:color w:val="auto"/>
              </w:rPr>
            </w:pPr>
            <w:r>
              <w:rPr>
                <w:rFonts w:ascii="Arial" w:cs="Arial" w:eastAsia="Arial" w:hAnsi="Arial"/>
                <w:sz w:val="18"/>
                <w:szCs w:val="18"/>
                <w:color w:val="auto"/>
                <w:w w:val="98"/>
              </w:rPr>
              <w:t>reference to Exhibit 10.11 to Schlumberger’s Annual Report on Form 10-K for year ended December 31, 2009) (+)</w:t>
            </w:r>
          </w:p>
        </w:tc>
        <w:tc>
          <w:tcPr>
            <w:tcW w:w="1560" w:type="dxa"/>
            <w:vAlign w:val="bottom"/>
          </w:tcPr>
          <w:p>
            <w:pPr>
              <w:spacing w:after="0"/>
              <w:rPr>
                <w:sz w:val="20"/>
                <w:szCs w:val="20"/>
                <w:color w:val="auto"/>
              </w:rPr>
            </w:pPr>
          </w:p>
        </w:tc>
      </w:tr>
      <w:tr>
        <w:trPr>
          <w:trHeight w:val="551"/>
        </w:trPr>
        <w:tc>
          <w:tcPr>
            <w:tcW w:w="9860" w:type="dxa"/>
            <w:vAlign w:val="bottom"/>
          </w:tcPr>
          <w:p>
            <w:pPr>
              <w:ind w:left="5600"/>
              <w:spacing w:after="0"/>
              <w:rPr>
                <w:sz w:val="20"/>
                <w:szCs w:val="20"/>
                <w:color w:val="auto"/>
              </w:rPr>
            </w:pPr>
            <w:r>
              <w:rPr>
                <w:rFonts w:ascii="Arial" w:cs="Arial" w:eastAsia="Arial" w:hAnsi="Arial"/>
                <w:sz w:val="13"/>
                <w:szCs w:val="13"/>
                <w:color w:val="auto"/>
              </w:rPr>
              <w:t>81</w:t>
            </w:r>
          </w:p>
        </w:tc>
        <w:tc>
          <w:tcPr>
            <w:tcW w:w="1560" w:type="dxa"/>
            <w:vAlign w:val="bottom"/>
          </w:tcPr>
          <w:p>
            <w:pPr>
              <w:spacing w:after="0"/>
              <w:rPr>
                <w:sz w:val="24"/>
                <w:szCs w:val="24"/>
                <w:color w:val="auto"/>
              </w:rPr>
            </w:pPr>
          </w:p>
        </w:tc>
      </w:tr>
      <w:tr>
        <w:trPr>
          <w:trHeight w:val="215"/>
        </w:trPr>
        <w:tc>
          <w:tcPr>
            <w:tcW w:w="9860" w:type="dxa"/>
            <w:vAlign w:val="bottom"/>
            <w:tcBorders>
              <w:bottom w:val="single" w:sz="8" w:color="808080"/>
            </w:tcBorders>
          </w:tcPr>
          <w:p>
            <w:pPr>
              <w:spacing w:after="0"/>
              <w:rPr>
                <w:sz w:val="18"/>
                <w:szCs w:val="18"/>
                <w:color w:val="auto"/>
              </w:rPr>
            </w:pPr>
          </w:p>
        </w:tc>
        <w:tc>
          <w:tcPr>
            <w:tcW w:w="15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tbl>
      <w:tblPr>
        <w:tblLayout w:type="fixed"/>
        <w:tblInd w:w="700" w:type="dxa"/>
        <w:tblCellMar>
          <w:top w:w="0" w:type="dxa"/>
          <w:left w:w="0" w:type="dxa"/>
          <w:bottom w:w="0" w:type="dxa"/>
          <w:right w:w="0" w:type="dxa"/>
        </w:tblCellMar>
      </w:tblPr>
      <w:tr>
        <w:trPr>
          <w:trHeight w:val="186"/>
        </w:trPr>
        <w:tc>
          <w:tcPr>
            <w:tcW w:w="9140" w:type="dxa"/>
            <w:vAlign w:val="bottom"/>
          </w:tcPr>
          <w:p>
            <w:pPr>
              <w:spacing w:after="0"/>
              <w:rPr>
                <w:sz w:val="16"/>
                <w:szCs w:val="16"/>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r>
      <w:tr>
        <w:trPr>
          <w:trHeight w:val="241"/>
        </w:trPr>
        <w:tc>
          <w:tcPr>
            <w:tcW w:w="9140" w:type="dxa"/>
            <w:vAlign w:val="bottom"/>
          </w:tcPr>
          <w:p>
            <w:pPr>
              <w:spacing w:after="0"/>
              <w:rPr>
                <w:sz w:val="20"/>
                <w:szCs w:val="20"/>
                <w:color w:val="auto"/>
              </w:rPr>
            </w:pPr>
            <w:r>
              <w:rPr>
                <w:rFonts w:ascii="Arial" w:cs="Arial" w:eastAsia="Arial" w:hAnsi="Arial"/>
                <w:sz w:val="18"/>
                <w:szCs w:val="18"/>
                <w:color w:val="auto"/>
                <w:w w:val="93"/>
              </w:rPr>
              <w:t>Form of Option Agreement, Uncapped Non-Qualified Stock Option (for 2001, 2005 and 2008 stock plans) (incorporated by</w:t>
            </w:r>
          </w:p>
        </w:tc>
        <w:tc>
          <w:tcPr>
            <w:tcW w:w="780" w:type="dxa"/>
            <w:vAlign w:val="bottom"/>
          </w:tcPr>
          <w:p>
            <w:pPr>
              <w:ind w:left="380"/>
              <w:spacing w:after="0"/>
              <w:rPr>
                <w:sz w:val="20"/>
                <w:szCs w:val="20"/>
                <w:color w:val="auto"/>
              </w:rPr>
            </w:pPr>
            <w:r>
              <w:rPr>
                <w:rFonts w:ascii="Arial" w:cs="Arial" w:eastAsia="Arial" w:hAnsi="Arial"/>
                <w:sz w:val="18"/>
                <w:szCs w:val="18"/>
                <w:color w:val="auto"/>
                <w:w w:val="84"/>
              </w:rPr>
              <w:t>10.12</w:t>
            </w: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w w:val="98"/>
              </w:rPr>
              <w:t>reference to Exhibit 10.12 to Schlumberger’s Annual Report on Form 10-K for year ended December 31, 2009) (+)</w:t>
            </w:r>
          </w:p>
        </w:tc>
        <w:tc>
          <w:tcPr>
            <w:tcW w:w="780" w:type="dxa"/>
            <w:vAlign w:val="bottom"/>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w w:val="94"/>
              </w:rPr>
              <w:t>Form of Smith International, Inc. 2010 Form of Restricted Stock Unit Agreement (incorporated by reference to Exhibit 10.3</w:t>
            </w:r>
          </w:p>
        </w:tc>
        <w:tc>
          <w:tcPr>
            <w:tcW w:w="780" w:type="dxa"/>
            <w:vAlign w:val="bottom"/>
          </w:tcPr>
          <w:p>
            <w:pPr>
              <w:ind w:left="380"/>
              <w:spacing w:after="0"/>
              <w:rPr>
                <w:sz w:val="20"/>
                <w:szCs w:val="20"/>
                <w:color w:val="auto"/>
              </w:rPr>
            </w:pPr>
            <w:r>
              <w:rPr>
                <w:rFonts w:ascii="Arial" w:cs="Arial" w:eastAsia="Arial" w:hAnsi="Arial"/>
                <w:sz w:val="18"/>
                <w:szCs w:val="18"/>
                <w:color w:val="auto"/>
                <w:w w:val="84"/>
              </w:rPr>
              <w:t>10.13</w:t>
            </w: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rPr>
              <w:t>to Schlumberger’s Quarterly Report on Form 10-Q for the quarter ended September 30, 2010) (+)</w:t>
            </w:r>
          </w:p>
        </w:tc>
        <w:tc>
          <w:tcPr>
            <w:tcW w:w="780" w:type="dxa"/>
            <w:vAlign w:val="bottom"/>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w w:val="96"/>
              </w:rPr>
              <w:t>Employment Agreement dated March 9, 2010 and effective as of February 9, 2010, between Schlumberger Limited and</w:t>
            </w:r>
          </w:p>
        </w:tc>
        <w:tc>
          <w:tcPr>
            <w:tcW w:w="780" w:type="dxa"/>
            <w:vAlign w:val="bottom"/>
          </w:tcPr>
          <w:p>
            <w:pPr>
              <w:ind w:left="380"/>
              <w:spacing w:after="0"/>
              <w:rPr>
                <w:sz w:val="20"/>
                <w:szCs w:val="20"/>
                <w:color w:val="auto"/>
              </w:rPr>
            </w:pPr>
            <w:r>
              <w:rPr>
                <w:rFonts w:ascii="Arial" w:cs="Arial" w:eastAsia="Arial" w:hAnsi="Arial"/>
                <w:sz w:val="18"/>
                <w:szCs w:val="18"/>
                <w:color w:val="auto"/>
                <w:w w:val="84"/>
              </w:rPr>
              <w:t>10.14</w:t>
            </w: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w w:val="93"/>
              </w:rPr>
              <w:t>Chakib Sbiti (incorporated by reference to Exhibit 10.3 to Schlumberger’s Quarterly Report on Form 10-Q for the quarter</w:t>
            </w:r>
          </w:p>
        </w:tc>
        <w:tc>
          <w:tcPr>
            <w:tcW w:w="780" w:type="dxa"/>
            <w:vAlign w:val="bottom"/>
          </w:tcPr>
          <w:p>
            <w:pPr>
              <w:spacing w:after="0"/>
              <w:rPr>
                <w:sz w:val="18"/>
                <w:szCs w:val="18"/>
                <w:color w:val="auto"/>
              </w:rPr>
            </w:pP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rPr>
              <w:t>ended March 31, 2010) (+)</w:t>
            </w:r>
          </w:p>
        </w:tc>
        <w:tc>
          <w:tcPr>
            <w:tcW w:w="780" w:type="dxa"/>
            <w:vAlign w:val="bottom"/>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w w:val="94"/>
              </w:rPr>
              <w:t>Form of Indemnification Agreement (incorporated by reference to Exhibit 10.1 to Schlumberger’s Current Report on Form</w:t>
            </w:r>
          </w:p>
        </w:tc>
        <w:tc>
          <w:tcPr>
            <w:tcW w:w="780" w:type="dxa"/>
            <w:vAlign w:val="bottom"/>
          </w:tcPr>
          <w:p>
            <w:pPr>
              <w:ind w:left="380"/>
              <w:spacing w:after="0"/>
              <w:rPr>
                <w:sz w:val="20"/>
                <w:szCs w:val="20"/>
                <w:color w:val="auto"/>
              </w:rPr>
            </w:pPr>
            <w:r>
              <w:rPr>
                <w:rFonts w:ascii="Arial" w:cs="Arial" w:eastAsia="Arial" w:hAnsi="Arial"/>
                <w:sz w:val="18"/>
                <w:szCs w:val="18"/>
                <w:color w:val="auto"/>
                <w:w w:val="84"/>
              </w:rPr>
              <w:t>10.15</w:t>
            </w:r>
          </w:p>
        </w:tc>
      </w:tr>
      <w:tr>
        <w:trPr>
          <w:trHeight w:val="216"/>
        </w:trPr>
        <w:tc>
          <w:tcPr>
            <w:tcW w:w="9140" w:type="dxa"/>
            <w:vAlign w:val="bottom"/>
          </w:tcPr>
          <w:p>
            <w:pPr>
              <w:ind w:left="180"/>
              <w:spacing w:after="0"/>
              <w:rPr>
                <w:sz w:val="20"/>
                <w:szCs w:val="20"/>
                <w:color w:val="auto"/>
              </w:rPr>
            </w:pPr>
            <w:r>
              <w:rPr>
                <w:rFonts w:ascii="Arial" w:cs="Arial" w:eastAsia="Arial" w:hAnsi="Arial"/>
                <w:sz w:val="18"/>
                <w:szCs w:val="18"/>
                <w:color w:val="auto"/>
              </w:rPr>
              <w:t>8-K filed on April 22, 2005)</w:t>
            </w:r>
          </w:p>
        </w:tc>
        <w:tc>
          <w:tcPr>
            <w:tcW w:w="780" w:type="dxa"/>
            <w:vAlign w:val="bottom"/>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Subsidiaries (*)</w:t>
            </w:r>
          </w:p>
        </w:tc>
        <w:tc>
          <w:tcPr>
            <w:tcW w:w="780" w:type="dxa"/>
            <w:vAlign w:val="bottom"/>
          </w:tcPr>
          <w:p>
            <w:pPr>
              <w:ind w:left="380"/>
              <w:spacing w:after="0"/>
              <w:rPr>
                <w:sz w:val="20"/>
                <w:szCs w:val="20"/>
                <w:color w:val="auto"/>
              </w:rPr>
            </w:pPr>
            <w:r>
              <w:rPr>
                <w:rFonts w:ascii="Arial" w:cs="Arial" w:eastAsia="Arial" w:hAnsi="Arial"/>
                <w:sz w:val="18"/>
                <w:szCs w:val="18"/>
                <w:color w:val="auto"/>
              </w:rPr>
              <w:t>21</w:t>
            </w:r>
          </w:p>
        </w:tc>
      </w:tr>
      <w:tr>
        <w:trPr>
          <w:trHeight w:val="230"/>
        </w:trPr>
        <w:tc>
          <w:tcPr>
            <w:tcW w:w="914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w:t>
            </w:r>
          </w:p>
        </w:tc>
        <w:tc>
          <w:tcPr>
            <w:tcW w:w="780" w:type="dxa"/>
            <w:vAlign w:val="bottom"/>
          </w:tcPr>
          <w:p>
            <w:pPr>
              <w:ind w:left="380"/>
              <w:spacing w:after="0"/>
              <w:rPr>
                <w:sz w:val="20"/>
                <w:szCs w:val="20"/>
                <w:color w:val="auto"/>
              </w:rPr>
            </w:pPr>
            <w:r>
              <w:rPr>
                <w:rFonts w:ascii="Arial" w:cs="Arial" w:eastAsia="Arial" w:hAnsi="Arial"/>
                <w:sz w:val="18"/>
                <w:szCs w:val="18"/>
                <w:color w:val="auto"/>
              </w:rPr>
              <w:t>23</w:t>
            </w:r>
          </w:p>
        </w:tc>
      </w:tr>
    </w:tbl>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Powers of Attorney (*)</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Philippe Camus</w:t>
            </w:r>
          </w:p>
        </w:tc>
        <w:tc>
          <w:tcPr>
            <w:tcW w:w="5300" w:type="dxa"/>
            <w:vAlign w:val="bottom"/>
          </w:tcPr>
          <w:p>
            <w:pPr>
              <w:ind w:left="1540"/>
              <w:spacing w:after="0"/>
              <w:rPr>
                <w:sz w:val="20"/>
                <w:szCs w:val="20"/>
                <w:color w:val="auto"/>
              </w:rPr>
            </w:pPr>
            <w:r>
              <w:rPr>
                <w:rFonts w:ascii="Arial" w:cs="Arial" w:eastAsia="Arial" w:hAnsi="Arial"/>
                <w:sz w:val="18"/>
                <w:szCs w:val="18"/>
                <w:color w:val="auto"/>
              </w:rPr>
              <w:t>dated:</w:t>
            </w: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Peter L.S. Currie</w:t>
            </w:r>
          </w:p>
        </w:tc>
        <w:tc>
          <w:tcPr>
            <w:tcW w:w="5300" w:type="dxa"/>
            <w:vAlign w:val="bottom"/>
          </w:tcPr>
          <w:p>
            <w:pPr>
              <w:ind w:left="1540"/>
              <w:spacing w:after="0"/>
              <w:rPr>
                <w:sz w:val="20"/>
                <w:szCs w:val="20"/>
                <w:color w:val="auto"/>
              </w:rPr>
            </w:pPr>
            <w:r>
              <w:rPr>
                <w:rFonts w:ascii="Arial" w:cs="Arial" w:eastAsia="Arial" w:hAnsi="Arial"/>
                <w:sz w:val="18"/>
                <w:szCs w:val="18"/>
                <w:color w:val="auto"/>
              </w:rPr>
              <w:t>January 20, 2011</w:t>
            </w: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Andrew Gould</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Tony Isaac</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K.V. Kamath</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Nikolay Kudryavtsev</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Adrian Lajous</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Michael E. Marks</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Elizabeth Moler</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Leo Rafael Reif</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4040" w:type="dxa"/>
            <w:vAlign w:val="bottom"/>
          </w:tcPr>
          <w:p>
            <w:pPr>
              <w:ind w:left="200"/>
              <w:spacing w:after="0"/>
              <w:rPr>
                <w:sz w:val="20"/>
                <w:szCs w:val="20"/>
                <w:color w:val="auto"/>
              </w:rPr>
            </w:pPr>
            <w:r>
              <w:rPr>
                <w:rFonts w:ascii="Arial" w:cs="Arial" w:eastAsia="Arial" w:hAnsi="Arial"/>
                <w:sz w:val="18"/>
                <w:szCs w:val="18"/>
                <w:color w:val="auto"/>
              </w:rPr>
              <w:t>Tore I. Sandvold</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4040" w:type="dxa"/>
            <w:vAlign w:val="bottom"/>
          </w:tcPr>
          <w:p>
            <w:pPr>
              <w:ind w:left="200"/>
              <w:spacing w:after="0"/>
              <w:rPr>
                <w:sz w:val="20"/>
                <w:szCs w:val="20"/>
                <w:color w:val="auto"/>
              </w:rPr>
            </w:pPr>
            <w:r>
              <w:rPr>
                <w:rFonts w:ascii="Arial" w:cs="Arial" w:eastAsia="Arial" w:hAnsi="Arial"/>
                <w:sz w:val="18"/>
                <w:szCs w:val="18"/>
                <w:color w:val="auto"/>
              </w:rPr>
              <w:t>Henri Seydoux</w:t>
            </w:r>
          </w:p>
        </w:tc>
        <w:tc>
          <w:tcPr>
            <w:tcW w:w="5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7"/>
        </w:trPr>
        <w:tc>
          <w:tcPr>
            <w:tcW w:w="9340" w:type="dxa"/>
            <w:vAlign w:val="bottom"/>
            <w:gridSpan w:val="2"/>
          </w:tcPr>
          <w:p>
            <w:pPr>
              <w:spacing w:after="0"/>
              <w:rPr>
                <w:sz w:val="20"/>
                <w:szCs w:val="20"/>
                <w:color w:val="auto"/>
              </w:rPr>
            </w:pPr>
            <w:r>
              <w:rPr>
                <w:rFonts w:ascii="Arial" w:cs="Arial" w:eastAsia="Arial" w:hAnsi="Arial"/>
                <w:sz w:val="18"/>
                <w:szCs w:val="18"/>
                <w:color w:val="auto"/>
                <w:w w:val="93"/>
              </w:rPr>
              <w:t>Certification of Chief Executive Officer pursuant to Rule 13a-14(a) as Adopted Pursuant to Section 302 of the Sarbanes-Oxley</w:t>
            </w:r>
          </w:p>
        </w:tc>
        <w:tc>
          <w:tcPr>
            <w:tcW w:w="52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Act of 2002 (*)</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w w:val="93"/>
              </w:rPr>
              <w:t>Certification of Chief Financial Officer pursuant to Rule 13a-14(a) as Adopted Pursuant to Section 302 of the Sarbanes-Oxley</w:t>
            </w: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Act of 2002 (*)</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w w:val="99"/>
              </w:rPr>
              <w:t>Certification of Chief Executive Officer pursuant to 18 U.S.C. Section 1350, as Adopted Pursuant to Section 906 of the</w:t>
            </w:r>
          </w:p>
        </w:tc>
        <w:tc>
          <w:tcPr>
            <w:tcW w:w="52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Sarbanes-Oxley Act of 2002 (*)</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w w:val="99"/>
              </w:rPr>
              <w:t>Certification of Chief Financial Officer pursuant to 18 U.S.C. Section 1350, as Adopted Pursuant to Section 906 of the</w:t>
            </w:r>
          </w:p>
        </w:tc>
        <w:tc>
          <w:tcPr>
            <w:tcW w:w="5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Sarbanes-Oxley Act of 2002 (*)</w:t>
            </w:r>
          </w:p>
        </w:tc>
        <w:tc>
          <w:tcPr>
            <w:tcW w:w="5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w w:val="95"/>
              </w:rPr>
              <w:t>The following materials from Schlumberger Limited’s Annual Report on Form 10-K for the year ended December 31, 2010,</w:t>
            </w: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9340" w:type="dxa"/>
            <w:vAlign w:val="bottom"/>
            <w:gridSpan w:val="2"/>
          </w:tcPr>
          <w:p>
            <w:pPr>
              <w:ind w:left="180"/>
              <w:spacing w:after="0"/>
              <w:rPr>
                <w:sz w:val="20"/>
                <w:szCs w:val="20"/>
                <w:color w:val="auto"/>
              </w:rPr>
            </w:pPr>
            <w:r>
              <w:rPr>
                <w:rFonts w:ascii="Arial" w:cs="Arial" w:eastAsia="Arial" w:hAnsi="Arial"/>
                <w:sz w:val="18"/>
                <w:szCs w:val="18"/>
                <w:color w:val="auto"/>
                <w:w w:val="94"/>
              </w:rPr>
              <w:t>formatted in XBRL: (i) Consolidated Statement of Income, (ii) Consolidated Balance Sheet, (iii) Consolidated Statement of</w:t>
            </w:r>
          </w:p>
        </w:tc>
        <w:tc>
          <w:tcPr>
            <w:tcW w:w="520" w:type="dxa"/>
            <w:vAlign w:val="bottom"/>
          </w:tcPr>
          <w:p>
            <w:pPr>
              <w:spacing w:after="0"/>
              <w:rPr>
                <w:sz w:val="18"/>
                <w:szCs w:val="18"/>
                <w:color w:val="auto"/>
              </w:rPr>
            </w:pPr>
          </w:p>
        </w:tc>
      </w:tr>
      <w:tr>
        <w:trPr>
          <w:trHeight w:val="216"/>
        </w:trPr>
        <w:tc>
          <w:tcPr>
            <w:tcW w:w="9340" w:type="dxa"/>
            <w:vAlign w:val="bottom"/>
            <w:gridSpan w:val="2"/>
          </w:tcPr>
          <w:p>
            <w:pPr>
              <w:ind w:left="180"/>
              <w:spacing w:after="0"/>
              <w:rPr>
                <w:sz w:val="20"/>
                <w:szCs w:val="20"/>
                <w:color w:val="auto"/>
              </w:rPr>
            </w:pPr>
            <w:r>
              <w:rPr>
                <w:rFonts w:ascii="Arial" w:cs="Arial" w:eastAsia="Arial" w:hAnsi="Arial"/>
                <w:sz w:val="18"/>
                <w:szCs w:val="18"/>
                <w:color w:val="auto"/>
                <w:w w:val="93"/>
              </w:rPr>
              <w:t>Cash Flows, (iv) Consolidated Statement of Equity and (v) Notes to Consolidated Financial Statements, tagged as blocks of</w:t>
            </w:r>
          </w:p>
        </w:tc>
        <w:tc>
          <w:tcPr>
            <w:tcW w:w="520" w:type="dxa"/>
            <w:vAlign w:val="bottom"/>
          </w:tcPr>
          <w:p>
            <w:pPr>
              <w:spacing w:after="0"/>
              <w:rPr>
                <w:sz w:val="18"/>
                <w:szCs w:val="18"/>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text. (*)</w:t>
            </w:r>
          </w:p>
        </w:tc>
        <w:tc>
          <w:tcPr>
            <w:tcW w:w="5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ind w:left="1000" w:hanging="307"/>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 physically filed with this Form 10-K. All other exhibits are incorporated by reference.</w:t>
      </w:r>
    </w:p>
    <w:p>
      <w:pPr>
        <w:spacing w:after="0" w:line="9"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 Management contracts or compensatory plans or arrangements.</w:t>
      </w:r>
    </w:p>
    <w:p>
      <w:pPr>
        <w:spacing w:after="0" w:line="184" w:lineRule="exact"/>
        <w:rPr>
          <w:sz w:val="20"/>
          <w:szCs w:val="20"/>
          <w:color w:val="auto"/>
        </w:rPr>
      </w:pPr>
    </w:p>
    <w:p>
      <w:pPr>
        <w:ind w:left="5600"/>
        <w:spacing w:after="0"/>
        <w:rPr>
          <w:sz w:val="20"/>
          <w:szCs w:val="20"/>
          <w:color w:val="auto"/>
        </w:rPr>
      </w:pPr>
      <w:r>
        <w:rPr>
          <w:rFonts w:ascii="Arial" w:cs="Arial" w:eastAsia="Arial" w:hAnsi="Arial"/>
          <w:sz w:val="13"/>
          <w:szCs w:val="13"/>
          <w:color w:val="auto"/>
        </w:rPr>
        <w:t>82</w:t>
      </w:r>
    </w:p>
    <w:p>
      <w:pPr>
        <w:sectPr>
          <w:pgSz w:w="11900" w:h="16838" w:orient="portrait"/>
          <w:cols w:equalWidth="0" w:num="1">
            <w:col w:w="10620"/>
          </w:cols>
          <w:pgMar w:left="240" w:top="419" w:right="1039" w:bottom="1440" w:gutter="0" w:footer="0" w:header="0"/>
        </w:sectPr>
      </w:pPr>
    </w:p>
    <w:bookmarkStart w:id="83" w:name="page84"/>
    <w:bookmarkEnd w:id="83"/>
    <w:p>
      <w:pPr>
        <w:ind w:left="9087"/>
        <w:spacing w:after="0"/>
        <w:rPr>
          <w:sz w:val="20"/>
          <w:szCs w:val="20"/>
          <w:color w:val="auto"/>
        </w:rPr>
      </w:pPr>
      <w:r>
        <w:rPr>
          <w:rFonts w:ascii="Arial" w:cs="Arial" w:eastAsia="Arial" w:hAnsi="Arial"/>
          <w:sz w:val="17"/>
          <w:szCs w:val="17"/>
          <w:b w:val="1"/>
          <w:bCs w:val="1"/>
          <w:color w:val="auto"/>
        </w:rPr>
        <w:t>Exhibit 21</w:t>
      </w:r>
    </w:p>
    <w:p>
      <w:pPr>
        <w:spacing w:after="0" w:line="12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Significant Subsidiaries</w:t>
      </w:r>
    </w:p>
    <w:p>
      <w:pPr>
        <w:spacing w:after="0" w:line="126" w:lineRule="exact"/>
        <w:rPr>
          <w:sz w:val="20"/>
          <w:szCs w:val="20"/>
          <w:color w:val="auto"/>
        </w:rPr>
      </w:pPr>
    </w:p>
    <w:p>
      <w:pPr>
        <w:jc w:val="both"/>
        <w:ind w:left="7" w:right="200" w:firstLine="198"/>
        <w:spacing w:after="0" w:line="259" w:lineRule="auto"/>
        <w:rPr>
          <w:sz w:val="20"/>
          <w:szCs w:val="20"/>
          <w:color w:val="auto"/>
        </w:rPr>
      </w:pPr>
      <w:r>
        <w:rPr>
          <w:rFonts w:ascii="Arial" w:cs="Arial" w:eastAsia="Arial" w:hAnsi="Arial"/>
          <w:sz w:val="18"/>
          <w:szCs w:val="18"/>
          <w:color w:val="auto"/>
        </w:rPr>
        <w:t>Listed below are the significant first tier subsidiaries of the Registrant, along with the total number of active subsidiaries directly or indirectly owned by each as of December 31, 2010. Certain second and third tier subsidiaries, though included in the numbers, are also shown by name. Ownership is 100% unless otherwise indicated. The business activities of the subsidiaries have been keyed as follows: (a) Oilfield Services, (b) WesternGeco, (c) General/Multiple Segments.</w:t>
      </w:r>
    </w:p>
    <w:p>
      <w:pPr>
        <w:spacing w:after="0" w:line="98" w:lineRule="exact"/>
        <w:rPr>
          <w:sz w:val="20"/>
          <w:szCs w:val="20"/>
          <w:color w:val="auto"/>
        </w:rPr>
      </w:pPr>
    </w:p>
    <w:tbl>
      <w:tblPr>
        <w:tblLayout w:type="fixed"/>
        <w:tblInd w:w="7"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660" w:type="dxa"/>
            <w:vAlign w:val="bottom"/>
          </w:tcPr>
          <w:p>
            <w:pPr>
              <w:jc w:val="right"/>
              <w:ind w:right="493"/>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jc w:val="right"/>
              <w:ind w:right="212"/>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1460" w:type="dxa"/>
            <w:vAlign w:val="bottom"/>
          </w:tcPr>
          <w:p>
            <w:pPr>
              <w:spacing w:after="0"/>
              <w:rPr>
                <w:sz w:val="3"/>
                <w:szCs w:val="3"/>
                <w:color w:val="auto"/>
              </w:rPr>
            </w:pPr>
          </w:p>
        </w:tc>
        <w:tc>
          <w:tcPr>
            <w:tcW w:w="46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B.V., Netherlands (c)</w:t>
            </w:r>
          </w:p>
        </w:tc>
        <w:tc>
          <w:tcPr>
            <w:tcW w:w="266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6(a)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79(a)</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22(b)</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340"/>
              <w:spacing w:after="0"/>
              <w:rPr>
                <w:sz w:val="20"/>
                <w:szCs w:val="20"/>
                <w:color w:val="auto"/>
              </w:rPr>
            </w:pPr>
            <w:r>
              <w:rPr>
                <w:rFonts w:ascii="Arial" w:cs="Arial" w:eastAsia="Arial" w:hAnsi="Arial"/>
                <w:sz w:val="18"/>
                <w:szCs w:val="18"/>
                <w:color w:val="auto"/>
              </w:rPr>
              <w:t>Schlumberger Canada Limited, Ontario (c)</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Schlumberger SA, France (c)</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Services Petroliers Schlumberger, France (a)</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Schlumberger Norge AS (c)</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340"/>
              <w:spacing w:after="0"/>
              <w:rPr>
                <w:sz w:val="20"/>
                <w:szCs w:val="20"/>
                <w:color w:val="auto"/>
              </w:rPr>
            </w:pPr>
            <w:r>
              <w:rPr>
                <w:rFonts w:ascii="Arial" w:cs="Arial" w:eastAsia="Arial" w:hAnsi="Arial"/>
                <w:sz w:val="18"/>
                <w:szCs w:val="18"/>
                <w:color w:val="auto"/>
              </w:rPr>
              <w:t>Schlumberger Holdings Corporation, Delaware (c)</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Schlumberger Technology Corporation, Texas (c)</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Smith International Inc (c)</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Schlumberger UK Limited</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Schlumberger Plc, UK (c)</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Schlumberger Oilfield UK Plc, UK (a)</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WesternGeco Limited, UK(b)</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Schlumberger Antilles N.V., Curaçao (a)</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Schlumberger Oilfield Holdings Limited, BVI (c)</w:t>
            </w:r>
          </w:p>
        </w:tc>
        <w:tc>
          <w:tcPr>
            <w:tcW w:w="2660" w:type="dxa"/>
            <w:vAlign w:val="bottom"/>
          </w:tcPr>
          <w:p>
            <w:pPr>
              <w:jc w:val="right"/>
              <w:ind w:right="273"/>
              <w:spacing w:after="0"/>
              <w:rPr>
                <w:sz w:val="20"/>
                <w:szCs w:val="20"/>
                <w:color w:val="auto"/>
              </w:rPr>
            </w:pPr>
            <w:r>
              <w:rPr>
                <w:rFonts w:ascii="Arial" w:cs="Arial" w:eastAsia="Arial" w:hAnsi="Arial"/>
                <w:sz w:val="18"/>
                <w:szCs w:val="18"/>
                <w:color w:val="auto"/>
              </w:rPr>
              <w:t>1(a)</w:t>
            </w:r>
          </w:p>
        </w:tc>
        <w:tc>
          <w:tcPr>
            <w:tcW w:w="1120" w:type="dxa"/>
            <w:vAlign w:val="bottom"/>
          </w:tcPr>
          <w:p>
            <w:pPr>
              <w:jc w:val="right"/>
              <w:spacing w:after="0"/>
              <w:rPr>
                <w:sz w:val="20"/>
                <w:szCs w:val="20"/>
                <w:color w:val="auto"/>
              </w:rPr>
            </w:pPr>
            <w:r>
              <w:rPr>
                <w:rFonts w:ascii="Arial" w:cs="Arial" w:eastAsia="Arial" w:hAnsi="Arial"/>
                <w:sz w:val="18"/>
                <w:szCs w:val="18"/>
                <w:color w:val="auto"/>
              </w:rPr>
              <w:t>136(a)</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28(b)</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340"/>
              <w:spacing w:after="0"/>
              <w:rPr>
                <w:sz w:val="20"/>
                <w:szCs w:val="20"/>
                <w:color w:val="auto"/>
              </w:rPr>
            </w:pPr>
            <w:r>
              <w:rPr>
                <w:rFonts w:ascii="Arial" w:cs="Arial" w:eastAsia="Arial" w:hAnsi="Arial"/>
                <w:sz w:val="18"/>
                <w:szCs w:val="18"/>
                <w:color w:val="auto"/>
              </w:rPr>
              <w:t>Schlumberger Holdings Limited, BVI (a)</w:t>
            </w:r>
          </w:p>
        </w:tc>
        <w:tc>
          <w:tcPr>
            <w:tcW w:w="26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11(c)</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Dowell Schlumberger Corporation, BVI (a)</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Schlumberger Middle East S.A., Panama (a)</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Schlumberger Offshore Services Limited, BVI (a)</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Schlumberger Overseas, S.A., Panama (a)</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Schlumberger Seaco, Inc., Panama (a)</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700"/>
              <w:spacing w:after="0"/>
              <w:rPr>
                <w:sz w:val="20"/>
                <w:szCs w:val="20"/>
                <w:color w:val="auto"/>
              </w:rPr>
            </w:pPr>
            <w:r>
              <w:rPr>
                <w:rFonts w:ascii="Arial" w:cs="Arial" w:eastAsia="Arial" w:hAnsi="Arial"/>
                <w:sz w:val="18"/>
                <w:szCs w:val="18"/>
                <w:color w:val="auto"/>
              </w:rPr>
              <w:t>Schlumberger Surenco, S.A., Panama (a)</w:t>
            </w:r>
          </w:p>
        </w:tc>
        <w:tc>
          <w:tcPr>
            <w:tcW w:w="2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WesternGeco Seismic Holdings Limited, BVI (b)</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ind w:left="340"/>
              <w:spacing w:after="0"/>
              <w:rPr>
                <w:sz w:val="20"/>
                <w:szCs w:val="20"/>
                <w:color w:val="auto"/>
              </w:rPr>
            </w:pPr>
            <w:r>
              <w:rPr>
                <w:rFonts w:ascii="Arial" w:cs="Arial" w:eastAsia="Arial" w:hAnsi="Arial"/>
                <w:sz w:val="18"/>
                <w:szCs w:val="18"/>
                <w:color w:val="auto"/>
              </w:rPr>
              <w:t>Schlumberger Technology Corporation, Texas (c)</w:t>
            </w:r>
          </w:p>
        </w:tc>
        <w:tc>
          <w:tcPr>
            <w:tcW w:w="2660" w:type="dxa"/>
            <w:vAlign w:val="bottom"/>
          </w:tcPr>
          <w:p>
            <w:pPr>
              <w:jc w:val="right"/>
              <w:ind w:right="193"/>
              <w:spacing w:after="0"/>
              <w:rPr>
                <w:sz w:val="20"/>
                <w:szCs w:val="20"/>
                <w:color w:val="auto"/>
              </w:rPr>
            </w:pPr>
            <w:r>
              <w:rPr>
                <w:rFonts w:ascii="Arial" w:cs="Arial" w:eastAsia="Arial" w:hAnsi="Arial"/>
                <w:sz w:val="18"/>
                <w:szCs w:val="18"/>
                <w:color w:val="auto"/>
              </w:rPr>
              <w:t>11(a)</w:t>
            </w:r>
            <w:r>
              <w:rPr>
                <w:rFonts w:ascii="Arial" w:cs="Arial" w:eastAsia="Arial" w:hAnsi="Arial"/>
                <w:sz w:val="15"/>
                <w:szCs w:val="15"/>
                <w:color w:val="auto"/>
              </w:rPr>
              <w:t>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1(b)</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60" w:type="dxa"/>
            <w:vAlign w:val="bottom"/>
          </w:tcPr>
          <w:p>
            <w:pPr>
              <w:jc w:val="right"/>
              <w:ind w:right="273"/>
              <w:spacing w:after="0"/>
              <w:rPr>
                <w:sz w:val="20"/>
                <w:szCs w:val="20"/>
                <w:color w:val="auto"/>
              </w:rPr>
            </w:pPr>
            <w:r>
              <w:rPr>
                <w:rFonts w:ascii="Arial" w:cs="Arial" w:eastAsia="Arial" w:hAnsi="Arial"/>
                <w:sz w:val="18"/>
                <w:szCs w:val="18"/>
                <w:color w:val="auto"/>
              </w:rPr>
              <w:t>4(c)</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WesternGeco L.L.C., Delaware (b)</w:t>
            </w:r>
          </w:p>
        </w:tc>
        <w:tc>
          <w:tcPr>
            <w:tcW w:w="2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6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07" w:hanging="207"/>
        <w:spacing w:after="0"/>
        <w:tabs>
          <w:tab w:leader="none" w:pos="207"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eight majority-owned subsidiaries and two 50%-owned subsidiary.</w:t>
      </w:r>
    </w:p>
    <w:p>
      <w:pPr>
        <w:ind w:left="7"/>
        <w:spacing w:after="0" w:line="221" w:lineRule="auto"/>
        <w:rPr>
          <w:rFonts w:ascii="Arial" w:cs="Arial" w:eastAsia="Arial" w:hAnsi="Arial"/>
          <w:sz w:val="14"/>
          <w:szCs w:val="14"/>
          <w:color w:val="auto"/>
        </w:rPr>
      </w:pPr>
      <w:r>
        <w:rPr>
          <w:rFonts w:ascii="Arial" w:cs="Arial" w:eastAsia="Arial" w:hAnsi="Arial"/>
          <w:sz w:val="14"/>
          <w:szCs w:val="14"/>
          <w:color w:val="auto"/>
        </w:rPr>
        <w:t>2  Includes one majority-owned subsidiary and one 50%-owned subsidiary.</w:t>
      </w:r>
    </w:p>
    <w:p>
      <w:pPr>
        <w:ind w:left="7" w:right="5260"/>
        <w:spacing w:after="0" w:line="221" w:lineRule="auto"/>
        <w:rPr>
          <w:rFonts w:ascii="Arial" w:cs="Arial" w:eastAsia="Arial" w:hAnsi="Arial"/>
          <w:sz w:val="14"/>
          <w:szCs w:val="14"/>
          <w:color w:val="auto"/>
        </w:rPr>
      </w:pPr>
      <w:r>
        <w:rPr>
          <w:rFonts w:ascii="Arial" w:cs="Arial" w:eastAsia="Arial" w:hAnsi="Arial"/>
          <w:sz w:val="14"/>
          <w:szCs w:val="14"/>
          <w:color w:val="auto"/>
        </w:rPr>
        <w:t>3 Includes three majority-owned subsidiaries and two 50%-owned subsidiaries. 4 Includes one majority-owned subsidiaries.</w:t>
      </w:r>
    </w:p>
    <w:p>
      <w:pPr>
        <w:ind w:left="7"/>
        <w:spacing w:after="0" w:line="221" w:lineRule="auto"/>
        <w:rPr>
          <w:rFonts w:ascii="Arial" w:cs="Arial" w:eastAsia="Arial" w:hAnsi="Arial"/>
          <w:sz w:val="14"/>
          <w:szCs w:val="14"/>
          <w:color w:val="auto"/>
        </w:rPr>
      </w:pPr>
      <w:r>
        <w:rPr>
          <w:rFonts w:ascii="Arial" w:cs="Arial" w:eastAsia="Arial" w:hAnsi="Arial"/>
          <w:sz w:val="14"/>
          <w:szCs w:val="14"/>
          <w:color w:val="auto"/>
        </w:rPr>
        <w:t>5  Includes one majority-owned subsidiary.</w:t>
      </w:r>
    </w:p>
    <w:p>
      <w:pPr>
        <w:ind w:left="7"/>
        <w:spacing w:after="0"/>
        <w:rPr>
          <w:rFonts w:ascii="Arial" w:cs="Arial" w:eastAsia="Arial" w:hAnsi="Arial"/>
          <w:sz w:val="14"/>
          <w:szCs w:val="14"/>
          <w:color w:val="auto"/>
        </w:rPr>
      </w:pPr>
      <w:r>
        <w:rPr>
          <w:rFonts w:ascii="Arial" w:cs="Arial" w:eastAsia="Arial" w:hAnsi="Arial"/>
          <w:sz w:val="14"/>
          <w:szCs w:val="14"/>
          <w:color w:val="auto"/>
        </w:rPr>
        <w:t>6  Includes one majority-owned subsidiary and one 50%-owned subsidiary</w:t>
      </w:r>
    </w:p>
    <w:p>
      <w:pPr>
        <w:sectPr>
          <w:pgSz w:w="11900" w:h="16838" w:orient="portrait"/>
          <w:cols w:equalWidth="0" w:num="1">
            <w:col w:w="9927"/>
          </w:cols>
          <w:pgMar w:left="933" w:top="130" w:right="10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6" w:lineRule="exact"/>
        <w:rPr>
          <w:sz w:val="20"/>
          <w:szCs w:val="20"/>
          <w:color w:val="auto"/>
        </w:rPr>
      </w:pPr>
    </w:p>
    <w:p>
      <w:pPr>
        <w:ind w:right="80" w:firstLine="198"/>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333-36364; 333-67330; 333-115277; 333-124534; and 333-151920), and on Form S-4 (Nos. 333-97899 and 333-166326, as amended by post-effective amendment on Form S-8) of Schlumberger Limited of our report dated February 4, 2011 relating to the consolidated financial statements and the effectiveness of internal control over financial reporting, which appears in this Form 10-K.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P</w:t>
      </w:r>
      <w:r>
        <w:rPr>
          <w:rFonts w:ascii="Arial" w:cs="Arial" w:eastAsia="Arial" w:hAnsi="Arial"/>
          <w:sz w:val="12"/>
          <w:szCs w:val="12"/>
          <w:color w:val="auto"/>
        </w:rPr>
        <w:t>RICEWATERHOUSE</w:t>
      </w:r>
      <w:r>
        <w:rPr>
          <w:rFonts w:ascii="Arial" w:cs="Arial" w:eastAsia="Arial" w:hAnsi="Arial"/>
          <w:sz w:val="18"/>
          <w:szCs w:val="18"/>
          <w:color w:val="auto"/>
        </w:rPr>
        <w:t>C</w:t>
      </w:r>
      <w:r>
        <w:rPr>
          <w:rFonts w:ascii="Arial" w:cs="Arial" w:eastAsia="Arial" w:hAnsi="Arial"/>
          <w:sz w:val="12"/>
          <w:szCs w:val="12"/>
          <w:color w:val="auto"/>
        </w:rPr>
        <w:t>OOPERS</w:t>
      </w:r>
      <w:r>
        <w:rPr>
          <w:rFonts w:ascii="Arial" w:cs="Arial" w:eastAsia="Arial" w:hAnsi="Arial"/>
          <w:sz w:val="18"/>
          <w:szCs w:val="18"/>
          <w:color w:val="auto"/>
        </w:rPr>
        <w:t xml:space="preserv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17665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2011</w:t>
      </w:r>
    </w:p>
    <w:p>
      <w:pPr>
        <w:sectPr>
          <w:pgSz w:w="11900" w:h="16838" w:orient="portrait"/>
          <w:cols w:equalWidth="0" w:num="1">
            <w:col w:w="9920"/>
          </w:cols>
          <w:pgMar w:left="940" w:top="130" w:right="10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26" w:lineRule="exact"/>
        <w:rPr>
          <w:sz w:val="20"/>
          <w:szCs w:val="20"/>
          <w:color w:val="auto"/>
        </w:rPr>
      </w:pPr>
    </w:p>
    <w:p>
      <w:pPr>
        <w:ind w:right="20" w:firstLine="198"/>
        <w:spacing w:after="0" w:line="271" w:lineRule="auto"/>
        <w:rPr>
          <w:sz w:val="20"/>
          <w:szCs w:val="20"/>
          <w:color w:val="auto"/>
        </w:rPr>
      </w:pPr>
      <w:r>
        <w:rPr>
          <w:rFonts w:ascii="Arial" w:cs="Arial" w:eastAsia="Arial" w:hAnsi="Arial"/>
          <w:sz w:val="17"/>
          <w:szCs w:val="17"/>
          <w:color w:val="auto"/>
        </w:rPr>
        <w:t>Each of the undersigned, in the capacity or capacities set forth below his or her signature as a member of the Board of Directors and/or an officer of Schlumberger Limited, a Curaçao corporation (“the Corporation”), hereby appoints Simon Ayat, Howard Guild and Alexander C. Juden, or either of them, the attorney or attorneys of the undersigned, with full power of substitution and revocation, for and in the name, place and stead of the undersigned to execute and file with the Securities and Exchange Commission the Annual Report on Form 10-K under the Securities Exchange Act of 1934 (the “Exchange Act”) for the fiscal year ending December 31, 2010, and any amendment or amendments to any such Annual Report on Form 10-K, and any agreements, consents or waivers relative thereto, and to take any and all such other action for and in the name and place and stead of the undersigned as may be necessary or desirable in order to comply with the Exchange Act or the rules and regulations thereunder.</w:t>
      </w:r>
    </w:p>
    <w:p>
      <w:pPr>
        <w:sectPr>
          <w:pgSz w:w="11900" w:h="16838" w:orient="portrait"/>
          <w:cols w:equalWidth="0" w:num="1">
            <w:col w:w="9920"/>
          </w:cols>
          <w:pgMar w:left="940" w:top="130" w:right="1039" w:bottom="1440" w:gutter="0" w:footer="0" w:header="0"/>
        </w:sectPr>
      </w:pPr>
    </w:p>
    <w:p>
      <w:pPr>
        <w:spacing w:after="0" w:line="206"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 Philippe Camus</w:t>
      </w:r>
    </w:p>
    <w:p>
      <w:pPr>
        <w:spacing w:after="0" w:line="2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5595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Peter L.S. Currie</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Peter L.S.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559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 Andrew Gould</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559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Chairman and Chief Executive Officer</w:t>
      </w:r>
    </w:p>
    <w:p>
      <w:pPr>
        <w:spacing w:after="0" w:line="23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 Tony Isaac</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5595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K.V. Kamath</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K.V. Kamath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559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Nikolay Kudryavtsev</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1559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/s/ Michael E. Marks</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-130810</wp:posOffset>
            </wp:positionV>
            <wp:extent cx="30187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Elizabeth Moler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Elizabeth Moler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-130810</wp:posOffset>
            </wp:positionV>
            <wp:extent cx="30187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Leo Rafael Reif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-130810</wp:posOffset>
            </wp:positionV>
            <wp:extent cx="30187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Tore Sandvold</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-130810</wp:posOffset>
            </wp:positionV>
            <wp:extent cx="30187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Henri Seydoux</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Henri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-130810</wp:posOffset>
            </wp:positionV>
            <wp:extent cx="30187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jc w:val="center"/>
        <w:ind w:right="1600"/>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Adrian Lajous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-130810</wp:posOffset>
            </wp:positionV>
            <wp:extent cx="30187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6040" w:space="720"/>
            <w:col w:w="3160"/>
          </w:cols>
          <w:pgMar w:left="940" w:top="130" w:right="103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131" w:lineRule="exact"/>
        <w:rPr>
          <w:sz w:val="20"/>
          <w:szCs w:val="20"/>
          <w:color w:val="auto"/>
        </w:rPr>
      </w:pPr>
    </w:p>
    <w:p>
      <w:pPr>
        <w:ind w:left="380" w:hanging="189"/>
        <w:spacing w:after="0"/>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30" w:lineRule="exact"/>
        <w:rPr>
          <w:rFonts w:ascii="Arial" w:cs="Arial" w:eastAsia="Arial" w:hAnsi="Arial"/>
          <w:sz w:val="18"/>
          <w:szCs w:val="18"/>
          <w:color w:val="auto"/>
        </w:rPr>
      </w:pPr>
    </w:p>
    <w:p>
      <w:pPr>
        <w:ind w:right="500" w:firstLine="191"/>
        <w:spacing w:after="0" w:line="264" w:lineRule="auto"/>
        <w:tabs>
          <w:tab w:leader="none" w:pos="3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right="100" w:firstLine="191"/>
        <w:spacing w:after="0" w:line="264" w:lineRule="auto"/>
        <w:tabs>
          <w:tab w:leader="none" w:pos="3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6" w:lineRule="exact"/>
        <w:rPr>
          <w:rFonts w:ascii="Arial" w:cs="Arial" w:eastAsia="Arial" w:hAnsi="Arial"/>
          <w:sz w:val="18"/>
          <w:szCs w:val="18"/>
          <w:color w:val="auto"/>
        </w:rPr>
      </w:pPr>
    </w:p>
    <w:p>
      <w:pPr>
        <w:ind w:right="40" w:firstLine="191"/>
        <w:spacing w:after="0" w:line="264" w:lineRule="auto"/>
        <w:tabs>
          <w:tab w:leader="none" w:pos="3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700" w:right="20" w:hanging="397"/>
        <w:spacing w:after="0" w:line="286" w:lineRule="auto"/>
        <w:tabs>
          <w:tab w:leader="none" w:pos="7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700" w:right="140" w:hanging="397"/>
        <w:spacing w:after="0" w:line="286" w:lineRule="auto"/>
        <w:tabs>
          <w:tab w:leader="none" w:pos="700" w:val="left"/>
        </w:tabs>
        <w:numPr>
          <w:ilvl w:val="1"/>
          <w:numId w:val="5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700" w:right="240" w:hanging="397"/>
        <w:spacing w:after="0" w:line="264"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700" w:right="260" w:hanging="397"/>
        <w:spacing w:after="0" w:line="312" w:lineRule="auto"/>
        <w:tabs>
          <w:tab w:leader="none" w:pos="7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6"/>
          <w:szCs w:val="16"/>
          <w:color w:val="auto"/>
        </w:rPr>
      </w:pPr>
    </w:p>
    <w:p>
      <w:pPr>
        <w:jc w:val="both"/>
        <w:ind w:right="140" w:firstLine="191"/>
        <w:spacing w:after="0" w:line="264" w:lineRule="auto"/>
        <w:tabs>
          <w:tab w:leader="none" w:pos="3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700" w:hanging="397"/>
        <w:spacing w:after="0" w:line="264"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700" w:right="20" w:hanging="397"/>
        <w:spacing w:after="0" w:line="27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February 4, 2011</w:t>
            </w: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Gould</w:t>
            </w:r>
          </w:p>
        </w:tc>
      </w:tr>
      <w:tr>
        <w:trPr>
          <w:trHeight w:val="195"/>
        </w:trPr>
        <w:tc>
          <w:tcPr>
            <w:tcW w:w="5160" w:type="dxa"/>
            <w:vAlign w:val="bottom"/>
          </w:tcPr>
          <w:p>
            <w:pPr>
              <w:spacing w:after="0"/>
              <w:rPr>
                <w:sz w:val="16"/>
                <w:szCs w:val="16"/>
                <w:color w:val="auto"/>
              </w:rPr>
            </w:pPr>
          </w:p>
        </w:tc>
        <w:tc>
          <w:tcPr>
            <w:tcW w:w="3040" w:type="dxa"/>
            <w:vAlign w:val="bottom"/>
          </w:tcPr>
          <w:p>
            <w:pPr>
              <w:spacing w:after="0" w:line="195" w:lineRule="exact"/>
              <w:rPr>
                <w:sz w:val="20"/>
                <w:szCs w:val="20"/>
                <w:color w:val="auto"/>
              </w:rPr>
            </w:pPr>
            <w:r>
              <w:rPr>
                <w:rFonts w:ascii="Arial" w:cs="Arial" w:eastAsia="Arial" w:hAnsi="Arial"/>
                <w:sz w:val="18"/>
                <w:szCs w:val="18"/>
                <w:color w:val="auto"/>
              </w:rPr>
              <w:t>Andrew Gould</w:t>
            </w:r>
          </w:p>
        </w:tc>
      </w:tr>
      <w:tr>
        <w:trPr>
          <w:trHeight w:val="230"/>
        </w:trPr>
        <w:tc>
          <w:tcPr>
            <w:tcW w:w="516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9920"/>
          </w:cols>
          <w:pgMar w:left="940" w:top="130" w:right="10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31" w:lineRule="exact"/>
        <w:rPr>
          <w:sz w:val="20"/>
          <w:szCs w:val="20"/>
          <w:color w:val="auto"/>
        </w:rPr>
      </w:pPr>
    </w:p>
    <w:p>
      <w:pPr>
        <w:ind w:left="400" w:hanging="205"/>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17" w:lineRule="exact"/>
        <w:rPr>
          <w:rFonts w:ascii="Arial" w:cs="Arial" w:eastAsia="Arial" w:hAnsi="Arial"/>
          <w:sz w:val="18"/>
          <w:szCs w:val="18"/>
          <w:color w:val="auto"/>
        </w:rPr>
      </w:pPr>
    </w:p>
    <w:p>
      <w:pPr>
        <w:ind w:left="400" w:right="100" w:hanging="205"/>
        <w:spacing w:after="0" w:line="264"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00" w:hanging="205"/>
        <w:spacing w:after="0" w:line="264"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left="400" w:right="20" w:hanging="205"/>
        <w:spacing w:after="0" w:line="264"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700" w:right="20" w:hanging="397"/>
        <w:spacing w:after="0" w:line="286" w:lineRule="auto"/>
        <w:tabs>
          <w:tab w:leader="none" w:pos="7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700" w:right="140" w:hanging="397"/>
        <w:spacing w:after="0" w:line="286" w:lineRule="auto"/>
        <w:tabs>
          <w:tab w:leader="none" w:pos="7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700" w:right="240" w:hanging="397"/>
        <w:spacing w:after="0" w:line="264" w:lineRule="auto"/>
        <w:tabs>
          <w:tab w:leader="none" w:pos="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700" w:right="260" w:hanging="397"/>
        <w:spacing w:after="0" w:line="312" w:lineRule="auto"/>
        <w:tabs>
          <w:tab w:leader="none" w:pos="7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2" w:lineRule="exact"/>
        <w:rPr>
          <w:rFonts w:ascii="Arial" w:cs="Arial" w:eastAsia="Arial" w:hAnsi="Arial"/>
          <w:sz w:val="16"/>
          <w:szCs w:val="16"/>
          <w:color w:val="auto"/>
        </w:rPr>
      </w:pPr>
    </w:p>
    <w:p>
      <w:pPr>
        <w:ind w:left="400" w:right="140" w:hanging="205"/>
        <w:spacing w:after="0" w:line="264" w:lineRule="auto"/>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Arial" w:cs="Arial" w:eastAsia="Arial" w:hAnsi="Arial"/>
          <w:sz w:val="18"/>
          <w:szCs w:val="18"/>
          <w:color w:val="auto"/>
        </w:rPr>
      </w:pPr>
    </w:p>
    <w:p>
      <w:pPr>
        <w:ind w:left="700" w:hanging="397"/>
        <w:spacing w:after="0" w:line="264" w:lineRule="auto"/>
        <w:tabs>
          <w:tab w:leader="none" w:pos="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8"/>
          <w:szCs w:val="18"/>
          <w:color w:val="auto"/>
        </w:rPr>
      </w:pPr>
    </w:p>
    <w:p>
      <w:pPr>
        <w:ind w:left="700" w:right="20" w:hanging="397"/>
        <w:spacing w:after="0" w:line="277" w:lineRule="auto"/>
        <w:tabs>
          <w:tab w:leader="none" w:pos="7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February 4, 2011</w:t>
            </w:r>
          </w:p>
        </w:tc>
        <w:tc>
          <w:tcPr>
            <w:tcW w:w="3840" w:type="dxa"/>
            <w:vAlign w:val="bottom"/>
            <w:gridSpan w:val="2"/>
          </w:tcPr>
          <w:p>
            <w:pPr>
              <w:spacing w:after="0"/>
              <w:rPr>
                <w:sz w:val="20"/>
                <w:szCs w:val="20"/>
                <w:color w:val="auto"/>
              </w:rPr>
            </w:pPr>
            <w:r>
              <w:rPr>
                <w:rFonts w:ascii="Arial" w:cs="Arial" w:eastAsia="Arial" w:hAnsi="Arial"/>
                <w:sz w:val="18"/>
                <w:szCs w:val="18"/>
                <w:color w:val="auto"/>
              </w:rPr>
              <w:t>/s/ Simon Ayat</w:t>
            </w:r>
          </w:p>
        </w:tc>
      </w:tr>
      <w:tr>
        <w:trPr>
          <w:trHeight w:val="195"/>
        </w:trPr>
        <w:tc>
          <w:tcPr>
            <w:tcW w:w="5160" w:type="dxa"/>
            <w:vAlign w:val="bottom"/>
          </w:tcPr>
          <w:p>
            <w:pPr>
              <w:spacing w:after="0"/>
              <w:rPr>
                <w:sz w:val="16"/>
                <w:szCs w:val="16"/>
                <w:color w:val="auto"/>
              </w:rPr>
            </w:pPr>
          </w:p>
        </w:tc>
        <w:tc>
          <w:tcPr>
            <w:tcW w:w="3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Simon Ayat</w:t>
            </w:r>
          </w:p>
        </w:tc>
        <w:tc>
          <w:tcPr>
            <w:tcW w:w="800" w:type="dxa"/>
            <w:vAlign w:val="bottom"/>
          </w:tcPr>
          <w:p>
            <w:pPr>
              <w:spacing w:after="0"/>
              <w:rPr>
                <w:sz w:val="16"/>
                <w:szCs w:val="16"/>
                <w:color w:val="auto"/>
              </w:rPr>
            </w:pPr>
          </w:p>
        </w:tc>
      </w:tr>
      <w:tr>
        <w:trPr>
          <w:trHeight w:val="230"/>
        </w:trPr>
        <w:tc>
          <w:tcPr>
            <w:tcW w:w="516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w w:val="91"/>
              </w:rPr>
              <w:t>Executive Vice President and Chief Financial Officer</w:t>
            </w:r>
          </w:p>
        </w:tc>
      </w:tr>
    </w:tbl>
    <w:p>
      <w:pPr>
        <w:sectPr>
          <w:pgSz w:w="11900" w:h="16838" w:orient="portrait"/>
          <w:cols w:equalWidth="0" w:num="1">
            <w:col w:w="9920"/>
          </w:cols>
          <w:pgMar w:left="940" w:top="130" w:right="10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ind w:right="300" w:firstLine="198"/>
        <w:spacing w:after="0" w:line="259" w:lineRule="auto"/>
        <w:rPr>
          <w:sz w:val="20"/>
          <w:szCs w:val="20"/>
          <w:color w:val="auto"/>
        </w:rPr>
      </w:pPr>
      <w:r>
        <w:rPr>
          <w:rFonts w:ascii="Arial" w:cs="Arial" w:eastAsia="Arial" w:hAnsi="Arial"/>
          <w:sz w:val="18"/>
          <w:szCs w:val="18"/>
          <w:color w:val="auto"/>
        </w:rPr>
        <w:t>In connection with the Annual Report on Form 10-K of Schlumberger N.V. (Schlumberger Limited) (the “Company”) for the year ended December 31, 2010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92" w:lineRule="exact"/>
        <w:rPr>
          <w:sz w:val="20"/>
          <w:szCs w:val="20"/>
          <w:color w:val="auto"/>
        </w:rPr>
      </w:pPr>
    </w:p>
    <w:p>
      <w:pPr>
        <w:ind w:right="160" w:firstLine="390"/>
        <w:spacing w:after="0" w:line="277" w:lineRule="auto"/>
        <w:tabs>
          <w:tab w:leader="none" w:pos="64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right="80" w:firstLine="390"/>
        <w:spacing w:after="0" w:line="277" w:lineRule="auto"/>
        <w:tabs>
          <w:tab w:leader="none" w:pos="6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February 4, 2011</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Gould</w:t>
            </w:r>
          </w:p>
        </w:tc>
      </w:tr>
      <w:tr>
        <w:trPr>
          <w:trHeight w:val="195"/>
        </w:trPr>
        <w:tc>
          <w:tcPr>
            <w:tcW w:w="516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Andrew Gould</w:t>
            </w:r>
          </w:p>
        </w:tc>
      </w:tr>
      <w:tr>
        <w:trPr>
          <w:trHeight w:val="230"/>
        </w:trPr>
        <w:tc>
          <w:tcPr>
            <w:tcW w:w="5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107" w:lineRule="exact"/>
        <w:rPr>
          <w:sz w:val="20"/>
          <w:szCs w:val="20"/>
          <w:color w:val="auto"/>
        </w:rPr>
      </w:pPr>
    </w:p>
    <w:p>
      <w:pPr>
        <w:ind w:right="20" w:firstLine="19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76" w:lineRule="exact"/>
        <w:rPr>
          <w:sz w:val="20"/>
          <w:szCs w:val="20"/>
          <w:color w:val="auto"/>
        </w:rPr>
      </w:pPr>
    </w:p>
    <w:p>
      <w:pPr>
        <w:ind w:right="20" w:firstLine="198"/>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9920"/>
          </w:cols>
          <w:pgMar w:left="940" w:top="130" w:right="10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ind w:firstLine="198"/>
        <w:spacing w:after="0" w:line="259" w:lineRule="auto"/>
        <w:rPr>
          <w:sz w:val="20"/>
          <w:szCs w:val="20"/>
          <w:color w:val="auto"/>
        </w:rPr>
      </w:pPr>
      <w:r>
        <w:rPr>
          <w:rFonts w:ascii="Arial" w:cs="Arial" w:eastAsia="Arial" w:hAnsi="Arial"/>
          <w:sz w:val="18"/>
          <w:szCs w:val="18"/>
          <w:color w:val="auto"/>
        </w:rPr>
        <w:t>In connection with the Annual Report on Form 10-K of Schlumberger N.V. (Schlumberger Limited) (the “Company”) for the year ended December 31, 2010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92" w:lineRule="exact"/>
        <w:rPr>
          <w:sz w:val="20"/>
          <w:szCs w:val="20"/>
          <w:color w:val="auto"/>
        </w:rPr>
      </w:pPr>
    </w:p>
    <w:p>
      <w:pPr>
        <w:ind w:right="160" w:firstLine="390"/>
        <w:spacing w:after="0" w:line="277" w:lineRule="auto"/>
        <w:tabs>
          <w:tab w:leader="none" w:pos="64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right="80" w:firstLine="390"/>
        <w:spacing w:after="0" w:line="277" w:lineRule="auto"/>
        <w:tabs>
          <w:tab w:leader="none" w:pos="64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Date: February 4, 2011</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5160" w:type="dxa"/>
            <w:vAlign w:val="bottom"/>
          </w:tcPr>
          <w:p>
            <w:pPr>
              <w:spacing w:after="0"/>
              <w:rPr>
                <w:sz w:val="16"/>
                <w:szCs w:val="16"/>
                <w:color w:val="auto"/>
              </w:rPr>
            </w:pPr>
          </w:p>
        </w:tc>
        <w:tc>
          <w:tcPr>
            <w:tcW w:w="386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5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w w:val="92"/>
              </w:rPr>
              <w:t>Executive Vice President and Chief Financial Officer</w:t>
            </w:r>
          </w:p>
        </w:tc>
      </w:tr>
    </w:tbl>
    <w:p>
      <w:pPr>
        <w:spacing w:after="0" w:line="107" w:lineRule="exact"/>
        <w:rPr>
          <w:sz w:val="20"/>
          <w:szCs w:val="20"/>
          <w:color w:val="auto"/>
        </w:rPr>
      </w:pPr>
    </w:p>
    <w:p>
      <w:pPr>
        <w:ind w:right="20" w:firstLine="19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76" w:lineRule="exact"/>
        <w:rPr>
          <w:sz w:val="20"/>
          <w:szCs w:val="20"/>
          <w:color w:val="auto"/>
        </w:rPr>
      </w:pPr>
    </w:p>
    <w:p>
      <w:pPr>
        <w:ind w:right="20" w:firstLine="198"/>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9920"/>
      </w:cols>
      <w:pgMar w:left="940" w:top="13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1)"/>
      <w:numFmt w:val="decimal"/>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abstractNum>
  <w:abstractNum w:abstractNumId="25">
    <w:nsid w:val="725A06FB"/>
    <w:multiLevelType w:val="hybridMultilevel"/>
    <w:lvl w:ilvl="0">
      <w:lvlJc w:val="left"/>
      <w:lvlText w:val="%1."/>
      <w:numFmt w:val="decimal"/>
      <w:start w:val="2"/>
    </w:lvl>
  </w:abstractNum>
  <w:abstractNum w:abstractNumId="26">
    <w:nsid w:val="2CD89A32"/>
    <w:multiLevelType w:val="hybridMultilevel"/>
    <w:lvl w:ilvl="0">
      <w:lvlJc w:val="left"/>
      <w:lvlText w:val="(%1)"/>
      <w:numFmt w:val="lowerRoman"/>
      <w:start w:val="2"/>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4"/>
    </w:lvl>
  </w:abstractNum>
  <w:abstractNum w:abstractNumId="35">
    <w:nsid w:val="684A481A"/>
    <w:multiLevelType w:val="hybridMultilevel"/>
    <w:lvl w:ilvl="0">
      <w:lvlJc w:val="left"/>
      <w:lvlText w:val="(%1)"/>
      <w:numFmt w:val="lowerRoman"/>
      <w:start w:val="3"/>
    </w:lvl>
    <w:lvl w:ilvl="1">
      <w:lvlJc w:val="left"/>
      <w:lvlText w:val="•"/>
      <w:numFmt w:val="bullet"/>
      <w:start w:val="1"/>
    </w:lvl>
  </w:abstractNum>
  <w:abstractNum w:abstractNumId="36">
    <w:nsid w:val="579478FE"/>
    <w:multiLevelType w:val="hybridMultilevel"/>
    <w:lvl w:ilvl="0">
      <w:lvlJc w:val="left"/>
      <w:lvlText w:val="%1"/>
      <w:numFmt w:val="decimal"/>
      <w:start w:val="1"/>
    </w:lvl>
    <w:lvl w:ilvl="1">
      <w:lvlJc w:val="left"/>
      <w:lvlText w:val="(%2)"/>
      <w:numFmt w:val="decimal"/>
      <w:start w:val="1"/>
    </w:lvl>
  </w:abstractNum>
  <w:abstractNum w:abstractNumId="37">
    <w:nsid w:val="749ABB43"/>
    <w:multiLevelType w:val="hybridMultilevel"/>
    <w:lvl w:ilvl="0">
      <w:lvlJc w:val="left"/>
      <w:lvlText w:val="%1."/>
      <w:numFmt w:val="decimal"/>
      <w:start w:val="5"/>
    </w:lvl>
    <w:lvl w:ilvl="1">
      <w:lvlJc w:val="left"/>
      <w:lvlText w:val="%2"/>
      <w:numFmt w:val="decimal"/>
      <w:start w:val="1"/>
    </w:lvl>
  </w:abstractNum>
  <w:abstractNum w:abstractNumId="38">
    <w:nsid w:val="3DC240FB"/>
    <w:multiLevelType w:val="hybridMultilevel"/>
    <w:lvl w:ilvl="0">
      <w:lvlJc w:val="left"/>
      <w:lvlText w:val="%1."/>
      <w:numFmt w:val="decimal"/>
      <w:start w:val="9"/>
    </w:lvl>
  </w:abstractNum>
  <w:abstractNum w:abstractNumId="39">
    <w:nsid w:val="1BA026FA"/>
    <w:multiLevelType w:val="hybridMultilevel"/>
    <w:lvl w:ilvl="0">
      <w:lvlJc w:val="left"/>
      <w:lvlText w:val="%1."/>
      <w:numFmt w:val="decimal"/>
      <w:start w:val="10"/>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11"/>
    </w:lvl>
  </w:abstractNum>
  <w:abstractNum w:abstractNumId="42">
    <w:nsid w:val="12E685FB"/>
    <w:multiLevelType w:val="hybridMultilevel"/>
    <w:lvl w:ilvl="0">
      <w:lvlJc w:val="left"/>
      <w:lvlText w:val="%1."/>
      <w:numFmt w:val="decimal"/>
      <w:start w:val="12"/>
    </w:lvl>
  </w:abstractNum>
  <w:abstractNum w:abstractNumId="43">
    <w:nsid w:val="70C6A529"/>
    <w:multiLevelType w:val="hybridMultilevel"/>
    <w:lvl w:ilvl="0">
      <w:lvlJc w:val="left"/>
      <w:lvlText w:val="%1."/>
      <w:numFmt w:val="decimal"/>
      <w:start w:val="13"/>
    </w:lvl>
  </w:abstractNum>
  <w:abstractNum w:abstractNumId="44">
    <w:nsid w:val="520EEDD1"/>
    <w:multiLevelType w:val="hybridMultilevel"/>
    <w:lvl w:ilvl="0">
      <w:lvlJc w:val="left"/>
      <w:lvlText w:val="%1."/>
      <w:numFmt w:val="decimal"/>
      <w:start w:val="14"/>
    </w:lvl>
  </w:abstractNum>
  <w:abstractNum w:abstractNumId="45">
    <w:nsid w:val="374A3FE6"/>
    <w:multiLevelType w:val="hybridMultilevel"/>
    <w:lvl w:ilvl="0">
      <w:lvlJc w:val="left"/>
      <w:lvlText w:val="%1."/>
      <w:numFmt w:val="decimal"/>
      <w:start w:val="15"/>
    </w:lvl>
  </w:abstractNum>
  <w:abstractNum w:abstractNumId="46">
    <w:nsid w:val="4F4EF005"/>
    <w:multiLevelType w:val="hybridMultilevel"/>
    <w:lvl w:ilvl="0">
      <w:lvlJc w:val="left"/>
      <w:lvlText w:val="%1."/>
      <w:numFmt w:val="decimal"/>
      <w:start w:val="16"/>
    </w:lvl>
  </w:abstractNum>
  <w:abstractNum w:abstractNumId="47">
    <w:nsid w:val="23F9C13C"/>
    <w:multiLevelType w:val="hybridMultilevel"/>
    <w:lvl w:ilvl="0">
      <w:lvlJc w:val="left"/>
      <w:lvlText w:val="%1."/>
      <w:numFmt w:val="decimal"/>
      <w:start w:val="17"/>
    </w:lvl>
  </w:abstractNum>
  <w:abstractNum w:abstractNumId="48">
    <w:nsid w:val="649BB77C"/>
    <w:multiLevelType w:val="hybridMultilevel"/>
    <w:lvl w:ilvl="0">
      <w:lvlJc w:val="left"/>
      <w:lvlText w:val="(%1)"/>
      <w:numFmt w:val="decimal"/>
      <w:start w:val="1"/>
    </w:lvl>
  </w:abstractNum>
  <w:abstractNum w:abstractNumId="49">
    <w:nsid w:val="275AC794"/>
    <w:multiLevelType w:val="hybridMultilevel"/>
    <w:lvl w:ilvl="0">
      <w:lvlJc w:val="left"/>
      <w:lvlText w:val="%1."/>
      <w:numFmt w:val="decimal"/>
      <w:start w:val="18"/>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lowerLetter"/>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decimal"/>
      <w:start w:val="2"/>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bullet"/>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1"/>
    </w:lvl>
    <w:lvl w:ilvl="1">
      <w:lvlJc w:val="left"/>
      <w:lvlText w:val="%2)"/>
      <w:numFmt w:val="lowerLetter"/>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2"/>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2019-12-10T04:00:16Z</dcterms:created>
  <dcterms:modified xsi:type="dcterms:W3CDTF">2019-12-10T04:00:16Z</dcterms:modified>
</cp:coreProperties>
</file>