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181610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52705</wp:posOffset>
            </wp:positionV>
            <wp:extent cx="1449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68580</wp:posOffset>
            </wp:positionV>
            <wp:extent cx="1449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2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520" w:hanging="51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3"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3"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1-4601</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-260350</wp:posOffset>
            </wp:positionV>
            <wp:extent cx="1449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(Schlumberger Limited)</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8" w:lineRule="exact"/>
        <w:rPr>
          <w:sz w:val="24"/>
          <w:szCs w:val="24"/>
          <w:color w:val="auto"/>
        </w:rPr>
      </w:pPr>
    </w:p>
    <w:tbl>
      <w:tblPr>
        <w:tblLayout w:type="fixed"/>
        <w:tblInd w:w="1320" w:type="dxa"/>
        <w:tblCellMar>
          <w:top w:w="0" w:type="dxa"/>
          <w:left w:w="0" w:type="dxa"/>
          <w:bottom w:w="0" w:type="dxa"/>
          <w:right w:w="0" w:type="dxa"/>
        </w:tblCellMar>
      </w:tblPr>
      <w:tr>
        <w:trPr>
          <w:trHeight w:val="145"/>
        </w:trPr>
        <w:tc>
          <w:tcPr>
            <w:tcW w:w="960" w:type="dxa"/>
            <w:vAlign w:val="bottom"/>
          </w:tcPr>
          <w:p>
            <w:pPr>
              <w:spacing w:after="0"/>
              <w:rPr>
                <w:sz w:val="12"/>
                <w:szCs w:val="12"/>
                <w:color w:val="auto"/>
              </w:rPr>
            </w:pPr>
          </w:p>
        </w:tc>
        <w:tc>
          <w:tcPr>
            <w:tcW w:w="2300" w:type="dxa"/>
            <w:vAlign w:val="bottom"/>
            <w:gridSpan w:val="2"/>
          </w:tcPr>
          <w:p>
            <w:pPr>
              <w:jc w:val="center"/>
              <w:ind w:right="1189"/>
              <w:spacing w:after="0" w:line="145" w:lineRule="exact"/>
              <w:rPr>
                <w:sz w:val="20"/>
                <w:szCs w:val="20"/>
                <w:color w:val="auto"/>
              </w:rPr>
            </w:pPr>
            <w:r>
              <w:rPr>
                <w:rFonts w:ascii="Arial" w:cs="Arial" w:eastAsia="Arial" w:hAnsi="Arial"/>
                <w:sz w:val="14"/>
                <w:szCs w:val="14"/>
                <w:b w:val="1"/>
                <w:bCs w:val="1"/>
                <w:color w:val="auto"/>
                <w:w w:val="92"/>
              </w:rPr>
              <w:t>Curaçao</w:t>
            </w:r>
          </w:p>
        </w:tc>
        <w:tc>
          <w:tcPr>
            <w:tcW w:w="1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20" w:type="dxa"/>
            <w:vAlign w:val="bottom"/>
            <w:gridSpan w:val="2"/>
          </w:tcPr>
          <w:p>
            <w:pPr>
              <w:jc w:val="center"/>
              <w:ind w:left="833"/>
              <w:spacing w:after="0" w:line="145" w:lineRule="exact"/>
              <w:rPr>
                <w:sz w:val="20"/>
                <w:szCs w:val="20"/>
                <w:color w:val="auto"/>
              </w:rPr>
            </w:pPr>
            <w:r>
              <w:rPr>
                <w:rFonts w:ascii="Arial" w:cs="Arial" w:eastAsia="Arial" w:hAnsi="Arial"/>
                <w:sz w:val="14"/>
                <w:szCs w:val="14"/>
                <w:b w:val="1"/>
                <w:bCs w:val="1"/>
                <w:color w:val="auto"/>
                <w:w w:val="90"/>
              </w:rPr>
              <w:t>52-0684746</w:t>
            </w:r>
          </w:p>
        </w:tc>
        <w:tc>
          <w:tcPr>
            <w:tcW w:w="0" w:type="dxa"/>
            <w:vAlign w:val="bottom"/>
          </w:tcPr>
          <w:p>
            <w:pPr>
              <w:spacing w:after="0"/>
              <w:rPr>
                <w:sz w:val="1"/>
                <w:szCs w:val="1"/>
                <w:color w:val="auto"/>
              </w:rPr>
            </w:pPr>
          </w:p>
        </w:tc>
      </w:tr>
      <w:tr>
        <w:trPr>
          <w:trHeight w:val="156"/>
        </w:trPr>
        <w:tc>
          <w:tcPr>
            <w:tcW w:w="3260" w:type="dxa"/>
            <w:vAlign w:val="bottom"/>
            <w:gridSpan w:val="3"/>
          </w:tcPr>
          <w:p>
            <w:pPr>
              <w:jc w:val="center"/>
              <w:ind w:right="229"/>
              <w:spacing w:after="0"/>
              <w:rPr>
                <w:sz w:val="20"/>
                <w:szCs w:val="20"/>
                <w:color w:val="auto"/>
              </w:rPr>
            </w:pPr>
            <w:r>
              <w:rPr>
                <w:rFonts w:ascii="Arial" w:cs="Arial" w:eastAsia="Arial" w:hAnsi="Arial"/>
                <w:sz w:val="12"/>
                <w:szCs w:val="12"/>
                <w:color w:val="auto"/>
                <w:w w:val="95"/>
              </w:rPr>
              <w:t>(State or other jurisdiction of incorporation or organization)</w:t>
            </w: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20" w:type="dxa"/>
            <w:vAlign w:val="bottom"/>
            <w:gridSpan w:val="2"/>
          </w:tcPr>
          <w:p>
            <w:pPr>
              <w:jc w:val="center"/>
              <w:ind w:left="853"/>
              <w:spacing w:after="0"/>
              <w:rPr>
                <w:sz w:val="20"/>
                <w:szCs w:val="20"/>
                <w:color w:val="auto"/>
              </w:rPr>
            </w:pPr>
            <w:r>
              <w:rPr>
                <w:rFonts w:ascii="Arial" w:cs="Arial" w:eastAsia="Arial" w:hAnsi="Arial"/>
                <w:sz w:val="12"/>
                <w:szCs w:val="12"/>
                <w:color w:val="auto"/>
                <w:w w:val="97"/>
              </w:rPr>
              <w:t>(IRS Employer Identification No.)</w:t>
            </w:r>
          </w:p>
        </w:tc>
        <w:tc>
          <w:tcPr>
            <w:tcW w:w="0" w:type="dxa"/>
            <w:vAlign w:val="bottom"/>
          </w:tcPr>
          <w:p>
            <w:pPr>
              <w:spacing w:after="0"/>
              <w:rPr>
                <w:sz w:val="1"/>
                <w:szCs w:val="1"/>
                <w:color w:val="auto"/>
              </w:rPr>
            </w:pPr>
          </w:p>
        </w:tc>
      </w:tr>
      <w:tr>
        <w:trPr>
          <w:trHeight w:val="180"/>
        </w:trPr>
        <w:tc>
          <w:tcPr>
            <w:tcW w:w="3260" w:type="dxa"/>
            <w:vAlign w:val="bottom"/>
            <w:gridSpan w:val="3"/>
          </w:tcPr>
          <w:p>
            <w:pPr>
              <w:jc w:val="center"/>
              <w:ind w:right="229"/>
              <w:spacing w:after="0"/>
              <w:rPr>
                <w:sz w:val="20"/>
                <w:szCs w:val="20"/>
                <w:color w:val="auto"/>
              </w:rPr>
            </w:pPr>
            <w:r>
              <w:rPr>
                <w:rFonts w:ascii="Arial" w:cs="Arial" w:eastAsia="Arial" w:hAnsi="Arial"/>
                <w:sz w:val="14"/>
                <w:szCs w:val="14"/>
                <w:b w:val="1"/>
                <w:bCs w:val="1"/>
                <w:color w:val="auto"/>
                <w:w w:val="92"/>
              </w:rPr>
              <w:t>42, rue Saint-Dominique</w:t>
            </w:r>
          </w:p>
        </w:tc>
        <w:tc>
          <w:tcPr>
            <w:tcW w:w="4900" w:type="dxa"/>
            <w:vAlign w:val="bottom"/>
            <w:gridSpan w:val="4"/>
            <w:vMerge w:val="restart"/>
          </w:tcPr>
          <w:p>
            <w:pPr>
              <w:jc w:val="center"/>
              <w:ind w:left="3130"/>
              <w:spacing w:after="0"/>
              <w:rPr>
                <w:sz w:val="20"/>
                <w:szCs w:val="20"/>
                <w:color w:val="auto"/>
              </w:rPr>
            </w:pPr>
            <w:r>
              <w:rPr>
                <w:rFonts w:ascii="Arial" w:cs="Arial" w:eastAsia="Arial" w:hAnsi="Arial"/>
                <w:sz w:val="14"/>
                <w:szCs w:val="14"/>
                <w:b w:val="1"/>
                <w:bCs w:val="1"/>
                <w:color w:val="auto"/>
                <w:w w:val="87"/>
              </w:rPr>
              <w:t>75007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300" w:type="dxa"/>
            <w:vAlign w:val="bottom"/>
            <w:gridSpan w:val="2"/>
          </w:tcPr>
          <w:p>
            <w:pPr>
              <w:jc w:val="center"/>
              <w:ind w:right="1169"/>
              <w:spacing w:after="0"/>
              <w:rPr>
                <w:sz w:val="20"/>
                <w:szCs w:val="20"/>
                <w:color w:val="auto"/>
              </w:rPr>
            </w:pPr>
            <w:r>
              <w:rPr>
                <w:rFonts w:ascii="Arial" w:cs="Arial" w:eastAsia="Arial" w:hAnsi="Arial"/>
                <w:sz w:val="14"/>
                <w:szCs w:val="14"/>
                <w:b w:val="1"/>
                <w:bCs w:val="1"/>
                <w:color w:val="auto"/>
                <w:w w:val="93"/>
              </w:rPr>
              <w:t>Paris, France</w:t>
            </w:r>
          </w:p>
        </w:tc>
        <w:tc>
          <w:tcPr>
            <w:tcW w:w="49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60" w:type="dxa"/>
            <w:vAlign w:val="bottom"/>
            <w:gridSpan w:val="3"/>
          </w:tcPr>
          <w:p>
            <w:pPr>
              <w:jc w:val="center"/>
              <w:ind w:right="229"/>
              <w:spacing w:after="0"/>
              <w:rPr>
                <w:sz w:val="20"/>
                <w:szCs w:val="20"/>
                <w:color w:val="auto"/>
              </w:rPr>
            </w:pPr>
            <w:r>
              <w:rPr>
                <w:rFonts w:ascii="Arial" w:cs="Arial" w:eastAsia="Arial" w:hAnsi="Arial"/>
                <w:sz w:val="14"/>
                <w:szCs w:val="14"/>
                <w:b w:val="1"/>
                <w:bCs w:val="1"/>
                <w:color w:val="auto"/>
                <w:w w:val="91"/>
              </w:rPr>
              <w:t>5599 San Felipe, 17</w:t>
            </w:r>
            <w:r>
              <w:rPr>
                <w:rFonts w:ascii="Arial" w:cs="Arial" w:eastAsia="Arial" w:hAnsi="Arial"/>
                <w:sz w:val="12"/>
                <w:szCs w:val="12"/>
                <w:b w:val="1"/>
                <w:bCs w:val="1"/>
                <w:color w:val="auto"/>
                <w:w w:val="91"/>
              </w:rPr>
              <w:t>th</w:t>
            </w:r>
            <w:r>
              <w:rPr>
                <w:rFonts w:ascii="Arial" w:cs="Arial" w:eastAsia="Arial" w:hAnsi="Arial"/>
                <w:sz w:val="14"/>
                <w:szCs w:val="14"/>
                <w:b w:val="1"/>
                <w:bCs w:val="1"/>
                <w:color w:val="auto"/>
                <w:w w:val="91"/>
              </w:rPr>
              <w:t xml:space="preserve"> Floor</w:t>
            </w:r>
          </w:p>
        </w:tc>
        <w:tc>
          <w:tcPr>
            <w:tcW w:w="4900" w:type="dxa"/>
            <w:vAlign w:val="bottom"/>
            <w:gridSpan w:val="4"/>
            <w:vMerge w:val="restart"/>
          </w:tcPr>
          <w:p>
            <w:pPr>
              <w:jc w:val="center"/>
              <w:ind w:left="3130"/>
              <w:spacing w:after="0"/>
              <w:rPr>
                <w:sz w:val="20"/>
                <w:szCs w:val="20"/>
                <w:color w:val="auto"/>
              </w:rPr>
            </w:pPr>
            <w:r>
              <w:rPr>
                <w:rFonts w:ascii="Arial" w:cs="Arial" w:eastAsia="Arial" w:hAnsi="Arial"/>
                <w:sz w:val="14"/>
                <w:szCs w:val="14"/>
                <w:b w:val="1"/>
                <w:bCs w:val="1"/>
                <w:color w:val="auto"/>
                <w:w w:val="87"/>
              </w:rPr>
              <w:t>77056</w:t>
            </w:r>
          </w:p>
        </w:tc>
        <w:tc>
          <w:tcPr>
            <w:tcW w:w="0" w:type="dxa"/>
            <w:vAlign w:val="bottom"/>
          </w:tcPr>
          <w:p>
            <w:pPr>
              <w:spacing w:after="0"/>
              <w:rPr>
                <w:sz w:val="1"/>
                <w:szCs w:val="1"/>
                <w:color w:val="auto"/>
              </w:rPr>
            </w:pPr>
          </w:p>
        </w:tc>
      </w:tr>
      <w:tr>
        <w:trPr>
          <w:trHeight w:val="184"/>
        </w:trPr>
        <w:tc>
          <w:tcPr>
            <w:tcW w:w="326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w w:val="89"/>
              </w:rPr>
              <w:t>Houston, Texas, United States of America</w:t>
            </w:r>
          </w:p>
        </w:tc>
        <w:tc>
          <w:tcPr>
            <w:tcW w:w="49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6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w w:val="91"/>
              </w:rPr>
              <w:t>62 Buckingham Gate,</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20" w:type="dxa"/>
            <w:vAlign w:val="bottom"/>
            <w:gridSpan w:val="2"/>
            <w:vMerge w:val="restart"/>
          </w:tcPr>
          <w:p>
            <w:pPr>
              <w:jc w:val="center"/>
              <w:ind w:left="853"/>
              <w:spacing w:after="0"/>
              <w:rPr>
                <w:sz w:val="20"/>
                <w:szCs w:val="20"/>
                <w:color w:val="auto"/>
              </w:rPr>
            </w:pPr>
            <w:r>
              <w:rPr>
                <w:rFonts w:ascii="Arial" w:cs="Arial" w:eastAsia="Arial" w:hAnsi="Arial"/>
                <w:sz w:val="14"/>
                <w:szCs w:val="14"/>
                <w:b w:val="1"/>
                <w:bCs w:val="1"/>
                <w:color w:val="auto"/>
                <w:w w:val="95"/>
              </w:rPr>
              <w:t>SW1E 6AJ</w:t>
            </w:r>
          </w:p>
        </w:tc>
        <w:tc>
          <w:tcPr>
            <w:tcW w:w="0" w:type="dxa"/>
            <w:vAlign w:val="bottom"/>
          </w:tcPr>
          <w:p>
            <w:pPr>
              <w:spacing w:after="0"/>
              <w:rPr>
                <w:sz w:val="1"/>
                <w:szCs w:val="1"/>
                <w:color w:val="auto"/>
              </w:rPr>
            </w:pPr>
          </w:p>
        </w:tc>
      </w:tr>
      <w:tr>
        <w:trPr>
          <w:trHeight w:val="184"/>
        </w:trPr>
        <w:tc>
          <w:tcPr>
            <w:tcW w:w="326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w w:val="92"/>
              </w:rPr>
              <w:t>London, United Kingdom</w:t>
            </w: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60" w:type="dxa"/>
            <w:vAlign w:val="bottom"/>
            <w:gridSpan w:val="3"/>
          </w:tcPr>
          <w:p>
            <w:pPr>
              <w:jc w:val="center"/>
              <w:ind w:right="229"/>
              <w:spacing w:after="0"/>
              <w:rPr>
                <w:sz w:val="20"/>
                <w:szCs w:val="20"/>
                <w:color w:val="auto"/>
              </w:rPr>
            </w:pPr>
            <w:r>
              <w:rPr>
                <w:rFonts w:ascii="Arial" w:cs="Arial" w:eastAsia="Arial" w:hAnsi="Arial"/>
                <w:sz w:val="14"/>
                <w:szCs w:val="14"/>
                <w:b w:val="1"/>
                <w:bCs w:val="1"/>
                <w:color w:val="auto"/>
                <w:w w:val="93"/>
              </w:rPr>
              <w:t>Parkstraat 83, The Hague,</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20" w:type="dxa"/>
            <w:vAlign w:val="bottom"/>
            <w:gridSpan w:val="2"/>
            <w:vMerge w:val="restart"/>
          </w:tcPr>
          <w:p>
            <w:pPr>
              <w:jc w:val="center"/>
              <w:ind w:left="853"/>
              <w:spacing w:after="0"/>
              <w:rPr>
                <w:sz w:val="20"/>
                <w:szCs w:val="20"/>
                <w:color w:val="auto"/>
              </w:rPr>
            </w:pPr>
            <w:r>
              <w:rPr>
                <w:rFonts w:ascii="Arial" w:cs="Arial" w:eastAsia="Arial" w:hAnsi="Arial"/>
                <w:sz w:val="14"/>
                <w:szCs w:val="14"/>
                <w:b w:val="1"/>
                <w:bCs w:val="1"/>
                <w:color w:val="auto"/>
                <w:w w:val="93"/>
              </w:rPr>
              <w:t>2514 JG</w:t>
            </w: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2300" w:type="dxa"/>
            <w:vAlign w:val="bottom"/>
            <w:gridSpan w:val="2"/>
          </w:tcPr>
          <w:p>
            <w:pPr>
              <w:jc w:val="center"/>
              <w:ind w:right="1169"/>
              <w:spacing w:after="0" w:line="155" w:lineRule="exact"/>
              <w:rPr>
                <w:sz w:val="20"/>
                <w:szCs w:val="20"/>
                <w:color w:val="auto"/>
              </w:rPr>
            </w:pPr>
            <w:r>
              <w:rPr>
                <w:rFonts w:ascii="Arial" w:cs="Arial" w:eastAsia="Arial" w:hAnsi="Arial"/>
                <w:sz w:val="14"/>
                <w:szCs w:val="14"/>
                <w:b w:val="1"/>
                <w:bCs w:val="1"/>
                <w:color w:val="auto"/>
                <w:w w:val="92"/>
              </w:rPr>
              <w:t>The Netherlands</w:t>
            </w: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60" w:type="dxa"/>
            <w:vAlign w:val="bottom"/>
            <w:gridSpan w:val="3"/>
          </w:tcPr>
          <w:p>
            <w:pPr>
              <w:jc w:val="center"/>
              <w:ind w:right="209"/>
              <w:spacing w:after="0"/>
              <w:rPr>
                <w:sz w:val="20"/>
                <w:szCs w:val="20"/>
                <w:color w:val="auto"/>
              </w:rPr>
            </w:pPr>
            <w:r>
              <w:rPr>
                <w:rFonts w:ascii="Arial" w:cs="Arial" w:eastAsia="Arial" w:hAnsi="Arial"/>
                <w:sz w:val="12"/>
                <w:szCs w:val="12"/>
                <w:color w:val="auto"/>
                <w:w w:val="94"/>
              </w:rPr>
              <w:t>(Addresses of principal executive offices)</w:t>
            </w: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20" w:type="dxa"/>
            <w:vAlign w:val="bottom"/>
            <w:gridSpan w:val="2"/>
          </w:tcPr>
          <w:p>
            <w:pPr>
              <w:jc w:val="center"/>
              <w:ind w:left="853"/>
              <w:spacing w:after="0"/>
              <w:rPr>
                <w:sz w:val="20"/>
                <w:szCs w:val="20"/>
                <w:color w:val="auto"/>
              </w:rPr>
            </w:pPr>
            <w:r>
              <w:rPr>
                <w:rFonts w:ascii="Arial" w:cs="Arial" w:eastAsia="Arial" w:hAnsi="Arial"/>
                <w:sz w:val="12"/>
                <w:szCs w:val="12"/>
                <w:color w:val="auto"/>
                <w:w w:val="92"/>
              </w:rPr>
              <w:t>(Zip Codes)</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72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Registrant’s telephone number in the United States, including area code, is: (713) 513-2000</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140" w:type="dxa"/>
            <w:vAlign w:val="bottom"/>
            <w:gridSpan w:val="5"/>
          </w:tcPr>
          <w:p>
            <w:pPr>
              <w:jc w:val="center"/>
              <w:ind w:right="1400"/>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157"/>
        </w:trPr>
        <w:tc>
          <w:tcPr>
            <w:tcW w:w="96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7"/>
              </w:rPr>
              <w:t>Title of each class</w:t>
            </w:r>
          </w:p>
        </w:tc>
        <w:tc>
          <w:tcPr>
            <w:tcW w:w="1240" w:type="dxa"/>
            <w:vAlign w:val="bottom"/>
          </w:tcPr>
          <w:p>
            <w:pPr>
              <w:spacing w:after="0"/>
              <w:rPr>
                <w:sz w:val="13"/>
                <w:szCs w:val="13"/>
                <w:color w:val="auto"/>
              </w:rPr>
            </w:pPr>
          </w:p>
        </w:tc>
        <w:tc>
          <w:tcPr>
            <w:tcW w:w="4900" w:type="dxa"/>
            <w:vAlign w:val="bottom"/>
            <w:gridSpan w:val="4"/>
          </w:tcPr>
          <w:p>
            <w:pPr>
              <w:ind w:left="1260"/>
              <w:spacing w:after="0" w:line="157" w:lineRule="exact"/>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60" w:type="dxa"/>
            <w:vAlign w:val="bottom"/>
            <w:gridSpan w:val="3"/>
          </w:tcPr>
          <w:p>
            <w:pPr>
              <w:jc w:val="center"/>
              <w:ind w:right="209"/>
              <w:spacing w:after="0" w:line="121" w:lineRule="exact"/>
              <w:rPr>
                <w:sz w:val="20"/>
                <w:szCs w:val="20"/>
                <w:color w:val="auto"/>
              </w:rPr>
            </w:pPr>
            <w:r>
              <w:rPr>
                <w:rFonts w:ascii="Arial" w:cs="Arial" w:eastAsia="Arial" w:hAnsi="Arial"/>
                <w:sz w:val="13"/>
                <w:szCs w:val="13"/>
                <w:color w:val="auto"/>
                <w:w w:val="97"/>
              </w:rPr>
              <w:t>Common Stock, par value $0.01 per share</w:t>
            </w:r>
          </w:p>
        </w:tc>
        <w:tc>
          <w:tcPr>
            <w:tcW w:w="4900" w:type="dxa"/>
            <w:vAlign w:val="bottom"/>
            <w:gridSpan w:val="4"/>
          </w:tcPr>
          <w:p>
            <w:pPr>
              <w:ind w:left="1260"/>
              <w:spacing w:after="0" w:line="121" w:lineRule="exact"/>
              <w:rPr>
                <w:sz w:val="20"/>
                <w:szCs w:val="20"/>
                <w:color w:val="auto"/>
              </w:rPr>
            </w:pPr>
            <w:r>
              <w:rPr>
                <w:rFonts w:ascii="Arial" w:cs="Arial" w:eastAsia="Arial" w:hAnsi="Arial"/>
                <w:sz w:val="13"/>
                <w:szCs w:val="13"/>
                <w:color w:val="auto"/>
              </w:rPr>
              <w:t>New York Stock Exchange</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900" w:type="dxa"/>
            <w:vAlign w:val="bottom"/>
            <w:gridSpan w:val="4"/>
          </w:tcPr>
          <w:p>
            <w:pPr>
              <w:ind w:left="1260"/>
              <w:spacing w:after="0" w:line="158" w:lineRule="exact"/>
              <w:rPr>
                <w:sz w:val="20"/>
                <w:szCs w:val="20"/>
                <w:color w:val="auto"/>
              </w:rPr>
            </w:pPr>
            <w:r>
              <w:rPr>
                <w:rFonts w:ascii="Arial" w:cs="Arial" w:eastAsia="Arial" w:hAnsi="Arial"/>
                <w:sz w:val="14"/>
                <w:szCs w:val="14"/>
                <w:color w:val="auto"/>
              </w:rPr>
              <w:t>Euronext Paris</w:t>
            </w:r>
          </w:p>
        </w:tc>
        <w:tc>
          <w:tcPr>
            <w:tcW w:w="0" w:type="dxa"/>
            <w:vAlign w:val="bottom"/>
          </w:tcPr>
          <w:p>
            <w:pPr>
              <w:spacing w:after="0"/>
              <w:rPr>
                <w:sz w:val="1"/>
                <w:szCs w:val="1"/>
                <w:color w:val="auto"/>
              </w:rPr>
            </w:pPr>
          </w:p>
        </w:tc>
      </w:tr>
    </w:tbl>
    <w:p>
      <w:pPr>
        <w:ind w:left="5840"/>
        <w:spacing w:after="0" w:line="217" w:lineRule="auto"/>
        <w:rPr>
          <w:sz w:val="20"/>
          <w:szCs w:val="20"/>
          <w:color w:val="auto"/>
        </w:rPr>
      </w:pPr>
      <w:r>
        <w:rPr>
          <w:rFonts w:ascii="Arial" w:cs="Arial" w:eastAsia="Arial" w:hAnsi="Arial"/>
          <w:sz w:val="14"/>
          <w:szCs w:val="14"/>
          <w:color w:val="auto"/>
        </w:rPr>
        <w:t>The London Stock Exchange</w:t>
      </w:r>
    </w:p>
    <w:p>
      <w:pPr>
        <w:ind w:left="5840"/>
        <w:spacing w:after="0"/>
        <w:rPr>
          <w:sz w:val="20"/>
          <w:szCs w:val="20"/>
          <w:color w:val="auto"/>
        </w:rPr>
      </w:pPr>
      <w:r>
        <w:rPr>
          <w:rFonts w:ascii="Arial" w:cs="Arial" w:eastAsia="Arial" w:hAnsi="Arial"/>
          <w:sz w:val="14"/>
          <w:szCs w:val="14"/>
          <w:color w:val="auto"/>
        </w:rPr>
        <w:t>SIX Swiss Exchange</w:t>
      </w:r>
    </w:p>
    <w:p>
      <w:pPr>
        <w:spacing w:after="0" w:line="7"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39370</wp:posOffset>
            </wp:positionV>
            <wp:extent cx="1449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52" w:lineRule="exact"/>
        <w:rPr>
          <w:sz w:val="24"/>
          <w:szCs w:val="24"/>
          <w:color w:val="auto"/>
        </w:rPr>
      </w:pPr>
    </w:p>
    <w:p>
      <w:pPr>
        <w:ind w:right="3780"/>
        <w:spacing w:after="0" w:line="217"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jc w:val="both"/>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 w:lineRule="exact"/>
        <w:rPr>
          <w:sz w:val="24"/>
          <w:szCs w:val="24"/>
          <w:color w:val="auto"/>
        </w:rPr>
      </w:pPr>
    </w:p>
    <w:p>
      <w:pPr>
        <w:jc w:val="both"/>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jc w:val="both"/>
        <w:spacing w:after="0" w:line="17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23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right="100"/>
        <w:spacing w:after="0" w:line="172"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If an emerging growth company, indicate by check mark if the registrant has elected not to use the extended transition period for complying with any new or revised financial accounting standards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2018, the aggregate market value of the common stock of the registrant held by non-affiliates of the registrant was approximately $92.72 billion.</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As of December 31, 2018, the number of shares of common stock outstanding was 1,382,964,324.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9" w:lineRule="exact"/>
        <w:rPr>
          <w:sz w:val="24"/>
          <w:szCs w:val="24"/>
          <w:color w:val="auto"/>
        </w:rPr>
      </w:pPr>
    </w:p>
    <w:p>
      <w:pPr>
        <w:jc w:val="both"/>
        <w:spacing w:after="0" w:line="234" w:lineRule="auto"/>
        <w:rPr>
          <w:sz w:val="20"/>
          <w:szCs w:val="20"/>
          <w:color w:val="auto"/>
        </w:rPr>
      </w:pPr>
      <w:r>
        <w:rPr>
          <w:rFonts w:ascii="Arial" w:cs="Arial" w:eastAsia="Arial" w:hAnsi="Arial"/>
          <w:sz w:val="14"/>
          <w:szCs w:val="14"/>
          <w:color w:val="auto"/>
        </w:rPr>
        <w:t>Certain information required to be furnished pursuant to Part III of this Form 10-K is set forth in, and is incorporated by reference from, Schlumberger’s definitive proxy statement for its 2019 Annual General Meeting of Stockholders, to be filed by Schlumberger with the Securities and Exchange Commission pursuant to Regulation 14A within 120 days after December 31, 2018 (the “2019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7249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74930</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863600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2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rPr>
              <w:t>SCHLUMBERGER LIMITED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20" w:type="dxa"/>
            <w:vAlign w:val="bottom"/>
            <w:gridSpan w:val="8"/>
          </w:tcPr>
          <w:p>
            <w:pPr>
              <w:jc w:val="center"/>
              <w:ind w:right="3940"/>
              <w:spacing w:after="0"/>
              <w:rPr>
                <w:sz w:val="20"/>
                <w:szCs w:val="20"/>
                <w:color w:val="auto"/>
              </w:rPr>
            </w:pPr>
            <w:r>
              <w:rPr>
                <w:rFonts w:ascii="Arial" w:cs="Arial" w:eastAsia="Arial" w:hAnsi="Arial"/>
                <w:sz w:val="18"/>
                <w:szCs w:val="18"/>
                <w:color w:val="auto"/>
                <w:w w:val="88"/>
              </w:rPr>
              <w:t>Table of Contents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20" w:type="dxa"/>
            <w:vAlign w:val="bottom"/>
            <w:gridSpan w:val="8"/>
          </w:tcPr>
          <w:p>
            <w:pPr>
              <w:jc w:val="center"/>
              <w:ind w:right="3940"/>
              <w:spacing w:after="0"/>
              <w:rPr>
                <w:sz w:val="20"/>
                <w:szCs w:val="20"/>
                <w:color w:val="auto"/>
              </w:rPr>
            </w:pPr>
            <w:r>
              <w:rPr>
                <w:rFonts w:ascii="Arial" w:cs="Arial" w:eastAsia="Arial" w:hAnsi="Arial"/>
                <w:sz w:val="18"/>
                <w:szCs w:val="18"/>
                <w:color w:val="auto"/>
                <w:w w:val="91"/>
              </w:rPr>
              <w:t>Form 10-K</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48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1"/>
        </w:trPr>
        <w:tc>
          <w:tcPr>
            <w:tcW w:w="580" w:type="dxa"/>
            <w:vAlign w:val="bottom"/>
            <w:tcBorders>
              <w:bottom w:val="single" w:sz="8" w:color="0000EE"/>
            </w:tcBorders>
            <w:vMerge w:val="continue"/>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9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98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Properties</w:t>
              </w:r>
            </w:hyperlink>
          </w:p>
        </w:tc>
        <w:tc>
          <w:tcPr>
            <w:tcW w:w="1280" w:type="dxa"/>
            <w:vAlign w:val="bottom"/>
            <w:tcBorders>
              <w:top w:val="single" w:sz="8" w:color="0000EE"/>
            </w:tcBorders>
            <w:gridSpan w:val="8"/>
          </w:tcPr>
          <w:p>
            <w:pPr>
              <w:spacing w:after="0"/>
              <w:rPr>
                <w:sz w:val="24"/>
                <w:szCs w:val="24"/>
                <w:color w:val="auto"/>
              </w:rPr>
            </w:pPr>
          </w:p>
        </w:tc>
        <w:tc>
          <w:tcPr>
            <w:tcW w:w="79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98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420" w:type="dxa"/>
            <w:vAlign w:val="bottom"/>
            <w:gridSpan w:val="3"/>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Market for Schlumberger’s Common Stock, Related Stockholder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Selected Financial Data</w:t>
              </w:r>
            </w:hyperlink>
          </w:p>
        </w:tc>
        <w:tc>
          <w:tcPr>
            <w:tcW w:w="6460" w:type="dxa"/>
            <w:vAlign w:val="bottom"/>
            <w:tcBorders>
              <w:top w:val="single" w:sz="8" w:color="0000EE"/>
            </w:tcBorders>
            <w:gridSpan w:val="13"/>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980" w:type="dxa"/>
            <w:vAlign w:val="bottom"/>
            <w:gridSpan w:val="2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Quantitative and Qualitative Disclosures About Market Risk</w:t>
              </w:r>
            </w:hyperlink>
          </w:p>
        </w:tc>
        <w:tc>
          <w:tcPr>
            <w:tcW w:w="2060" w:type="dxa"/>
            <w:vAlign w:val="bottom"/>
            <w:tcBorders>
              <w:top w:val="single" w:sz="8" w:color="0000EE"/>
            </w:tcBorders>
            <w:gridSpan w:val="3"/>
          </w:tcPr>
          <w:p>
            <w:pPr>
              <w:spacing w:after="0"/>
              <w:rPr>
                <w:sz w:val="24"/>
                <w:szCs w:val="24"/>
                <w:color w:val="auto"/>
              </w:rPr>
            </w:pPr>
          </w:p>
        </w:tc>
        <w:tc>
          <w:tcPr>
            <w:tcW w:w="36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98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980" w:type="dxa"/>
            <w:vAlign w:val="bottom"/>
            <w:gridSpan w:val="2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66">
              <w:r>
                <w:rPr>
                  <w:rFonts w:ascii="Arial" w:cs="Arial" w:eastAsia="Arial" w:hAnsi="Arial"/>
                  <w:sz w:val="18"/>
                  <w:szCs w:val="18"/>
                  <w:color w:val="0000EE"/>
                  <w:w w:val="86"/>
                </w:rPr>
                <w:t>Controls and Procedures</w:t>
              </w:r>
            </w:hyperlink>
          </w:p>
        </w:tc>
        <w:tc>
          <w:tcPr>
            <w:tcW w:w="4620" w:type="dxa"/>
            <w:vAlign w:val="bottom"/>
            <w:tcBorders>
              <w:top w:val="single" w:sz="8" w:color="0000EE"/>
            </w:tcBorders>
            <w:gridSpan w:val="10"/>
          </w:tcPr>
          <w:p>
            <w:pPr>
              <w:spacing w:after="0"/>
              <w:rPr>
                <w:sz w:val="24"/>
                <w:szCs w:val="24"/>
                <w:color w:val="auto"/>
              </w:rPr>
            </w:pPr>
          </w:p>
        </w:tc>
        <w:tc>
          <w:tcPr>
            <w:tcW w:w="362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98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2"/>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98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 of Schlumberger</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5240" w:type="dxa"/>
            <w:vAlign w:val="bottom"/>
            <w:tcBorders>
              <w:top w:val="single" w:sz="8" w:color="0000EE"/>
            </w:tcBorders>
            <w:gridSpan w:val="1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Executive Compensation</w:t>
              </w:r>
            </w:hyperlink>
          </w:p>
        </w:tc>
        <w:tc>
          <w:tcPr>
            <w:tcW w:w="47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98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3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Certain Relationships and Related Transactions, and Director Independence</w:t>
              </w:r>
            </w:hyperlink>
          </w:p>
        </w:tc>
        <w:tc>
          <w:tcPr>
            <w:tcW w:w="1800" w:type="dxa"/>
            <w:vAlign w:val="bottom"/>
            <w:tcBorders>
              <w:top w:val="single" w:sz="8" w:color="0000EE"/>
            </w:tcBorders>
            <w:gridSpan w:val="3"/>
          </w:tcPr>
          <w:p>
            <w:pPr>
              <w:spacing w:after="0"/>
              <w:rPr>
                <w:sz w:val="24"/>
                <w:szCs w:val="24"/>
                <w:color w:val="auto"/>
              </w:rPr>
            </w:pPr>
          </w:p>
        </w:tc>
        <w:tc>
          <w:tcPr>
            <w:tcW w:w="28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98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Principal Accounting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360" w:type="dxa"/>
            <w:vAlign w:val="bottom"/>
            <w:gridSpan w:val="2"/>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Form 10-K Summary</w:t>
              </w:r>
            </w:hyperlink>
          </w:p>
        </w:tc>
        <w:tc>
          <w:tcPr>
            <w:tcW w:w="1580" w:type="dxa"/>
            <w:vAlign w:val="bottom"/>
            <w:tcBorders>
              <w:top w:val="single" w:sz="8" w:color="0000EE"/>
            </w:tcBorders>
            <w:gridSpan w:val="6"/>
          </w:tcPr>
          <w:p>
            <w:pPr>
              <w:spacing w:after="0"/>
              <w:rPr>
                <w:sz w:val="24"/>
                <w:szCs w:val="24"/>
                <w:color w:val="auto"/>
              </w:rPr>
            </w:pPr>
          </w:p>
        </w:tc>
        <w:tc>
          <w:tcPr>
            <w:tcW w:w="68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40" w:type="dxa"/>
            <w:vAlign w:val="bottom"/>
            <w:gridSpan w:val="1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Arial" w:cs="Arial" w:eastAsia="Arial" w:hAnsi="Arial"/>
                <w:sz w:val="18"/>
                <w:szCs w:val="18"/>
                <w:color w:val="auto"/>
              </w:rPr>
              <w:t>Certifications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All references in this report to “Registrant,” “Company,” “Schlumberger,” “we” or “our” are to Schlumberger Limited (Schlumberger N.V., incorporated in Curaçao) and its consolidated subsidiaries.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Founded in 1926, Schlumberger is the world’s leading provider of technology for reservoir characterization, drilling, production and processing to the oil and gas industry. Having invented wireline logging as a technique for obtaining downhole data in oil and gas wells, today Schlumberger supplies the industry’s most comprehensive range of products and services, from exploration through production, and integrated pore-to-pipeline solutions that optimize hydrocarbon recovery to deliver reservoir performance. As of December 31, 2018, the Company employed approximately 100,000 people of over 140 nationalities operating in more than 85 countries. Schlumberger has executive offices in Paris, Houston, London and The Hague.</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Schlumberger operates in each of the major oilfield service markets, through four segments: Reservoir Characterization, Drilling, Production and Cameron. Each segment consists of a number of technology-based service and product lines, or Technologies. These Technologies cover the entire life cycle of the reservoir and correspond to a number of markets in which Schlumberger holds leading positions. The role of the Technologies is to support Schlumberger in providing the best possible service to customers and to ensure that Schlumberger remains at the forefront of technology development and services integration. The Technologies are collectively responsible for driving excellence in execution throughout their businesses; overseeing operational processes, resource allocation and personnel; and delivering superior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segments are as follows: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 xml:space="preserve">Reservoir Characterization </w:t>
      </w:r>
      <w:r>
        <w:rPr>
          <w:rFonts w:ascii="Arial" w:cs="Arial" w:eastAsia="Arial" w:hAnsi="Arial"/>
          <w:sz w:val="18"/>
          <w:szCs w:val="18"/>
          <w:color w:val="auto"/>
        </w:rPr>
        <w:t>– Consists of the principal Technologies involved in finding and defining hydrocarbon resources. These include WesternGeco</w:t>
      </w:r>
      <w:r>
        <w:rPr>
          <w:rFonts w:ascii="Arial" w:cs="Arial" w:eastAsia="Arial" w:hAnsi="Arial"/>
          <w:sz w:val="15"/>
          <w:szCs w:val="15"/>
          <w:color w:val="231F20"/>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Wireline, Testing Services, OneSurface</w:t>
      </w:r>
      <w:r>
        <w:rPr>
          <w:rFonts w:ascii="Arial" w:cs="Arial" w:eastAsia="Arial" w:hAnsi="Arial"/>
          <w:sz w:val="15"/>
          <w:szCs w:val="15"/>
          <w:color w:val="231F20"/>
        </w:rPr>
        <w:t>®</w:t>
      </w:r>
      <w:r>
        <w:rPr>
          <w:rFonts w:ascii="Arial" w:cs="Arial" w:eastAsia="Arial" w:hAnsi="Arial"/>
          <w:sz w:val="18"/>
          <w:szCs w:val="18"/>
          <w:color w:val="auto"/>
        </w:rPr>
        <w:t>, Software Integrated Solutions (“SIS”) and Integrated Services Management (“ISM”).</w:t>
      </w:r>
    </w:p>
    <w:p>
      <w:pPr>
        <w:spacing w:after="0" w:line="179" w:lineRule="exact"/>
        <w:rPr>
          <w:sz w:val="20"/>
          <w:szCs w:val="20"/>
          <w:color w:val="auto"/>
        </w:rPr>
      </w:pPr>
    </w:p>
    <w:p>
      <w:pPr>
        <w:jc w:val="both"/>
        <w:ind w:left="740" w:hanging="362"/>
        <w:spacing w:after="0" w:line="252"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WesternGeco </w:t>
      </w:r>
      <w:r>
        <w:rPr>
          <w:rFonts w:ascii="Arial" w:cs="Arial" w:eastAsia="Arial" w:hAnsi="Arial"/>
          <w:sz w:val="18"/>
          <w:szCs w:val="18"/>
          <w:color w:val="auto"/>
        </w:rPr>
        <w:t>is a leading geophysical services supplier, providing comprehensive worldwide reservoir interpretation and data processing services. It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highly efficient and scientifically advanced imaging platform to its customers. Through access to the industry’s global marine fleet, it provides accurate measurements and images of subsurface geology and rock properties for multiclient surveys. WesternGeco offers the industry’s most extensive multiclient library.</w:t>
      </w:r>
    </w:p>
    <w:p>
      <w:pPr>
        <w:spacing w:after="0" w:line="192" w:lineRule="exact"/>
        <w:rPr>
          <w:rFonts w:ascii="Arial" w:cs="Arial" w:eastAsia="Arial" w:hAnsi="Arial"/>
          <w:sz w:val="18"/>
          <w:szCs w:val="18"/>
          <w:color w:val="auto"/>
        </w:rPr>
      </w:pPr>
    </w:p>
    <w:p>
      <w:pPr>
        <w:jc w:val="both"/>
        <w:ind w:left="740" w:hanging="362"/>
        <w:spacing w:after="0" w:line="25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Wireline </w:t>
      </w:r>
      <w:r>
        <w:rPr>
          <w:rFonts w:ascii="Arial" w:cs="Arial" w:eastAsia="Arial" w:hAnsi="Arial"/>
          <w:sz w:val="18"/>
          <w:szCs w:val="18"/>
          <w:color w:val="auto"/>
        </w:rPr>
        <w:t>provides the information necessary to evaluate subsurface formation rocks and fluids to plan and monitor well construction, and to monitor</w:t>
      </w:r>
      <w:r>
        <w:rPr>
          <w:rFonts w:ascii="Arial" w:cs="Arial" w:eastAsia="Arial" w:hAnsi="Arial"/>
          <w:sz w:val="18"/>
          <w:szCs w:val="18"/>
          <w:i w:val="1"/>
          <w:iCs w:val="1"/>
          <w:color w:val="auto"/>
        </w:rPr>
        <w:t xml:space="preserve"> </w:t>
      </w:r>
      <w:r>
        <w:rPr>
          <w:rFonts w:ascii="Arial" w:cs="Arial" w:eastAsia="Arial" w:hAnsi="Arial"/>
          <w:sz w:val="18"/>
          <w:szCs w:val="18"/>
          <w:color w:val="auto"/>
        </w:rPr>
        <w:t>and evaluate well production. Wireline offers both openhole and cased-hole services including wireline perforating. Slickline services provide downhole mechanical well intervention.</w:t>
      </w:r>
    </w:p>
    <w:p>
      <w:pPr>
        <w:spacing w:after="0" w:line="189" w:lineRule="exact"/>
        <w:rPr>
          <w:rFonts w:ascii="Arial" w:cs="Arial" w:eastAsia="Arial" w:hAnsi="Arial"/>
          <w:sz w:val="18"/>
          <w:szCs w:val="18"/>
          <w:color w:val="auto"/>
        </w:rPr>
      </w:pPr>
    </w:p>
    <w:p>
      <w:pPr>
        <w:ind w:left="740" w:hanging="362"/>
        <w:spacing w:after="0" w:line="295"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Testing Services </w:t>
      </w:r>
      <w:r>
        <w:rPr>
          <w:rFonts w:ascii="Arial" w:cs="Arial" w:eastAsia="Arial" w:hAnsi="Arial"/>
          <w:sz w:val="17"/>
          <w:szCs w:val="17"/>
          <w:color w:val="auto"/>
        </w:rPr>
        <w:t>provides exploration and production pressure and flow-rate measurement services both at the surface and downhole. Testing has a</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of laboratories that conduct rock and fluid characterization. Testing also provides tubing-conveyed perforating services.</w:t>
      </w:r>
    </w:p>
    <w:p>
      <w:pPr>
        <w:spacing w:after="0" w:line="156" w:lineRule="exact"/>
        <w:rPr>
          <w:rFonts w:ascii="Arial" w:cs="Arial" w:eastAsia="Arial" w:hAnsi="Arial"/>
          <w:sz w:val="17"/>
          <w:szCs w:val="17"/>
          <w:color w:val="auto"/>
        </w:rPr>
      </w:pPr>
    </w:p>
    <w:p>
      <w:pPr>
        <w:ind w:left="740" w:hanging="362"/>
        <w:spacing w:after="0" w:line="26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OneSurface </w:t>
      </w:r>
      <w:r>
        <w:rPr>
          <w:rFonts w:ascii="Arial" w:cs="Arial" w:eastAsia="Arial" w:hAnsi="Arial"/>
          <w:sz w:val="18"/>
          <w:szCs w:val="18"/>
          <w:color w:val="auto"/>
        </w:rPr>
        <w:t>provides a unique, reservoir-driven, fit-for-purpose integrated production system for accelerating first oil and gas and maximizing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economics.</w:t>
      </w:r>
    </w:p>
    <w:p>
      <w:pPr>
        <w:spacing w:after="0" w:line="180" w:lineRule="exact"/>
        <w:rPr>
          <w:rFonts w:ascii="Arial" w:cs="Arial" w:eastAsia="Arial" w:hAnsi="Arial"/>
          <w:sz w:val="18"/>
          <w:szCs w:val="18"/>
          <w:color w:val="auto"/>
        </w:rPr>
      </w:pPr>
    </w:p>
    <w:p>
      <w:pPr>
        <w:jc w:val="both"/>
        <w:ind w:left="740" w:hanging="362"/>
        <w:spacing w:after="0" w:line="25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Software Integrated Solutions </w:t>
      </w:r>
      <w:r>
        <w:rPr>
          <w:rFonts w:ascii="Arial" w:cs="Arial" w:eastAsia="Arial" w:hAnsi="Arial"/>
          <w:sz w:val="18"/>
          <w:szCs w:val="18"/>
          <w:color w:val="auto"/>
        </w:rPr>
        <w:t>sells proprietary software and provides consulting, information management and IT infrastructure services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oil and gas industry. SIS also offers expert consulting services for reservoir characterization, field development planning and production enhancement, as well as industry-leading petrotechnical data services and training solutions.</w:t>
      </w:r>
    </w:p>
    <w:p>
      <w:pPr>
        <w:spacing w:after="0" w:line="189" w:lineRule="exact"/>
        <w:rPr>
          <w:rFonts w:ascii="Arial" w:cs="Arial" w:eastAsia="Arial" w:hAnsi="Arial"/>
          <w:sz w:val="18"/>
          <w:szCs w:val="18"/>
          <w:color w:val="auto"/>
        </w:rPr>
      </w:pPr>
    </w:p>
    <w:p>
      <w:pPr>
        <w:jc w:val="both"/>
        <w:ind w:left="740" w:hanging="362"/>
        <w:spacing w:after="0" w:line="25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Integrated Services Management </w:t>
      </w:r>
      <w:r>
        <w:rPr>
          <w:rFonts w:ascii="Arial" w:cs="Arial" w:eastAsia="Arial" w:hAnsi="Arial"/>
          <w:sz w:val="18"/>
          <w:szCs w:val="18"/>
          <w:color w:val="auto"/>
        </w:rPr>
        <w:t>provides coordination and management of Schlumberger services, products and third parties in projects around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ISM offers a certified integrated services project manager as a focal point of contact between the project owner and the various Schlumberger services, ensuring alignment of project objectives.</w:t>
      </w:r>
    </w:p>
    <w:p>
      <w:pPr>
        <w:spacing w:after="0" w:line="190"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 xml:space="preserve">Drilling </w:t>
      </w:r>
      <w:r>
        <w:rPr>
          <w:rFonts w:ascii="Arial" w:cs="Arial" w:eastAsia="Arial" w:hAnsi="Arial"/>
          <w:sz w:val="18"/>
          <w:szCs w:val="18"/>
          <w:color w:val="auto"/>
        </w:rPr>
        <w:t>– Consists of the principal Technologies involved in the drilling and positioning of oil and gas wells and comprises Bits &amp; Drilling Tools, M-I SWACO,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&amp; Measurements, Land Rigs and Integrated Drilling Services (“IDS”).</w:t>
      </w:r>
    </w:p>
    <w:p>
      <w:pPr>
        <w:spacing w:after="0" w:line="180" w:lineRule="exact"/>
        <w:rPr>
          <w:sz w:val="20"/>
          <w:szCs w:val="20"/>
          <w:color w:val="auto"/>
        </w:rPr>
      </w:pPr>
    </w:p>
    <w:p>
      <w:pPr>
        <w:jc w:val="both"/>
        <w:ind w:left="740" w:hanging="362"/>
        <w:spacing w:after="0" w:line="252"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Bits &amp; Drilling Tools </w:t>
      </w:r>
      <w:r>
        <w:rPr>
          <w:rFonts w:ascii="Arial" w:cs="Arial" w:eastAsia="Arial" w:hAnsi="Arial"/>
          <w:sz w:val="18"/>
          <w:szCs w:val="18"/>
          <w:color w:val="auto"/>
        </w:rPr>
        <w:t>designs, manufactures and markets roller cone and fixed cutter drill bits for all environments. The drill bits include designs for</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market segments where faster penetration rates and increased footage provide significant economic benefits in lowering overall well costs. Drilling Tools includes a wide variety of bottom-hole-assembly, borehole-enlargement technologies and impact tools, as well as a comprehensive collection of tubulars and tubular services for oil and gas drilling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ind w:left="740" w:hanging="362"/>
        <w:spacing w:after="0" w:line="25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M-I SWACO </w:t>
      </w:r>
      <w:r>
        <w:rPr>
          <w:rFonts w:ascii="Arial" w:cs="Arial" w:eastAsia="Arial" w:hAnsi="Arial"/>
          <w:sz w:val="18"/>
          <w:szCs w:val="18"/>
          <w:color w:val="auto"/>
        </w:rPr>
        <w:t>is a supplier of drilling fluid systems engineered to improve drilling performance by anticipating fluids-related problems; fluid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specialty equipment designed to optimize wellbore productivity; and production technology solutions formulated to maximize production rates. M-I SWACO also provides engineered managed pressure drilling and underbalanced drilling solutions, as well as environmental services and products to safely manage waste volumes generated in both drilling and production operations.</w:t>
      </w:r>
    </w:p>
    <w:p>
      <w:pPr>
        <w:spacing w:after="0" w:line="192" w:lineRule="exact"/>
        <w:rPr>
          <w:rFonts w:ascii="Arial" w:cs="Arial" w:eastAsia="Arial" w:hAnsi="Arial"/>
          <w:sz w:val="18"/>
          <w:szCs w:val="18"/>
          <w:color w:val="auto"/>
        </w:rPr>
      </w:pPr>
    </w:p>
    <w:p>
      <w:pPr>
        <w:ind w:left="740" w:hanging="362"/>
        <w:spacing w:after="0" w:line="26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Drilling &amp; Measurements </w:t>
      </w:r>
      <w:r>
        <w:rPr>
          <w:rFonts w:ascii="Arial" w:cs="Arial" w:eastAsia="Arial" w:hAnsi="Arial"/>
          <w:sz w:val="18"/>
          <w:szCs w:val="18"/>
          <w:color w:val="auto"/>
        </w:rPr>
        <w:t>provides mud logging services for geological and drilling surveillance, directional drilling, measurement-while-drilling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logging-while-drilling services for all well profiles as well as engineering support.</w:t>
      </w:r>
    </w:p>
    <w:p>
      <w:pPr>
        <w:spacing w:after="0" w:line="180" w:lineRule="exact"/>
        <w:rPr>
          <w:rFonts w:ascii="Arial" w:cs="Arial" w:eastAsia="Arial" w:hAnsi="Arial"/>
          <w:sz w:val="18"/>
          <w:szCs w:val="18"/>
          <w:color w:val="auto"/>
        </w:rPr>
      </w:pPr>
    </w:p>
    <w:p>
      <w:pPr>
        <w:jc w:val="both"/>
        <w:ind w:left="740" w:hanging="362"/>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Land Rigs </w:t>
      </w:r>
      <w:r>
        <w:rPr>
          <w:rFonts w:ascii="Arial" w:cs="Arial" w:eastAsia="Arial" w:hAnsi="Arial"/>
          <w:sz w:val="18"/>
          <w:szCs w:val="18"/>
          <w:color w:val="auto"/>
        </w:rPr>
        <w:t>provides land drilling rigs and related support services. The land drilling system of the future, currently under development, represents an</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drilling platform bringing together digitally enabled surface and downhole hardware combined with a common optimization software to create a step-change in operational efficiency.</w:t>
      </w:r>
    </w:p>
    <w:p>
      <w:pPr>
        <w:spacing w:after="0" w:line="189" w:lineRule="exact"/>
        <w:rPr>
          <w:rFonts w:ascii="Arial" w:cs="Arial" w:eastAsia="Arial" w:hAnsi="Arial"/>
          <w:sz w:val="18"/>
          <w:szCs w:val="18"/>
          <w:color w:val="auto"/>
        </w:rPr>
      </w:pPr>
    </w:p>
    <w:p>
      <w:pPr>
        <w:ind w:left="740" w:hanging="362"/>
        <w:spacing w:after="0" w:line="366" w:lineRule="auto"/>
        <w:tabs>
          <w:tab w:leader="none" w:pos="74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Integrated Drilling Services </w:t>
      </w:r>
      <w:r>
        <w:rPr>
          <w:rFonts w:ascii="Arial" w:cs="Arial" w:eastAsia="Arial" w:hAnsi="Arial"/>
          <w:sz w:val="15"/>
          <w:szCs w:val="15"/>
          <w:color w:val="auto"/>
        </w:rPr>
        <w:t>supplies all of the services necessary to construct or change the architecture (re-entry) of wells. IDS covers all aspects of</w:t>
      </w:r>
      <w:r>
        <w:rPr>
          <w:rFonts w:ascii="Arial" w:cs="Arial" w:eastAsia="Arial" w:hAnsi="Arial"/>
          <w:sz w:val="15"/>
          <w:szCs w:val="15"/>
          <w:i w:val="1"/>
          <w:iCs w:val="1"/>
          <w:color w:val="auto"/>
        </w:rPr>
        <w:t xml:space="preserve"> </w:t>
      </w:r>
      <w:r>
        <w:rPr>
          <w:rFonts w:ascii="Arial" w:cs="Arial" w:eastAsia="Arial" w:hAnsi="Arial"/>
          <w:sz w:val="15"/>
          <w:szCs w:val="15"/>
          <w:color w:val="auto"/>
        </w:rPr>
        <w:t>well planning, well drilling, engineering, supervision, logistics, procurement and contracting of third parties, and drilling rig management.</w:t>
      </w:r>
    </w:p>
    <w:p>
      <w:pPr>
        <w:spacing w:after="0" w:line="11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 Consists of the principal Technologies involved in the lifetime production of oil and gas reservoirs and includes Well Services, OneStim</w:t>
      </w:r>
      <w:r>
        <w:rPr>
          <w:rFonts w:ascii="Arial" w:cs="Arial" w:eastAsia="Arial" w:hAnsi="Arial"/>
          <w:sz w:val="15"/>
          <w:szCs w:val="15"/>
          <w:color w:val="231F20"/>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Completions, Artificial Lift, and Schlumberger Production Management (“SPM”).</w:t>
      </w:r>
    </w:p>
    <w:p>
      <w:pPr>
        <w:spacing w:after="0" w:line="179" w:lineRule="exact"/>
        <w:rPr>
          <w:sz w:val="20"/>
          <w:szCs w:val="20"/>
          <w:color w:val="auto"/>
        </w:rPr>
      </w:pPr>
    </w:p>
    <w:p>
      <w:pPr>
        <w:jc w:val="both"/>
        <w:ind w:left="740" w:hanging="362"/>
        <w:spacing w:after="0" w:line="25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Well Services </w:t>
      </w:r>
      <w:r>
        <w:rPr>
          <w:rFonts w:ascii="Arial" w:cs="Arial" w:eastAsia="Arial" w:hAnsi="Arial"/>
          <w:sz w:val="18"/>
          <w:szCs w:val="18"/>
          <w:color w:val="auto"/>
        </w:rPr>
        <w:t>provides services used during oil and gas well drilling and completion as well as those used to maintain optimal production throughout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 of a well. Such services include pressure pumping, well cementing and stimulation, and coiled tubing equipment for downhole mechanical well intervention, reservoir monitoring and downhole data acquisition.</w:t>
      </w:r>
    </w:p>
    <w:p>
      <w:pPr>
        <w:spacing w:after="0" w:line="189" w:lineRule="exact"/>
        <w:rPr>
          <w:rFonts w:ascii="Arial" w:cs="Arial" w:eastAsia="Arial" w:hAnsi="Arial"/>
          <w:sz w:val="18"/>
          <w:szCs w:val="18"/>
          <w:color w:val="auto"/>
        </w:rPr>
      </w:pPr>
    </w:p>
    <w:p>
      <w:pPr>
        <w:jc w:val="both"/>
        <w:ind w:left="740" w:hanging="362"/>
        <w:spacing w:after="0" w:line="25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OneStim </w:t>
      </w:r>
      <w:r>
        <w:rPr>
          <w:rFonts w:ascii="Arial" w:cs="Arial" w:eastAsia="Arial" w:hAnsi="Arial"/>
          <w:sz w:val="18"/>
          <w:szCs w:val="18"/>
          <w:color w:val="auto"/>
        </w:rPr>
        <w:t>provides a low cost-to-serve and highly competitive service delivery platform in North America’s unconventional plays. The services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hydraulic fracturing, multistage completions, perforating, coiled tubing equipment and services for downhole mechanical well intervention, and a vertically integrated product and logistics organization.</w:t>
      </w:r>
    </w:p>
    <w:p>
      <w:pPr>
        <w:spacing w:after="0" w:line="189" w:lineRule="exact"/>
        <w:rPr>
          <w:rFonts w:ascii="Arial" w:cs="Arial" w:eastAsia="Arial" w:hAnsi="Arial"/>
          <w:sz w:val="18"/>
          <w:szCs w:val="18"/>
          <w:color w:val="auto"/>
        </w:rPr>
      </w:pPr>
    </w:p>
    <w:p>
      <w:pPr>
        <w:ind w:left="740" w:hanging="362"/>
        <w:spacing w:after="0" w:line="26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Completions </w:t>
      </w:r>
      <w:r>
        <w:rPr>
          <w:rFonts w:ascii="Arial" w:cs="Arial" w:eastAsia="Arial" w:hAnsi="Arial"/>
          <w:sz w:val="18"/>
          <w:szCs w:val="18"/>
          <w:color w:val="auto"/>
        </w:rPr>
        <w:t>supplies well completion services and equipment that include packers, safety valves, sand control technology as well as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intelligent well completions technology and equipment.</w:t>
      </w:r>
    </w:p>
    <w:p>
      <w:pPr>
        <w:spacing w:after="0" w:line="180" w:lineRule="exact"/>
        <w:rPr>
          <w:rFonts w:ascii="Arial" w:cs="Arial" w:eastAsia="Arial" w:hAnsi="Arial"/>
          <w:sz w:val="18"/>
          <w:szCs w:val="18"/>
          <w:color w:val="auto"/>
        </w:rPr>
      </w:pPr>
    </w:p>
    <w:p>
      <w:pPr>
        <w:ind w:left="740" w:hanging="362"/>
        <w:spacing w:after="0" w:line="26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Artificial Lift </w:t>
      </w:r>
      <w:r>
        <w:rPr>
          <w:rFonts w:ascii="Arial" w:cs="Arial" w:eastAsia="Arial" w:hAnsi="Arial"/>
          <w:sz w:val="18"/>
          <w:szCs w:val="18"/>
          <w:color w:val="auto"/>
        </w:rPr>
        <w:t>provides production equipment and optimization services using electrical submersible pumps, gas lift equipment, rod lift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progressing cavity pumps and surface horizontal pumping systems.</w:t>
      </w:r>
    </w:p>
    <w:p>
      <w:pPr>
        <w:spacing w:after="0" w:line="180" w:lineRule="exact"/>
        <w:rPr>
          <w:rFonts w:ascii="Arial" w:cs="Arial" w:eastAsia="Arial" w:hAnsi="Arial"/>
          <w:sz w:val="18"/>
          <w:szCs w:val="18"/>
          <w:color w:val="auto"/>
        </w:rPr>
      </w:pPr>
    </w:p>
    <w:p>
      <w:pPr>
        <w:jc w:val="both"/>
        <w:ind w:left="740" w:hanging="362"/>
        <w:spacing w:after="0" w:line="25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Schlumberger Production Management </w:t>
      </w:r>
      <w:r>
        <w:rPr>
          <w:rFonts w:ascii="Arial" w:cs="Arial" w:eastAsia="Arial" w:hAnsi="Arial"/>
          <w:sz w:val="18"/>
          <w:szCs w:val="18"/>
          <w:color w:val="auto"/>
        </w:rPr>
        <w:t>is a business model for field production projects. This model combines the required services and products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Technologies with drilling rig management, specialized engineering and project management expertise to provide a complete solution to well construction and production improvement.</w:t>
      </w:r>
    </w:p>
    <w:p>
      <w:pPr>
        <w:spacing w:after="0" w:line="189" w:lineRule="exact"/>
        <w:rPr>
          <w:rFonts w:ascii="Arial" w:cs="Arial" w:eastAsia="Arial" w:hAnsi="Arial"/>
          <w:sz w:val="18"/>
          <w:szCs w:val="18"/>
          <w:color w:val="auto"/>
        </w:rPr>
      </w:pPr>
    </w:p>
    <w:p>
      <w:pPr>
        <w:jc w:val="both"/>
        <w:ind w:left="760"/>
        <w:spacing w:after="0" w:line="267" w:lineRule="auto"/>
        <w:rPr>
          <w:rFonts w:ascii="Arial" w:cs="Arial" w:eastAsia="Arial" w:hAnsi="Arial"/>
          <w:sz w:val="18"/>
          <w:szCs w:val="18"/>
          <w:color w:val="auto"/>
        </w:rPr>
      </w:pPr>
      <w:r>
        <w:rPr>
          <w:rFonts w:ascii="Arial" w:cs="Arial" w:eastAsia="Arial" w:hAnsi="Arial"/>
          <w:sz w:val="17"/>
          <w:szCs w:val="17"/>
          <w:color w:val="auto"/>
        </w:rPr>
        <w:t>SPM creates alignment between Schlumberger and the asset holder and/or the operator whereby Schlumberger receives remuneration in line with its value creation. These projects are generally focused on developing and co-managing production of customer assets under long-term</w:t>
      </w:r>
    </w:p>
    <w:p>
      <w:pPr>
        <w:spacing w:after="0" w:line="1" w:lineRule="exact"/>
        <w:rPr>
          <w:rFonts w:ascii="Arial" w:cs="Arial" w:eastAsia="Arial" w:hAnsi="Arial"/>
          <w:sz w:val="18"/>
          <w:szCs w:val="18"/>
          <w:color w:val="auto"/>
        </w:rPr>
      </w:pPr>
    </w:p>
    <w:p>
      <w:pPr>
        <w:jc w:val="both"/>
        <w:ind w:left="760"/>
        <w:spacing w:after="0" w:line="247" w:lineRule="auto"/>
        <w:rPr>
          <w:rFonts w:ascii="Arial" w:cs="Arial" w:eastAsia="Arial" w:hAnsi="Arial"/>
          <w:sz w:val="18"/>
          <w:szCs w:val="18"/>
          <w:color w:val="auto"/>
        </w:rPr>
      </w:pPr>
      <w:r>
        <w:rPr>
          <w:rFonts w:ascii="Arial" w:cs="Arial" w:eastAsia="Arial" w:hAnsi="Arial"/>
          <w:sz w:val="18"/>
          <w:szCs w:val="18"/>
          <w:color w:val="auto"/>
        </w:rPr>
        <w:t>agreements. Schlumberger will invest its own services and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generally compensated based upon cash flow generated or on a fee-per-barrel basis. This includes certain arrangements whereby Schlumberger is only compensated based upon incremental production that it helps deliver above a mutually agreed baseline. SPM represented less than 5% of Schlumberger’s consolidated revenue during each of 2018, 2017 and 2016.</w:t>
      </w:r>
    </w:p>
    <w:p>
      <w:pPr>
        <w:spacing w:after="0" w:line="197"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 xml:space="preserve">Cameron </w:t>
      </w:r>
      <w:r>
        <w:rPr>
          <w:rFonts w:ascii="Arial" w:cs="Arial" w:eastAsia="Arial" w:hAnsi="Arial"/>
          <w:sz w:val="18"/>
          <w:szCs w:val="18"/>
          <w:color w:val="auto"/>
        </w:rPr>
        <w:t>– Consists of the principal Technologies involved in pressure and flow control for drilling and intervention rigs, oil and gas wells and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and includes OneSubsea</w:t>
      </w:r>
      <w:r>
        <w:rPr>
          <w:rFonts w:ascii="Arial" w:cs="Arial" w:eastAsia="Arial" w:hAnsi="Arial"/>
          <w:sz w:val="15"/>
          <w:szCs w:val="15"/>
          <w:color w:val="231F20"/>
        </w:rPr>
        <w:t>®</w:t>
      </w:r>
      <w:r>
        <w:rPr>
          <w:rFonts w:ascii="Arial" w:cs="Arial" w:eastAsia="Arial" w:hAnsi="Arial"/>
          <w:sz w:val="18"/>
          <w:szCs w:val="18"/>
          <w:color w:val="auto"/>
        </w:rPr>
        <w:t>, Surface Systems, Drilling Systems, and Valves &amp; Measurement.</w:t>
      </w:r>
    </w:p>
    <w:p>
      <w:pPr>
        <w:spacing w:after="0" w:line="180" w:lineRule="exact"/>
        <w:rPr>
          <w:sz w:val="20"/>
          <w:szCs w:val="20"/>
          <w:color w:val="auto"/>
        </w:rPr>
      </w:pPr>
    </w:p>
    <w:p>
      <w:pPr>
        <w:jc w:val="both"/>
        <w:ind w:left="740" w:hanging="362"/>
        <w:spacing w:after="0" w:line="319" w:lineRule="auto"/>
        <w:tabs>
          <w:tab w:leader="none" w:pos="74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OneSubsea </w:t>
      </w:r>
      <w:r>
        <w:rPr>
          <w:rFonts w:ascii="Arial" w:cs="Arial" w:eastAsia="Arial" w:hAnsi="Arial"/>
          <w:sz w:val="15"/>
          <w:szCs w:val="15"/>
          <w:color w:val="auto"/>
        </w:rPr>
        <w:t>provides integrated solutions, products, systems and services for the subsea oil and gas market, including integrated subsea production</w:t>
      </w:r>
      <w:r>
        <w:rPr>
          <w:rFonts w:ascii="Arial" w:cs="Arial" w:eastAsia="Arial" w:hAnsi="Arial"/>
          <w:sz w:val="15"/>
          <w:szCs w:val="15"/>
          <w:i w:val="1"/>
          <w:iCs w:val="1"/>
          <w:color w:val="auto"/>
        </w:rPr>
        <w:t xml:space="preserve"> </w:t>
      </w:r>
      <w:r>
        <w:rPr>
          <w:rFonts w:ascii="Arial" w:cs="Arial" w:eastAsia="Arial" w:hAnsi="Arial"/>
          <w:sz w:val="15"/>
          <w:szCs w:val="15"/>
          <w:color w:val="auto"/>
        </w:rPr>
        <w:t>systems involving wellheads, subsea trees, manifolds and flowline connectors, control systems, connectors and services designed to maximize reservoir recovery and extend the life of each field. OneSubsea offers integration and optimization of the entire production system over the life of the field by leveraging flow control expertise and process technologies with petrotechnical expertise and reservoir and production technologies.</w:t>
      </w:r>
    </w:p>
    <w:p>
      <w:pPr>
        <w:spacing w:after="0" w:line="144" w:lineRule="exact"/>
        <w:rPr>
          <w:rFonts w:ascii="Arial" w:cs="Arial" w:eastAsia="Arial" w:hAnsi="Arial"/>
          <w:sz w:val="15"/>
          <w:szCs w:val="15"/>
          <w:color w:val="auto"/>
        </w:rPr>
      </w:pPr>
    </w:p>
    <w:p>
      <w:pPr>
        <w:ind w:left="740" w:hanging="362"/>
        <w:spacing w:after="0" w:line="265"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Surface Systems </w:t>
      </w:r>
      <w:r>
        <w:rPr>
          <w:rFonts w:ascii="Arial" w:cs="Arial" w:eastAsia="Arial" w:hAnsi="Arial"/>
          <w:sz w:val="18"/>
          <w:szCs w:val="18"/>
          <w:color w:val="auto"/>
        </w:rPr>
        <w:t>designs and manufactures onshore and offshore platform wellhead systems and processing solutions, including valves, chokes,</w:t>
      </w:r>
      <w:r>
        <w:rPr>
          <w:rFonts w:ascii="Arial" w:cs="Arial" w:eastAsia="Arial" w:hAnsi="Arial"/>
          <w:sz w:val="18"/>
          <w:szCs w:val="18"/>
          <w:i w:val="1"/>
          <w:iCs w:val="1"/>
          <w:color w:val="auto"/>
        </w:rPr>
        <w:t xml:space="preserve"> </w:t>
      </w:r>
      <w:r>
        <w:rPr>
          <w:rFonts w:ascii="Arial" w:cs="Arial" w:eastAsia="Arial" w:hAnsi="Arial"/>
          <w:sz w:val="18"/>
          <w:szCs w:val="18"/>
          <w:color w:val="auto"/>
        </w:rPr>
        <w:t>actuators and Christmas trees, and provides services to oil and gas operators.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jc w:val="both"/>
        <w:ind w:left="740" w:hanging="362"/>
        <w:spacing w:after="0" w:line="272"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Drilling Systems </w:t>
      </w:r>
      <w:r>
        <w:rPr>
          <w:rFonts w:ascii="Arial" w:cs="Arial" w:eastAsia="Arial" w:hAnsi="Arial"/>
          <w:sz w:val="17"/>
          <w:szCs w:val="17"/>
          <w:color w:val="auto"/>
        </w:rPr>
        <w:t>provides drilling equipment and services to shipyards, drilling contractors, E&amp;P companies and rental tool companies. The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fall into two broad categories: pressure control equipment and rotary drilling equipment. These products are designed for either onshore or offshore applications and include drilling equipment packages, blowout preventers (BOPs), BOP control systems, connectors, riser systems, valves and choke manifold systems, top drives, mud pumps, pipe handling equipment, rig designs and rig kits.</w:t>
      </w:r>
    </w:p>
    <w:p>
      <w:pPr>
        <w:spacing w:after="0" w:line="175" w:lineRule="exact"/>
        <w:rPr>
          <w:rFonts w:ascii="Arial" w:cs="Arial" w:eastAsia="Arial" w:hAnsi="Arial"/>
          <w:sz w:val="17"/>
          <w:szCs w:val="17"/>
          <w:color w:val="auto"/>
        </w:rPr>
      </w:pPr>
    </w:p>
    <w:p>
      <w:pPr>
        <w:jc w:val="both"/>
        <w:ind w:left="740" w:hanging="362"/>
        <w:spacing w:after="0" w:line="25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Valves &amp; Measurement </w:t>
      </w:r>
      <w:r>
        <w:rPr>
          <w:rFonts w:ascii="Arial" w:cs="Arial" w:eastAsia="Arial" w:hAnsi="Arial"/>
          <w:sz w:val="18"/>
          <w:szCs w:val="18"/>
          <w:color w:val="auto"/>
        </w:rPr>
        <w:t>serves portions of the upstream, midstream and downstream markets and provides valve products and measurement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primarily used to control, direct and measure the flow of oil and gas as they are moved from wellheads through flow lines, gathering lines and transmission systems to refineries, petrochemical plants and industrial centers for processing.</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Supporting the Technologies is a global network of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network of GeoMarket* regions, within each of four major geographic areas of North America, Latin America, Europe/CIS/Africa and Middle East &amp; Asia, provides logistical, technical and commercial coordination.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GeoMarket structure offers customers a single point of contact at the local level for field operations and brings together geographically focused teams to meet local needs and deliver customized solutions. The GeoMarkets are responsible for providing the most efficient and cost-effective support possible to the operations.</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Schlumberger primarily uses its own personnel to market its offerings. The customer base, business risks and opportunities for growth are essentially uniform across all services and products. Manufacturing and engineering facilities as well as research centers are shared, and the labor force is interchangeable. Technological innovation, quality of service and price differentiation are the principal methods of competition, which vary geographically with respect to the different services and products offered. While Schlumberger has numerous competitors, both large and small, Schlumberger believes it is an industry leader in providing geophysical equipment and services, wireline logging, well production testing, exploration and production software, rig equipment, surface equipment, subsea equipment, artificial lift, hydraulic fracturing, cementing, coiled-tubing services, drilling and completion fluids, solids control and waste management, drilling pressure control, drill bits, measurement-while-drilling, logging-while-drilling, directional-drilling services, and surface data (mud) logging.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owns and controls a variety of intellectual property, including but not limited to patents, proprietary information and software tools and applications that, in the aggregate, are material to Schlumberger’s business. While Schlumberger seeks and holds numerous patents covering various products and processes, no particular patent or group of patents is material to Schlumberger’s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Seasonal changes in weather and significant weather events can temporarily affect the delivery of oilfield services. For example, the spring thaw in Canada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multiclient data, software and other oilfield services and products generally result in higher activity in the fourth quarter of each year as clients seek to fully utilize their annual budgets.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Backlog of Orders</w:t>
      </w:r>
    </w:p>
    <w:p>
      <w:pPr>
        <w:spacing w:after="0" w:line="118"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For the year ended December 31, 2018, no single customer exceeded 10% of consolidated revenue. Other than the OneSubsea, Drilling Systems and WesternGeco businesses, Schlumberger has no significant backlog due to the nature of its businesses. The combined backlog of these businesses was $2.7 billion at December 31, 2018 (of which approximately 50% is expected to be recognized as revenue during 2019) and $2.5 billion at December 31, 2017.</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Executive Officers of Schlumberger</w:t>
      </w:r>
    </w:p>
    <w:p>
      <w:pPr>
        <w:spacing w:after="0" w:line="118"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The following table sets forth, as of January 23, 2019, the names and ages of the executive officers of Schlumberger, including all offices and positions held by each for the past five years.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40" w:type="dxa"/>
            <w:vAlign w:val="bottom"/>
          </w:tcPr>
          <w:p>
            <w:pPr>
              <w:spacing w:after="0"/>
              <w:rPr>
                <w:sz w:val="20"/>
                <w:szCs w:val="20"/>
                <w:color w:val="auto"/>
              </w:rPr>
            </w:pPr>
            <w:r>
              <w:rPr>
                <w:rFonts w:ascii="Arial" w:cs="Arial" w:eastAsia="Arial" w:hAnsi="Arial"/>
                <w:sz w:val="18"/>
                <w:szCs w:val="18"/>
                <w:color w:val="auto"/>
              </w:rPr>
              <w:t>Name</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93"/>
              </w:rPr>
              <w:t>Age</w:t>
            </w:r>
          </w:p>
        </w:tc>
        <w:tc>
          <w:tcPr>
            <w:tcW w:w="8840" w:type="dxa"/>
            <w:vAlign w:val="bottom"/>
          </w:tcPr>
          <w:p>
            <w:pPr>
              <w:ind w:left="80"/>
              <w:spacing w:after="0"/>
              <w:rPr>
                <w:sz w:val="20"/>
                <w:szCs w:val="20"/>
                <w:color w:val="auto"/>
              </w:rPr>
            </w:pPr>
            <w:r>
              <w:rPr>
                <w:rFonts w:ascii="Arial" w:cs="Arial" w:eastAsia="Arial" w:hAnsi="Arial"/>
                <w:sz w:val="18"/>
                <w:szCs w:val="18"/>
                <w:color w:val="auto"/>
              </w:rPr>
              <w:t>Current Position and Five-Year Business Experience</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Paal Kibsgaard</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51</w:t>
            </w:r>
          </w:p>
        </w:tc>
        <w:tc>
          <w:tcPr>
            <w:tcW w:w="8840" w:type="dxa"/>
            <w:vAlign w:val="bottom"/>
          </w:tcPr>
          <w:p>
            <w:pPr>
              <w:ind w:left="80"/>
              <w:spacing w:after="0"/>
              <w:rPr>
                <w:sz w:val="20"/>
                <w:szCs w:val="20"/>
                <w:color w:val="auto"/>
              </w:rPr>
            </w:pPr>
            <w:r>
              <w:rPr>
                <w:rFonts w:ascii="Arial" w:cs="Arial" w:eastAsia="Arial" w:hAnsi="Arial"/>
                <w:sz w:val="18"/>
                <w:szCs w:val="18"/>
                <w:color w:val="auto"/>
                <w:w w:val="94"/>
              </w:rPr>
              <w:t>Chairman of the Board of Directors, since April 2015; Chief Executive Officer, since August 2011; Director since April</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rPr>
              <w:t>2011.</w:t>
            </w:r>
          </w:p>
        </w:tc>
      </w:tr>
      <w:tr>
        <w:trPr>
          <w:trHeight w:val="425"/>
        </w:trPr>
        <w:tc>
          <w:tcPr>
            <w:tcW w:w="1940" w:type="dxa"/>
            <w:vAlign w:val="bottom"/>
          </w:tcPr>
          <w:p>
            <w:pPr>
              <w:spacing w:after="0"/>
              <w:rPr>
                <w:sz w:val="20"/>
                <w:szCs w:val="20"/>
                <w:color w:val="auto"/>
              </w:rPr>
            </w:pPr>
            <w:r>
              <w:rPr>
                <w:rFonts w:ascii="Arial" w:cs="Arial" w:eastAsia="Arial" w:hAnsi="Arial"/>
                <w:sz w:val="18"/>
                <w:szCs w:val="18"/>
                <w:color w:val="auto"/>
              </w:rPr>
              <w:t>Simon Ayat</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64</w:t>
            </w:r>
          </w:p>
        </w:tc>
        <w:tc>
          <w:tcPr>
            <w:tcW w:w="8840" w:type="dxa"/>
            <w:vAlign w:val="bottom"/>
          </w:tcPr>
          <w:p>
            <w:pPr>
              <w:ind w:left="80"/>
              <w:spacing w:after="0"/>
              <w:rPr>
                <w:sz w:val="20"/>
                <w:szCs w:val="20"/>
                <w:color w:val="auto"/>
              </w:rPr>
            </w:pPr>
            <w:r>
              <w:rPr>
                <w:rFonts w:ascii="Arial" w:cs="Arial" w:eastAsia="Arial" w:hAnsi="Arial"/>
                <w:sz w:val="18"/>
                <w:szCs w:val="18"/>
                <w:color w:val="auto"/>
              </w:rPr>
              <w:t>Executive Vice President and Chief Financial Officer, since March 2007.</w:t>
            </w:r>
          </w:p>
        </w:tc>
      </w:tr>
      <w:tr>
        <w:trPr>
          <w:trHeight w:val="425"/>
        </w:trPr>
        <w:tc>
          <w:tcPr>
            <w:tcW w:w="1940" w:type="dxa"/>
            <w:vAlign w:val="bottom"/>
          </w:tcPr>
          <w:p>
            <w:pPr>
              <w:spacing w:after="0"/>
              <w:rPr>
                <w:sz w:val="20"/>
                <w:szCs w:val="20"/>
                <w:color w:val="auto"/>
              </w:rPr>
            </w:pPr>
            <w:r>
              <w:rPr>
                <w:rFonts w:ascii="Arial" w:cs="Arial" w:eastAsia="Arial" w:hAnsi="Arial"/>
                <w:sz w:val="18"/>
                <w:szCs w:val="18"/>
                <w:color w:val="auto"/>
              </w:rPr>
              <w:t>Alexander C. Juden</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58</w:t>
            </w:r>
          </w:p>
        </w:tc>
        <w:tc>
          <w:tcPr>
            <w:tcW w:w="8840" w:type="dxa"/>
            <w:vAlign w:val="bottom"/>
          </w:tcPr>
          <w:p>
            <w:pPr>
              <w:ind w:left="80"/>
              <w:spacing w:after="0"/>
              <w:rPr>
                <w:sz w:val="20"/>
                <w:szCs w:val="20"/>
                <w:color w:val="auto"/>
              </w:rPr>
            </w:pPr>
            <w:r>
              <w:rPr>
                <w:rFonts w:ascii="Arial" w:cs="Arial" w:eastAsia="Arial" w:hAnsi="Arial"/>
                <w:sz w:val="18"/>
                <w:szCs w:val="18"/>
                <w:color w:val="auto"/>
              </w:rPr>
              <w:t>Secretary and General Counsel, since April 2009.</w:t>
            </w:r>
          </w:p>
        </w:tc>
      </w:tr>
      <w:tr>
        <w:trPr>
          <w:trHeight w:val="425"/>
        </w:trPr>
        <w:tc>
          <w:tcPr>
            <w:tcW w:w="1940" w:type="dxa"/>
            <w:vAlign w:val="bottom"/>
          </w:tcPr>
          <w:p>
            <w:pPr>
              <w:spacing w:after="0"/>
              <w:rPr>
                <w:sz w:val="20"/>
                <w:szCs w:val="20"/>
                <w:color w:val="auto"/>
              </w:rPr>
            </w:pPr>
            <w:r>
              <w:rPr>
                <w:rFonts w:ascii="Arial" w:cs="Arial" w:eastAsia="Arial" w:hAnsi="Arial"/>
                <w:sz w:val="18"/>
                <w:szCs w:val="18"/>
                <w:color w:val="auto"/>
              </w:rPr>
              <w:t>Ashok Belani</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60</w:t>
            </w:r>
          </w:p>
        </w:tc>
        <w:tc>
          <w:tcPr>
            <w:tcW w:w="8840" w:type="dxa"/>
            <w:vAlign w:val="bottom"/>
          </w:tcPr>
          <w:p>
            <w:pPr>
              <w:ind w:left="80"/>
              <w:spacing w:after="0"/>
              <w:rPr>
                <w:sz w:val="20"/>
                <w:szCs w:val="20"/>
                <w:color w:val="auto"/>
              </w:rPr>
            </w:pPr>
            <w:r>
              <w:rPr>
                <w:rFonts w:ascii="Arial" w:cs="Arial" w:eastAsia="Arial" w:hAnsi="Arial"/>
                <w:sz w:val="18"/>
                <w:szCs w:val="18"/>
                <w:color w:val="auto"/>
              </w:rPr>
              <w:t>Executive Vice President Technology, since January 2011.</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Jean-Francois Poupeau</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57</w:t>
            </w:r>
          </w:p>
        </w:tc>
        <w:tc>
          <w:tcPr>
            <w:tcW w:w="8840" w:type="dxa"/>
            <w:vAlign w:val="bottom"/>
          </w:tcPr>
          <w:p>
            <w:pPr>
              <w:ind w:left="80"/>
              <w:spacing w:after="0"/>
              <w:rPr>
                <w:sz w:val="20"/>
                <w:szCs w:val="20"/>
                <w:color w:val="auto"/>
              </w:rPr>
            </w:pPr>
            <w:r>
              <w:rPr>
                <w:rFonts w:ascii="Arial" w:cs="Arial" w:eastAsia="Arial" w:hAnsi="Arial"/>
                <w:sz w:val="18"/>
                <w:szCs w:val="18"/>
                <w:color w:val="auto"/>
                <w:w w:val="90"/>
              </w:rPr>
              <w:t>Executive Vice President Corporate Engagement, since May 2017; Executive Vice President Corporate Development and</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rPr>
              <w:t>Communications, June 2012 to April 2017.</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Patrick Schorn</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50</w:t>
            </w:r>
          </w:p>
        </w:tc>
        <w:tc>
          <w:tcPr>
            <w:tcW w:w="8840" w:type="dxa"/>
            <w:vAlign w:val="bottom"/>
          </w:tcPr>
          <w:p>
            <w:pPr>
              <w:ind w:left="80"/>
              <w:spacing w:after="0"/>
              <w:rPr>
                <w:sz w:val="20"/>
                <w:szCs w:val="20"/>
                <w:color w:val="auto"/>
              </w:rPr>
            </w:pPr>
            <w:r>
              <w:rPr>
                <w:rFonts w:ascii="Arial" w:cs="Arial" w:eastAsia="Arial" w:hAnsi="Arial"/>
                <w:sz w:val="18"/>
                <w:szCs w:val="18"/>
                <w:color w:val="auto"/>
                <w:w w:val="95"/>
              </w:rPr>
              <w:t>Executive Vice President, Wells, since May 2018; Executive Vice President, New Ventures, May 2017 to May 2018;</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w w:val="97"/>
              </w:rPr>
              <w:t>President, Operations, August 2015 to May 2017; President, Operations &amp; Integration, July 2013 to August 2015.</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Khaled Al Mogharbel</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48</w:t>
            </w:r>
          </w:p>
        </w:tc>
        <w:tc>
          <w:tcPr>
            <w:tcW w:w="8840" w:type="dxa"/>
            <w:vAlign w:val="bottom"/>
          </w:tcPr>
          <w:p>
            <w:pPr>
              <w:ind w:left="80"/>
              <w:spacing w:after="0"/>
              <w:rPr>
                <w:sz w:val="20"/>
                <w:szCs w:val="20"/>
                <w:color w:val="auto"/>
              </w:rPr>
            </w:pPr>
            <w:r>
              <w:rPr>
                <w:rFonts w:ascii="Arial" w:cs="Arial" w:eastAsia="Arial" w:hAnsi="Arial"/>
                <w:sz w:val="18"/>
                <w:szCs w:val="18"/>
                <w:color w:val="auto"/>
                <w:w w:val="93"/>
              </w:rPr>
              <w:t>President, Eastern Hemisphere, since May 2017; President, Drilling Group, July 2013 to April 2017; President, Middle</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rPr>
              <w:t>East, August 2011 to June 2013.</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Aaron Gatt Floridia</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50</w:t>
            </w:r>
          </w:p>
        </w:tc>
        <w:tc>
          <w:tcPr>
            <w:tcW w:w="8840" w:type="dxa"/>
            <w:vAlign w:val="bottom"/>
          </w:tcPr>
          <w:p>
            <w:pPr>
              <w:ind w:left="80"/>
              <w:spacing w:after="0"/>
              <w:rPr>
                <w:sz w:val="20"/>
                <w:szCs w:val="20"/>
                <w:color w:val="auto"/>
              </w:rPr>
            </w:pPr>
            <w:r>
              <w:rPr>
                <w:rFonts w:ascii="Arial" w:cs="Arial" w:eastAsia="Arial" w:hAnsi="Arial"/>
                <w:sz w:val="18"/>
                <w:szCs w:val="18"/>
                <w:color w:val="auto"/>
                <w:w w:val="90"/>
              </w:rPr>
              <w:t>President, Western Hemisphere, since May 2017; Chief Commercial Officer, May 2016 to May 2017; President, Reservoir</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rPr>
              <w:t>Characterization Group, August 2011 to May 2016.</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Stephane Biguet</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50</w:t>
            </w:r>
          </w:p>
        </w:tc>
        <w:tc>
          <w:tcPr>
            <w:tcW w:w="8840" w:type="dxa"/>
            <w:vAlign w:val="bottom"/>
          </w:tcPr>
          <w:p>
            <w:pPr>
              <w:ind w:left="80"/>
              <w:spacing w:after="0"/>
              <w:rPr>
                <w:sz w:val="20"/>
                <w:szCs w:val="20"/>
                <w:color w:val="auto"/>
              </w:rPr>
            </w:pPr>
            <w:r>
              <w:rPr>
                <w:rFonts w:ascii="Arial" w:cs="Arial" w:eastAsia="Arial" w:hAnsi="Arial"/>
                <w:sz w:val="18"/>
                <w:szCs w:val="18"/>
                <w:color w:val="auto"/>
                <w:w w:val="91"/>
              </w:rPr>
              <w:t>Vice President Finance, since December 2017; Vice President and Treasurer, December 2016 to November 2017; Vice</w:t>
            </w:r>
          </w:p>
        </w:tc>
      </w:tr>
      <w:tr>
        <w:trPr>
          <w:trHeight w:val="212"/>
        </w:trPr>
        <w:tc>
          <w:tcPr>
            <w:tcW w:w="1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w w:val="92"/>
              </w:rPr>
              <w:t>President Controller, Operations, August 2015 to December 2016; Vice President Controller, Operations &amp; Integration,</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rPr>
              <w:t>November 2013 to August 2015.</w:t>
            </w:r>
          </w:p>
        </w:tc>
      </w:tr>
      <w:tr>
        <w:trPr>
          <w:trHeight w:val="425"/>
        </w:trPr>
        <w:tc>
          <w:tcPr>
            <w:tcW w:w="1940" w:type="dxa"/>
            <w:vAlign w:val="bottom"/>
          </w:tcPr>
          <w:p>
            <w:pPr>
              <w:spacing w:after="0"/>
              <w:rPr>
                <w:sz w:val="20"/>
                <w:szCs w:val="20"/>
                <w:color w:val="auto"/>
              </w:rPr>
            </w:pPr>
            <w:r>
              <w:rPr>
                <w:rFonts w:ascii="Arial" w:cs="Arial" w:eastAsia="Arial" w:hAnsi="Arial"/>
                <w:sz w:val="18"/>
                <w:szCs w:val="18"/>
                <w:color w:val="auto"/>
              </w:rPr>
              <w:t>Pierre Chereque</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64</w:t>
            </w:r>
          </w:p>
        </w:tc>
        <w:tc>
          <w:tcPr>
            <w:tcW w:w="8840" w:type="dxa"/>
            <w:vAlign w:val="bottom"/>
          </w:tcPr>
          <w:p>
            <w:pPr>
              <w:ind w:left="80"/>
              <w:spacing w:after="0"/>
              <w:rPr>
                <w:sz w:val="20"/>
                <w:szCs w:val="20"/>
                <w:color w:val="auto"/>
              </w:rPr>
            </w:pPr>
            <w:r>
              <w:rPr>
                <w:rFonts w:ascii="Arial" w:cs="Arial" w:eastAsia="Arial" w:hAnsi="Arial"/>
                <w:sz w:val="18"/>
                <w:szCs w:val="18"/>
                <w:color w:val="auto"/>
              </w:rPr>
              <w:t>Vice President and Director of Taxes, since June 2017; Director of Taxes, Operations July 2004 to May 2017.</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Stephanie Cox</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50</w:t>
            </w:r>
          </w:p>
        </w:tc>
        <w:tc>
          <w:tcPr>
            <w:tcW w:w="8840" w:type="dxa"/>
            <w:vAlign w:val="bottom"/>
          </w:tcPr>
          <w:p>
            <w:pPr>
              <w:ind w:left="80"/>
              <w:spacing w:after="0"/>
              <w:rPr>
                <w:sz w:val="20"/>
                <w:szCs w:val="20"/>
                <w:color w:val="auto"/>
              </w:rPr>
            </w:pPr>
            <w:r>
              <w:rPr>
                <w:rFonts w:ascii="Arial" w:cs="Arial" w:eastAsia="Arial" w:hAnsi="Arial"/>
                <w:sz w:val="18"/>
                <w:szCs w:val="18"/>
                <w:color w:val="auto"/>
                <w:w w:val="93"/>
              </w:rPr>
              <w:t>President NAL Drilling, since May 2018; Vice President Human Resources, June 2017 to April 2018; President, North</w:t>
            </w:r>
          </w:p>
        </w:tc>
      </w:tr>
      <w:tr>
        <w:trPr>
          <w:trHeight w:val="212"/>
        </w:trPr>
        <w:tc>
          <w:tcPr>
            <w:tcW w:w="1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w w:val="89"/>
              </w:rPr>
              <w:t>America June 2016 to May 2017; President, Asia June 2014 to May 2016; Vice President, Human Resources May 2009 to</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rPr>
              <w:t>May 2014.</w:t>
            </w:r>
          </w:p>
        </w:tc>
      </w:tr>
      <w:tr>
        <w:trPr>
          <w:trHeight w:val="425"/>
        </w:trPr>
        <w:tc>
          <w:tcPr>
            <w:tcW w:w="1940" w:type="dxa"/>
            <w:vAlign w:val="bottom"/>
          </w:tcPr>
          <w:p>
            <w:pPr>
              <w:spacing w:after="0"/>
              <w:rPr>
                <w:sz w:val="20"/>
                <w:szCs w:val="20"/>
                <w:color w:val="auto"/>
              </w:rPr>
            </w:pPr>
            <w:r>
              <w:rPr>
                <w:rFonts w:ascii="Arial" w:cs="Arial" w:eastAsia="Arial" w:hAnsi="Arial"/>
                <w:sz w:val="18"/>
                <w:szCs w:val="18"/>
                <w:color w:val="auto"/>
              </w:rPr>
              <w:t>Simon Farrant</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54</w:t>
            </w:r>
          </w:p>
        </w:tc>
        <w:tc>
          <w:tcPr>
            <w:tcW w:w="8840" w:type="dxa"/>
            <w:vAlign w:val="bottom"/>
          </w:tcPr>
          <w:p>
            <w:pPr>
              <w:ind w:left="80"/>
              <w:spacing w:after="0"/>
              <w:rPr>
                <w:sz w:val="20"/>
                <w:szCs w:val="20"/>
                <w:color w:val="auto"/>
              </w:rPr>
            </w:pPr>
            <w:r>
              <w:rPr>
                <w:rFonts w:ascii="Arial" w:cs="Arial" w:eastAsia="Arial" w:hAnsi="Arial"/>
                <w:sz w:val="18"/>
                <w:szCs w:val="18"/>
                <w:color w:val="auto"/>
                <w:w w:val="93"/>
              </w:rPr>
              <w:t>Vice President Investor Relations, since February 2014; Special Projects Manager, December 2013 to January 2014.</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Kevin Fyfe</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45</w:t>
            </w:r>
          </w:p>
        </w:tc>
        <w:tc>
          <w:tcPr>
            <w:tcW w:w="8840" w:type="dxa"/>
            <w:vAlign w:val="bottom"/>
          </w:tcPr>
          <w:p>
            <w:pPr>
              <w:ind w:left="80"/>
              <w:spacing w:after="0"/>
              <w:rPr>
                <w:sz w:val="20"/>
                <w:szCs w:val="20"/>
                <w:color w:val="auto"/>
              </w:rPr>
            </w:pPr>
            <w:r>
              <w:rPr>
                <w:rFonts w:ascii="Arial" w:cs="Arial" w:eastAsia="Arial" w:hAnsi="Arial"/>
                <w:sz w:val="18"/>
                <w:szCs w:val="18"/>
                <w:color w:val="auto"/>
                <w:w w:val="97"/>
              </w:rPr>
              <w:t>Vice President and Controller, since October 2017; Controller, Cameron Group, April 2016 to October 2017; Vice</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rPr>
              <w:t>President Finance, OneSubsea July 2013 to March 2016.</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Hinda Gharbi</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48</w:t>
            </w:r>
          </w:p>
        </w:tc>
        <w:tc>
          <w:tcPr>
            <w:tcW w:w="8840" w:type="dxa"/>
            <w:vAlign w:val="bottom"/>
          </w:tcPr>
          <w:p>
            <w:pPr>
              <w:ind w:left="80"/>
              <w:spacing w:after="0"/>
              <w:rPr>
                <w:sz w:val="20"/>
                <w:szCs w:val="20"/>
                <w:color w:val="auto"/>
              </w:rPr>
            </w:pPr>
            <w:r>
              <w:rPr>
                <w:rFonts w:ascii="Arial" w:cs="Arial" w:eastAsia="Arial" w:hAnsi="Arial"/>
                <w:sz w:val="18"/>
                <w:szCs w:val="18"/>
                <w:color w:val="auto"/>
                <w:w w:val="89"/>
              </w:rPr>
              <w:t>Vice President, Human Resources, since May 2018; President, Reservoir Characterization Group, June 2017 to May 2018;</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rPr>
              <w:t>President, Wireline June 2013 to May 2017.</w:t>
            </w:r>
          </w:p>
        </w:tc>
      </w:tr>
      <w:tr>
        <w:trPr>
          <w:trHeight w:val="425"/>
        </w:trPr>
        <w:tc>
          <w:tcPr>
            <w:tcW w:w="1940" w:type="dxa"/>
            <w:vAlign w:val="bottom"/>
          </w:tcPr>
          <w:p>
            <w:pPr>
              <w:spacing w:after="0"/>
              <w:rPr>
                <w:sz w:val="20"/>
                <w:szCs w:val="20"/>
                <w:color w:val="auto"/>
              </w:rPr>
            </w:pPr>
            <w:r>
              <w:rPr>
                <w:rFonts w:ascii="Arial" w:cs="Arial" w:eastAsia="Arial" w:hAnsi="Arial"/>
                <w:sz w:val="18"/>
                <w:szCs w:val="18"/>
                <w:color w:val="auto"/>
              </w:rPr>
              <w:t>Howard Guild</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47</w:t>
            </w:r>
          </w:p>
        </w:tc>
        <w:tc>
          <w:tcPr>
            <w:tcW w:w="8840" w:type="dxa"/>
            <w:vAlign w:val="bottom"/>
          </w:tcPr>
          <w:p>
            <w:pPr>
              <w:ind w:left="80"/>
              <w:spacing w:after="0"/>
              <w:rPr>
                <w:sz w:val="20"/>
                <w:szCs w:val="20"/>
                <w:color w:val="auto"/>
              </w:rPr>
            </w:pPr>
            <w:r>
              <w:rPr>
                <w:rFonts w:ascii="Arial" w:cs="Arial" w:eastAsia="Arial" w:hAnsi="Arial"/>
                <w:sz w:val="18"/>
                <w:szCs w:val="18"/>
                <w:color w:val="auto"/>
              </w:rPr>
              <w:t>Chief Accounting Officer, since July 2005.</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Claudia Jaramillo</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46</w:t>
            </w:r>
          </w:p>
        </w:tc>
        <w:tc>
          <w:tcPr>
            <w:tcW w:w="8840" w:type="dxa"/>
            <w:vAlign w:val="bottom"/>
          </w:tcPr>
          <w:p>
            <w:pPr>
              <w:ind w:left="80"/>
              <w:spacing w:after="0"/>
              <w:rPr>
                <w:sz w:val="20"/>
                <w:szCs w:val="20"/>
                <w:color w:val="auto"/>
              </w:rPr>
            </w:pPr>
            <w:r>
              <w:rPr>
                <w:rFonts w:ascii="Arial" w:cs="Arial" w:eastAsia="Arial" w:hAnsi="Arial"/>
                <w:sz w:val="18"/>
                <w:szCs w:val="18"/>
                <w:color w:val="auto"/>
                <w:w w:val="89"/>
              </w:rPr>
              <w:t>Vice President and Treasurer, since December 2017; ERM and Treasury Projects Manager, July 2017 to November 2017;</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w w:val="97"/>
              </w:rPr>
              <w:t>Controller North America, July 2014 to July 2017; Controller, Drilling and Measurements, July 2011 to June 2014.</w:t>
            </w:r>
          </w:p>
        </w:tc>
      </w:tr>
      <w:tr>
        <w:trPr>
          <w:trHeight w:val="425"/>
        </w:trPr>
        <w:tc>
          <w:tcPr>
            <w:tcW w:w="1940" w:type="dxa"/>
            <w:vAlign w:val="bottom"/>
          </w:tcPr>
          <w:p>
            <w:pPr>
              <w:spacing w:after="0"/>
              <w:rPr>
                <w:sz w:val="20"/>
                <w:szCs w:val="20"/>
                <w:color w:val="auto"/>
              </w:rPr>
            </w:pPr>
            <w:r>
              <w:rPr>
                <w:rFonts w:ascii="Arial" w:cs="Arial" w:eastAsia="Arial" w:hAnsi="Arial"/>
                <w:sz w:val="18"/>
                <w:szCs w:val="18"/>
                <w:color w:val="auto"/>
              </w:rPr>
              <w:t>Vijay Kasibhatla</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55</w:t>
            </w:r>
          </w:p>
        </w:tc>
        <w:tc>
          <w:tcPr>
            <w:tcW w:w="8840" w:type="dxa"/>
            <w:vAlign w:val="bottom"/>
          </w:tcPr>
          <w:p>
            <w:pPr>
              <w:ind w:left="80"/>
              <w:spacing w:after="0"/>
              <w:rPr>
                <w:sz w:val="20"/>
                <w:szCs w:val="20"/>
                <w:color w:val="auto"/>
              </w:rPr>
            </w:pPr>
            <w:r>
              <w:rPr>
                <w:rFonts w:ascii="Arial" w:cs="Arial" w:eastAsia="Arial" w:hAnsi="Arial"/>
                <w:sz w:val="18"/>
                <w:szCs w:val="18"/>
                <w:color w:val="auto"/>
              </w:rPr>
              <w:t>Director of Mergers and Acquisitions, since January 2013.</w:t>
            </w:r>
          </w:p>
        </w:tc>
      </w:tr>
      <w:tr>
        <w:trPr>
          <w:trHeight w:val="413"/>
        </w:trPr>
        <w:tc>
          <w:tcPr>
            <w:tcW w:w="1940" w:type="dxa"/>
            <w:vAlign w:val="bottom"/>
          </w:tcPr>
          <w:p>
            <w:pPr>
              <w:spacing w:after="0"/>
              <w:rPr>
                <w:sz w:val="20"/>
                <w:szCs w:val="20"/>
                <w:color w:val="auto"/>
              </w:rPr>
            </w:pPr>
            <w:r>
              <w:rPr>
                <w:rFonts w:ascii="Arial" w:cs="Arial" w:eastAsia="Arial" w:hAnsi="Arial"/>
                <w:sz w:val="18"/>
                <w:szCs w:val="18"/>
                <w:color w:val="auto"/>
              </w:rPr>
              <w:t>Saul R. Laureles</w:t>
            </w: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9"/>
              </w:rPr>
              <w:t>53</w:t>
            </w:r>
          </w:p>
        </w:tc>
        <w:tc>
          <w:tcPr>
            <w:tcW w:w="8840" w:type="dxa"/>
            <w:vAlign w:val="bottom"/>
          </w:tcPr>
          <w:p>
            <w:pPr>
              <w:ind w:left="80"/>
              <w:spacing w:after="0"/>
              <w:rPr>
                <w:sz w:val="20"/>
                <w:szCs w:val="20"/>
                <w:color w:val="auto"/>
              </w:rPr>
            </w:pPr>
            <w:r>
              <w:rPr>
                <w:rFonts w:ascii="Arial" w:cs="Arial" w:eastAsia="Arial" w:hAnsi="Arial"/>
                <w:sz w:val="18"/>
                <w:szCs w:val="18"/>
                <w:color w:val="auto"/>
                <w:w w:val="91"/>
              </w:rPr>
              <w:t>Director, Corporate Legal, since July 2014; Assistant Secretary, since April 2007; Deputy General Counsel, Governance</w:t>
            </w:r>
          </w:p>
        </w:tc>
      </w:tr>
      <w:tr>
        <w:trPr>
          <w:trHeight w:val="224"/>
        </w:trPr>
        <w:tc>
          <w:tcPr>
            <w:tcW w:w="1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80"/>
              <w:spacing w:after="0"/>
              <w:rPr>
                <w:sz w:val="20"/>
                <w:szCs w:val="20"/>
                <w:color w:val="auto"/>
              </w:rPr>
            </w:pPr>
            <w:r>
              <w:rPr>
                <w:rFonts w:ascii="Arial" w:cs="Arial" w:eastAsia="Arial" w:hAnsi="Arial"/>
                <w:sz w:val="18"/>
                <w:szCs w:val="18"/>
                <w:color w:val="auto"/>
              </w:rPr>
              <w:t>and Securities, October 2012 to June 2014.</w:t>
            </w:r>
          </w:p>
        </w:tc>
      </w:tr>
      <w:tr>
        <w:trPr>
          <w:trHeight w:val="637"/>
        </w:trPr>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40" w:type="dxa"/>
            <w:vAlign w:val="bottom"/>
          </w:tcPr>
          <w:p>
            <w:pPr>
              <w:ind w:left="3060"/>
              <w:spacing w:after="0"/>
              <w:rPr>
                <w:sz w:val="20"/>
                <w:szCs w:val="20"/>
                <w:color w:val="auto"/>
              </w:rPr>
            </w:pPr>
            <w:r>
              <w:rPr>
                <w:rFonts w:ascii="Arial" w:cs="Arial" w:eastAsia="Arial" w:hAnsi="Arial"/>
                <w:sz w:val="18"/>
                <w:szCs w:val="18"/>
                <w:color w:val="auto"/>
              </w:rPr>
              <w:t>6</w:t>
            </w:r>
          </w:p>
        </w:tc>
      </w:tr>
      <w:tr>
        <w:trPr>
          <w:trHeight w:val="127"/>
        </w:trPr>
        <w:tc>
          <w:tcPr>
            <w:tcW w:w="19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88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0"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1760" w:type="dxa"/>
            <w:vAlign w:val="bottom"/>
          </w:tcPr>
          <w:p>
            <w:pPr>
              <w:spacing w:after="0"/>
              <w:rPr>
                <w:sz w:val="20"/>
                <w:szCs w:val="20"/>
                <w:color w:val="auto"/>
              </w:rPr>
            </w:pPr>
            <w:r>
              <w:rPr>
                <w:rFonts w:ascii="Arial" w:cs="Arial" w:eastAsia="Arial" w:hAnsi="Arial"/>
                <w:sz w:val="18"/>
                <w:szCs w:val="18"/>
                <w:color w:val="auto"/>
              </w:rPr>
              <w:t>Olivier Le Peuch</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8840" w:type="dxa"/>
            <w:vAlign w:val="bottom"/>
          </w:tcPr>
          <w:p>
            <w:pPr>
              <w:ind w:left="100"/>
              <w:spacing w:after="0"/>
              <w:rPr>
                <w:sz w:val="20"/>
                <w:szCs w:val="20"/>
                <w:color w:val="auto"/>
              </w:rPr>
            </w:pPr>
            <w:r>
              <w:rPr>
                <w:rFonts w:ascii="Arial" w:cs="Arial" w:eastAsia="Arial" w:hAnsi="Arial"/>
                <w:sz w:val="18"/>
                <w:szCs w:val="18"/>
                <w:color w:val="auto"/>
                <w:w w:val="89"/>
              </w:rPr>
              <w:t>Executive Vice President Reservoir and Infrastructure, since May 2018; President, Cameron Group, February 2017 to May</w:t>
            </w:r>
          </w:p>
        </w:tc>
      </w:tr>
      <w:tr>
        <w:trPr>
          <w:trHeight w:val="224"/>
        </w:trPr>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3"/>
              </w:rPr>
              <w:t>2018; President, Completions October 2014 to January 2017; Vice President EMS, August 2010 to September 2014.</w:t>
            </w:r>
          </w:p>
        </w:tc>
      </w:tr>
      <w:tr>
        <w:trPr>
          <w:trHeight w:val="626"/>
        </w:trPr>
        <w:tc>
          <w:tcPr>
            <w:tcW w:w="1760" w:type="dxa"/>
            <w:vAlign w:val="bottom"/>
          </w:tcPr>
          <w:p>
            <w:pPr>
              <w:spacing w:after="0"/>
              <w:rPr>
                <w:sz w:val="20"/>
                <w:szCs w:val="20"/>
                <w:color w:val="auto"/>
              </w:rPr>
            </w:pPr>
            <w:r>
              <w:rPr>
                <w:rFonts w:ascii="Arial" w:cs="Arial" w:eastAsia="Arial" w:hAnsi="Arial"/>
                <w:sz w:val="18"/>
                <w:szCs w:val="18"/>
                <w:color w:val="auto"/>
              </w:rPr>
              <w:t>Guy Arrington</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8840" w:type="dxa"/>
            <w:vAlign w:val="bottom"/>
          </w:tcPr>
          <w:p>
            <w:pPr>
              <w:ind w:left="100"/>
              <w:spacing w:after="0"/>
              <w:rPr>
                <w:sz w:val="20"/>
                <w:szCs w:val="20"/>
                <w:color w:val="auto"/>
              </w:rPr>
            </w:pPr>
            <w:r>
              <w:rPr>
                <w:rFonts w:ascii="Arial" w:cs="Arial" w:eastAsia="Arial" w:hAnsi="Arial"/>
                <w:sz w:val="18"/>
                <w:szCs w:val="18"/>
                <w:color w:val="auto"/>
                <w:w w:val="89"/>
              </w:rPr>
              <w:t>Vice President, Operational Planning and Resource Management, since February 2018; President, M-I SWACO, February</w:t>
            </w:r>
          </w:p>
        </w:tc>
      </w:tr>
      <w:tr>
        <w:trPr>
          <w:trHeight w:val="224"/>
        </w:trPr>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2014 to January 2018; President, Bits and Advanced Technologies, September 2010 to January 2014.</w:t>
            </w:r>
          </w:p>
        </w:tc>
      </w:tr>
      <w:tr>
        <w:trPr>
          <w:trHeight w:val="413"/>
        </w:trPr>
        <w:tc>
          <w:tcPr>
            <w:tcW w:w="1760" w:type="dxa"/>
            <w:vAlign w:val="bottom"/>
          </w:tcPr>
          <w:p>
            <w:pPr>
              <w:spacing w:after="0"/>
              <w:rPr>
                <w:sz w:val="20"/>
                <w:szCs w:val="20"/>
                <w:color w:val="auto"/>
              </w:rPr>
            </w:pPr>
            <w:r>
              <w:rPr>
                <w:rFonts w:ascii="Arial" w:cs="Arial" w:eastAsia="Arial" w:hAnsi="Arial"/>
                <w:sz w:val="18"/>
                <w:szCs w:val="18"/>
                <w:color w:val="auto"/>
              </w:rPr>
              <w:t>Abdellah Merad</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8840" w:type="dxa"/>
            <w:vAlign w:val="bottom"/>
          </w:tcPr>
          <w:p>
            <w:pPr>
              <w:ind w:left="100"/>
              <w:spacing w:after="0"/>
              <w:rPr>
                <w:sz w:val="20"/>
                <w:szCs w:val="20"/>
                <w:color w:val="auto"/>
              </w:rPr>
            </w:pPr>
            <w:r>
              <w:rPr>
                <w:rFonts w:ascii="Arial" w:cs="Arial" w:eastAsia="Arial" w:hAnsi="Arial"/>
                <w:sz w:val="18"/>
                <w:szCs w:val="18"/>
                <w:color w:val="auto"/>
                <w:w w:val="91"/>
              </w:rPr>
              <w:t>President NAL Production Group, since May 2018, President, Production Group, May 2017 to May 2018; Vice President</w:t>
            </w:r>
          </w:p>
        </w:tc>
      </w:tr>
      <w:tr>
        <w:trPr>
          <w:trHeight w:val="212"/>
        </w:trPr>
        <w:tc>
          <w:tcPr>
            <w:tcW w:w="1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2"/>
              </w:rPr>
              <w:t>Controller, Operations, December 2016 to April 2017; Vice President, Global Shared Services Organization, November</w:t>
            </w:r>
          </w:p>
        </w:tc>
      </w:tr>
      <w:tr>
        <w:trPr>
          <w:trHeight w:val="224"/>
        </w:trPr>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2013 to December 2016.</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 xml:space="preserve">The Schlumberger Internet website is </w:t>
      </w:r>
      <w:r>
        <w:rPr>
          <w:rFonts w:ascii="Arial" w:cs="Arial" w:eastAsia="Arial" w:hAnsi="Arial"/>
          <w:sz w:val="15"/>
          <w:szCs w:val="15"/>
          <w:u w:val="single" w:color="auto"/>
          <w:color w:val="auto"/>
        </w:rPr>
        <w:t>www.slb.com</w:t>
      </w:r>
      <w:r>
        <w:rPr>
          <w:rFonts w:ascii="Arial" w:cs="Arial" w:eastAsia="Arial" w:hAnsi="Arial"/>
          <w:sz w:val="15"/>
          <w:szCs w:val="15"/>
          <w:color w:val="auto"/>
        </w:rPr>
        <w:t xml:space="preserve">. Schlumberger uses its Investor Relations website, </w:t>
      </w:r>
      <w:r>
        <w:rPr>
          <w:rFonts w:ascii="Arial" w:cs="Arial" w:eastAsia="Arial" w:hAnsi="Arial"/>
          <w:sz w:val="15"/>
          <w:szCs w:val="15"/>
          <w:u w:val="single" w:color="auto"/>
          <w:color w:val="auto"/>
        </w:rPr>
        <w:t>www.slb.com/ir</w:t>
      </w:r>
      <w:r>
        <w:rPr>
          <w:rFonts w:ascii="Arial" w:cs="Arial" w:eastAsia="Arial" w:hAnsi="Arial"/>
          <w:sz w:val="15"/>
          <w:szCs w:val="15"/>
          <w:color w:val="auto"/>
        </w:rPr>
        <w:t xml:space="preserve">, as a routine channel for distribution of important information, including news releases, analyst presentations, and financial information. Schlumberger makes available free of charge through its Investor Relations website at </w:t>
      </w:r>
      <w:r>
        <w:rPr>
          <w:rFonts w:ascii="Arial" w:cs="Arial" w:eastAsia="Arial" w:hAnsi="Arial"/>
          <w:sz w:val="15"/>
          <w:szCs w:val="15"/>
          <w:u w:val="single" w:color="auto"/>
          <w:color w:val="auto"/>
        </w:rPr>
        <w:t>www.slb.com/ir</w:t>
      </w:r>
      <w:r>
        <w:rPr>
          <w:rFonts w:ascii="Arial" w:cs="Arial" w:eastAsia="Arial" w:hAnsi="Arial"/>
          <w:sz w:val="15"/>
          <w:szCs w:val="15"/>
          <w:color w:val="auto"/>
        </w:rPr>
        <w:t xml:space="preserve"> access to its Annual Reports on Form 10-K, Quarterly Reports on Form 10-Q, Current Reports on Form 8-K, its proxy statements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Copies are also available, without charge, from Schlumberger Investor Relations, 5599 San Felipe, 17</w:t>
      </w:r>
      <w:r>
        <w:rPr>
          <w:rFonts w:ascii="Arial" w:cs="Arial" w:eastAsia="Arial" w:hAnsi="Arial"/>
          <w:sz w:val="13"/>
          <w:szCs w:val="13"/>
          <w:color w:val="auto"/>
        </w:rPr>
        <w:t>th</w:t>
      </w:r>
      <w:r>
        <w:rPr>
          <w:rFonts w:ascii="Arial" w:cs="Arial" w:eastAsia="Arial" w:hAnsi="Arial"/>
          <w:sz w:val="15"/>
          <w:szCs w:val="15"/>
          <w:color w:val="auto"/>
        </w:rPr>
        <w:t xml:space="preserve"> Floor, Houston, Texas 77056. Unless expressly noted, the information on our website or any other website is not incorporated by reference in this Form 10-K and should not be considered part of this Form 10-K or any other filing Schlumberger makes with the SEC.</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related notes included in this Form 10-K.</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We urge you to consider carefully the risks described below, as well as in other reports and materials that we file with the SEC and the other information included or incorporated by reference in this Form 10-K.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Demand for our products and services is substantially dependent on the levels of expenditures by our customers. A substantial or an extended decline in oil and gas prices could result in lower expenditures by our customers, which could have a material adverse impact on our financial condition, results of operations and cash flows.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Demand for our products and services depends substantially on expenditures by our customers for the exploration, development and production of oil and natural gas reserves. These expenditures are generally dependent on our customers’ views of future oil and natural gas prices and are sensitive to our customers’ views of future economic growth and the resulting impact on demand for oil and natural gas. Declines, as well as anticipated declines, in oil and gas prices could result in project modifications, delays or cancellations, general business disruptions, and delays in payment of, or nonpayment of, amounts that are owed to us. These effects could have a material adverse effect on our financial condition,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Historically, oil and natural gas prices have experienced significant volatility and can be affected by a variety of factors, including:</w:t>
      </w:r>
    </w:p>
    <w:p>
      <w:pPr>
        <w:spacing w:after="0" w:line="112" w:lineRule="exact"/>
        <w:rPr>
          <w:sz w:val="20"/>
          <w:szCs w:val="20"/>
          <w:color w:val="auto"/>
        </w:rPr>
      </w:pPr>
    </w:p>
    <w:p>
      <w:pPr>
        <w:ind w:left="740" w:hanging="36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for hydrocarbons, which is affected by general economic and business conditions;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(“OPEC”) to set and maintain production levels for oil;</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oil and gas production levels by non-OPEC countries;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uncertainty and geopolitical unrest;</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worldwide oil and gas exploration and production activity;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ind w:left="740" w:hanging="36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potential resources;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policies and subsidies;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exploring for, producing and delivering oil and gas;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products and services as well as and downward pressure on the prices we charge. Sustained market uncertainty can also result in lower demand and pricing for our products and services. A significant downturn or sustained market uncertainty could result in a reduction in demand for oilfield services and could adversely affect our financial condition, results of operations and cash flows.</w:t>
      </w:r>
    </w:p>
    <w:p>
      <w:pPr>
        <w:spacing w:after="0" w:line="187"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over 85 countries in which we operate.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non-United States operations accounted for approximately 69% of our consolidated revenue in 2018, 74% in 2017 and 80% in 2016. Operations in countries other than the United States are subject to various risks, including:</w:t>
      </w:r>
    </w:p>
    <w:p>
      <w:pPr>
        <w:spacing w:after="0" w:line="74" w:lineRule="exact"/>
        <w:rPr>
          <w:sz w:val="20"/>
          <w:szCs w:val="20"/>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expropriation of our assets or other governmental actions;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countries;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under the United States Foreign Corrupt Practices Act (“FCPA”) or similar legislation;</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11" w:lineRule="exact"/>
        <w:rPr>
          <w:rFonts w:ascii="Arial" w:cs="Arial" w:eastAsia="Arial" w:hAnsi="Arial"/>
          <w:sz w:val="18"/>
          <w:szCs w:val="18"/>
          <w:color w:val="auto"/>
        </w:rPr>
      </w:pPr>
    </w:p>
    <w:p>
      <w:pPr>
        <w:ind w:left="740" w:hanging="362"/>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complex US and foreign laws and regulations could have a material adverse effect on our operations.</w:t>
      </w:r>
    </w:p>
    <w:p>
      <w:pPr>
        <w:spacing w:after="0" w:line="11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are subject to complex US and foreign laws and regulations, such as the FCPA, the U.K. Bribery Act and various other anti-bribery and anti-corruption laws. We are also subject to trade control regulations and trade sanctions laws that restrict the movement of certain goods to, and certain operations in, various countries or with certain persons. Our ability to transfer people, products and data among certain countries is subject to maintaining required licenses and complying with these laws and regulations. The internal controls, policies and procedures, and employee training and compliance programs we have implemented to deter prohibited practices may not be effective in preventing employees, contractors or agents from violating or circumventing such internal policies or violating applicable laws and regulations. Any determination that we have violated or are responsible for violations of anti-bribery,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reputation and our business, operating results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products and services could be reduced by existing and future legislation or regulations.</w:t>
      </w:r>
    </w:p>
    <w:p>
      <w:pPr>
        <w:spacing w:after="0" w:line="11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Environmental advocacy groups and regulatory agencies in the United States and other countries have been focusing considerable attention on the emissions of carbon dioxide, methane and other greenhouse gasses and their potential role in climate change. Existing or future legislation and regulations related to greenhouse gas emissions and climate change, as well as government initiatives to conserve energy or promote the use of alternative energy sources, may significantly curtail demand for and production of fossil fuels such as oil and gas in areas of the world where our customers operate, and thus adversely affect future demand for our products and services. This may, in turn, adversely affect our financial condition, results of operations and cash flows.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international, national, state and local governments and agencies have also adopted laws and regulations or are evaluating proposed legislation and regulations that are focused on the extraction of shale gas or oil using hydraulic fracturing. Hydraulic fracturing is a stimulation treatment routinely performed on oil and gas wells in low-permeability reservoirs. Specially engineered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 w:name="page9"/>
    <w:bookmarkEnd w:id="8"/>
    <w:p>
      <w:pPr>
        <w:jc w:val="both"/>
        <w:spacing w:after="0" w:line="251" w:lineRule="auto"/>
        <w:rPr>
          <w:sz w:val="20"/>
          <w:szCs w:val="20"/>
          <w:color w:val="auto"/>
        </w:rPr>
      </w:pPr>
      <w:r>
        <w:rPr>
          <w:rFonts w:ascii="Arial" w:cs="Arial" w:eastAsia="Arial" w:hAnsi="Arial"/>
          <w:sz w:val="18"/>
          <w:szCs w:val="18"/>
          <w:color w:val="auto"/>
        </w:rPr>
        <w:t>fluids are pumped at high pressure and rate into the reservoir interval to be treated, causing cracks in the target formation. Proppant, such as sand of a particular size, is mixed with the treatment fluid to keep the cracks open when the treatment is complete. Future hydraulic fracturing-related legislation or regulations could limit or ban hydraulic fracturing, or lead to operational delays and increased costs, and therefore reduce demand for our pressure pumping services. If such additional international, national, state or local legislation or regulations are enacted, it could adversely affect our financial condition,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subject to increasingly stringent laws and regulations relating to importation and use of hazardous materials, radioactive materials, chemicals and explosives and to environmental protection, including laws and regulations governing air emissions, hydraulic fracturing,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9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for new or increased liabilities that could reduce our earnings and our cash available for operations.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We could be subject to substantial liability claims, including catastrophic well incidents, which could adversely affect our financial condition, results of operations and cash flows.</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technical complexities of our operations expose us to a wide range of significant health, safety and environmental risks. Our offerings involve production-related activities, radioactive materials, chemicals, explosives and other equipment and services that are deployed in challenging exploration, development and production environments. An accident involving these services or equipment, or a failure of a product, could cause personal injury, loss of life, damage to or destruction of property, equipment or the environment, or suspension of operations. Catastrophic well incidents, including blow outs at a well site, may expose us to additional liabilities. Generally, we rely on contractual indemnities, releases, limitations on liability with our customers and insurance to protect us from potential liability related to such events. However,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technology leadership, this could adversely affect any competitive advantage we hold.</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oilfield service industry is highly competitive. Our ability to continually provide competitive technology and services can impact our ability to defend, maintain or increase prices for our products and services, maintain market share, and negotiate acceptable contract terms with our customers. If we are unable to continue to develop and produce competitive technology or deliver it to our clients in a timely and cost-competitive manner in the various markets we serve, it could adversely affect our financial condition, results of operations and cash flows.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 which could adversely affect our financial condition, results of operations and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business. Royalty payments under licenses from third parties, if available, would increase our costs. Additionally, developing non-infringing technologies would increase our costs. If a license were not available, we might not be able to continue providing a particular service or product, which could adversely affect our financial condition,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weather may adversely affect our operations.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may be materially affected by severe weather in areas where we operate. This may entail the evacuation of personnel and stoppage of services. In addition, if particularly severe weather affects platforms or structures, this may result in a suspension of activities. Any of these events could adversely affect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Cyberattacks could have a material adverse impact on our business and results of operation.</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rely heavily on information systems to conduct our business, including systems operated by or under the control of third parties. Although we devote significant resources to protect our systems and proprietary data, we have experienced and will continue to experience varying degrees of cyber incidents in the normal conduct of our business. There can be no assurance that the systems we have designed to prevent or limit the effects of cyber incidents or attacks will be sufficient to prevent or detect such incidents or attacks, or to avoid a material adverse impact on our systems when such incidents or attacks do occur. If our systems, or the systems of third parties for protecting against cybersecurity risks are circumvented or breached, or we are subject to ransomware or other attacks, this could result in disruptions to our business operations; unauthorized access to (or the loss of Company access to) competitively sensitive, confidential or other critical data or systems; loss of customers; financial losses; regulatory fines; misuse or corruption of critical data and proprietary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Schlumberger owns or leases numerous manufacturing facilities, administrative offices, service centers, research centers, data processing centers, mines, ore, drilling fluid and production chemical processing centers, sales offices and warehouses throughout the world. Schlumberger views its principal manufacturing, mining and processing facilities, research centers and data processing centers as its “principal owned or leased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Schlumberger’s principal owned or leased facilities:</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Taubate, Brazil; Beijing and Shanghai, China; Clamart, France; Pune, India; Johor, Malaysia; Veracruz, Mexico; Stavanger, Norway; Singapore; Campina, Romania; Abingdon, Cambridge and Stonehouse, United Kingdom and within the United States: Little Rock, Arkansas; Ville Platte, Louisiana; Boston, Massachusetts; Houston, Katy, Rosharon and Sugar Land, Texas.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this Item 3. Legal Proceedings is set forth in Note 16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Schlumberger’s Common Stock, Related Stockholder Matters and Issuer Purchases of Equity Securities.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2018, there were 26,720 stockholders of record. The principal United States market for Schlumberger’s common stock is the New York Stock Exchange (“NYSE”), where it is traded under the symbol “SLB.”</w:t>
      </w:r>
    </w:p>
    <w:p>
      <w:pPr>
        <w:spacing w:after="0" w:line="18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following graph compares the cumulative total stockholder return on Schlumberger common stock with the cumulative total return on the Standard &amp; Poor’s 500 Index (“S&amp;P 500 Index”) and the cumulative total return on the Philadelphia Oil Service Index. It assumes $100 was invested on December 31, 2013 in Schlumberger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 Among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Common Stock, the S&amp;P 500 Index and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Oil Service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139065</wp:posOffset>
            </wp:positionV>
            <wp:extent cx="4846955" cy="3422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46955"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18, 2013, the Schlumberger Board of Directors (the “Board”) approved a $10 billion share repurchase program for Schlumberger common stock, to be completed by June 30, 2018. This program was completed during May 2017. On January 21, 2016, the Board approved a new $10 billion share repurchase program for Schlumberger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Schlumberger’s common stock repurchase program activity for the three months ended December 31, 2018 was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2"/>
              </w:rPr>
              <w:t>(Stated in thousands, except per share amounts)</w:t>
            </w:r>
          </w:p>
        </w:tc>
      </w:tr>
      <w:tr>
        <w:trPr>
          <w:trHeight w:val="413"/>
        </w:trPr>
        <w:tc>
          <w:tcPr>
            <w:tcW w:w="5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Total Number of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5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5"/>
              </w:rPr>
              <w:t>Shares Purchased</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4"/>
              </w:rPr>
              <w:t>Maximum Value</w:t>
            </w:r>
          </w:p>
        </w:tc>
      </w:tr>
      <w:tr>
        <w:trPr>
          <w:trHeight w:val="199"/>
        </w:trPr>
        <w:tc>
          <w:tcPr>
            <w:tcW w:w="5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7"/>
              </w:rPr>
              <w:t>as Part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of Shares that</w:t>
            </w:r>
          </w:p>
        </w:tc>
      </w:tr>
      <w:tr>
        <w:trPr>
          <w:trHeight w:val="199"/>
        </w:trPr>
        <w:tc>
          <w:tcPr>
            <w:tcW w:w="5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Publicly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may yet be</w:t>
            </w:r>
          </w:p>
        </w:tc>
      </w:tr>
      <w:tr>
        <w:trPr>
          <w:trHeight w:val="199"/>
        </w:trPr>
        <w:tc>
          <w:tcPr>
            <w:tcW w:w="58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w w:val="95"/>
              </w:rPr>
              <w:t>Total Number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Announced</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86"/>
              </w:rPr>
              <w:t>Purchased Under</w:t>
            </w:r>
          </w:p>
        </w:tc>
      </w:tr>
      <w:tr>
        <w:trPr>
          <w:trHeight w:val="206"/>
        </w:trPr>
        <w:tc>
          <w:tcPr>
            <w:tcW w:w="588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Shares Purchased</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color w:val="auto"/>
                <w:w w:val="86"/>
              </w:rPr>
              <w:t>Paid per Share</w:t>
            </w:r>
          </w:p>
        </w:tc>
        <w:tc>
          <w:tcPr>
            <w:tcW w:w="24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Program</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color w:val="auto"/>
                <w:w w:val="88"/>
              </w:rPr>
              <w:t>the Program</w:t>
            </w:r>
          </w:p>
        </w:tc>
        <w:tc>
          <w:tcPr>
            <w:tcW w:w="100" w:type="dxa"/>
            <w:vAlign w:val="bottom"/>
            <w:tcBorders>
              <w:bottom w:val="single" w:sz="8" w:color="CFF0FC"/>
            </w:tcBorders>
          </w:tcPr>
          <w:p>
            <w:pPr>
              <w:spacing w:after="0"/>
              <w:rPr>
                <w:sz w:val="17"/>
                <w:szCs w:val="17"/>
                <w:color w:val="auto"/>
              </w:rPr>
            </w:pPr>
          </w:p>
        </w:tc>
      </w:tr>
      <w:tr>
        <w:trPr>
          <w:trHeight w:val="221"/>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October 2018</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59.05</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9,342,049</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November 2018</w:t>
            </w:r>
          </w:p>
        </w:tc>
        <w:tc>
          <w:tcPr>
            <w:tcW w:w="1180" w:type="dxa"/>
            <w:vAlign w:val="bottom"/>
          </w:tcPr>
          <w:p>
            <w:pPr>
              <w:jc w:val="right"/>
              <w:spacing w:after="0"/>
              <w:rPr>
                <w:sz w:val="20"/>
                <w:szCs w:val="20"/>
                <w:color w:val="auto"/>
              </w:rPr>
            </w:pPr>
            <w:r>
              <w:rPr>
                <w:rFonts w:ascii="Arial" w:cs="Arial" w:eastAsia="Arial" w:hAnsi="Arial"/>
                <w:sz w:val="18"/>
                <w:szCs w:val="18"/>
                <w:color w:val="auto"/>
              </w:rPr>
              <w:t>682.4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49.22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682.4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9,308,458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December 2018</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9,276,578</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5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2,066.0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2,066.0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selected consolidated financial data should be read in conjunction with both “Item 7. Management’s Discussion and Analysis of Financial Condition and Results of Operations” and “Item 8. Financial Statements and Supplementary Data” of this Form 10-K in order to understand factors, such as business combinations and charges and credits, which may affect the comparability of the Selected Financial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80" w:type="dxa"/>
            <w:vAlign w:val="bottom"/>
            <w:gridSpan w:val="9"/>
          </w:tcPr>
          <w:p>
            <w:pPr>
              <w:ind w:left="740"/>
              <w:spacing w:after="0"/>
              <w:rPr>
                <w:sz w:val="20"/>
                <w:szCs w:val="20"/>
                <w:color w:val="auto"/>
              </w:rPr>
            </w:pPr>
            <w:r>
              <w:rPr>
                <w:rFonts w:ascii="Arial" w:cs="Arial" w:eastAsia="Arial" w:hAnsi="Arial"/>
                <w:sz w:val="14"/>
                <w:szCs w:val="14"/>
                <w:i w:val="1"/>
                <w:iCs w:val="1"/>
                <w:color w:val="auto"/>
                <w:w w:val="95"/>
              </w:rPr>
              <w:t>(Stated in millions, except per share amounts)</w:t>
            </w:r>
          </w:p>
        </w:tc>
      </w:tr>
      <w:tr>
        <w:trPr>
          <w:trHeight w:val="435"/>
        </w:trPr>
        <w:tc>
          <w:tcPr>
            <w:tcW w:w="4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47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FF0FC"/>
            </w:tcBorders>
          </w:tcPr>
          <w:p>
            <w:pPr>
              <w:spacing w:after="0"/>
              <w:rPr>
                <w:sz w:val="19"/>
                <w:szCs w:val="19"/>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32,815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48,580</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2,138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(1,687)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2,072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5,643</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w w:val="98"/>
              </w:rPr>
              <w:t>Diluted earnings (loss) per share from continuing operations</w:t>
            </w:r>
          </w:p>
        </w:tc>
        <w:tc>
          <w:tcPr>
            <w:tcW w:w="70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(1.24)</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Arial" w:cs="Arial" w:eastAsia="Arial" w:hAnsi="Arial"/>
                <w:sz w:val="18"/>
                <w:szCs w:val="18"/>
                <w:color w:val="auto"/>
              </w:rPr>
              <w:t>Cash</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1,433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2,929</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2,793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1,344</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6,328</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10,241</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4,371</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Arial" w:cs="Arial" w:eastAsia="Arial" w:hAnsi="Arial"/>
                <w:sz w:val="18"/>
                <w:szCs w:val="18"/>
                <w:color w:val="auto"/>
              </w:rPr>
              <w:t>Working capital</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2,245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3,215</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8,868</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12,791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10,518</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70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70,507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71,987</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77,956</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68,005</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66,904</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70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14,644</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16,463</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14,442</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Arial" w:cs="Arial" w:eastAsia="Arial" w:hAnsi="Arial"/>
                <w:sz w:val="18"/>
                <w:szCs w:val="18"/>
                <w:color w:val="auto"/>
              </w:rPr>
              <w:t>Total debt</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16,051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18,199</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19,616</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18,999</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13,330</w:t>
            </w:r>
          </w:p>
        </w:tc>
        <w:tc>
          <w:tcPr>
            <w:tcW w:w="12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Schlumberger stockholders' equity</w:t>
            </w:r>
          </w:p>
        </w:tc>
        <w:tc>
          <w:tcPr>
            <w:tcW w:w="70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36,162</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41,078</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35,633</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37,850</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r>
    </w:tbl>
    <w:p>
      <w:pPr>
        <w:spacing w:after="0" w:line="23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During 2018, Schlumberger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Prior year amounts reflected in the table above have not been adjusted and continue to be reflected in accordance with Schlumberger’s historical accounting. Refer to Note 15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Executive Overview</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Schlumberger full-year 2018 revenue of $32.8 billion increased 8% over 2017. This revenue growth was driven almost entirely by increased activity in North America against a backdrop of increasing oil prices throughout most of the year.</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In the oil markets, sentiment was stable and positive for the first three quarters of 2018, providing a rising oil price environment. OECD crude and product stocks continued a downward trend that began in the third quarter of 2016. Production cuts from OPEC and Russia in 2017 served to strengthen the oil price. Activity picked up globally and, as oil reached its peak price for the year in October, production from major producers, including unconventional US production, began to surprise to the upside. Output in Libya rebounded sharply; Saudi Arabia and the United Arab Emirates each recorded record production output; and dispensations from the Iran export sanctions generated aggregate production that more than offset declines elsewhere.</w:t>
      </w:r>
    </w:p>
    <w:p>
      <w:pPr>
        <w:spacing w:after="0" w:line="15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a result, the market became oversupplied at the beginning of the fourth quarter despite the anticipated slowdown in the Permian Basin production growth due to capacity takeaway constraints. This, coupled with concerns about global oil demand, caused oil prices to plummet by more than 40% during the fourth quarter of 2018 and led to a sudden and sharp decrease in US land well completion activity during the final months of the year.</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natural gas markets, consumption of liquified natural gas (“LNG”) continued to rise enabled by vast sources of new supply. The US became a LNG exporter in 2016, when the first shipment left Sabine Pass in Louisiana. US export capacity grew to 37 million tonnes in 2018 and is set to nearly double in 2019. Underground gas storage in the US was below average through most of 2018, however, rising gas production from unconventional oil and gas wells in the US Northeast, Midcontinent and the Permian Basin helped to keep Henry Hub prices well below international prices. This will allow the US to join Australia and the Middle East as significant exporters.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financial performance in 2018 was driven largely by North America, where revenue of $12.0 billion grew 26% year-over-year, despite the steep fall-off in activity during the fourth quarter of the year. This growth was driven by increased land activity that primarily benefited Schlumberger’s OneStim business, where revenue grew 41%.</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Full-year 2018 international revenue of $20.4 billion was essentially flat compared with 2017. During the third quarter of 2018, international revenue grew faster than North America revenue for the first time since 2014, marking the beginning of a positive activity trend after three consecutive years of declining revenue. This was driven by the increased activity of national oil companies (“NOCs”), as they began to invest in longer-term resource development following a sustained period of deep underinvestment and declining production.</w:t>
      </w:r>
    </w:p>
    <w:p>
      <w:pPr>
        <w:spacing w:after="0" w:line="193"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dramatic fall in oil prices in the fourth quarter was largely driven by higher-than-expected US shale production as a result of the surge in activity earlier in the year, and as geopolitics negatively impacted the global demand- and supply-balance sentiments. The combination of these two factors, together with a large sell-off in the equity markets due to concerns around global growth and increasing US interest rates, created a near-perfect storm to close out 2018.</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Looking ahead to 2019, Schlumberger expects a more positive supply- and demand-balance sentiment to lead to a gradual recovery in the price of oil over the course of the year, as the OPEC and Russia production cuts take full effect; the effect of lower activity in North America land in the second half of 2018 impacts production growth; the dispensations from the Iran export sanctions expire and are not renewed; and as the US and China continue to work toward a solution to their ongoing trade dispute.</w:t>
      </w:r>
    </w:p>
    <w:p>
      <w:pPr>
        <w:spacing w:after="0" w:line="19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the meantime, the recent oil price volatility has introduced more uncertainty around the global exploration and production (“E&amp;P”) spending outlook for 2019, with customers generally taking a more conservative approach at the start of the year. However, based on recent discussions with customers, Schlumberger is seeing clear signs that E&amp;P investments are starting to normalize and reflect a more sustainable financial stewardship of the global resource base. For the North America land E&amp;P operators, this means that future investments will likely be much closer to the level that can be covered by free cash flow. Conversely, in the international markets apart from the Middle East and Russia, after four years of underinvestment and a focus on maximizing cash flow, the NOCs and independents are starting to see the need to invest in their resource base simply to maintain production at current levels.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means that even with the current oil price levels, Schlumberger expects solid, single-digit growth in the international markets, while in North America land the increased cost of capital and focus on aligning investments closer to free cash flow has introduced more uncertainty to the outlook for both drilling and production activity.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Fourth Quarter 2018 Results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5"/>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Fourth Quarter 2018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8"/>
                <w:szCs w:val="18"/>
                <w:color w:val="auto"/>
              </w:rPr>
              <w:t>Third Quarter 2018</w:t>
            </w:r>
          </w:p>
        </w:tc>
        <w:tc>
          <w:tcPr>
            <w:tcW w:w="120" w:type="dxa"/>
            <w:vAlign w:val="bottom"/>
          </w:tcPr>
          <w:p>
            <w:pPr>
              <w:spacing w:after="0"/>
              <w:rPr>
                <w:sz w:val="24"/>
                <w:szCs w:val="24"/>
                <w:color w:val="auto"/>
              </w:rPr>
            </w:pPr>
          </w:p>
        </w:tc>
      </w:tr>
      <w:tr>
        <w:trPr>
          <w:trHeight w:val="214"/>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r>
      <w:tr>
        <w:trPr>
          <w:trHeight w:val="226"/>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0"/>
        </w:trPr>
        <w:tc>
          <w:tcPr>
            <w:tcW w:w="3920" w:type="dxa"/>
            <w:vAlign w:val="bottom"/>
            <w:tcBorders>
              <w:bottom w:val="single" w:sz="8" w:color="CFF0FC"/>
            </w:tcBorders>
          </w:tcPr>
          <w:p>
            <w:pPr>
              <w:spacing w:after="0"/>
              <w:rPr>
                <w:sz w:val="20"/>
                <w:szCs w:val="20"/>
                <w:color w:val="auto"/>
              </w:rPr>
            </w:pPr>
          </w:p>
        </w:tc>
        <w:tc>
          <w:tcPr>
            <w:tcW w:w="19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5"/>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7"/>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5"/>
              </w:rPr>
              <w:t>Taxes</w:t>
            </w:r>
          </w:p>
        </w:tc>
        <w:tc>
          <w:tcPr>
            <w:tcW w:w="120" w:type="dxa"/>
            <w:vAlign w:val="bottom"/>
            <w:tcBorders>
              <w:bottom w:val="single" w:sz="8" w:color="CFF0FC"/>
            </w:tcBorders>
          </w:tcPr>
          <w:p>
            <w:pPr>
              <w:spacing w:after="0"/>
              <w:rPr>
                <w:sz w:val="20"/>
                <w:szCs w:val="20"/>
                <w:color w:val="auto"/>
              </w:rPr>
            </w:pPr>
          </w:p>
        </w:tc>
      </w:tr>
      <w:tr>
        <w:trPr>
          <w:trHeight w:val="21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1,651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364</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FF0FC"/>
          </w:tcPr>
          <w:p>
            <w:pPr>
              <w:spacing w:after="0"/>
              <w:rPr>
                <w:sz w:val="19"/>
                <w:szCs w:val="19"/>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FF0FC"/>
          </w:tcPr>
          <w:p>
            <w:pPr>
              <w:spacing w:after="0"/>
              <w:rPr>
                <w:sz w:val="19"/>
                <w:szCs w:val="19"/>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(133)</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r>
      <w:tr>
        <w:trPr>
          <w:trHeight w:val="219"/>
        </w:trPr>
        <w:tc>
          <w:tcPr>
            <w:tcW w:w="392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9"/>
                <w:szCs w:val="19"/>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(234)</w:t>
            </w: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(132)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w:t>
            </w:r>
          </w:p>
        </w:tc>
      </w:tr>
      <w:tr>
        <w:trPr>
          <w:trHeight w:val="226"/>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19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19"/>
        </w:trPr>
        <w:tc>
          <w:tcPr>
            <w:tcW w:w="39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8,180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FF0FC"/>
          </w:tcPr>
          <w:p>
            <w:pPr>
              <w:spacing w:after="0"/>
              <w:rPr>
                <w:sz w:val="19"/>
                <w:szCs w:val="19"/>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p>
      <w:pPr>
        <w:ind w:left="380" w:right="20" w:hanging="374"/>
        <w:spacing w:after="0" w:line="200" w:lineRule="auto"/>
        <w:tabs>
          <w:tab w:leader="none" w:pos="38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0" w:lineRule="exact"/>
        <w:rPr>
          <w:rFonts w:ascii="Arial" w:cs="Arial" w:eastAsia="Arial" w:hAnsi="Arial"/>
          <w:sz w:val="26"/>
          <w:szCs w:val="26"/>
          <w:color w:val="auto"/>
          <w:vertAlign w:val="superscript"/>
        </w:rPr>
      </w:pPr>
    </w:p>
    <w:p>
      <w:pPr>
        <w:ind w:left="380" w:hanging="374"/>
        <w:spacing w:after="0"/>
        <w:tabs>
          <w:tab w:leader="none" w:pos="38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Excludes interest income included in the segments’ income (fourth quarter 2018: $2 million; third quarter 2018: $2 million).</w:t>
      </w:r>
    </w:p>
    <w:p>
      <w:pPr>
        <w:spacing w:after="0" w:line="115" w:lineRule="exact"/>
        <w:rPr>
          <w:rFonts w:ascii="Arial" w:cs="Arial" w:eastAsia="Arial" w:hAnsi="Arial"/>
          <w:sz w:val="26"/>
          <w:szCs w:val="26"/>
          <w:color w:val="auto"/>
          <w:vertAlign w:val="superscript"/>
        </w:rPr>
      </w:pPr>
    </w:p>
    <w:p>
      <w:pPr>
        <w:ind w:left="380" w:hanging="374"/>
        <w:spacing w:after="0" w:line="180"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Excludes interest expense included in the segments’ income (fourth quarter 2018: $9 million; third quarter 2018: $8 million).</w:t>
      </w:r>
    </w:p>
    <w:p>
      <w:pPr>
        <w:spacing w:after="0" w:line="115" w:lineRule="exact"/>
        <w:rPr>
          <w:rFonts w:ascii="Arial" w:cs="Arial" w:eastAsia="Arial" w:hAnsi="Arial"/>
          <w:sz w:val="22"/>
          <w:szCs w:val="22"/>
          <w:color w:val="auto"/>
          <w:vertAlign w:val="superscript"/>
        </w:rPr>
      </w:pPr>
    </w:p>
    <w:p>
      <w:pPr>
        <w:ind w:left="380" w:hanging="374"/>
        <w:spacing w:after="0" w:line="180"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Fourth-quarter revenue of $8.2 billion declined 4% sequentially driven by lower activity and pricing for most Production- and Cameron-related businesses in North America land. Lower revenue from OneSubsea also contributed to the decline. International activity remained resilient despite the oil price drop, with revenue increasing 1% sequentially. The seasonal slowdown in Russia was offset by increased revenue in the Middle East, Asia and Africa. Revenue from Europe and Latin America was flat compared with the previous quarter. Sequential performance was heavily impacted by Production- and Cameron-related activity declines in North America land, as seen by the 12% sequential decrease of revenue in North America. OneStim revenue dropped 25% sequentially as a number of fleets were warm-stacked during the latter part of the quarter, and as Schlumberger focused on securing dedicated contracts for the first half of 2019 early in the fourth-quarter tendering cycle.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Reservoir Characterization</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Fourth-quarter revenue of $1.7 billion decreased 1% sequentially driven by the seasonal decline in Wireline activity in Russia, lower Wireline exploration activity offshore North America, and reduced OneSurface activity in the Middle East. These effects were partially offset by year-end sales of SIS software.</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Reservoir Characterization pretax operating margin of 22% was essentially flat compared with the previous quarter as the effect of high-margin SIS software sales was offset by the seasonal decline in higher-margin Wireline revenue.</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Drilling</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Fourth-quarter revenue of $2.5 billion increased 1% sequentially driven primarily by international growth in Drilling &amp; Measurements and M-I SWACO, while Drilling revenue remained resilient in North America land.</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Drilling pretax operating margin of 13% decreased 105 basis points (“bps”) sequentially due to a seasonal activity decline in Russia and the increased cost of mobilizing additional resources as IDS project activity scaled up across international operations.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Production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4" w:name="page15"/>
    <w:bookmarkEnd w:id="14"/>
    <w:p>
      <w:pPr>
        <w:jc w:val="both"/>
        <w:spacing w:after="0" w:line="295" w:lineRule="auto"/>
        <w:rPr>
          <w:sz w:val="20"/>
          <w:szCs w:val="20"/>
          <w:color w:val="auto"/>
        </w:rPr>
      </w:pPr>
      <w:r>
        <w:rPr>
          <w:rFonts w:ascii="Arial" w:cs="Arial" w:eastAsia="Arial" w:hAnsi="Arial"/>
          <w:sz w:val="17"/>
          <w:szCs w:val="17"/>
          <w:color w:val="auto"/>
        </w:rPr>
        <w:t>Fourth-quarter revenue of $2.9 billion declined 10% sequentially. OneStim revenue in North America land dropped 25%, accounting for the vast majority of the Production revenue decrease, as a number of fleets were warm-stacked during the latter part of the quarter due to market oversupply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Production pretax operating margin of 7% decreased 310 bps sequentially due to reduced pricing and activity in the OneStim business in North America land.</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Cameron</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Cameron revenue of $1.3 billion declined 3% sequentially as increased international sales in Surface Systems were more than offset by lower revenue from the OneSubsea and Valves &amp; Measurement product lines. OneSubsea booked more than $600 million in new project orders during the fourth quarter of 2018, indicating that it is now close to the cycle trough of backlog-driven activity.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Cameron pretax operating margin of 10% declined 140 bps sequentially due to lower OneSubsea margins.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Full-Year 2018 Results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5"/>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3"/>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6"/>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(522)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(937)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(537)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32,815</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2,624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left="380" w:hanging="374"/>
        <w:spacing w:after="0" w:line="216" w:lineRule="auto"/>
        <w:tabs>
          <w:tab w:leader="none" w:pos="38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Full-year 2018 and 2017 results each include $252 million of amortization expense associated with intangible assets recorded as a result of the acquisition of Cameron, which was completed on April 1, 2016.</w:t>
      </w:r>
    </w:p>
    <w:p>
      <w:pPr>
        <w:spacing w:after="0" w:line="21" w:lineRule="exact"/>
        <w:rPr>
          <w:rFonts w:ascii="Arial" w:cs="Arial" w:eastAsia="Arial" w:hAnsi="Arial"/>
          <w:sz w:val="26"/>
          <w:szCs w:val="26"/>
          <w:color w:val="auto"/>
          <w:vertAlign w:val="superscript"/>
        </w:rPr>
      </w:pPr>
    </w:p>
    <w:p>
      <w:pPr>
        <w:ind w:left="380" w:hanging="374"/>
        <w:spacing w:after="0"/>
        <w:tabs>
          <w:tab w:leader="none" w:pos="38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Excludes interest income included in the segments’ income (2018: $8 million; 2017: $21 million).</w:t>
      </w:r>
    </w:p>
    <w:p>
      <w:pPr>
        <w:spacing w:after="0" w:line="115" w:lineRule="exact"/>
        <w:rPr>
          <w:rFonts w:ascii="Arial" w:cs="Arial" w:eastAsia="Arial" w:hAnsi="Arial"/>
          <w:sz w:val="26"/>
          <w:szCs w:val="26"/>
          <w:color w:val="auto"/>
          <w:vertAlign w:val="superscript"/>
        </w:rPr>
      </w:pPr>
    </w:p>
    <w:p>
      <w:pPr>
        <w:ind w:left="380" w:hanging="374"/>
        <w:spacing w:after="0" w:line="180"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Excludes interest expense included in the segments’ income (2018: $38 million; 2017: $52 million).</w:t>
      </w:r>
    </w:p>
    <w:p>
      <w:pPr>
        <w:spacing w:after="0" w:line="115" w:lineRule="exact"/>
        <w:rPr>
          <w:rFonts w:ascii="Arial" w:cs="Arial" w:eastAsia="Arial" w:hAnsi="Arial"/>
          <w:sz w:val="22"/>
          <w:szCs w:val="22"/>
          <w:color w:val="auto"/>
          <w:vertAlign w:val="superscript"/>
        </w:rPr>
      </w:pPr>
    </w:p>
    <w:p>
      <w:pPr>
        <w:ind w:left="380" w:hanging="374"/>
        <w:spacing w:after="0" w:line="180"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Full-year 2018 revenue of $32.8 billion increased 8% year-on-year and grew for the second successive year. Performance was driven by North America where revenue of $12.0 billion increased 26% due to the OneStim business, which grew by 41%. Full-year international revenue of $20.4 billion was essentially flat compared with 2017.</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Full-year 2018 pretax operating income of $4.2 billion grew 7% year-on-year. Pretax operating margin of 13% was essentially flat with the previous year, as the impact of higher revenue was offset by reactivation and mobilization costs associated with the ramp-up and strategic positioning for increased activity in both North America and internationally.</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Reservoir Characterization</w:t>
      </w:r>
    </w:p>
    <w:p>
      <w:pPr>
        <w:spacing w:after="0" w:line="118"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Full-year 2018 revenue of $6.5 billion decreased 4% year-on-year primarily due to reduced OneSurface revenue following the end of the first phase of an integrated production system project in the Middle East and reduced WesternGeco activity as marine seismic acquisition contracts wound down during 2018 following the fourth quarter 2017 decision to cease all future marine seismic acquisition activities after satisfying Schlumberger’s remaining commitments.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8"/>
          <w:szCs w:val="18"/>
          <w:color w:val="auto"/>
        </w:rPr>
        <w:t>Year-on-year, pretax operating margin increased 303 bps to 21% primarily as a result of reduced depreciation and amortization following the WesternGeco impairment charges recorded in the fourth quarter of 2017.</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Drilling</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Full-year 2018 revenue of $9.3 billion increased 10% year-on-year primarily due to higher demand for directional drilling technologies on land in North America and the start of new integrated drilling projects internationally. This benefited Drilling &amp; Measurements, Bits &amp; Drilling tools, M-I SWACO and Integrated Drilling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declined 32 bps to 13%.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Production</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Full-year 2018 revenue of $12.4 billion increased 17% year-on-year with most of the revenue increase attributable to the accelerated land activity growth in North America that benefited the OneStim pressure pumping businesses in North America land for the first three quarters of 2018. Growth was driven by the deployment of additional hydraulic fracturing capacity, market share gains, operational efficiency improvements and improved pricing.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declined 32 bps to 8%.</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Cameron</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Full-year 2018 revenue of $5.2 billion decreased 1% year-on-year. A 15% revenue increase in the short-cycle business of Surface Systems, driven by higher North America land activity, was offset by a 12% decline in the long-cycle OneSubsea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of 12% declined 232 bps due primarily to the decline in high-margin OneSubsea project volumes.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Full-Year 2017 Results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5"/>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8"/>
                <w:szCs w:val="18"/>
                <w:color w:val="auto"/>
              </w:rPr>
              <w:t>2016</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83"/>
              <w:spacing w:after="0"/>
              <w:rPr>
                <w:sz w:val="20"/>
                <w:szCs w:val="20"/>
                <w:color w:val="auto"/>
              </w:rPr>
            </w:pPr>
            <w:r>
              <w:rPr>
                <w:rFonts w:ascii="Arial" w:cs="Arial" w:eastAsia="Arial" w:hAnsi="Arial"/>
                <w:sz w:val="18"/>
                <w:szCs w:val="18"/>
                <w:color w:val="auto"/>
                <w:w w:val="88"/>
              </w:rPr>
              <w:t>Income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83"/>
              <w:spacing w:after="0"/>
              <w:rPr>
                <w:sz w:val="20"/>
                <w:szCs w:val="20"/>
                <w:color w:val="auto"/>
              </w:rPr>
            </w:pPr>
            <w:r>
              <w:rPr>
                <w:rFonts w:ascii="Arial" w:cs="Arial" w:eastAsia="Arial" w:hAnsi="Arial"/>
                <w:sz w:val="18"/>
                <w:szCs w:val="18"/>
                <w:color w:val="auto"/>
                <w:w w:val="90"/>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26"/>
        </w:trPr>
        <w:tc>
          <w:tcPr>
            <w:tcW w:w="5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7"/>
              </w:rPr>
              <w:t>Revenue</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1"/>
              </w:rPr>
              <w:t>Taxes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3"/>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8"/>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3"/>
              <w:spacing w:after="0"/>
              <w:rPr>
                <w:sz w:val="20"/>
                <w:szCs w:val="20"/>
                <w:color w:val="auto"/>
              </w:rPr>
            </w:pPr>
            <w:r>
              <w:rPr>
                <w:rFonts w:ascii="Arial" w:cs="Arial" w:eastAsia="Arial" w:hAnsi="Arial"/>
                <w:sz w:val="18"/>
                <w:szCs w:val="18"/>
                <w:color w:val="auto"/>
              </w:rPr>
              <w:t>(934</w:t>
            </w: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3"/>
              <w:spacing w:after="0"/>
              <w:rPr>
                <w:sz w:val="20"/>
                <w:szCs w:val="20"/>
                <w:color w:val="auto"/>
              </w:rPr>
            </w:pPr>
            <w:r>
              <w:rPr>
                <w:rFonts w:ascii="Arial" w:cs="Arial" w:eastAsia="Arial" w:hAnsi="Arial"/>
                <w:sz w:val="18"/>
                <w:szCs w:val="18"/>
                <w:color w:val="auto"/>
              </w:rPr>
              <w:t>(513</w:t>
            </w: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3"/>
              <w:spacing w:after="0"/>
              <w:rPr>
                <w:sz w:val="20"/>
                <w:szCs w:val="20"/>
                <w:color w:val="auto"/>
              </w:rPr>
            </w:pPr>
            <w:r>
              <w:rPr>
                <w:rFonts w:ascii="Arial" w:cs="Arial" w:eastAsia="Arial" w:hAnsi="Arial"/>
                <w:sz w:val="18"/>
                <w:szCs w:val="18"/>
                <w:color w:val="auto"/>
              </w:rPr>
              <w:t>(3,764</w:t>
            </w: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jc w:val="right"/>
              <w:ind w:right="103"/>
              <w:spacing w:after="0"/>
              <w:rPr>
                <w:sz w:val="20"/>
                <w:szCs w:val="20"/>
                <w:color w:val="auto"/>
              </w:rPr>
            </w:pPr>
            <w:r>
              <w:rPr>
                <w:rFonts w:ascii="Arial" w:cs="Arial" w:eastAsia="Arial" w:hAnsi="Arial"/>
                <w:sz w:val="15"/>
                <w:szCs w:val="15"/>
                <w:b w:val="1"/>
                <w:bCs w:val="1"/>
                <w:color w:val="auto"/>
                <w:w w:val="79"/>
              </w:rPr>
              <w:t>)</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380" w:hanging="374"/>
        <w:spacing w:after="0" w:line="232" w:lineRule="auto"/>
        <w:tabs>
          <w:tab w:leader="none" w:pos="38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Comprised principally of certain corporate expenses not allocated to the segments, stock-based compensation costs, amortization expense associated with certain intangible assets, certain centrally managed initiatives and other nonoperating items. Full-year 2017 and 2016 include</w:t>
      </w:r>
      <w:r>
        <w:rPr>
          <w:sz w:val="1"/>
          <w:szCs w:val="1"/>
          <w:color w:val="auto"/>
        </w:rPr>
        <w:drawing>
          <wp:inline distT="0" distB="0" distL="0" distR="0">
            <wp:extent cx="33655" cy="857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85725"/>
                    </a:xfrm>
                    <a:prstGeom prst="rect">
                      <a:avLst/>
                    </a:prstGeom>
                    <a:noFill/>
                    <a:ln>
                      <a:noFill/>
                    </a:ln>
                  </pic:spPr>
                </pic:pic>
              </a:graphicData>
            </a:graphic>
          </wp:inline>
        </w:drawing>
      </w:r>
      <w:r>
        <w:rPr>
          <w:rFonts w:ascii="Arial" w:cs="Arial" w:eastAsia="Arial" w:hAnsi="Arial"/>
          <w:sz w:val="15"/>
          <w:szCs w:val="15"/>
          <w:color w:val="auto"/>
        </w:rPr>
        <w:t>$252 million and $189 million, respectively, of amortization expense associated with intangible assets recorded as a result of the acquisition of Cameron, which was completed on April 1, 2016.</w:t>
      </w:r>
    </w:p>
    <w:p>
      <w:pPr>
        <w:spacing w:after="0" w:line="8" w:lineRule="exact"/>
        <w:rPr>
          <w:rFonts w:ascii="Arial" w:cs="Arial" w:eastAsia="Arial" w:hAnsi="Arial"/>
          <w:sz w:val="24"/>
          <w:szCs w:val="24"/>
          <w:color w:val="auto"/>
          <w:vertAlign w:val="superscript"/>
        </w:rPr>
      </w:pPr>
    </w:p>
    <w:p>
      <w:pPr>
        <w:ind w:left="380" w:hanging="374"/>
        <w:spacing w:after="0"/>
        <w:tabs>
          <w:tab w:leader="none" w:pos="38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Excludes interest income included in the segments’ income (2017: $21 million; 2016: $26 million).</w:t>
      </w:r>
    </w:p>
    <w:p>
      <w:pPr>
        <w:spacing w:after="0" w:line="115" w:lineRule="exact"/>
        <w:rPr>
          <w:rFonts w:ascii="Arial" w:cs="Arial" w:eastAsia="Arial" w:hAnsi="Arial"/>
          <w:sz w:val="26"/>
          <w:szCs w:val="26"/>
          <w:color w:val="auto"/>
          <w:vertAlign w:val="superscript"/>
        </w:rPr>
      </w:pPr>
    </w:p>
    <w:p>
      <w:pPr>
        <w:ind w:left="380" w:hanging="374"/>
        <w:spacing w:after="0" w:line="180" w:lineRule="auto"/>
        <w:tabs>
          <w:tab w:leader="none" w:pos="3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Excludes interest expense included in the segments’ income (2017: $52 million; 2016: $53 million).</w:t>
      </w:r>
    </w:p>
    <w:p>
      <w:pPr>
        <w:spacing w:after="0" w:line="115" w:lineRule="exact"/>
        <w:rPr>
          <w:rFonts w:ascii="Arial" w:cs="Arial" w:eastAsia="Arial" w:hAnsi="Arial"/>
          <w:sz w:val="22"/>
          <w:szCs w:val="22"/>
          <w:color w:val="auto"/>
          <w:vertAlign w:val="superscript"/>
        </w:rPr>
      </w:pPr>
    </w:p>
    <w:p>
      <w:pPr>
        <w:ind w:left="380" w:hanging="374"/>
        <w:spacing w:after="0" w:line="180" w:lineRule="auto"/>
        <w:tabs>
          <w:tab w:leader="none" w:pos="3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32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Full-year 2017 revenue of $30.4 billion increased 9% year-on-year. This included a full year of activity from the acquired Cameron businesses versus nine months of activity for the same period in 2016. Excluding the impact of Cameron, revenue increased 7% year-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on-year. The growth was primarily driven by North America, where the land rig count increased more than 80% versus the same period last year.</w:t>
      </w: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Full-year 2017 pretax operating margin was expanded 111 bps to 13%, as improved profitability in North America due to the land activity growth that benefited Production and Drilling was offset by margin declines in Reservoir Characterization and Cameron.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Full-year 2017 revenue of $6.8 billion increased 2% year-on-year primarily due to higher WesternGeco and Wireline revenue on projects in the Middle East &amp; Asia Area, North America land, Russia and Mexico.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was essentially flat at 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Full-year 2017 revenue of $8.4 billion decreased 2% year-on-year primarily due to the rig count declines internationally and in offshore North America combined with pricing pressure. Revenue also declined as a result of Schlumberger’s decision in April 2016 to reduce its activities in Venezuela to align operations with cash collections.</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Year-on-year, pretax operating margin increased 210 bps to 14% primarily due to improved profitability in North America due to accelerated land activity and improved pricing. This improvement was partially offset by the negative impact of reduced activity in Venezuela.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Full-year 2017 revenue of $10.6 billion increased 21% year-on-year with most of the revenue increase attributable to the accelerated land activity growth in North America that benefited the pressure pumping business which grew 44%. Lower SPM production levels in Ecuador partially offset the revenue increase.</w:t>
      </w:r>
    </w:p>
    <w:p>
      <w:pPr>
        <w:spacing w:after="0" w:line="111"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Year-on-year, pretax operating margin increased 298 bps to 9% as a result of improved profitability in North America due to the accelerated land activity and improved pricing. This was partially offset by reduced margins in SPM due to lower production in Ecuador.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Cameron contributed full-year revenue of $5.2 billion. Cameron revenue for 2016 included only nine months of revenue following the April 2016 closing of the acquisition. Revenue in 2017 was impacted by a declining project backlog, particularly for the long-cycle businesses of Drilling Systems and OneSubsea.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of 14% decreased 142 bps as a result of lower Drilling Systems project volumes.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Interest and Other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4740" w:type="dxa"/>
            <w:vAlign w:val="bottom"/>
            <w:tcBorders>
              <w:bottom w:val="single" w:sz="8" w:color="CFF0FC"/>
            </w:tcBorders>
          </w:tcPr>
          <w:p>
            <w:pPr>
              <w:spacing w:after="0"/>
              <w:rPr>
                <w:sz w:val="24"/>
                <w:szCs w:val="24"/>
                <w:color w:val="auto"/>
              </w:rPr>
            </w:pPr>
          </w:p>
        </w:tc>
        <w:tc>
          <w:tcPr>
            <w:tcW w:w="196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9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9"/>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2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of equity method investments</w:t>
            </w:r>
          </w:p>
        </w:tc>
        <w:tc>
          <w:tcPr>
            <w:tcW w:w="19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tcPr>
          <w:p>
            <w:pPr>
              <w:spacing w:after="0"/>
              <w:rPr>
                <w:sz w:val="19"/>
                <w:szCs w:val="19"/>
                <w:color w:val="auto"/>
              </w:rPr>
            </w:pPr>
          </w:p>
        </w:tc>
      </w:tr>
      <w:tr>
        <w:trPr>
          <w:trHeight w:val="219"/>
        </w:trPr>
        <w:tc>
          <w:tcPr>
            <w:tcW w:w="47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9"/>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interest income in 2018 compared to 2017 is primarily attributable to lower cash and short-term investment balances.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of $575 million in 2018, $566 million in 2017 and $570 million in 2016 has been essentially flat.</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20"/>
                <w:szCs w:val="20"/>
                <w:color w:val="auto"/>
              </w:rPr>
            </w:pPr>
          </w:p>
        </w:tc>
      </w:tr>
      <w:tr>
        <w:trPr>
          <w:trHeight w:val="219"/>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Research &amp; engineering</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2.1%</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i w:val="1"/>
                <w:iCs w:val="1"/>
                <w:color w:val="auto"/>
              </w:rPr>
              <w:t>General &amp; administrative</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196"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costs have decreased in terms of both absolute dollars and as a percentage of</w:t>
      </w:r>
      <w:r>
        <w:rPr>
          <w:rFonts w:ascii="Arial" w:cs="Arial" w:eastAsia="Arial" w:hAnsi="Arial"/>
          <w:sz w:val="18"/>
          <w:szCs w:val="18"/>
          <w:i w:val="1"/>
          <w:iCs w:val="1"/>
          <w:color w:val="auto"/>
        </w:rPr>
        <w:t xml:space="preserve"> Revenue </w:t>
      </w:r>
      <w:r>
        <w:rPr>
          <w:rFonts w:ascii="Arial" w:cs="Arial" w:eastAsia="Arial" w:hAnsi="Arial"/>
          <w:sz w:val="18"/>
          <w:szCs w:val="18"/>
          <w:color w:val="auto"/>
        </w:rPr>
        <w:t>over the past two years as a result of cost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Schlumberger effective tax rate was 17% in 2018, (28)% in 2017, and 15% in 2016.</w:t>
      </w:r>
    </w:p>
    <w:p>
      <w:pPr>
        <w:spacing w:after="0" w:line="21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Schlumberger effective tax rate has historically been sensitive to the geographic mix of earnings. When the percentage of pretax earnings generated outside of North America increases, the Schlumberger effective tax rate generally decreases. Conversely, when the percentage of pretax earnings generated outside of North America decreases, the Schlumberger effective tax rate generally increases.</w:t>
      </w:r>
    </w:p>
    <w:p>
      <w:pPr>
        <w:spacing w:after="0" w:line="19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 xml:space="preserve">As discussed in further detail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on December 22, 2017 the US enacted the Tax Cuts and Jobs Act (the “Act”). The Act, which is also commonly referred to as “US tax reform,” significantly changed US corporate income tax laws by, among other things, reducing the US corporate income tax rate from 35% to 21% starting in 2018 and creating a territorial tax system with a one-time mandatory tax on previously deferred foreign earnings of US subsidiaries.</w:t>
      </w:r>
    </w:p>
    <w:p>
      <w:pPr>
        <w:spacing w:after="0" w:line="193" w:lineRule="exact"/>
        <w:rPr>
          <w:sz w:val="20"/>
          <w:szCs w:val="20"/>
          <w:color w:val="auto"/>
        </w:rPr>
      </w:pPr>
    </w:p>
    <w:p>
      <w:pPr>
        <w:jc w:val="both"/>
        <w:ind w:right="20"/>
        <w:spacing w:after="0" w:line="313" w:lineRule="auto"/>
        <w:rPr>
          <w:sz w:val="20"/>
          <w:szCs w:val="20"/>
          <w:color w:val="auto"/>
        </w:rPr>
      </w:pPr>
      <w:r>
        <w:rPr>
          <w:rFonts w:ascii="Arial" w:cs="Arial" w:eastAsia="Arial" w:hAnsi="Arial"/>
          <w:sz w:val="15"/>
          <w:szCs w:val="15"/>
          <w:color w:val="auto"/>
        </w:rPr>
        <w:t xml:space="preserve">The effective tax rate for each of 2017 and 2016 was significantly impacted by the charges and credits described in Note 3 to the </w:t>
      </w:r>
      <w:r>
        <w:rPr>
          <w:rFonts w:ascii="Arial" w:cs="Arial" w:eastAsia="Arial" w:hAnsi="Arial"/>
          <w:sz w:val="15"/>
          <w:szCs w:val="15"/>
          <w:i w:val="1"/>
          <w:iCs w:val="1"/>
          <w:color w:val="auto"/>
        </w:rPr>
        <w:t>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Statements </w:t>
      </w:r>
      <w:r>
        <w:rPr>
          <w:rFonts w:ascii="Arial" w:cs="Arial" w:eastAsia="Arial" w:hAnsi="Arial"/>
          <w:sz w:val="15"/>
          <w:szCs w:val="15"/>
          <w:color w:val="auto"/>
        </w:rPr>
        <w:t>because they were only partially tax-effective. Excluding the impact of these charges and credits, the effective tax rate was 17% in 2018, 18% in</w:t>
      </w:r>
      <w:r>
        <w:rPr>
          <w:rFonts w:ascii="Arial" w:cs="Arial" w:eastAsia="Arial" w:hAnsi="Arial"/>
          <w:sz w:val="15"/>
          <w:szCs w:val="15"/>
          <w:i w:val="1"/>
          <w:iCs w:val="1"/>
          <w:color w:val="auto"/>
        </w:rPr>
        <w:t xml:space="preserve"> </w:t>
      </w:r>
      <w:r>
        <w:rPr>
          <w:rFonts w:ascii="Arial" w:cs="Arial" w:eastAsia="Arial" w:hAnsi="Arial"/>
          <w:sz w:val="15"/>
          <w:szCs w:val="15"/>
          <w:color w:val="auto"/>
        </w:rPr>
        <w:t>2017 and 16% in 2016. The decrease in the effective tax rate in 2018 as compared to 2017, excluding the impact of charges and credits, was primarily due to the impact of US tax reform. The increase in the effective tax rate in 2017 as compared to 2016, excluding the impact of charges and credits, was primarily attributable to a change in the geographic mix of earnings as the percentage of pretax earnings generated in North America increased compared to 2016.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118"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 xml:space="preserve">Schlumberger recorded significant charges and credits during 2018, 2017 and 2016. These charges and credits,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7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The following is a summary of the 2018 charges and credits, of which the $215 million gain on the sale of the marine seismic acquisition business is classified in </w:t>
      </w:r>
      <w:r>
        <w:rPr>
          <w:rFonts w:ascii="Arial" w:cs="Arial" w:eastAsia="Arial" w:hAnsi="Arial"/>
          <w:sz w:val="18"/>
          <w:szCs w:val="18"/>
          <w:i w:val="1"/>
          <w:iCs w:val="1"/>
          <w:color w:val="auto"/>
        </w:rPr>
        <w:t xml:space="preserve">Gain on sale of business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 while the remaining $356 million of other charges are classified in</w:t>
      </w:r>
      <w:r>
        <w:rPr>
          <w:rFonts w:ascii="Arial" w:cs="Arial" w:eastAsia="Arial" w:hAnsi="Arial"/>
          <w:sz w:val="18"/>
          <w:szCs w:val="18"/>
          <w:i w:val="1"/>
          <w:iCs w:val="1"/>
          <w:color w:val="auto"/>
        </w:rPr>
        <w:t xml:space="preserve"> Impairments &amp; other</w:t>
      </w:r>
      <w:r>
        <w:rPr>
          <w:rFonts w:ascii="Arial" w:cs="Arial" w:eastAsia="Arial" w:hAnsi="Arial"/>
          <w:sz w:val="18"/>
          <w:szCs w:val="18"/>
          <w:color w:val="auto"/>
        </w:rPr>
        <w: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4640" w:type="dxa"/>
            <w:vAlign w:val="bottom"/>
            <w:tcBorders>
              <w:bottom w:val="single" w:sz="8" w:color="CFF0FC"/>
            </w:tcBorders>
          </w:tcPr>
          <w:p>
            <w:pPr>
              <w:spacing w:after="0"/>
              <w:rPr>
                <w:sz w:val="24"/>
                <w:szCs w:val="24"/>
                <w:color w:val="auto"/>
              </w:rPr>
            </w:pPr>
          </w:p>
        </w:tc>
        <w:tc>
          <w:tcPr>
            <w:tcW w:w="208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Tax</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marine seismic acquisition business</w:t>
            </w:r>
          </w:p>
        </w:tc>
        <w:tc>
          <w:tcPr>
            <w:tcW w:w="3040" w:type="dxa"/>
            <w:vAlign w:val="bottom"/>
            <w:gridSpan w:val="2"/>
            <w:shd w:val="clear" w:color="auto" w:fill="CFF0FC"/>
          </w:tcPr>
          <w:p>
            <w:pPr>
              <w:jc w:val="right"/>
              <w:ind w:right="77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w:t>
            </w: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Workforce reductions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20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tcPr>
          <w:p>
            <w:pPr>
              <w:spacing w:after="0"/>
              <w:rPr>
                <w:sz w:val="18"/>
                <w:szCs w:val="18"/>
                <w:color w:val="auto"/>
              </w:rPr>
            </w:pPr>
          </w:p>
        </w:tc>
        <w:tc>
          <w:tcPr>
            <w:tcW w:w="304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80" w:type="dxa"/>
            <w:vAlign w:val="bottom"/>
            <w:vMerge w:val="restart"/>
          </w:tcPr>
          <w:p>
            <w:pPr>
              <w:jc w:val="right"/>
              <w:ind w:right="832"/>
              <w:spacing w:after="0"/>
              <w:rPr>
                <w:sz w:val="20"/>
                <w:szCs w:val="20"/>
                <w:color w:val="auto"/>
              </w:rPr>
            </w:pPr>
            <w:r>
              <w:rPr>
                <w:rFonts w:ascii="Arial" w:cs="Arial" w:eastAsia="Arial" w:hAnsi="Arial"/>
                <w:sz w:val="18"/>
                <w:szCs w:val="18"/>
                <w:color w:val="auto"/>
              </w:rPr>
              <w:t>18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6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640" w:type="dxa"/>
            <w:vAlign w:val="bottom"/>
            <w:tcBorders>
              <w:bottom w:val="single" w:sz="8" w:color="9A9A9A"/>
            </w:tcBorders>
          </w:tcPr>
          <w:p>
            <w:pPr>
              <w:spacing w:after="0"/>
              <w:rPr>
                <w:sz w:val="11"/>
                <w:szCs w:val="11"/>
                <w:color w:val="auto"/>
              </w:rPr>
            </w:pPr>
          </w:p>
        </w:tc>
        <w:tc>
          <w:tcPr>
            <w:tcW w:w="2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8" w:name="page19"/>
    <w:bookmarkEnd w:id="18"/>
    <w:p>
      <w:pPr>
        <w:spacing w:after="0"/>
        <w:rPr>
          <w:sz w:val="20"/>
          <w:szCs w:val="20"/>
          <w:color w:val="auto"/>
        </w:rPr>
      </w:pPr>
      <w:r>
        <w:rPr>
          <w:rFonts w:ascii="Arial" w:cs="Arial" w:eastAsia="Arial" w:hAnsi="Arial"/>
          <w:sz w:val="15"/>
          <w:szCs w:val="15"/>
          <w:color w:val="auto"/>
        </w:rPr>
        <w:t xml:space="preserve">The following is a summary of the 2017 charges and credits, of which $3.211 billion were classified in </w:t>
      </w:r>
      <w:r>
        <w:rPr>
          <w:rFonts w:ascii="Arial" w:cs="Arial" w:eastAsia="Arial" w:hAnsi="Arial"/>
          <w:sz w:val="15"/>
          <w:szCs w:val="15"/>
          <w:i w:val="1"/>
          <w:iCs w:val="1"/>
          <w:color w:val="auto"/>
        </w:rPr>
        <w:t>Impairments &amp; other,</w:t>
      </w:r>
      <w:r>
        <w:rPr>
          <w:rFonts w:ascii="Arial" w:cs="Arial" w:eastAsia="Arial" w:hAnsi="Arial"/>
          <w:sz w:val="15"/>
          <w:szCs w:val="15"/>
          <w:color w:val="auto"/>
        </w:rPr>
        <w:t xml:space="preserve"> $245 million were classified in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and $308 million were classified in</w:t>
      </w:r>
      <w:r>
        <w:rPr>
          <w:rFonts w:ascii="Arial" w:cs="Arial" w:eastAsia="Arial" w:hAnsi="Arial"/>
          <w:sz w:val="18"/>
          <w:szCs w:val="18"/>
          <w:i w:val="1"/>
          <w:iCs w:val="1"/>
          <w:color w:val="auto"/>
        </w:rPr>
        <w:t xml:space="preserve"> Merger &amp; integration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5"/>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Pretax</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w w:val="98"/>
              </w:rPr>
              <w:t>Interests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Net</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Impairment &amp; other</w:t>
            </w: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WesternGeco seismic restructuring charges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Venezuela investment write-down</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Promissory note fair value adjustment and other</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Workforce reductions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Multiclient seismic data impairment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restructuring charges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Cost of sales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loss on long-term construction project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Merger and integration-related costs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US tax reform charge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50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following is a summary of the 2016 charges and credits, of which $3.172 billion were classified in </w:t>
      </w:r>
      <w:r>
        <w:rPr>
          <w:rFonts w:ascii="Arial" w:cs="Arial" w:eastAsia="Arial" w:hAnsi="Arial"/>
          <w:sz w:val="15"/>
          <w:szCs w:val="15"/>
          <w:i w:val="1"/>
          <w:iCs w:val="1"/>
          <w:color w:val="auto"/>
        </w:rPr>
        <w:t>Impairments &amp; other,</w:t>
      </w:r>
      <w:r>
        <w:rPr>
          <w:rFonts w:ascii="Arial" w:cs="Arial" w:eastAsia="Arial" w:hAnsi="Arial"/>
          <w:sz w:val="15"/>
          <w:szCs w:val="15"/>
          <w:color w:val="auto"/>
        </w:rPr>
        <w:t xml:space="preserve"> $349</w:t>
      </w:r>
      <w:r>
        <w:rPr>
          <w:sz w:val="1"/>
          <w:szCs w:val="1"/>
          <w:color w:val="auto"/>
        </w:rPr>
        <w:drawing>
          <wp:inline distT="0" distB="0" distL="0" distR="0">
            <wp:extent cx="33655" cy="12636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126365"/>
                    </a:xfrm>
                    <a:prstGeom prst="rect">
                      <a:avLst/>
                    </a:prstGeom>
                    <a:noFill/>
                    <a:ln>
                      <a:noFill/>
                    </a:ln>
                  </pic:spPr>
                </pic:pic>
              </a:graphicData>
            </a:graphic>
          </wp:inline>
        </w:drawing>
      </w:r>
      <w:r>
        <w:rPr>
          <w:rFonts w:ascii="Arial" w:cs="Arial" w:eastAsia="Arial" w:hAnsi="Arial"/>
          <w:sz w:val="15"/>
          <w:szCs w:val="15"/>
          <w:color w:val="auto"/>
        </w:rPr>
        <w:t>million were classified in</w:t>
      </w:r>
    </w:p>
    <w:p>
      <w:pPr>
        <w:spacing w:after="0"/>
        <w:rPr>
          <w:sz w:val="20"/>
          <w:szCs w:val="20"/>
          <w:color w:val="auto"/>
        </w:rPr>
      </w:pPr>
      <w:r>
        <w:rPr>
          <w:rFonts w:ascii="Arial" w:cs="Arial" w:eastAsia="Arial" w:hAnsi="Arial"/>
          <w:sz w:val="18"/>
          <w:szCs w:val="18"/>
          <w:i w:val="1"/>
          <w:iCs w:val="1"/>
          <w:color w:val="auto"/>
        </w:rPr>
        <w:t xml:space="preserve">Merger &amp; integration </w:t>
      </w:r>
      <w:r>
        <w:rPr>
          <w:rFonts w:ascii="Arial" w:cs="Arial" w:eastAsia="Arial" w:hAnsi="Arial"/>
          <w:sz w:val="18"/>
          <w:szCs w:val="18"/>
          <w:color w:val="auto"/>
        </w:rPr>
        <w:t>and $299 million were classified in</w:t>
      </w:r>
      <w:r>
        <w:rPr>
          <w:rFonts w:ascii="Arial" w:cs="Arial" w:eastAsia="Arial" w:hAnsi="Arial"/>
          <w:sz w:val="18"/>
          <w:szCs w:val="18"/>
          <w:i w:val="1"/>
          <w:iCs w:val="1"/>
          <w:color w:val="auto"/>
        </w:rPr>
        <w:t xml:space="preserve"> Cost of sales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4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Tax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Impairment &amp; other</w:t>
            </w:r>
          </w:p>
        </w:tc>
        <w:tc>
          <w:tcPr>
            <w:tcW w:w="19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Workforce reductions</w:t>
            </w:r>
          </w:p>
        </w:tc>
        <w:tc>
          <w:tcPr>
            <w:tcW w:w="284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880</w:t>
            </w:r>
          </w:p>
        </w:tc>
        <w:tc>
          <w:tcPr>
            <w:tcW w:w="120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fixed asset impairments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Inventory write-downs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 America pressure pumping asset impairments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Multiclient seismic data impairment</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Facility impairments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Facility closure costs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Costs associated with exiting certain activities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Currency devaluation loss in Egypt</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termination costs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Other restructuring charges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Merger &amp; integration</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Other merger and integration-related</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Merger-related employee benefits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Facility closure costs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fees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spacing w:after="0"/>
              <w:rPr>
                <w:sz w:val="20"/>
                <w:szCs w:val="20"/>
                <w:color w:val="auto"/>
              </w:rPr>
            </w:pPr>
            <w:r>
              <w:rPr>
                <w:rFonts w:ascii="Arial" w:cs="Arial" w:eastAsia="Arial" w:hAnsi="Arial"/>
                <w:sz w:val="18"/>
                <w:szCs w:val="18"/>
                <w:i w:val="1"/>
                <w:iCs w:val="1"/>
                <w:color w:val="auto"/>
              </w:rPr>
              <w:t>Cost of sales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inventory fair value adjustment</w:t>
            </w:r>
          </w:p>
        </w:tc>
        <w:tc>
          <w:tcPr>
            <w:tcW w:w="19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80" w:type="dxa"/>
            <w:vAlign w:val="bottom"/>
          </w:tcPr>
          <w:p>
            <w:pPr>
              <w:spacing w:after="0"/>
              <w:rPr>
                <w:sz w:val="18"/>
                <w:szCs w:val="18"/>
                <w:color w:val="auto"/>
              </w:rPr>
            </w:pPr>
          </w:p>
        </w:tc>
        <w:tc>
          <w:tcPr>
            <w:tcW w:w="284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3,820</w:t>
            </w:r>
          </w:p>
        </w:tc>
        <w:tc>
          <w:tcPr>
            <w:tcW w:w="120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20" w:type="dxa"/>
            <w:vAlign w:val="bottom"/>
            <w:vMerge w:val="restart"/>
          </w:tcPr>
          <w:p>
            <w:pPr>
              <w:jc w:val="right"/>
              <w:ind w:right="812"/>
              <w:spacing w:after="0"/>
              <w:rPr>
                <w:sz w:val="20"/>
                <w:szCs w:val="20"/>
                <w:color w:val="auto"/>
              </w:rPr>
            </w:pPr>
            <w:r>
              <w:rPr>
                <w:rFonts w:ascii="Arial" w:cs="Arial" w:eastAsia="Arial" w:hAnsi="Arial"/>
                <w:sz w:val="18"/>
                <w:szCs w:val="18"/>
                <w:color w:val="auto"/>
              </w:rPr>
              <w:t>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780" w:type="dxa"/>
            <w:vAlign w:val="bottom"/>
            <w:tcBorders>
              <w:bottom w:val="single" w:sz="8" w:color="9A9A9A"/>
            </w:tcBorders>
          </w:tcPr>
          <w:p>
            <w:pPr>
              <w:spacing w:after="0"/>
              <w:rPr>
                <w:sz w:val="11"/>
                <w:szCs w:val="11"/>
                <w:color w:val="auto"/>
              </w:rPr>
            </w:pPr>
          </w:p>
        </w:tc>
        <w:tc>
          <w:tcPr>
            <w:tcW w:w="19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4" w:lineRule="exact"/>
        <w:rPr>
          <w:sz w:val="20"/>
          <w:szCs w:val="20"/>
          <w:color w:val="auto"/>
        </w:rPr>
      </w:pPr>
    </w:p>
    <w:p>
      <w:pPr>
        <w:ind w:right="20"/>
        <w:spacing w:after="0" w:line="366" w:lineRule="auto"/>
        <w:rPr>
          <w:sz w:val="20"/>
          <w:szCs w:val="20"/>
          <w:color w:val="auto"/>
        </w:rPr>
      </w:pPr>
      <w:r>
        <w:rPr>
          <w:rFonts w:ascii="Arial" w:cs="Arial" w:eastAsia="Arial" w:hAnsi="Arial"/>
          <w:sz w:val="15"/>
          <w:szCs w:val="15"/>
          <w:color w:val="auto"/>
        </w:rPr>
        <w:t xml:space="preserve">Schlumberger had total </w:t>
      </w:r>
      <w:r>
        <w:rPr>
          <w:rFonts w:ascii="Arial" w:cs="Arial" w:eastAsia="Arial" w:hAnsi="Arial"/>
          <w:sz w:val="15"/>
          <w:szCs w:val="15"/>
          <w:i w:val="1"/>
          <w:iCs w:val="1"/>
          <w:color w:val="auto"/>
        </w:rPr>
        <w:t>Cash</w:t>
      </w:r>
      <w:r>
        <w:rPr>
          <w:rFonts w:ascii="Arial" w:cs="Arial" w:eastAsia="Arial" w:hAnsi="Arial"/>
          <w:sz w:val="15"/>
          <w:szCs w:val="15"/>
          <w:color w:val="auto"/>
        </w:rPr>
        <w:t xml:space="preserve">, </w:t>
      </w:r>
      <w:r>
        <w:rPr>
          <w:rFonts w:ascii="Arial" w:cs="Arial" w:eastAsia="Arial" w:hAnsi="Arial"/>
          <w:sz w:val="15"/>
          <w:szCs w:val="15"/>
          <w:i w:val="1"/>
          <w:iCs w:val="1"/>
          <w:color w:val="auto"/>
        </w:rPr>
        <w:t>Short-term investments</w:t>
      </w:r>
      <w:r>
        <w:rPr>
          <w:rFonts w:ascii="Arial" w:cs="Arial" w:eastAsia="Arial" w:hAnsi="Arial"/>
          <w:sz w:val="15"/>
          <w:szCs w:val="15"/>
          <w:color w:val="auto"/>
        </w:rPr>
        <w:t xml:space="preserve"> and </w:t>
      </w:r>
      <w:r>
        <w:rPr>
          <w:rFonts w:ascii="Arial" w:cs="Arial" w:eastAsia="Arial" w:hAnsi="Arial"/>
          <w:sz w:val="15"/>
          <w:szCs w:val="15"/>
          <w:i w:val="1"/>
          <w:iCs w:val="1"/>
          <w:color w:val="auto"/>
        </w:rPr>
        <w:t>Fixed income investments, held to maturity</w:t>
      </w:r>
      <w:r>
        <w:rPr>
          <w:rFonts w:ascii="Arial" w:cs="Arial" w:eastAsia="Arial" w:hAnsi="Arial"/>
          <w:sz w:val="15"/>
          <w:szCs w:val="15"/>
          <w:color w:val="auto"/>
        </w:rPr>
        <w:t xml:space="preserve"> of $2.8 billion, $5.1 billion and $9.5 billion at December 31, 2018, 2017 and 2016, respectively. Total debt was $16.1 billion, $18.2 billion and $19.6 billion at December 31, 2018, 2017 and 2016,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components of liquidity as well as changes in liquidity follow: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6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Dec.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Dec. 31,</w:t>
            </w:r>
          </w:p>
        </w:tc>
        <w:tc>
          <w:tcPr>
            <w:tcW w:w="18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Liquidity:</w:t>
            </w:r>
          </w:p>
        </w:tc>
        <w:tc>
          <w:tcPr>
            <w:tcW w:w="4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2"/>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(1,407)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(3,324)</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(14,644)</w:t>
            </w: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(14,875)</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46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40" w:type="dxa"/>
            <w:vAlign w:val="bottom"/>
            <w:gridSpan w:val="2"/>
          </w:tcPr>
          <w:p>
            <w:pPr>
              <w:jc w:val="right"/>
              <w:ind w:right="72"/>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(13,274)</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(13,110)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Changes in Liquidity:</w:t>
            </w:r>
          </w:p>
        </w:tc>
        <w:tc>
          <w:tcPr>
            <w:tcW w:w="4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noncontrolling interests</w:t>
            </w:r>
          </w:p>
        </w:tc>
        <w:tc>
          <w:tcPr>
            <w:tcW w:w="48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2,177</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Impairments and other charges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WesternGeco marine seismic business</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(215)</w:t>
            </w: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Pension and other postretirement benefits expense</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345</w:t>
            </w: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Pension and other postretirement benefits funding</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Decrease (increase) in working capital </w:t>
            </w:r>
            <w:r>
              <w:rPr>
                <w:rFonts w:ascii="Arial" w:cs="Arial" w:eastAsia="Arial" w:hAnsi="Arial"/>
                <w:sz w:val="15"/>
                <w:szCs w:val="15"/>
                <w:color w:val="auto"/>
              </w:rPr>
              <w:t>(3)</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(442)</w:t>
            </w: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US Federal tax refund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37</w:t>
            </w: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4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5,713</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5,663</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(2,160)</w:t>
            </w: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(2,107)</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SPM investments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(981)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(1,609)</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capitalized</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(100)</w:t>
            </w: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4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2,472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1,671</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(2,770)</w:t>
            </w: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(2,778)</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(969)</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employee stock plans</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261</w:t>
            </w:r>
          </w:p>
        </w:tc>
        <w:tc>
          <w:tcPr>
            <w:tcW w:w="1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(1,779)</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Proceeds from sale of WesternGeco marine seismic business, net of cash divested</w:t>
            </w:r>
          </w:p>
        </w:tc>
        <w:tc>
          <w:tcPr>
            <w:tcW w:w="4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579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w w:val="97"/>
              </w:rPr>
              <w:t>Business acquisitions and investments, net of cash acquired plus debt assumed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Increase in Net Debt</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w:t>
            </w:r>
          </w:p>
        </w:tc>
        <w:tc>
          <w:tcPr>
            <w:tcW w:w="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(2,989)</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(13,110)</w:t>
            </w:r>
          </w:p>
        </w:tc>
        <w:tc>
          <w:tcPr>
            <w:tcW w:w="1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(10,121)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Net Debt, End of period</w:t>
            </w:r>
          </w:p>
        </w:tc>
        <w:tc>
          <w:tcPr>
            <w:tcW w:w="480" w:type="dxa"/>
            <w:vAlign w:val="bottom"/>
            <w:gridSpan w:val="2"/>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(13,274)</w:t>
            </w:r>
          </w:p>
        </w:tc>
        <w:tc>
          <w:tcPr>
            <w:tcW w:w="140" w:type="dxa"/>
            <w:vAlign w:val="bottom"/>
            <w:vMerge w:val="continue"/>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(13,110)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562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62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2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0" w:name="page21"/>
    <w:bookmarkEnd w:id="20"/>
    <w:p>
      <w:pPr>
        <w:jc w:val="both"/>
        <w:ind w:left="520" w:hanging="514"/>
        <w:spacing w:after="0" w:line="213" w:lineRule="auto"/>
        <w:tabs>
          <w:tab w:leader="none" w:pos="52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520" w:hanging="514"/>
        <w:spacing w:after="0" w:line="191" w:lineRule="auto"/>
        <w:tabs>
          <w:tab w:leader="none" w:pos="52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63" w:lineRule="exact"/>
        <w:rPr>
          <w:rFonts w:ascii="Arial" w:cs="Arial" w:eastAsia="Arial" w:hAnsi="Arial"/>
          <w:sz w:val="26"/>
          <w:szCs w:val="26"/>
          <w:color w:val="auto"/>
          <w:vertAlign w:val="superscript"/>
        </w:rPr>
      </w:pPr>
    </w:p>
    <w:p>
      <w:pPr>
        <w:ind w:left="520" w:hanging="514"/>
        <w:spacing w:after="0" w:line="180" w:lineRule="auto"/>
        <w:tabs>
          <w:tab w:leader="none" w:pos="520" w:val="left"/>
        </w:tabs>
        <w:numPr>
          <w:ilvl w:val="0"/>
          <w:numId w:val="15"/>
        </w:numPr>
        <w:rPr>
          <w:rFonts w:ascii="Arial" w:cs="Arial" w:eastAsia="Arial" w:hAnsi="Arial"/>
          <w:sz w:val="22"/>
          <w:szCs w:val="22"/>
          <w:color w:val="auto"/>
          <w:vertAlign w:val="superscript"/>
        </w:rPr>
      </w:pPr>
      <w:r>
        <w:rPr>
          <w:rFonts w:ascii="Arial" w:cs="Arial" w:eastAsia="Arial" w:hAnsi="Arial"/>
          <w:sz w:val="13"/>
          <w:szCs w:val="13"/>
          <w:color w:val="auto"/>
        </w:rPr>
        <w:t>Includes severance payments of approximately $340 million during 2018, $455 million during 2017 and $850 million during 2016.</w:t>
      </w:r>
    </w:p>
    <w:p>
      <w:pPr>
        <w:spacing w:after="0" w:line="115" w:lineRule="exact"/>
        <w:rPr>
          <w:rFonts w:ascii="Arial" w:cs="Arial" w:eastAsia="Arial" w:hAnsi="Arial"/>
          <w:sz w:val="22"/>
          <w:szCs w:val="22"/>
          <w:color w:val="auto"/>
          <w:vertAlign w:val="superscript"/>
        </w:rPr>
      </w:pPr>
    </w:p>
    <w:p>
      <w:pPr>
        <w:jc w:val="both"/>
        <w:ind w:left="520" w:hanging="514"/>
        <w:spacing w:after="0" w:line="239" w:lineRule="auto"/>
        <w:tabs>
          <w:tab w:leader="none" w:pos="520" w:val="left"/>
        </w:tabs>
        <w:numPr>
          <w:ilvl w:val="0"/>
          <w:numId w:val="15"/>
        </w:numPr>
        <w:rPr>
          <w:rFonts w:ascii="Arial" w:cs="Arial" w:eastAsia="Arial" w:hAnsi="Arial"/>
          <w:sz w:val="26"/>
          <w:szCs w:val="26"/>
          <w:color w:val="auto"/>
          <w:vertAlign w:val="superscript"/>
        </w:rPr>
      </w:pPr>
      <w:r>
        <w:rPr>
          <w:rFonts w:ascii="Arial" w:cs="Arial" w:eastAsia="Arial" w:hAnsi="Arial"/>
          <w:sz w:val="15"/>
          <w:szCs w:val="15"/>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2018, 2017 and 2016 included:</w:t>
      </w:r>
    </w:p>
    <w:p>
      <w:pPr>
        <w:spacing w:after="0" w:line="244" w:lineRule="exact"/>
        <w:rPr>
          <w:sz w:val="20"/>
          <w:szCs w:val="20"/>
          <w:color w:val="auto"/>
        </w:rPr>
      </w:pPr>
    </w:p>
    <w:p>
      <w:pPr>
        <w:jc w:val="both"/>
        <w:ind w:left="740" w:hanging="362"/>
        <w:spacing w:after="0" w:line="269"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Cash flow from operations was $5.7 billion in 2018, $5.7 billion in 2017 and $6.3 billion in 2016. Operating cash flows for 2018 were essentially flat compared to 2017 as the lower consumption of working capital was offset by decreased depreciation and amortization following the asset impairment charges recorded during the fourth quarter of 2017. The improvement in working capital in 2018 was largely driven by strong accounts receivable collections. The decrease in operating cash flows in 2017 as compared to 2016 was largely attributable to lower earnings before consideration of non-cash charges and credits and depreciation and amortization expense.</w:t>
      </w:r>
    </w:p>
    <w:p>
      <w:pPr>
        <w:spacing w:after="0" w:line="178" w:lineRule="exact"/>
        <w:rPr>
          <w:rFonts w:ascii="Arial" w:cs="Arial" w:eastAsia="Arial" w:hAnsi="Arial"/>
          <w:sz w:val="17"/>
          <w:szCs w:val="17"/>
          <w:color w:val="auto"/>
        </w:rPr>
      </w:pPr>
    </w:p>
    <w:p>
      <w:pPr>
        <w:jc w:val="both"/>
        <w:ind w:left="740" w:hanging="362"/>
        <w:spacing w:after="0" w:line="27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July 18, 2013, the Board approved a $10 billion share repurchase program to be completed at the latest by June 30, 2018. This program was completed during May 2017. On January 21, 2016, the Board approved a new $10 billion share repurchase program for Schlumberger common stock. Schlumberger had repurchased $723 million of Schlumberger common stock under this program as of December 31, 2018.</w:t>
      </w:r>
    </w:p>
    <w:p>
      <w:pPr>
        <w:spacing w:after="0" w:line="170"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The following table summarizes the activity under these share repurchase programs during 2018, 2017 and 2016:</w:t>
      </w:r>
    </w:p>
    <w:p>
      <w:pPr>
        <w:spacing w:after="0" w:line="304" w:lineRule="exact"/>
        <w:rPr>
          <w:sz w:val="20"/>
          <w:szCs w:val="20"/>
          <w:color w:val="auto"/>
        </w:rPr>
      </w:pPr>
    </w:p>
    <w:tbl>
      <w:tblPr>
        <w:tblLayout w:type="fixed"/>
        <w:tblInd w:w="760" w:type="dxa"/>
        <w:tblCellMar>
          <w:top w:w="0" w:type="dxa"/>
          <w:left w:w="0" w:type="dxa"/>
          <w:bottom w:w="0" w:type="dxa"/>
          <w:right w:w="0" w:type="dxa"/>
        </w:tblCellMar>
      </w:tblPr>
      <w:tr>
        <w:trPr>
          <w:trHeight w:val="180"/>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0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1"/>
              </w:rPr>
              <w:t>(Stated in thousands, except per share amounts)</w:t>
            </w:r>
          </w:p>
        </w:tc>
      </w:tr>
      <w:tr>
        <w:trPr>
          <w:trHeight w:val="431"/>
        </w:trPr>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right="96"/>
              <w:spacing w:after="0"/>
              <w:rPr>
                <w:sz w:val="20"/>
                <w:szCs w:val="20"/>
                <w:color w:val="auto"/>
              </w:rPr>
            </w:pPr>
            <w:r>
              <w:rPr>
                <w:rFonts w:ascii="Arial" w:cs="Arial" w:eastAsia="Arial" w:hAnsi="Arial"/>
                <w:sz w:val="16"/>
                <w:szCs w:val="16"/>
                <w:color w:val="auto"/>
                <w:w w:val="90"/>
              </w:rPr>
              <w:t>Total Cost</w:t>
            </w:r>
          </w:p>
        </w:tc>
        <w:tc>
          <w:tcPr>
            <w:tcW w:w="2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Total Number</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Average Price</w:t>
            </w:r>
          </w:p>
        </w:tc>
      </w:tr>
      <w:tr>
        <w:trPr>
          <w:trHeight w:val="212"/>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116"/>
              <w:spacing w:after="0"/>
              <w:rPr>
                <w:sz w:val="20"/>
                <w:szCs w:val="20"/>
                <w:color w:val="auto"/>
              </w:rPr>
            </w:pPr>
            <w:r>
              <w:rPr>
                <w:rFonts w:ascii="Arial" w:cs="Arial" w:eastAsia="Arial" w:hAnsi="Arial"/>
                <w:sz w:val="16"/>
                <w:szCs w:val="16"/>
                <w:color w:val="auto"/>
                <w:w w:val="87"/>
              </w:rPr>
              <w:t>of Shares</w:t>
            </w:r>
          </w:p>
        </w:tc>
        <w:tc>
          <w:tcPr>
            <w:tcW w:w="2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of Shares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Paid per</w:t>
            </w:r>
          </w:p>
        </w:tc>
      </w:tr>
      <w:tr>
        <w:trPr>
          <w:trHeight w:val="215"/>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6"/>
              <w:spacing w:after="0"/>
              <w:rPr>
                <w:sz w:val="20"/>
                <w:szCs w:val="20"/>
                <w:color w:val="auto"/>
              </w:rPr>
            </w:pPr>
            <w:r>
              <w:rPr>
                <w:rFonts w:ascii="Arial" w:cs="Arial" w:eastAsia="Arial" w:hAnsi="Arial"/>
                <w:sz w:val="16"/>
                <w:szCs w:val="16"/>
                <w:color w:val="auto"/>
                <w:w w:val="86"/>
              </w:rPr>
              <w:t>Purchased</w:t>
            </w: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Purchased</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Share</w:t>
            </w:r>
          </w:p>
        </w:tc>
      </w:tr>
      <w:tr>
        <w:trPr>
          <w:trHeight w:val="221"/>
        </w:trPr>
        <w:tc>
          <w:tcPr>
            <w:tcW w:w="5780" w:type="dxa"/>
            <w:vAlign w:val="bottom"/>
            <w:tcBorders>
              <w:top w:val="single" w:sz="8" w:color="CFF0FC"/>
            </w:tcBorders>
            <w:shd w:val="clear" w:color="auto" w:fill="CFF0FC"/>
          </w:tcPr>
          <w:p>
            <w:pPr>
              <w:jc w:val="right"/>
              <w:ind w:right="5332"/>
              <w:spacing w:after="0"/>
              <w:rPr>
                <w:sz w:val="20"/>
                <w:szCs w:val="20"/>
                <w:color w:val="auto"/>
              </w:rPr>
            </w:pPr>
            <w:r>
              <w:rPr>
                <w:rFonts w:ascii="Arial" w:cs="Arial" w:eastAsia="Arial" w:hAnsi="Arial"/>
                <w:sz w:val="18"/>
                <w:szCs w:val="18"/>
                <w:b w:val="1"/>
                <w:bCs w:val="1"/>
                <w:color w:val="auto"/>
                <w:w w:val="84"/>
              </w:rPr>
              <w:t>2018</w:t>
            </w: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399,786</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6,495.1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61.55</w:t>
            </w:r>
          </w:p>
        </w:tc>
        <w:tc>
          <w:tcPr>
            <w:tcW w:w="80" w:type="dxa"/>
            <w:vAlign w:val="bottom"/>
            <w:tcBorders>
              <w:top w:val="single" w:sz="8" w:color="CFF0FC"/>
            </w:tcBorders>
            <w:shd w:val="clear" w:color="auto" w:fill="CFF0FC"/>
          </w:tcPr>
          <w:p>
            <w:pPr>
              <w:spacing w:after="0"/>
              <w:rPr>
                <w:sz w:val="19"/>
                <w:szCs w:val="19"/>
                <w:color w:val="auto"/>
              </w:rPr>
            </w:pPr>
          </w:p>
        </w:tc>
      </w:tr>
      <w:tr>
        <w:trPr>
          <w:trHeight w:val="238"/>
        </w:trPr>
        <w:tc>
          <w:tcPr>
            <w:tcW w:w="5780" w:type="dxa"/>
            <w:vAlign w:val="bottom"/>
          </w:tcPr>
          <w:p>
            <w:pPr>
              <w:jc w:val="right"/>
              <w:ind w:right="5332"/>
              <w:spacing w:after="0"/>
              <w:rPr>
                <w:sz w:val="20"/>
                <w:szCs w:val="20"/>
                <w:color w:val="auto"/>
              </w:rPr>
            </w:pPr>
            <w:r>
              <w:rPr>
                <w:rFonts w:ascii="Arial" w:cs="Arial" w:eastAsia="Arial" w:hAnsi="Arial"/>
                <w:sz w:val="18"/>
                <w:szCs w:val="18"/>
                <w:color w:val="auto"/>
                <w:w w:val="84"/>
              </w:rPr>
              <w:t>2017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968,676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13,249.7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73.11</w:t>
            </w:r>
          </w:p>
        </w:tc>
        <w:tc>
          <w:tcPr>
            <w:tcW w:w="80" w:type="dxa"/>
            <w:vAlign w:val="bottom"/>
          </w:tcPr>
          <w:p>
            <w:pPr>
              <w:spacing w:after="0"/>
              <w:rPr>
                <w:sz w:val="20"/>
                <w:szCs w:val="20"/>
                <w:color w:val="auto"/>
              </w:rPr>
            </w:pPr>
          </w:p>
        </w:tc>
      </w:tr>
      <w:tr>
        <w:trPr>
          <w:trHeight w:val="266"/>
        </w:trPr>
        <w:tc>
          <w:tcPr>
            <w:tcW w:w="5780" w:type="dxa"/>
            <w:vAlign w:val="bottom"/>
            <w:shd w:val="clear" w:color="auto" w:fill="CFF0FC"/>
          </w:tcPr>
          <w:p>
            <w:pPr>
              <w:jc w:val="right"/>
              <w:ind w:right="5332"/>
              <w:spacing w:after="0"/>
              <w:rPr>
                <w:sz w:val="20"/>
                <w:szCs w:val="20"/>
                <w:color w:val="auto"/>
              </w:rPr>
            </w:pPr>
            <w:r>
              <w:rPr>
                <w:rFonts w:ascii="Arial" w:cs="Arial" w:eastAsia="Arial" w:hAnsi="Arial"/>
                <w:sz w:val="18"/>
                <w:szCs w:val="18"/>
                <w:color w:val="auto"/>
                <w:w w:val="84"/>
              </w:rPr>
              <w:t>2016</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778,018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10,988.5</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70.80</w:t>
            </w:r>
          </w:p>
        </w:tc>
        <w:tc>
          <w:tcPr>
            <w:tcW w:w="80" w:type="dxa"/>
            <w:vAlign w:val="bottom"/>
            <w:shd w:val="clear" w:color="auto" w:fill="CFF0FC"/>
          </w:tcPr>
          <w:p>
            <w:pPr>
              <w:spacing w:after="0"/>
              <w:rPr>
                <w:sz w:val="23"/>
                <w:szCs w:val="23"/>
                <w:color w:val="auto"/>
              </w:rPr>
            </w:pPr>
          </w:p>
        </w:tc>
      </w:tr>
    </w:tbl>
    <w:p>
      <w:pPr>
        <w:spacing w:after="0" w:line="213" w:lineRule="exact"/>
        <w:rPr>
          <w:sz w:val="20"/>
          <w:szCs w:val="20"/>
          <w:color w:val="auto"/>
        </w:rPr>
      </w:pPr>
    </w:p>
    <w:p>
      <w:pPr>
        <w:ind w:left="740" w:hanging="36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Dividends paid during 2018, 2017 and 2016 were $2.8 billion, $2.8 billion and $2.6 billion, respectively.</w:t>
      </w:r>
    </w:p>
    <w:p>
      <w:pPr>
        <w:spacing w:after="0" w:line="111" w:lineRule="exact"/>
        <w:rPr>
          <w:rFonts w:ascii="Arial" w:cs="Arial" w:eastAsia="Arial" w:hAnsi="Arial"/>
          <w:sz w:val="18"/>
          <w:szCs w:val="18"/>
          <w:color w:val="auto"/>
        </w:rPr>
      </w:pPr>
    </w:p>
    <w:p>
      <w:pPr>
        <w:ind w:left="740" w:hanging="362"/>
        <w:spacing w:after="0" w:line="26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 were $2.2 billion in 2018, $2.1 billion in 2017 and $2.1 billion in 2016. Capital expenditures during 2019 are expected to range between $1.5 billion and $1.7 billion.</w:t>
      </w:r>
    </w:p>
    <w:p>
      <w:pPr>
        <w:spacing w:after="0" w:line="73" w:lineRule="exact"/>
        <w:rPr>
          <w:rFonts w:ascii="Arial" w:cs="Arial" w:eastAsia="Arial" w:hAnsi="Arial"/>
          <w:sz w:val="18"/>
          <w:szCs w:val="18"/>
          <w:color w:val="auto"/>
        </w:rPr>
      </w:pPr>
    </w:p>
    <w:p>
      <w:pPr>
        <w:ind w:left="740" w:hanging="362"/>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fourth quarter of 2018, Schlumberger issued €600 million of 1.00% Guaranteed Notes due 2026.</w:t>
      </w:r>
    </w:p>
    <w:p>
      <w:pPr>
        <w:spacing w:after="0" w:line="111" w:lineRule="exact"/>
        <w:rPr>
          <w:rFonts w:ascii="Arial" w:cs="Arial" w:eastAsia="Arial" w:hAnsi="Arial"/>
          <w:sz w:val="18"/>
          <w:szCs w:val="18"/>
          <w:color w:val="auto"/>
        </w:rPr>
      </w:pPr>
    </w:p>
    <w:p>
      <w:pPr>
        <w:ind w:left="740" w:hanging="362"/>
        <w:spacing w:after="0" w:line="26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fourth quarter of 2018, Schlumberger completed the divestiture of its marine seismic acquisition business for net proceeds of $579 million (after considering $21 million of cash divested).</w:t>
      </w:r>
    </w:p>
    <w:p>
      <w:pPr>
        <w:spacing w:after="0" w:line="73" w:lineRule="exact"/>
        <w:rPr>
          <w:rFonts w:ascii="Arial" w:cs="Arial" w:eastAsia="Arial" w:hAnsi="Arial"/>
          <w:sz w:val="18"/>
          <w:szCs w:val="18"/>
          <w:color w:val="auto"/>
        </w:rPr>
      </w:pPr>
    </w:p>
    <w:p>
      <w:pPr>
        <w:ind w:left="740" w:hanging="362"/>
        <w:spacing w:after="0" w:line="26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fourth quarter of 2017, Schlumberger issued $500 million of 2.20% Guaranteed Notes due 2020 and $600 million of 2.65% Guaranteed Notes due 2022.</w:t>
      </w:r>
    </w:p>
    <w:p>
      <w:pPr>
        <w:spacing w:after="0" w:line="74" w:lineRule="exact"/>
        <w:rPr>
          <w:sz w:val="20"/>
          <w:szCs w:val="20"/>
          <w:color w:val="auto"/>
        </w:rPr>
      </w:pPr>
    </w:p>
    <w:p>
      <w:pPr>
        <w:jc w:val="both"/>
        <w:ind w:left="740" w:hanging="362"/>
        <w:spacing w:after="0" w:line="255"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2018, 2017 and 2016, Schlumberger made contributions of $83 million, $133 million and $174 million, respectively, to its postretirement benefit plans. The US pension plans were 88% funded at both December 31, 2018 and December 31, 2017 based on their projected benefit obligations.</w:t>
      </w:r>
    </w:p>
    <w:p>
      <w:pPr>
        <w:spacing w:after="0" w:line="83" w:lineRule="exact"/>
        <w:rPr>
          <w:rFonts w:ascii="Arial" w:cs="Arial" w:eastAsia="Arial" w:hAnsi="Arial"/>
          <w:sz w:val="18"/>
          <w:szCs w:val="18"/>
          <w:color w:val="auto"/>
        </w:rPr>
      </w:pPr>
    </w:p>
    <w:p>
      <w:pPr>
        <w:ind w:left="760"/>
        <w:spacing w:after="0" w:line="265" w:lineRule="auto"/>
        <w:rPr>
          <w:rFonts w:ascii="Arial" w:cs="Arial" w:eastAsia="Arial" w:hAnsi="Arial"/>
          <w:sz w:val="18"/>
          <w:szCs w:val="18"/>
          <w:color w:val="auto"/>
        </w:rPr>
      </w:pPr>
      <w:r>
        <w:rPr>
          <w:rFonts w:ascii="Arial" w:cs="Arial" w:eastAsia="Arial" w:hAnsi="Arial"/>
          <w:sz w:val="18"/>
          <w:szCs w:val="18"/>
          <w:color w:val="auto"/>
        </w:rPr>
        <w:t>Schlumberger’s international defined benefit pension plans were a combined 97% funded at both December 31, 2018 and December 31, 2017 based on their projected benefit obligations.</w:t>
      </w:r>
    </w:p>
    <w:p>
      <w:pPr>
        <w:spacing w:after="0" w:line="7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5"/>
          <w:szCs w:val="15"/>
          <w:color w:val="auto"/>
        </w:rPr>
        <w:t>Schlumberger expects to contribute approximately $25 million to its postretirement benefit plans in 2019, subject to market and business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ind w:left="740" w:hanging="362"/>
        <w:spacing w:after="0" w:line="26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SPM investments</w:t>
      </w:r>
      <w:r>
        <w:rPr>
          <w:rFonts w:ascii="Arial" w:cs="Arial" w:eastAsia="Arial" w:hAnsi="Arial"/>
          <w:sz w:val="18"/>
          <w:szCs w:val="18"/>
          <w:color w:val="auto"/>
        </w:rPr>
        <w:t xml:space="preserve"> in 2017 as compared to 2016 is primarily attributable to the purchase of a majority non-operating interest in the Palliser Block, located in Alberta, Canada, from Cenovous Energy.</w:t>
      </w:r>
    </w:p>
    <w:p>
      <w:pPr>
        <w:spacing w:after="0" w:line="73" w:lineRule="exact"/>
        <w:rPr>
          <w:rFonts w:ascii="Arial" w:cs="Arial" w:eastAsia="Arial" w:hAnsi="Arial"/>
          <w:sz w:val="18"/>
          <w:szCs w:val="18"/>
          <w:color w:val="auto"/>
        </w:rPr>
      </w:pPr>
    </w:p>
    <w:p>
      <w:pPr>
        <w:jc w:val="both"/>
        <w:ind w:left="740" w:hanging="362"/>
        <w:spacing w:after="0" w:line="25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Schlumberger paid $2.8 billion of cash in connection with its 2016 acquisition of Cameron. Additionally, as a result of the acquisition of Cameron, Schlumberger assumed $3.0 billion of debt (including a $244 million adjustment to increase Cameron’s long-term fixed rate debt to its estimated fair value) and acquired $2.2 billion of cash and short-term investments.</w:t>
      </w:r>
    </w:p>
    <w:p>
      <w:pPr>
        <w:spacing w:after="0" w:line="83" w:lineRule="exact"/>
        <w:rPr>
          <w:rFonts w:ascii="Arial" w:cs="Arial" w:eastAsia="Arial" w:hAnsi="Arial"/>
          <w:sz w:val="18"/>
          <w:szCs w:val="18"/>
          <w:color w:val="auto"/>
        </w:rPr>
      </w:pPr>
    </w:p>
    <w:p>
      <w:pPr>
        <w:ind w:left="740" w:hanging="362"/>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second quarter of 2016, Schlumberger repurchased approximately $1.4 billion of Cameron’s long-term fixed-rate debt.</w:t>
      </w:r>
    </w:p>
    <w:p>
      <w:pPr>
        <w:spacing w:after="0" w:line="217" w:lineRule="exact"/>
        <w:rPr>
          <w:rFonts w:ascii="Arial" w:cs="Arial" w:eastAsia="Arial" w:hAnsi="Arial"/>
          <w:sz w:val="18"/>
          <w:szCs w:val="18"/>
          <w:color w:val="auto"/>
        </w:rPr>
      </w:pPr>
    </w:p>
    <w:p>
      <w:pPr>
        <w:jc w:val="both"/>
        <w:ind w:left="740" w:hanging="362"/>
        <w:spacing w:after="0" w:line="251"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Schlumberger’s 2016 acquisition of Cameron, Cameron was merged with Schlumberger Holdings Corporation (“SHC”), an indirect wholly-owned United States subsidiary of Schlumberger. Under the terms of the agreement, Cameron shareholders received 0.716 shares of Schlumberger Limited common stock and a cash payment of $14.44 in exchange for each Cameron share of common stock outstanding. In connection with this transaction, SHC acquired approximately 138 million shares of common stock from Schlumberger Limited and transferred those shares to Cameron’s shareholders.</w:t>
      </w:r>
    </w:p>
    <w:p>
      <w:pPr>
        <w:spacing w:after="0" w:line="191" w:lineRule="exact"/>
        <w:rPr>
          <w:rFonts w:ascii="Arial" w:cs="Arial" w:eastAsia="Arial" w:hAnsi="Arial"/>
          <w:sz w:val="18"/>
          <w:szCs w:val="18"/>
          <w:color w:val="auto"/>
        </w:rPr>
      </w:pPr>
    </w:p>
    <w:p>
      <w:pPr>
        <w:ind w:left="760"/>
        <w:spacing w:after="0" w:line="265" w:lineRule="auto"/>
        <w:rPr>
          <w:rFonts w:ascii="Arial" w:cs="Arial" w:eastAsia="Arial" w:hAnsi="Arial"/>
          <w:sz w:val="18"/>
          <w:szCs w:val="18"/>
          <w:color w:val="auto"/>
        </w:rPr>
      </w:pPr>
      <w:r>
        <w:rPr>
          <w:rFonts w:ascii="Arial" w:cs="Arial" w:eastAsia="Arial" w:hAnsi="Arial"/>
          <w:sz w:val="18"/>
          <w:szCs w:val="18"/>
          <w:color w:val="auto"/>
        </w:rPr>
        <w:t>In order to partially fund the purchase of the 138 million shares of common stock from Schlumberger Limited that were transferred to Cameron stockholders, SHC issued $6 billion of notes during the fourth quarter of 2015 consisting of the following:</w:t>
      </w:r>
    </w:p>
    <w:p>
      <w:pPr>
        <w:spacing w:after="0" w:line="73" w:lineRule="exact"/>
        <w:rPr>
          <w:rFonts w:ascii="Arial" w:cs="Arial" w:eastAsia="Arial" w:hAnsi="Arial"/>
          <w:sz w:val="18"/>
          <w:szCs w:val="18"/>
          <w:color w:val="auto"/>
        </w:rPr>
      </w:pPr>
    </w:p>
    <w:p>
      <w:pPr>
        <w:ind w:left="1520" w:hanging="372"/>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$500 million of 1.90% Senior Notes due 2017;</w:t>
      </w:r>
    </w:p>
    <w:p>
      <w:pPr>
        <w:spacing w:after="0" w:line="16" w:lineRule="exact"/>
        <w:rPr>
          <w:rFonts w:ascii="Arial" w:cs="Arial" w:eastAsia="Arial" w:hAnsi="Arial"/>
          <w:sz w:val="18"/>
          <w:szCs w:val="18"/>
          <w:color w:val="auto"/>
        </w:rPr>
      </w:pPr>
    </w:p>
    <w:p>
      <w:pPr>
        <w:ind w:left="1520" w:hanging="372"/>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$1.3 billion of 2.35% Senior Notes due 2018;</w:t>
      </w:r>
    </w:p>
    <w:p>
      <w:pPr>
        <w:spacing w:after="0" w:line="5" w:lineRule="exact"/>
        <w:rPr>
          <w:rFonts w:ascii="Arial" w:cs="Arial" w:eastAsia="Arial" w:hAnsi="Arial"/>
          <w:sz w:val="18"/>
          <w:szCs w:val="18"/>
          <w:color w:val="auto"/>
        </w:rPr>
      </w:pPr>
    </w:p>
    <w:p>
      <w:pPr>
        <w:ind w:left="1520" w:hanging="372"/>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$1.6 billion of 3.00% Senior Notes due 2020;</w:t>
      </w:r>
    </w:p>
    <w:p>
      <w:pPr>
        <w:spacing w:after="0" w:line="5" w:lineRule="exact"/>
        <w:rPr>
          <w:rFonts w:ascii="Arial" w:cs="Arial" w:eastAsia="Arial" w:hAnsi="Arial"/>
          <w:sz w:val="18"/>
          <w:szCs w:val="18"/>
          <w:color w:val="auto"/>
        </w:rPr>
      </w:pPr>
    </w:p>
    <w:p>
      <w:pPr>
        <w:ind w:left="1520" w:hanging="372"/>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$850 million of 3.63% Senior Notes due 2022; and</w:t>
      </w:r>
    </w:p>
    <w:p>
      <w:pPr>
        <w:spacing w:after="0" w:line="5" w:lineRule="exact"/>
        <w:rPr>
          <w:rFonts w:ascii="Arial" w:cs="Arial" w:eastAsia="Arial" w:hAnsi="Arial"/>
          <w:sz w:val="18"/>
          <w:szCs w:val="18"/>
          <w:color w:val="auto"/>
        </w:rPr>
      </w:pPr>
    </w:p>
    <w:p>
      <w:pPr>
        <w:ind w:left="1520" w:hanging="372"/>
        <w:spacing w:after="0"/>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$1.75 billion of 4.00% Senior Notes due 2025.</w:t>
      </w:r>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2018, Schlumberger had $2.8 billion of cash and short-term investments on hand. Schlumberger also has separate committed credit facility agreements aggregating $6.5 billion with commercial banks, of which $4.1 billion was available and unused as of December 31, 2018. The $6.5 billion of committed credit facility agreements support commercial paper programs. Schlumberger believes these amounts are sufficient to meet future business requirements for at least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total outstanding commercial paper borrowings were $2.4 billion as of December 31, 2018 and $3.0 billion as of December 31,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Contractual Obligations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5"/>
          </w:tcPr>
          <w:p>
            <w:pPr>
              <w:ind w:left="840"/>
              <w:spacing w:after="0"/>
              <w:rPr>
                <w:sz w:val="20"/>
                <w:szCs w:val="20"/>
                <w:color w:val="auto"/>
              </w:rPr>
            </w:pPr>
            <w:r>
              <w:rPr>
                <w:rFonts w:ascii="Arial" w:cs="Arial" w:eastAsia="Arial" w:hAnsi="Arial"/>
                <w:sz w:val="18"/>
                <w:szCs w:val="18"/>
                <w:i w:val="1"/>
                <w:iCs w:val="1"/>
                <w:color w:val="auto"/>
                <w:w w:val="98"/>
              </w:rPr>
              <w:t>(Stated in millions)</w:t>
            </w:r>
          </w:p>
        </w:tc>
      </w:tr>
      <w:tr>
        <w:trPr>
          <w:trHeight w:val="451"/>
        </w:trPr>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color w:val="auto"/>
              </w:rPr>
              <w:t>Payment Period</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40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8"/>
              </w:rPr>
              <w:t>2020-2021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8"/>
              </w:rPr>
              <w:t>2022-2023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3"/>
              </w:rPr>
              <w:t>After 2023</w:t>
            </w:r>
          </w:p>
        </w:tc>
        <w:tc>
          <w:tcPr>
            <w:tcW w:w="120" w:type="dxa"/>
            <w:vAlign w:val="bottom"/>
            <w:tcBorders>
              <w:bottom w:val="single" w:sz="8" w:color="CFF0FC"/>
            </w:tcBorders>
          </w:tcPr>
          <w:p>
            <w:pPr>
              <w:spacing w:after="0"/>
              <w:rPr>
                <w:sz w:val="19"/>
                <w:szCs w:val="19"/>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w:t>
            </w:r>
            <w:r>
              <w:rPr>
                <w:rFonts w:ascii="Arial" w:cs="Arial" w:eastAsia="Arial" w:hAnsi="Arial"/>
                <w:sz w:val="15"/>
                <w:szCs w:val="15"/>
                <w:color w:val="auto"/>
              </w:rPr>
              <w:t>(1)</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16,051</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120" w:type="dxa"/>
            <w:vAlign w:val="bottom"/>
            <w:shd w:val="clear" w:color="auto" w:fill="CFF0FC"/>
          </w:tcPr>
          <w:p>
            <w:pPr>
              <w:spacing w:after="0"/>
              <w:rPr>
                <w:sz w:val="19"/>
                <w:szCs w:val="19"/>
                <w:color w:val="auto"/>
              </w:rPr>
            </w:pPr>
          </w:p>
        </w:tc>
      </w:tr>
      <w:tr>
        <w:trPr>
          <w:trHeight w:val="225"/>
        </w:trPr>
        <w:tc>
          <w:tcPr>
            <w:tcW w:w="4040" w:type="dxa"/>
            <w:vAlign w:val="bottom"/>
          </w:tcPr>
          <w:p>
            <w:pPr>
              <w:spacing w:after="0"/>
              <w:rPr>
                <w:sz w:val="20"/>
                <w:szCs w:val="20"/>
                <w:color w:val="auto"/>
              </w:rPr>
            </w:pPr>
            <w:r>
              <w:rPr>
                <w:rFonts w:ascii="Arial" w:cs="Arial" w:eastAsia="Arial" w:hAnsi="Arial"/>
                <w:sz w:val="18"/>
                <w:szCs w:val="18"/>
                <w:color w:val="auto"/>
              </w:rPr>
              <w:t xml:space="preserve">Interest on fixed rate debt obligations </w:t>
            </w:r>
            <w:r>
              <w:rPr>
                <w:rFonts w:ascii="Arial" w:cs="Arial" w:eastAsia="Arial" w:hAnsi="Arial"/>
                <w:sz w:val="15"/>
                <w:szCs w:val="15"/>
                <w:color w:val="auto"/>
              </w:rPr>
              <w:t>(2)</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r>
      <w:tr>
        <w:trPr>
          <w:trHeight w:val="22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FF0FC"/>
          </w:tcPr>
          <w:p>
            <w:pPr>
              <w:spacing w:after="0"/>
              <w:rPr>
                <w:sz w:val="19"/>
                <w:szCs w:val="19"/>
                <w:color w:val="auto"/>
              </w:rPr>
            </w:pPr>
          </w:p>
        </w:tc>
      </w:tr>
      <w:tr>
        <w:trPr>
          <w:trHeight w:val="225"/>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(3)</w:t>
            </w:r>
          </w:p>
        </w:tc>
        <w:tc>
          <w:tcPr>
            <w:tcW w:w="1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r>
      <w:tr>
        <w:trPr>
          <w:trHeight w:val="219"/>
        </w:trPr>
        <w:tc>
          <w:tcPr>
            <w:tcW w:w="40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23,751</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120" w:type="dxa"/>
            <w:vAlign w:val="bottom"/>
            <w:shd w:val="clear" w:color="auto" w:fill="CFF0FC"/>
          </w:tcPr>
          <w:p>
            <w:pPr>
              <w:spacing w:after="0"/>
              <w:rPr>
                <w:sz w:val="19"/>
                <w:szCs w:val="19"/>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07" w:lineRule="exact"/>
        <w:rPr>
          <w:sz w:val="20"/>
          <w:szCs w:val="20"/>
          <w:color w:val="auto"/>
        </w:rPr>
      </w:pPr>
    </w:p>
    <w:p>
      <w:pPr>
        <w:ind w:left="380" w:hanging="374"/>
        <w:spacing w:after="0"/>
        <w:tabs>
          <w:tab w:leader="none" w:pos="38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Excludes future payments for interest.</w:t>
      </w:r>
    </w:p>
    <w:p>
      <w:pPr>
        <w:spacing w:after="0" w:line="115" w:lineRule="exact"/>
        <w:rPr>
          <w:rFonts w:ascii="Arial" w:cs="Arial" w:eastAsia="Arial" w:hAnsi="Arial"/>
          <w:sz w:val="26"/>
          <w:szCs w:val="26"/>
          <w:color w:val="auto"/>
          <w:vertAlign w:val="superscript"/>
        </w:rPr>
      </w:pPr>
    </w:p>
    <w:p>
      <w:pPr>
        <w:ind w:left="380" w:hanging="374"/>
        <w:spacing w:after="0" w:line="180" w:lineRule="auto"/>
        <w:tabs>
          <w:tab w:leader="none" w:pos="380" w:val="left"/>
        </w:tabs>
        <w:numPr>
          <w:ilvl w:val="0"/>
          <w:numId w:val="20"/>
        </w:numPr>
        <w:rPr>
          <w:rFonts w:ascii="Arial" w:cs="Arial" w:eastAsia="Arial" w:hAnsi="Arial"/>
          <w:sz w:val="22"/>
          <w:szCs w:val="22"/>
          <w:color w:val="auto"/>
          <w:vertAlign w:val="superscript"/>
        </w:rPr>
      </w:pPr>
      <w:r>
        <w:rPr>
          <w:rFonts w:ascii="Arial" w:cs="Arial" w:eastAsia="Arial" w:hAnsi="Arial"/>
          <w:sz w:val="13"/>
          <w:szCs w:val="13"/>
          <w:color w:val="auto"/>
        </w:rPr>
        <w:t>Excludes interest on $2.8 billion of variable rate debt, which had a weighted average interest rate of 3.5% as of December 31, 2018.</w:t>
      </w:r>
    </w:p>
    <w:p>
      <w:pPr>
        <w:spacing w:after="0" w:line="115" w:lineRule="exact"/>
        <w:rPr>
          <w:rFonts w:ascii="Arial" w:cs="Arial" w:eastAsia="Arial" w:hAnsi="Arial"/>
          <w:sz w:val="22"/>
          <w:szCs w:val="22"/>
          <w:color w:val="auto"/>
          <w:vertAlign w:val="superscript"/>
        </w:rPr>
      </w:pPr>
    </w:p>
    <w:p>
      <w:pPr>
        <w:ind w:left="380" w:right="20" w:hanging="374"/>
        <w:spacing w:after="0" w:line="198" w:lineRule="auto"/>
        <w:tabs>
          <w:tab w:leader="none" w:pos="380" w:val="left"/>
        </w:tabs>
        <w:numPr>
          <w:ilvl w:val="0"/>
          <w:numId w:val="20"/>
        </w:numPr>
        <w:rPr>
          <w:rFonts w:ascii="Arial" w:cs="Arial" w:eastAsia="Arial" w:hAnsi="Arial"/>
          <w:sz w:val="26"/>
          <w:szCs w:val="26"/>
          <w:color w:val="auto"/>
          <w:vertAlign w:val="superscript"/>
        </w:rPr>
      </w:pPr>
      <w:r>
        <w:rPr>
          <w:rFonts w:ascii="Arial" w:cs="Arial" w:eastAsia="Arial" w:hAnsi="Arial"/>
          <w:sz w:val="15"/>
          <w:szCs w:val="15"/>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205"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 xml:space="preserve">Refer to Note 18, </w:t>
      </w:r>
      <w:r>
        <w:rPr>
          <w:rFonts w:ascii="Arial" w:cs="Arial" w:eastAsia="Arial" w:hAnsi="Arial"/>
          <w:sz w:val="18"/>
          <w:szCs w:val="18"/>
          <w:i w:val="1"/>
          <w:iCs w:val="1"/>
          <w:color w:val="auto"/>
        </w:rPr>
        <w:t>Pension and Other Benefit Plans,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details regarding Schlumberger’s pension and other postretirement benefit obligations.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discussed in Note 14,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included in the Schlumberger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at December 31, 2018 is approximately $1.4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jc w:val="both"/>
        <w:spacing w:after="0" w:line="366" w:lineRule="auto"/>
        <w:rPr>
          <w:sz w:val="20"/>
          <w:szCs w:val="20"/>
          <w:color w:val="auto"/>
        </w:rPr>
      </w:pPr>
      <w:r>
        <w:rPr>
          <w:rFonts w:ascii="Arial" w:cs="Arial" w:eastAsia="Arial" w:hAnsi="Arial"/>
          <w:sz w:val="15"/>
          <w:szCs w:val="15"/>
          <w:color w:val="auto"/>
        </w:rPr>
        <w:t>Schlumberger has outstanding letters of credit/guarantees that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liabilities and the reported amounts of revenue and expenses. The following accounting policies involve “critical accounting estimates” because they are particularly dependent on estimates and assumptions made by Schlumberger about matters that are inherently uncertain.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a large multinational company with a long history of operating in a cyclical industry, Schlumberger has extensive experience in working with its customers during difficult times to manage its accounts receivable. During weak economic environments or when there is an extended period of weakness in oil and gas prices, Schlumberger typically experiences delays in the payment of its receivables. However, except as described below, Schlumberger has not had material write-offs due to uncollectible accounts receivable over the recent industry downturn. Schlumberger operates in more than 85 countries. As of December 31, 2018, only three of those countries individually accounted for greater than 5% of Schlumberger’s net receivables balance, of which only one (the United States) accounted for greater than 10% of such receivables.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April 2016, Schlumberger announced that it was reducing its activity in Venezuela to align operations with cash collections as a result of insufficient payments on outstanding receivables. Schlumberger also previously disclosed that its judgment regarding the collectibility of its receivables and promissory notes in Venezuela is sensitive to the political and economic conditions in the country and that, if conditions in Venezuela worsen, Schlumberger may be required to record adjustments to the carrying value of these assets. During the fourth quarter of 2017, conditions in Venezuela further deteriorated such that Schlumberger determined it was appropriate to write-off the remaining outstanding receivable balance of approximately $469 million and record an impairment charge of $105 million related to the aforementioned promissory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and liabilities assumed as goodwill. The goodwill relating to each of Schlumberger’s reporting units is tested for impairment annually as well as when an event, or change in circumstances, indicates an impairment may have occurred.</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or more of its reporting units is greater than its carrying amount. If, after assessing the totality of events or circumstances, Schlumberger determines it is more likely than not that the fair value of a reporting unit is greater than its carrying amount, there is no need to perform any further testing. However, if Schlumberger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82"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Schlumberger has the option to bypass the qualitative assessment for any reporting unit in any period and proceed directly to performing the quantitative goodwill impairment test.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elected to perform the qualitative assessment described above for purposes of its annual goodwill impairment test in 2018. Based on this assessment, Schlumberger concluded it was more likely than not that the fair value of each of its reporting units was greater than its carrying amount. Accordingly, no further testing was required.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3" w:name="page24"/>
    <w:bookmarkEnd w:id="23"/>
    <w:p>
      <w:pPr>
        <w:jc w:val="both"/>
        <w:spacing w:after="0" w:line="249" w:lineRule="auto"/>
        <w:rPr>
          <w:sz w:val="20"/>
          <w:szCs w:val="20"/>
          <w:color w:val="auto"/>
        </w:rPr>
      </w:pPr>
      <w:r>
        <w:rPr>
          <w:rFonts w:ascii="Arial" w:cs="Arial" w:eastAsia="Arial" w:hAnsi="Arial"/>
          <w:sz w:val="18"/>
          <w:szCs w:val="18"/>
          <w:color w:val="auto"/>
        </w:rPr>
        <w:t>Long-lived assets, including fixed assets, intangible assets and investments in SPM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2"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that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that will be due upon the conclusion of these audits. Estimates of these tax liabilities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Schlumberger will record additional tax expense or tax benefit in the period in which such resolution occurs.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for Certain Long-lived Construction-type Contracts</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Schlumberger recognizes revenue for certain long-term construction-type contracts over time. These contracts involve significant design and engineering efforts in order to satisfy custom designs for customer-specific applications. Under this method, revenue is recognized as work progresses on each contract. Progress is measured by the ratio of actual costs incurred to date on the project in relation to total estimated project costs. Approximately 5% and 7% of Schlumberger’s revenue in 2018 and 2017, respectively, was recognized under this method.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Schlumberger capitalizes the costs associated with obtaining multiclient seismic data. The carrying value of the multiclient seismic data library at December 31, 2018 and 2017 was $601 million and $727 million, respectively. Such costs are charged to </w:t>
      </w:r>
      <w:r>
        <w:rPr>
          <w:rFonts w:ascii="Arial" w:cs="Arial" w:eastAsia="Arial" w:hAnsi="Arial"/>
          <w:sz w:val="18"/>
          <w:szCs w:val="18"/>
          <w:i w:val="1"/>
          <w:iCs w:val="1"/>
          <w:color w:val="auto"/>
        </w:rPr>
        <w:t>Cost of services</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surveys are primarily analyzed for impairment on a survey-by-survey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Schlumberger’s pension and postretirement benefit obligations are described in detail in Note 18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discount rate that Schlumberger uses reflects the prevailing market rate of a portfolio of high-quality debt instruments with maturities matching the expected timing of payment of the related benefit obligations. The following summarizes the discount rates utilized by Schlumberger for its various pension and postretirement benefit plans:</w:t>
      </w:r>
    </w:p>
    <w:p>
      <w:pPr>
        <w:spacing w:after="0" w:line="84" w:lineRule="exact"/>
        <w:rPr>
          <w:sz w:val="20"/>
          <w:szCs w:val="20"/>
          <w:color w:val="auto"/>
        </w:rPr>
      </w:pPr>
    </w:p>
    <w:p>
      <w:pPr>
        <w:ind w:left="1020" w:hanging="377"/>
        <w:spacing w:after="0" w:line="26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discount rate utilized to determine the liability for Schlumberger’s United States pension plans and postretirement medical plan was 4.30% at December 31, 2018 and 3.70% at December 31,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4" w:name="page25"/>
    <w:bookmarkEnd w:id="24"/>
    <w:p>
      <w:pPr>
        <w:ind w:left="1020" w:right="20" w:hanging="377"/>
        <w:spacing w:after="0" w:line="26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the liability for Schlumberger’s international pension plans was 4.00% at December 31, 2018 and 3.55% at December 31, 2017.</w:t>
      </w:r>
    </w:p>
    <w:p>
      <w:pPr>
        <w:spacing w:after="0" w:line="73" w:lineRule="exact"/>
        <w:rPr>
          <w:rFonts w:ascii="Arial" w:cs="Arial" w:eastAsia="Arial" w:hAnsi="Arial"/>
          <w:sz w:val="18"/>
          <w:szCs w:val="18"/>
          <w:color w:val="auto"/>
        </w:rPr>
      </w:pPr>
    </w:p>
    <w:p>
      <w:pPr>
        <w:ind w:left="1020" w:right="20" w:hanging="377"/>
        <w:spacing w:after="0" w:line="26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United States pension plans and postretirement medical plan decreased from 4.20% in 2017 to 3.70% in 2018.</w:t>
      </w:r>
    </w:p>
    <w:p>
      <w:pPr>
        <w:spacing w:after="0" w:line="73" w:lineRule="exact"/>
        <w:rPr>
          <w:rFonts w:ascii="Arial" w:cs="Arial" w:eastAsia="Arial" w:hAnsi="Arial"/>
          <w:sz w:val="18"/>
          <w:szCs w:val="18"/>
          <w:color w:val="auto"/>
        </w:rPr>
      </w:pPr>
    </w:p>
    <w:p>
      <w:pPr>
        <w:ind w:left="1020" w:right="40" w:hanging="377"/>
        <w:spacing w:after="0" w:line="26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international pension plans decreased from 4.13% in 2017 to 3.55% in 2018.</w:t>
      </w:r>
    </w:p>
    <w:p>
      <w:pPr>
        <w:spacing w:after="0" w:line="180"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expected rate of return for Schlumberger’s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expected rates of return for the investment portfolio, with consideration given to the distribution of investments by asset class and historical rates of return for each individual asset class. The weighted average expected rate of return on plan assets for the United States pension plans was 7.25% in both 2018 and 2017. The weighted average expected rate of return on plan assets for the international pension plans was 7.40% in both 2018 and 2017. A lower expected rate of return would increase pension expense.</w:t>
      </w:r>
    </w:p>
    <w:p>
      <w:pPr>
        <w:spacing w:after="0" w:line="18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Schlumberger’s medical cost trend rate assumptions are developed based on historical cost data, the near-term outlook and an assessment of likely long-term trends. The overall medical cost trend rate assumption utilized to determine the 2018 postretirement medical expense was 7.00%, graded to 5.0% over the next nine years. The overall medical trend rate assumption utilized to determine the postretirement medical liability at December 31, 2018 was 7.00%, graded to 5.0% over the next nine years.</w:t>
      </w:r>
    </w:p>
    <w:p>
      <w:pPr>
        <w:spacing w:after="0" w:line="19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and international pension plans: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ind w:left="5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5"/>
        </w:trPr>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Effect on</w:t>
            </w:r>
          </w:p>
        </w:tc>
        <w:tc>
          <w:tcPr>
            <w:tcW w:w="0" w:type="dxa"/>
            <w:vAlign w:val="bottom"/>
          </w:tcPr>
          <w:p>
            <w:pPr>
              <w:spacing w:after="0"/>
              <w:rPr>
                <w:sz w:val="1"/>
                <w:szCs w:val="1"/>
                <w:color w:val="auto"/>
              </w:rPr>
            </w:pPr>
          </w:p>
        </w:tc>
      </w:tr>
      <w:tr>
        <w:trPr>
          <w:trHeight w:val="226"/>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Assumption</w:t>
            </w: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Effect on 2018</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Dec. 31, 2018</w:t>
            </w:r>
          </w:p>
        </w:tc>
        <w:tc>
          <w:tcPr>
            <w:tcW w:w="0" w:type="dxa"/>
            <w:vAlign w:val="bottom"/>
          </w:tcPr>
          <w:p>
            <w:pPr>
              <w:spacing w:after="0"/>
              <w:rPr>
                <w:sz w:val="1"/>
                <w:szCs w:val="1"/>
                <w:color w:val="auto"/>
              </w:rPr>
            </w:pPr>
          </w:p>
        </w:tc>
      </w:tr>
      <w:tr>
        <w:trPr>
          <w:trHeight w:val="187"/>
        </w:trPr>
        <w:tc>
          <w:tcPr>
            <w:tcW w:w="7820" w:type="dxa"/>
            <w:vAlign w:val="bottom"/>
            <w:gridSpan w:val="2"/>
            <w:vMerge w:val="continue"/>
          </w:tcPr>
          <w:p>
            <w:pPr>
              <w:spacing w:after="0"/>
              <w:rPr>
                <w:sz w:val="16"/>
                <w:szCs w:val="16"/>
                <w:color w:val="auto"/>
              </w:rPr>
            </w:pPr>
          </w:p>
        </w:tc>
        <w:tc>
          <w:tcPr>
            <w:tcW w:w="1900" w:type="dxa"/>
            <w:vAlign w:val="bottom"/>
            <w:gridSpan w:val="2"/>
          </w:tcPr>
          <w:p>
            <w:pPr>
              <w:jc w:val="center"/>
              <w:ind w:right="200"/>
              <w:spacing w:after="0" w:line="187" w:lineRule="exact"/>
              <w:rPr>
                <w:sz w:val="20"/>
                <w:szCs w:val="20"/>
                <w:color w:val="auto"/>
              </w:rPr>
            </w:pPr>
            <w:r>
              <w:rPr>
                <w:rFonts w:ascii="Arial" w:cs="Arial" w:eastAsia="Arial" w:hAnsi="Arial"/>
                <w:sz w:val="18"/>
                <w:szCs w:val="18"/>
                <w:color w:val="auto"/>
                <w:w w:val="86"/>
              </w:rPr>
              <w:t>Pretax Expense</w:t>
            </w:r>
          </w:p>
        </w:tc>
        <w:tc>
          <w:tcPr>
            <w:tcW w:w="1700" w:type="dxa"/>
            <w:vAlign w:val="bottom"/>
            <w:gridSpan w:val="2"/>
          </w:tcPr>
          <w:p>
            <w:pPr>
              <w:jc w:val="center"/>
              <w:ind w:right="120"/>
              <w:spacing w:after="0" w:line="187" w:lineRule="exact"/>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FF0FC"/>
            </w:tcBorders>
          </w:tcPr>
          <w:p>
            <w:pPr>
              <w:spacing w:after="0" w:line="20" w:lineRule="exact"/>
              <w:rPr>
                <w:sz w:val="1"/>
                <w:szCs w:val="1"/>
                <w:color w:val="auto"/>
              </w:rPr>
            </w:pPr>
          </w:p>
        </w:tc>
        <w:tc>
          <w:tcPr>
            <w:tcW w:w="6100" w:type="dxa"/>
            <w:vAlign w:val="bottom"/>
            <w:tcBorders>
              <w:bottom w:val="single" w:sz="8" w:color="CFF0FC"/>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discount rate</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25 basis point increase in discount rate</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expected return on plan assets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25 basis point increase in expected return on plan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Effect 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Assumption</w:t>
            </w:r>
          </w:p>
        </w:tc>
        <w:tc>
          <w:tcPr>
            <w:tcW w:w="3580" w:type="dxa"/>
            <w:vAlign w:val="bottom"/>
          </w:tcPr>
          <w:p>
            <w:pPr>
              <w:spacing w:after="0"/>
              <w:rPr>
                <w:sz w:val="19"/>
                <w:szCs w:val="19"/>
                <w:color w:val="auto"/>
              </w:rPr>
            </w:pPr>
          </w:p>
        </w:tc>
        <w:tc>
          <w:tcPr>
            <w:tcW w:w="1420" w:type="dxa"/>
            <w:vAlign w:val="bottom"/>
          </w:tcPr>
          <w:p>
            <w:pPr>
              <w:jc w:val="center"/>
              <w:ind w:left="212"/>
              <w:spacing w:after="0"/>
              <w:rPr>
                <w:sz w:val="20"/>
                <w:szCs w:val="20"/>
                <w:color w:val="auto"/>
              </w:rPr>
            </w:pPr>
            <w:r>
              <w:rPr>
                <w:rFonts w:ascii="Arial" w:cs="Arial" w:eastAsia="Arial" w:hAnsi="Arial"/>
                <w:sz w:val="18"/>
                <w:szCs w:val="18"/>
                <w:color w:val="auto"/>
                <w:w w:val="89"/>
              </w:rPr>
              <w:t>Effect on 2018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Dec. 31,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200" w:type="dxa"/>
            <w:vAlign w:val="bottom"/>
            <w:gridSpan w:val="2"/>
            <w:vMerge w:val="continue"/>
          </w:tcPr>
          <w:p>
            <w:pPr>
              <w:spacing w:after="0"/>
              <w:rPr>
                <w:sz w:val="16"/>
                <w:szCs w:val="16"/>
                <w:color w:val="auto"/>
              </w:rPr>
            </w:pPr>
          </w:p>
        </w:tc>
        <w:tc>
          <w:tcPr>
            <w:tcW w:w="3580" w:type="dxa"/>
            <w:vAlign w:val="bottom"/>
          </w:tcPr>
          <w:p>
            <w:pPr>
              <w:spacing w:after="0"/>
              <w:rPr>
                <w:sz w:val="16"/>
                <w:szCs w:val="16"/>
                <w:color w:val="auto"/>
              </w:rPr>
            </w:pPr>
          </w:p>
        </w:tc>
        <w:tc>
          <w:tcPr>
            <w:tcW w:w="1420" w:type="dxa"/>
            <w:vAlign w:val="bottom"/>
          </w:tcPr>
          <w:p>
            <w:pPr>
              <w:jc w:val="center"/>
              <w:ind w:left="212"/>
              <w:spacing w:after="0" w:line="187" w:lineRule="exact"/>
              <w:rPr>
                <w:sz w:val="20"/>
                <w:szCs w:val="20"/>
                <w:color w:val="auto"/>
              </w:rPr>
            </w:pPr>
            <w:r>
              <w:rPr>
                <w:rFonts w:ascii="Arial" w:cs="Arial" w:eastAsia="Arial" w:hAnsi="Arial"/>
                <w:sz w:val="18"/>
                <w:szCs w:val="18"/>
                <w:color w:val="auto"/>
                <w:w w:val="84"/>
              </w:rPr>
              <w:t>Pretax Expense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center"/>
              <w:spacing w:after="0" w:line="187" w:lineRule="exact"/>
              <w:rPr>
                <w:sz w:val="20"/>
                <w:szCs w:val="20"/>
                <w:color w:val="auto"/>
              </w:rPr>
            </w:pPr>
            <w:r>
              <w:rPr>
                <w:rFonts w:ascii="Arial" w:cs="Arial" w:eastAsia="Arial" w:hAnsi="Arial"/>
                <w:sz w:val="18"/>
                <w:szCs w:val="18"/>
                <w:color w:val="auto"/>
              </w:rPr>
              <w:t>Liability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FF0FC"/>
            </w:tcBorders>
          </w:tcPr>
          <w:p>
            <w:pPr>
              <w:spacing w:after="0" w:line="20" w:lineRule="exact"/>
              <w:rPr>
                <w:sz w:val="1"/>
                <w:szCs w:val="1"/>
                <w:color w:val="auto"/>
              </w:rPr>
            </w:pPr>
          </w:p>
        </w:tc>
        <w:tc>
          <w:tcPr>
            <w:tcW w:w="2480" w:type="dxa"/>
            <w:vAlign w:val="bottom"/>
            <w:tcBorders>
              <w:bottom w:val="single" w:sz="8" w:color="CFF0FC"/>
            </w:tcBorders>
          </w:tcPr>
          <w:p>
            <w:pPr>
              <w:spacing w:after="0" w:line="20" w:lineRule="exact"/>
              <w:rPr>
                <w:sz w:val="1"/>
                <w:szCs w:val="1"/>
                <w:color w:val="auto"/>
              </w:rPr>
            </w:pPr>
          </w:p>
        </w:tc>
        <w:tc>
          <w:tcPr>
            <w:tcW w:w="358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discount rate</w:t>
            </w:r>
          </w:p>
        </w:tc>
        <w:tc>
          <w:tcPr>
            <w:tcW w:w="35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gridSpan w:val="2"/>
          </w:tcPr>
          <w:p>
            <w:pPr>
              <w:spacing w:after="0"/>
              <w:rPr>
                <w:sz w:val="20"/>
                <w:szCs w:val="20"/>
                <w:color w:val="auto"/>
              </w:rPr>
            </w:pPr>
            <w:r>
              <w:rPr>
                <w:rFonts w:ascii="Arial" w:cs="Arial" w:eastAsia="Arial" w:hAnsi="Arial"/>
                <w:sz w:val="18"/>
                <w:szCs w:val="18"/>
                <w:color w:val="auto"/>
              </w:rPr>
              <w:t>25 basis point increase in discount rate</w:t>
            </w:r>
          </w:p>
        </w:tc>
        <w:tc>
          <w:tcPr>
            <w:tcW w:w="3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7"/>
        </w:trPr>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580" w:type="dxa"/>
            <w:vAlign w:val="bottom"/>
          </w:tcPr>
          <w:p>
            <w:pPr>
              <w:jc w:val="right"/>
              <w:ind w:right="1892"/>
              <w:spacing w:after="0"/>
              <w:rPr>
                <w:sz w:val="20"/>
                <w:szCs w:val="20"/>
                <w:color w:val="auto"/>
              </w:rPr>
            </w:pPr>
            <w:r>
              <w:rPr>
                <w:rFonts w:ascii="Arial" w:cs="Arial" w:eastAsia="Arial" w:hAnsi="Arial"/>
                <w:sz w:val="18"/>
                <w:szCs w:val="18"/>
                <w:color w:val="auto"/>
              </w:rPr>
              <w:t>25</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20" w:type="dxa"/>
            <w:vAlign w:val="bottom"/>
            <w:tcBorders>
              <w:bottom w:val="single" w:sz="8" w:color="9A9A9A"/>
            </w:tcBorders>
          </w:tcPr>
          <w:p>
            <w:pPr>
              <w:spacing w:after="0"/>
              <w:rPr>
                <w:sz w:val="11"/>
                <w:szCs w:val="11"/>
                <w:color w:val="auto"/>
              </w:rPr>
            </w:pPr>
          </w:p>
        </w:tc>
        <w:tc>
          <w:tcPr>
            <w:tcW w:w="2480" w:type="dxa"/>
            <w:vAlign w:val="bottom"/>
            <w:tcBorders>
              <w:bottom w:val="single" w:sz="8" w:color="9A9A9A"/>
            </w:tcBorders>
          </w:tcPr>
          <w:p>
            <w:pPr>
              <w:spacing w:after="0"/>
              <w:rPr>
                <w:sz w:val="11"/>
                <w:szCs w:val="11"/>
                <w:color w:val="auto"/>
              </w:rPr>
            </w:pPr>
          </w:p>
        </w:tc>
        <w:tc>
          <w:tcPr>
            <w:tcW w:w="358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is subject to market risks primarily associated with changes in foreign currency exchange rates and interest rates.</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multinational company, Schlumberger operates in more than 85 countries. Schlumberger’s functional currency is primarily the US dollar. Approximately 80% of Schlumberger’s revenue in 2018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maintains a foreign-currency risk management strategy that uses derivative instruments to manage the impact of changes in foreign exchange rates on its earnings. Schlumberger enters into foreign currency forward contracts to provide a hedge against currency fluctuations on certain monetary assets and liabilities, and certain expenses denominated in currencies other than the functional currency.</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10% appreciation in the US dollar from the December 31, 2018 market rates would increase the unrealized value of Schlumberger’s forward contracts by $132 million. Conversely, a 10% depreciation in the US dollar from the December 31, 2018 market rates would decrease the unrealized value of Schlumberger’s forward contracts by $143 million. In either scenario, the gain or loss on the forward contract would be offset by the gain or loss on the underlying transaction, and therefore, would have no impact on future earnings.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At December 31, 2018, contracts were outstanding for the US dollar equivalent of $5.0 billion in various foreign currencies, of which $1.9 billion related to hedges of debt balances denominated in currencies other than the functional currency.</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 At December 31, 2018, Schlumberger had fixed rate debt aggregating approximately $13.2 billion and variable rate debt aggregating approximately $2.8 billion, before considering the effects of cross currency swaps.</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Schlumberger’s exposure to interest rate risk associated with its debt is also partially mitigated by its investment portfolio. </w:t>
      </w:r>
      <w:r>
        <w:rPr>
          <w:rFonts w:ascii="Arial" w:cs="Arial" w:eastAsia="Arial" w:hAnsi="Arial"/>
          <w:sz w:val="17"/>
          <w:szCs w:val="17"/>
          <w:i w:val="1"/>
          <w:iCs w:val="1"/>
          <w:color w:val="auto"/>
        </w:rPr>
        <w:t>Short-term investments,</w:t>
      </w:r>
      <w:r>
        <w:rPr>
          <w:rFonts w:ascii="Arial" w:cs="Arial" w:eastAsia="Arial" w:hAnsi="Arial"/>
          <w:sz w:val="17"/>
          <w:szCs w:val="17"/>
          <w:color w:val="auto"/>
        </w:rPr>
        <w:t xml:space="preserve"> which totaled approximately $1.3 billion at December 31, 2018, are comprised primarily of money market funds, time deposits, certificates of deposit, commercial paper, bonds and notes, substantially all of which are denominated in US dollars. The average return on investments was 2.3% in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reflects the carrying amounts of Schlumberger’s debt at December 31, 2018 by year of maturity:</w:t>
      </w:r>
    </w:p>
    <w:p>
      <w:pPr>
        <w:spacing w:after="0" w:line="291" w:lineRule="exact"/>
        <w:rPr>
          <w:sz w:val="20"/>
          <w:szCs w:val="20"/>
          <w:color w:val="auto"/>
        </w:rPr>
      </w:pPr>
    </w:p>
    <w:p>
      <w:pPr>
        <w:ind w:left="1022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288925</wp:posOffset>
            </wp:positionV>
            <wp:extent cx="5512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243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3"/>
              <w:spacing w:after="0"/>
              <w:rPr>
                <w:sz w:val="20"/>
                <w:szCs w:val="20"/>
                <w:color w:val="auto"/>
              </w:rPr>
            </w:pPr>
            <w:r>
              <w:rPr>
                <w:rFonts w:ascii="Arial" w:cs="Arial" w:eastAsia="Arial" w:hAnsi="Arial"/>
                <w:sz w:val="16"/>
                <w:szCs w:val="16"/>
                <w:color w:val="auto"/>
                <w:w w:val="95"/>
              </w:rPr>
              <w:t>2019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3"/>
              <w:spacing w:after="0"/>
              <w:rPr>
                <w:sz w:val="20"/>
                <w:szCs w:val="20"/>
                <w:color w:val="auto"/>
              </w:rPr>
            </w:pPr>
            <w:r>
              <w:rPr>
                <w:rFonts w:ascii="Arial" w:cs="Arial" w:eastAsia="Arial" w:hAnsi="Arial"/>
                <w:sz w:val="16"/>
                <w:szCs w:val="16"/>
                <w:color w:val="auto"/>
                <w:w w:val="95"/>
              </w:rPr>
              <w:t>2022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3"/>
              <w:spacing w:after="0"/>
              <w:rPr>
                <w:sz w:val="20"/>
                <w:szCs w:val="20"/>
                <w:color w:val="auto"/>
              </w:rPr>
            </w:pPr>
            <w:r>
              <w:rPr>
                <w:rFonts w:ascii="Arial" w:cs="Arial" w:eastAsia="Arial" w:hAnsi="Arial"/>
                <w:sz w:val="16"/>
                <w:szCs w:val="16"/>
                <w:color w:val="auto"/>
                <w:w w:val="95"/>
              </w:rPr>
              <w:t>2023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3"/>
              <w:spacing w:after="0"/>
              <w:rPr>
                <w:sz w:val="20"/>
                <w:szCs w:val="20"/>
                <w:color w:val="auto"/>
              </w:rPr>
            </w:pPr>
            <w:r>
              <w:rPr>
                <w:rFonts w:ascii="Arial" w:cs="Arial" w:eastAsia="Arial" w:hAnsi="Arial"/>
                <w:sz w:val="16"/>
                <w:szCs w:val="16"/>
                <w:color w:val="auto"/>
                <w:w w:val="95"/>
              </w:rPr>
              <w:t>2024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3"/>
              <w:spacing w:after="0"/>
              <w:rPr>
                <w:sz w:val="20"/>
                <w:szCs w:val="20"/>
                <w:color w:val="auto"/>
              </w:rPr>
            </w:pPr>
            <w:r>
              <w:rPr>
                <w:rFonts w:ascii="Arial" w:cs="Arial" w:eastAsia="Arial" w:hAnsi="Arial"/>
                <w:sz w:val="16"/>
                <w:szCs w:val="16"/>
                <w:color w:val="auto"/>
                <w:w w:val="95"/>
              </w:rPr>
              <w:t>2025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6"/>
                <w:szCs w:val="16"/>
                <w:color w:val="auto"/>
              </w:rPr>
              <w:t>2026</w:t>
            </w:r>
          </w:p>
        </w:tc>
        <w:tc>
          <w:tcPr>
            <w:tcW w:w="16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Total</w:t>
            </w:r>
          </w:p>
        </w:tc>
      </w:tr>
      <w:tr>
        <w:trPr>
          <w:trHeight w:val="221"/>
        </w:trPr>
        <w:tc>
          <w:tcPr>
            <w:tcW w:w="2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Fixed rate debt</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8"/>
                <w:szCs w:val="18"/>
                <w:color w:val="auto"/>
                <w:w w:val="90"/>
              </w:rPr>
              <w:t>0.63%</w:t>
            </w:r>
          </w:p>
        </w:tc>
        <w:tc>
          <w:tcPr>
            <w:tcW w:w="1720" w:type="dxa"/>
            <w:vAlign w:val="bottom"/>
          </w:tcPr>
          <w:p>
            <w:pPr>
              <w:ind w:left="20"/>
              <w:spacing w:after="0"/>
              <w:rPr>
                <w:sz w:val="20"/>
                <w:szCs w:val="20"/>
                <w:color w:val="auto"/>
              </w:rPr>
            </w:pPr>
            <w:r>
              <w:rPr>
                <w:rFonts w:ascii="Arial" w:cs="Arial" w:eastAsia="Arial" w:hAnsi="Arial"/>
                <w:sz w:val="18"/>
                <w:szCs w:val="18"/>
                <w:color w:val="auto"/>
              </w:rPr>
              <w:t>Guaranteed Notes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1.50%</w:t>
            </w:r>
          </w:p>
        </w:tc>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FF0FC"/>
          </w:tcPr>
          <w:p>
            <w:pPr>
              <w:spacing w:after="0"/>
              <w:rPr>
                <w:sz w:val="19"/>
                <w:szCs w:val="19"/>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8"/>
                <w:szCs w:val="18"/>
                <w:color w:val="auto"/>
                <w:w w:val="90"/>
              </w:rPr>
              <w:t>3.00%</w:t>
            </w:r>
          </w:p>
        </w:tc>
        <w:tc>
          <w:tcPr>
            <w:tcW w:w="17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2.20%</w:t>
            </w:r>
          </w:p>
        </w:tc>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FF0FC"/>
          </w:tcPr>
          <w:p>
            <w:pPr>
              <w:spacing w:after="0"/>
              <w:rPr>
                <w:sz w:val="19"/>
                <w:szCs w:val="19"/>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8"/>
                <w:szCs w:val="18"/>
                <w:color w:val="auto"/>
                <w:w w:val="90"/>
              </w:rPr>
              <w:t>3.30%</w:t>
            </w:r>
          </w:p>
        </w:tc>
        <w:tc>
          <w:tcPr>
            <w:tcW w:w="17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4.20%</w:t>
            </w:r>
          </w:p>
        </w:tc>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FF0FC"/>
          </w:tcPr>
          <w:p>
            <w:pPr>
              <w:spacing w:after="0"/>
              <w:rPr>
                <w:sz w:val="19"/>
                <w:szCs w:val="19"/>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8"/>
                <w:szCs w:val="18"/>
                <w:color w:val="auto"/>
                <w:w w:val="90"/>
              </w:rPr>
              <w:t>4.50%</w:t>
            </w:r>
          </w:p>
        </w:tc>
        <w:tc>
          <w:tcPr>
            <w:tcW w:w="1720" w:type="dxa"/>
            <w:vAlign w:val="bottom"/>
          </w:tcPr>
          <w:p>
            <w:pPr>
              <w:ind w:left="20"/>
              <w:spacing w:after="0"/>
              <w:rPr>
                <w:sz w:val="20"/>
                <w:szCs w:val="20"/>
                <w:color w:val="auto"/>
              </w:rPr>
            </w:pPr>
            <w:r>
              <w:rPr>
                <w:rFonts w:ascii="Arial" w:cs="Arial" w:eastAsia="Arial" w:hAnsi="Arial"/>
                <w:sz w:val="18"/>
                <w:szCs w:val="18"/>
                <w:color w:val="auto"/>
              </w:rPr>
              <w:t>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2.40%</w:t>
            </w:r>
          </w:p>
        </w:tc>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FF0FC"/>
          </w:tcPr>
          <w:p>
            <w:pPr>
              <w:spacing w:after="0"/>
              <w:rPr>
                <w:sz w:val="19"/>
                <w:szCs w:val="19"/>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8"/>
                <w:szCs w:val="18"/>
                <w:color w:val="auto"/>
                <w:w w:val="90"/>
              </w:rPr>
              <w:t>3.63%</w:t>
            </w:r>
          </w:p>
        </w:tc>
        <w:tc>
          <w:tcPr>
            <w:tcW w:w="17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2.65%</w:t>
            </w:r>
          </w:p>
        </w:tc>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FF0FC"/>
          </w:tcPr>
          <w:p>
            <w:pPr>
              <w:spacing w:after="0"/>
              <w:rPr>
                <w:sz w:val="19"/>
                <w:szCs w:val="19"/>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8"/>
                <w:szCs w:val="18"/>
                <w:color w:val="auto"/>
                <w:w w:val="90"/>
              </w:rPr>
              <w:t>3.60%</w:t>
            </w:r>
          </w:p>
        </w:tc>
        <w:tc>
          <w:tcPr>
            <w:tcW w:w="1720" w:type="dxa"/>
            <w:vAlign w:val="bottom"/>
          </w:tcPr>
          <w:p>
            <w:pPr>
              <w:ind w:left="20"/>
              <w:spacing w:after="0"/>
              <w:rPr>
                <w:sz w:val="20"/>
                <w:szCs w:val="20"/>
                <w:color w:val="auto"/>
              </w:rPr>
            </w:pPr>
            <w:r>
              <w:rPr>
                <w:rFonts w:ascii="Arial" w:cs="Arial" w:eastAsia="Arial" w:hAnsi="Arial"/>
                <w:sz w:val="18"/>
                <w:szCs w:val="18"/>
                <w:color w:val="auto"/>
              </w:rPr>
              <w:t>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3.65%</w:t>
            </w:r>
          </w:p>
        </w:tc>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FF0FC"/>
          </w:tcPr>
          <w:p>
            <w:pPr>
              <w:spacing w:after="0"/>
              <w:rPr>
                <w:sz w:val="19"/>
                <w:szCs w:val="19"/>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8"/>
                <w:szCs w:val="18"/>
                <w:color w:val="auto"/>
                <w:w w:val="90"/>
              </w:rPr>
              <w:t>4.00%</w:t>
            </w:r>
          </w:p>
        </w:tc>
        <w:tc>
          <w:tcPr>
            <w:tcW w:w="1720" w:type="dxa"/>
            <w:vAlign w:val="bottom"/>
          </w:tcPr>
          <w:p>
            <w:pPr>
              <w:ind w:left="20"/>
              <w:spacing w:after="0"/>
              <w:rPr>
                <w:sz w:val="20"/>
                <w:szCs w:val="20"/>
                <w:color w:val="auto"/>
              </w:rPr>
            </w:pPr>
            <w:r>
              <w:rPr>
                <w:rFonts w:ascii="Arial" w:cs="Arial" w:eastAsia="Arial" w:hAnsi="Arial"/>
                <w:sz w:val="18"/>
                <w:szCs w:val="18"/>
                <w:color w:val="auto"/>
              </w:rPr>
              <w:t>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3.70%</w:t>
            </w:r>
          </w:p>
        </w:tc>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8"/>
                <w:szCs w:val="18"/>
                <w:color w:val="auto"/>
                <w:w w:val="90"/>
              </w:rPr>
              <w:t>4.00%</w:t>
            </w:r>
          </w:p>
        </w:tc>
        <w:tc>
          <w:tcPr>
            <w:tcW w:w="17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1.00%</w:t>
            </w:r>
          </w:p>
        </w:tc>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FF0FC"/>
          </w:tcPr>
          <w:p>
            <w:pPr>
              <w:spacing w:after="0"/>
              <w:rPr>
                <w:sz w:val="19"/>
                <w:szCs w:val="19"/>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8"/>
                <w:szCs w:val="18"/>
                <w:color w:val="auto"/>
                <w:w w:val="90"/>
              </w:rPr>
              <w:t>7.00%</w:t>
            </w:r>
          </w:p>
        </w:tc>
        <w:tc>
          <w:tcPr>
            <w:tcW w:w="1720" w:type="dxa"/>
            <w:vAlign w:val="bottom"/>
          </w:tcPr>
          <w:p>
            <w:pPr>
              <w:ind w:left="20"/>
              <w:spacing w:after="0"/>
              <w:rPr>
                <w:sz w:val="20"/>
                <w:szCs w:val="20"/>
                <w:color w:val="auto"/>
              </w:rPr>
            </w:pPr>
            <w:r>
              <w:rPr>
                <w:rFonts w:ascii="Arial" w:cs="Arial" w:eastAsia="Arial" w:hAnsi="Arial"/>
                <w:sz w:val="18"/>
                <w:szCs w:val="18"/>
                <w:color w:val="auto"/>
              </w:rPr>
              <w:t>Notes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5.95%</w:t>
            </w:r>
          </w:p>
        </w:tc>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9"/>
                <w:szCs w:val="19"/>
                <w:color w:val="auto"/>
              </w:rPr>
            </w:pPr>
          </w:p>
        </w:tc>
      </w:tr>
      <w:tr>
        <w:trPr>
          <w:trHeight w:val="225"/>
        </w:trPr>
        <w:tc>
          <w:tcPr>
            <w:tcW w:w="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0"/>
              </w:rPr>
              <w:t>5.13%</w:t>
            </w:r>
          </w:p>
        </w:tc>
        <w:tc>
          <w:tcPr>
            <w:tcW w:w="17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FF0FC"/>
            </w:tcBorders>
          </w:tcPr>
          <w:p>
            <w:pPr>
              <w:spacing w:after="0"/>
              <w:rPr>
                <w:sz w:val="19"/>
                <w:szCs w:val="19"/>
                <w:color w:val="auto"/>
              </w:rPr>
            </w:pPr>
          </w:p>
        </w:tc>
      </w:tr>
      <w:tr>
        <w:trPr>
          <w:trHeight w:val="219"/>
        </w:trPr>
        <w:tc>
          <w:tcPr>
            <w:tcW w:w="2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fixed rate debt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shd w:val="clear" w:color="auto" w:fill="CFF0FC"/>
          </w:tcPr>
          <w:p>
            <w:pPr>
              <w:spacing w:after="0"/>
              <w:rPr>
                <w:sz w:val="19"/>
                <w:szCs w:val="19"/>
                <w:color w:val="auto"/>
              </w:rPr>
            </w:pPr>
          </w:p>
        </w:tc>
      </w:tr>
      <w:tr>
        <w:trPr>
          <w:trHeight w:val="226"/>
        </w:trPr>
        <w:tc>
          <w:tcPr>
            <w:tcW w:w="2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Variable rate debt</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FF0FC"/>
            </w:tcBorders>
          </w:tcPr>
          <w:p>
            <w:pPr>
              <w:spacing w:after="0"/>
              <w:rPr>
                <w:sz w:val="19"/>
                <w:szCs w:val="19"/>
                <w:color w:val="auto"/>
              </w:rPr>
            </w:pPr>
          </w:p>
        </w:tc>
      </w:tr>
      <w:tr>
        <w:trPr>
          <w:trHeight w:val="218"/>
        </w:trPr>
        <w:tc>
          <w:tcPr>
            <w:tcW w:w="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16,051</w:t>
            </w:r>
          </w:p>
        </w:tc>
        <w:tc>
          <w:tcPr>
            <w:tcW w:w="100" w:type="dxa"/>
            <w:vAlign w:val="bottom"/>
            <w:shd w:val="clear" w:color="auto" w:fill="CFF0FC"/>
          </w:tcPr>
          <w:p>
            <w:pPr>
              <w:spacing w:after="0"/>
              <w:rPr>
                <w:sz w:val="18"/>
                <w:szCs w:val="18"/>
                <w:color w:val="auto"/>
              </w:rPr>
            </w:pPr>
          </w:p>
        </w:tc>
      </w:tr>
      <w:tr>
        <w:trPr>
          <w:trHeight w:val="20"/>
        </w:trPr>
        <w:tc>
          <w:tcPr>
            <w:tcW w:w="48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fair market value of the outstanding fixed rate debt was approximately $13.1 billion as of December 31, 2018. The weighted average interest rate on the variable rate debt as of December 31, 2018 was 3.5%.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Schlumberger does not enter into derivatives for speculative purposes.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1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Form 10-K and other filings that we make with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 (LOSS)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5"/>
          </w:tcPr>
          <w:p>
            <w:pPr>
              <w:jc w:val="center"/>
              <w:spacing w:after="0"/>
              <w:rPr>
                <w:sz w:val="20"/>
                <w:szCs w:val="20"/>
                <w:color w:val="auto"/>
              </w:rPr>
            </w:pPr>
            <w:r>
              <w:rPr>
                <w:rFonts w:ascii="Arial" w:cs="Arial" w:eastAsia="Arial" w:hAnsi="Arial"/>
                <w:sz w:val="14"/>
                <w:szCs w:val="14"/>
                <w:i w:val="1"/>
                <w:iCs w:val="1"/>
                <w:color w:val="auto"/>
                <w:w w:val="91"/>
              </w:rPr>
              <w:t>(Stated in millions, except per share amounts</w:t>
            </w:r>
            <w:r>
              <w:rPr>
                <w:rFonts w:ascii="Arial" w:cs="Arial" w:eastAsia="Arial" w:hAnsi="Arial"/>
                <w:sz w:val="14"/>
                <w:szCs w:val="14"/>
                <w:color w:val="auto"/>
                <w:w w:val="91"/>
              </w:rPr>
              <w:t>)</w:t>
            </w:r>
          </w:p>
        </w:tc>
        <w:tc>
          <w:tcPr>
            <w:tcW w:w="0" w:type="dxa"/>
            <w:vAlign w:val="bottom"/>
          </w:tcPr>
          <w:p>
            <w:pPr>
              <w:spacing w:after="0"/>
              <w:rPr>
                <w:sz w:val="1"/>
                <w:szCs w:val="1"/>
                <w:color w:val="auto"/>
              </w:rPr>
            </w:pPr>
          </w:p>
        </w:tc>
      </w:tr>
      <w:tr>
        <w:trPr>
          <w:trHeight w:val="435"/>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rPr>
              <w:t>Services</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24,296</w:t>
            </w:r>
          </w:p>
        </w:tc>
        <w:tc>
          <w:tcPr>
            <w:tcW w:w="2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21,927</w:t>
            </w:r>
          </w:p>
        </w:tc>
        <w:tc>
          <w:tcPr>
            <w:tcW w:w="240" w:type="dxa"/>
            <w:vAlign w:val="bottom"/>
          </w:tcPr>
          <w:p>
            <w:pPr>
              <w:spacing w:after="0"/>
              <w:rPr>
                <w:sz w:val="19"/>
                <w:szCs w:val="19"/>
                <w:color w:val="auto"/>
              </w:rPr>
            </w:pPr>
          </w:p>
        </w:tc>
        <w:tc>
          <w:tcPr>
            <w:tcW w:w="300" w:type="dxa"/>
            <w:vAlign w:val="bottom"/>
          </w:tcPr>
          <w:p>
            <w:pPr>
              <w:jc w:val="center"/>
              <w:ind w:right="1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1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8,519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0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32,815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30,440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spacing w:after="0"/>
              <w:rPr>
                <w:sz w:val="20"/>
                <w:szCs w:val="20"/>
                <w:color w:val="auto"/>
              </w:rPr>
            </w:pPr>
            <w:r>
              <w:rPr>
                <w:rFonts w:ascii="Arial" w:cs="Arial" w:eastAsia="Arial" w:hAnsi="Arial"/>
                <w:sz w:val="18"/>
                <w:szCs w:val="18"/>
                <w:i w:val="1"/>
                <w:iCs w:val="1"/>
                <w:color w:val="auto"/>
              </w:rPr>
              <w:t>Gain on sale of business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Expenses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rPr>
              <w:t>Cost of services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20,618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7,860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rPr>
              <w:t>Research &amp; engineering</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&amp; administrative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rPr>
              <w:t>Impairments &amp; other</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Merger &amp; integration</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w:t>
            </w:r>
          </w:p>
        </w:tc>
        <w:tc>
          <w:tcPr>
            <w:tcW w:w="1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(loss) before taxes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2,624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(1,183)</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rPr>
              <w:t>Tax expense (benefit)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1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0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2,177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(1,513)</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rPr>
              <w:t>Net income (loss) attributable to noncontrolling interests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122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00" w:type="dxa"/>
            <w:vAlign w:val="bottom"/>
            <w:vMerge w:val="continue"/>
            <w:shd w:val="clear" w:color="auto" w:fill="CFF0FC"/>
          </w:tcPr>
          <w:p>
            <w:pPr>
              <w:spacing w:after="0"/>
              <w:rPr>
                <w:sz w:val="19"/>
                <w:szCs w:val="19"/>
                <w:color w:val="auto"/>
              </w:rPr>
            </w:pPr>
          </w:p>
        </w:tc>
        <w:tc>
          <w:tcPr>
            <w:tcW w:w="122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2,138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(1,505)</w:t>
            </w:r>
          </w:p>
        </w:tc>
        <w:tc>
          <w:tcPr>
            <w:tcW w:w="300" w:type="dxa"/>
            <w:vAlign w:val="bottom"/>
            <w:shd w:val="clear" w:color="auto" w:fill="CFF0FC"/>
          </w:tcPr>
          <w:p>
            <w:pPr>
              <w:jc w:val="center"/>
              <w:ind w:right="112"/>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(loss) per share of Schlumberger</w:t>
            </w:r>
          </w:p>
        </w:tc>
        <w:tc>
          <w:tcPr>
            <w:tcW w:w="1520" w:type="dxa"/>
            <w:vAlign w:val="bottom"/>
            <w:gridSpan w:val="2"/>
            <w:shd w:val="clear" w:color="auto" w:fill="CFF0FC"/>
          </w:tcPr>
          <w:p>
            <w:pPr>
              <w:jc w:val="right"/>
              <w:ind w:right="112"/>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FF0FC"/>
          </w:tcPr>
          <w:p>
            <w:pPr>
              <w:jc w:val="center"/>
              <w:ind w:right="112"/>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(loss) per share of Schlumberger</w:t>
            </w:r>
          </w:p>
        </w:tc>
        <w:tc>
          <w:tcPr>
            <w:tcW w:w="1520" w:type="dxa"/>
            <w:vAlign w:val="bottom"/>
            <w:gridSpan w:val="2"/>
            <w:shd w:val="clear" w:color="auto" w:fill="CFF0FC"/>
          </w:tcPr>
          <w:p>
            <w:pPr>
              <w:jc w:val="right"/>
              <w:ind w:right="112"/>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FF0FC"/>
          </w:tcPr>
          <w:p>
            <w:pPr>
              <w:jc w:val="center"/>
              <w:ind w:right="112"/>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ind w:left="24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Assuming dilution</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5"/>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2,177</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5"/>
        </w:trPr>
        <w:tc>
          <w:tcPr>
            <w:tcW w:w="590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arising during the period</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5"/>
        </w:trPr>
        <w:tc>
          <w:tcPr>
            <w:tcW w:w="590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arising during the period</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gain (loss) on cash flow hedges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6"/>
        </w:trPr>
        <w:tc>
          <w:tcPr>
            <w:tcW w:w="5900" w:type="dxa"/>
            <w:vAlign w:val="bottom"/>
          </w:tcPr>
          <w:p>
            <w:pPr>
              <w:ind w:left="240"/>
              <w:spacing w:after="0"/>
              <w:rPr>
                <w:sz w:val="20"/>
                <w:szCs w:val="20"/>
                <w:color w:val="auto"/>
              </w:rPr>
            </w:pPr>
            <w:r>
              <w:rPr>
                <w:rFonts w:ascii="Arial" w:cs="Arial" w:eastAsia="Arial" w:hAnsi="Arial"/>
                <w:sz w:val="18"/>
                <w:szCs w:val="18"/>
                <w:color w:val="auto"/>
              </w:rPr>
              <w:t>Reclassification to net income (loss) of net realized loss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tcPr>
          <w:p>
            <w:pPr>
              <w:ind w:left="260"/>
              <w:spacing w:after="0"/>
              <w:rPr>
                <w:sz w:val="20"/>
                <w:szCs w:val="20"/>
                <w:color w:val="auto"/>
              </w:rPr>
            </w:pPr>
            <w:r>
              <w:rPr>
                <w:rFonts w:ascii="Arial" w:cs="Arial" w:eastAsia="Arial" w:hAnsi="Arial"/>
                <w:sz w:val="18"/>
                <w:szCs w:val="18"/>
                <w:color w:val="auto"/>
              </w:rPr>
              <w:t>Actuarial gain (loss) arising during the period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6"/>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(loss) of net actuarial loss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tcPr>
          <w:p>
            <w:pPr>
              <w:ind w:left="260"/>
              <w:spacing w:after="0"/>
              <w:rPr>
                <w:sz w:val="20"/>
                <w:szCs w:val="20"/>
                <w:color w:val="auto"/>
              </w:rPr>
            </w:pPr>
            <w:r>
              <w:rPr>
                <w:rFonts w:ascii="Arial" w:cs="Arial" w:eastAsia="Arial" w:hAnsi="Arial"/>
                <w:sz w:val="18"/>
                <w:szCs w:val="18"/>
                <w:color w:val="auto"/>
              </w:rPr>
              <w:t>Amortization to net income (loss) of net prior service cost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 on pension and other postretirement benefit plans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i w:val="1"/>
                <w:iCs w:val="1"/>
                <w:color w:val="auto"/>
              </w:rPr>
              <w:t>Comprehensive income (loss)</w:t>
            </w: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0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(1,144)</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6"/>
        </w:trPr>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8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1,899</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5"/>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Receivables less allowance for doubtful accounts (2018 - $249; 2017 - $241)</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7,881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4,010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1,063</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15,731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11,679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24,931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8,727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70,507</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10,223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Estimated liability for taxes on income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borrowings and current portion of long-term debt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1,407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payable</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13,486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14,644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1,153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Deferred Taxes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33,921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13,132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Treasury stock</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(4,006)</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31,658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(4,622)</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Schlumberger stockholders' equity</w:t>
            </w: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36,162</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36,586</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70,507</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368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31"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6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303"/>
        </w:trPr>
        <w:tc>
          <w:tcPr>
            <w:tcW w:w="630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color w:val="auto"/>
              </w:rPr>
              <w:t>2017</w:t>
            </w:r>
          </w:p>
        </w:tc>
        <w:tc>
          <w:tcPr>
            <w:tcW w:w="8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color w:val="auto"/>
              </w:rPr>
              <w:t>2016</w:t>
            </w:r>
          </w:p>
        </w:tc>
        <w:tc>
          <w:tcPr>
            <w:tcW w:w="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960" w:type="dxa"/>
            <w:vAlign w:val="bottom"/>
            <w:gridSpan w:val="2"/>
          </w:tcPr>
          <w:p>
            <w:pPr>
              <w:jc w:val="right"/>
              <w:ind w:right="66"/>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2,177</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(1,513)</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600"/>
              <w:spacing w:after="0"/>
              <w:rPr>
                <w:sz w:val="20"/>
                <w:szCs w:val="20"/>
                <w:color w:val="auto"/>
              </w:rPr>
            </w:pPr>
            <w:r>
              <w:rPr>
                <w:rFonts w:ascii="Arial" w:cs="Arial" w:eastAsia="Arial" w:hAnsi="Arial"/>
                <w:sz w:val="16"/>
                <w:szCs w:val="16"/>
                <w:color w:val="auto"/>
              </w:rPr>
              <w:t>Impairments and other charges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600"/>
              <w:spacing w:after="0"/>
              <w:rPr>
                <w:sz w:val="20"/>
                <w:szCs w:val="20"/>
                <w:color w:val="auto"/>
              </w:rPr>
            </w:pPr>
            <w:r>
              <w:rPr>
                <w:rFonts w:ascii="Arial" w:cs="Arial" w:eastAsia="Arial" w:hAnsi="Arial"/>
                <w:sz w:val="16"/>
                <w:szCs w:val="16"/>
                <w:color w:val="auto"/>
              </w:rPr>
              <w:t>Gain on sale of WesternGeco marine seismic acquisition business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(215)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600"/>
              <w:spacing w:after="0" w:line="212"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4"/>
                <w:szCs w:val="24"/>
                <w:color w:val="auto"/>
                <w:vertAlign w:val="superscript"/>
              </w:rPr>
              <w:t>(1)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3,556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FF0FC"/>
          </w:tcPr>
          <w:p>
            <w:pPr>
              <w:ind w:left="600"/>
              <w:spacing w:after="0"/>
              <w:rPr>
                <w:sz w:val="20"/>
                <w:szCs w:val="20"/>
                <w:color w:val="auto"/>
              </w:rPr>
            </w:pPr>
            <w:r>
              <w:rPr>
                <w:rFonts w:ascii="Arial" w:cs="Arial" w:eastAsia="Arial" w:hAnsi="Arial"/>
                <w:sz w:val="16"/>
                <w:szCs w:val="16"/>
                <w:color w:val="auto"/>
              </w:rPr>
              <w:t>Pension and other postretirement benefits expense</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600"/>
              <w:spacing w:after="0"/>
              <w:rPr>
                <w:sz w:val="20"/>
                <w:szCs w:val="20"/>
                <w:color w:val="auto"/>
              </w:rPr>
            </w:pPr>
            <w:r>
              <w:rPr>
                <w:rFonts w:ascii="Arial" w:cs="Arial" w:eastAsia="Arial" w:hAnsi="Arial"/>
                <w:sz w:val="16"/>
                <w:szCs w:val="16"/>
                <w:color w:val="auto"/>
              </w:rPr>
              <w:t>Stock-based compensation expense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600"/>
              <w:spacing w:after="0"/>
              <w:rPr>
                <w:sz w:val="20"/>
                <w:szCs w:val="20"/>
                <w:color w:val="auto"/>
              </w:rPr>
            </w:pPr>
            <w:r>
              <w:rPr>
                <w:rFonts w:ascii="Arial" w:cs="Arial" w:eastAsia="Arial" w:hAnsi="Arial"/>
                <w:sz w:val="16"/>
                <w:szCs w:val="16"/>
                <w:color w:val="auto"/>
              </w:rPr>
              <w:t>Pension and other postretirement benefits funding</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0"/>
        </w:trPr>
        <w:tc>
          <w:tcPr>
            <w:tcW w:w="6300" w:type="dxa"/>
            <w:vAlign w:val="bottom"/>
          </w:tcPr>
          <w:p>
            <w:pPr>
              <w:ind w:left="600"/>
              <w:spacing w:after="0"/>
              <w:rPr>
                <w:sz w:val="20"/>
                <w:szCs w:val="20"/>
                <w:color w:val="auto"/>
              </w:rPr>
            </w:pPr>
            <w:r>
              <w:rPr>
                <w:rFonts w:ascii="Arial" w:cs="Arial" w:eastAsia="Arial" w:hAnsi="Arial"/>
                <w:sz w:val="16"/>
                <w:szCs w:val="16"/>
                <w:color w:val="auto"/>
              </w:rPr>
              <w:t>Earnings of equity method investments, less dividends received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240"/>
              <w:spacing w:after="0" w:line="214"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4"/>
                <w:szCs w:val="24"/>
                <w:color w:val="auto"/>
                <w:vertAlign w:val="superscript"/>
              </w:rPr>
              <w:t>(2)</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600"/>
              <w:spacing w:after="0"/>
              <w:rPr>
                <w:sz w:val="20"/>
                <w:szCs w:val="20"/>
                <w:color w:val="auto"/>
              </w:rPr>
            </w:pPr>
            <w:r>
              <w:rPr>
                <w:rFonts w:ascii="Arial" w:cs="Arial" w:eastAsia="Arial" w:hAnsi="Arial"/>
                <w:sz w:val="16"/>
                <w:szCs w:val="16"/>
                <w:color w:val="auto"/>
              </w:rPr>
              <w:t>Decrease (increase) in receivables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inventories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600"/>
              <w:spacing w:after="0"/>
              <w:rPr>
                <w:sz w:val="20"/>
                <w:szCs w:val="20"/>
                <w:color w:val="auto"/>
              </w:rPr>
            </w:pPr>
            <w:r>
              <w:rPr>
                <w:rFonts w:ascii="Arial" w:cs="Arial" w:eastAsia="Arial" w:hAnsi="Arial"/>
                <w:sz w:val="16"/>
                <w:szCs w:val="16"/>
                <w:color w:val="auto"/>
              </w:rPr>
              <w:t>Decrease (increase) in other current assets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other assets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10"/>
        </w:trPr>
        <w:tc>
          <w:tcPr>
            <w:tcW w:w="6300" w:type="dxa"/>
            <w:vAlign w:val="bottom"/>
          </w:tcPr>
          <w:p>
            <w:pPr>
              <w:ind w:left="600"/>
              <w:spacing w:after="0"/>
              <w:rPr>
                <w:sz w:val="20"/>
                <w:szCs w:val="20"/>
                <w:color w:val="auto"/>
              </w:rPr>
            </w:pPr>
            <w:r>
              <w:rPr>
                <w:rFonts w:ascii="Arial" w:cs="Arial" w:eastAsia="Arial" w:hAnsi="Arial"/>
                <w:sz w:val="16"/>
                <w:szCs w:val="16"/>
                <w:color w:val="auto"/>
              </w:rPr>
              <w:t>Decrease in accounts payable and accrued liabilities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increase in estimated liability for taxes on income</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(159)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0"/>
        </w:trPr>
        <w:tc>
          <w:tcPr>
            <w:tcW w:w="6300" w:type="dxa"/>
            <w:vAlign w:val="bottom"/>
          </w:tcPr>
          <w:p>
            <w:pPr>
              <w:ind w:left="600"/>
              <w:spacing w:after="0"/>
              <w:rPr>
                <w:sz w:val="20"/>
                <w:szCs w:val="20"/>
                <w:color w:val="auto"/>
              </w:rPr>
            </w:pPr>
            <w:r>
              <w:rPr>
                <w:rFonts w:ascii="Arial" w:cs="Arial" w:eastAsia="Arial" w:hAnsi="Arial"/>
                <w:sz w:val="16"/>
                <w:szCs w:val="16"/>
                <w:color w:val="auto"/>
              </w:rPr>
              <w:t>Increase (decrease) in other liabilities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600"/>
              <w:spacing w:after="0"/>
              <w:rPr>
                <w:sz w:val="20"/>
                <w:szCs w:val="20"/>
                <w:color w:val="auto"/>
              </w:rPr>
            </w:pPr>
            <w:r>
              <w:rPr>
                <w:rFonts w:ascii="Arial" w:cs="Arial" w:eastAsia="Arial" w:hAnsi="Arial"/>
                <w:sz w:val="16"/>
                <w:szCs w:val="16"/>
                <w:color w:val="auto"/>
              </w:rPr>
              <w:t>Other</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74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5,713</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5,663</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(2,107)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SPM investments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(981)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(1,609)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6"/>
                <w:szCs w:val="16"/>
                <w:color w:val="auto"/>
              </w:rPr>
              <w:t>Multiclient seismic data capitalized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Business acquisitions and investments, net of cash acquired</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(292)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(847)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(2,398)</w:t>
            </w:r>
          </w:p>
        </w:tc>
        <w:tc>
          <w:tcPr>
            <w:tcW w:w="0" w:type="dxa"/>
            <w:vAlign w:val="bottom"/>
          </w:tcPr>
          <w:p>
            <w:pPr>
              <w:spacing w:after="0"/>
              <w:rPr>
                <w:sz w:val="1"/>
                <w:szCs w:val="1"/>
                <w:color w:val="auto"/>
              </w:rPr>
            </w:pPr>
          </w:p>
        </w:tc>
      </w:tr>
      <w:tr>
        <w:trPr>
          <w:trHeight w:val="210"/>
        </w:trPr>
        <w:tc>
          <w:tcPr>
            <w:tcW w:w="6300" w:type="dxa"/>
            <w:vAlign w:val="bottom"/>
          </w:tcPr>
          <w:p>
            <w:pPr>
              <w:ind w:left="340"/>
              <w:spacing w:after="0"/>
              <w:rPr>
                <w:sz w:val="20"/>
                <w:szCs w:val="20"/>
                <w:color w:val="auto"/>
              </w:rPr>
            </w:pPr>
            <w:r>
              <w:rPr>
                <w:rFonts w:ascii="Arial" w:cs="Arial" w:eastAsia="Arial" w:hAnsi="Arial"/>
                <w:sz w:val="16"/>
                <w:szCs w:val="16"/>
                <w:color w:val="auto"/>
              </w:rPr>
              <w:t>Proceeds from sale of WesternGeco marine seismic business, net of cash divested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Sale of investments, net</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(1,040)</w:t>
            </w:r>
          </w:p>
        </w:tc>
        <w:tc>
          <w:tcPr>
            <w:tcW w:w="1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(1,779)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Dividends paid</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(2,770)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(2,778)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(2,647)</w:t>
            </w: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6"/>
                <w:szCs w:val="16"/>
                <w:color w:val="auto"/>
              </w:rPr>
              <w:t>Stock repurchase program</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6"/>
                <w:szCs w:val="16"/>
                <w:color w:val="auto"/>
              </w:rPr>
              <w:t>Repayment of long-term debt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(2,861)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(2,961)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(5,630)</w:t>
            </w: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Net decrease in short-term borrowings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(1,022)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(5,020)</w:t>
            </w:r>
          </w:p>
        </w:tc>
        <w:tc>
          <w:tcPr>
            <w:tcW w:w="1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(5,033)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(5,428)</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6"/>
                <w:szCs w:val="16"/>
                <w:color w:val="auto"/>
              </w:rPr>
              <w:t>Net (decrease) increase in cash before translation effect</w:t>
            </w: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(1,149)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7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1,433</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1,799</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520" w:hanging="514"/>
        <w:spacing w:after="0"/>
        <w:tabs>
          <w:tab w:leader="none" w:pos="5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22" w:lineRule="exact"/>
        <w:rPr>
          <w:rFonts w:ascii="Arial" w:cs="Arial" w:eastAsia="Arial" w:hAnsi="Arial"/>
          <w:sz w:val="26"/>
          <w:szCs w:val="26"/>
          <w:color w:val="auto"/>
          <w:vertAlign w:val="superscript"/>
        </w:rPr>
      </w:pPr>
    </w:p>
    <w:p>
      <w:pPr>
        <w:ind w:left="520" w:hanging="514"/>
        <w:spacing w:after="0" w:line="180" w:lineRule="auto"/>
        <w:tabs>
          <w:tab w:leader="none" w:pos="520" w:val="left"/>
        </w:tabs>
        <w:numPr>
          <w:ilvl w:val="0"/>
          <w:numId w:val="23"/>
        </w:numPr>
        <w:rPr>
          <w:rFonts w:ascii="Arial" w:cs="Arial" w:eastAsia="Arial" w:hAnsi="Arial"/>
          <w:sz w:val="22"/>
          <w:szCs w:val="22"/>
          <w:color w:val="auto"/>
          <w:vertAlign w:val="superscript"/>
        </w:rPr>
      </w:pPr>
      <w:r>
        <w:rPr>
          <w:rFonts w:ascii="Arial" w:cs="Arial" w:eastAsia="Arial" w:hAnsi="Arial"/>
          <w:sz w:val="13"/>
          <w:szCs w:val="13"/>
          <w:color w:val="auto"/>
        </w:rPr>
        <w:t>Net of the effect of business acquisitions and divestitures.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060"/>
          </w:cols>
          <w:pgMar w:left="240" w:top="121" w:right="599" w:bottom="1440" w:gutter="0" w:footer="0" w:header="0"/>
        </w:sectPr>
      </w:pPr>
    </w:p>
    <w:bookmarkStart w:id="31" w:name="page32"/>
    <w:bookmarkEnd w:id="31"/>
    <w:p>
      <w:pPr>
        <w:jc w:val="center"/>
        <w:ind w:right="1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w w:val="92"/>
              </w:rPr>
              <w:t>(Stated in millions)</w:t>
            </w:r>
          </w:p>
        </w:tc>
      </w:tr>
      <w:tr>
        <w:trPr>
          <w:trHeight w:val="294"/>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9"/>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9"/>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Noncontrolling</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47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w w:val="92"/>
              </w:rPr>
              <w:t>In Treasury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4740" w:type="dxa"/>
            <w:vAlign w:val="bottom"/>
            <w:tcBorders>
              <w:top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2016</w:t>
            </w:r>
          </w:p>
        </w:tc>
        <w:tc>
          <w:tcPr>
            <w:tcW w:w="160" w:type="dxa"/>
            <w:vAlign w:val="bottom"/>
            <w:tcBorders>
              <w:top w:val="single" w:sz="8" w:color="auto"/>
            </w:tcBorders>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12,693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(13,372)</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40,870</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(4,558)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272</w:t>
            </w: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35,905</w:t>
            </w:r>
          </w:p>
        </w:tc>
        <w:tc>
          <w:tcPr>
            <w:tcW w:w="120" w:type="dxa"/>
            <w:vAlign w:val="bottom"/>
            <w:tcBorders>
              <w:top w:val="single" w:sz="8" w:color="CFF0FC"/>
            </w:tcBorders>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(1,687)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(1,627)</w:t>
            </w: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(83)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(83)</w:t>
            </w: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Changes in fair value of cash flow hedges</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20</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w:t>
            </w: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(82)</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266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184</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Vesting of restricted stock</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(55)</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286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231</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Stock repurchase program</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(778)</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(778)</w:t>
            </w: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267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267</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Dividends declared ($2.00 per share)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(2,713)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(2,713)</w:t>
            </w: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Acquisition of Cameron International Corporation</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9,924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10,027</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Acquisition of noncontrolling interest</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106</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Other</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13</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3"/>
                <w:szCs w:val="13"/>
                <w:color w:val="auto"/>
              </w:rPr>
            </w:pPr>
          </w:p>
        </w:tc>
      </w:tr>
      <w:tr>
        <w:trPr>
          <w:trHeight w:val="153"/>
        </w:trPr>
        <w:tc>
          <w:tcPr>
            <w:tcW w:w="4740" w:type="dxa"/>
            <w:vAlign w:val="bottom"/>
          </w:tcPr>
          <w:p>
            <w:pPr>
              <w:spacing w:after="0" w:line="153" w:lineRule="exact"/>
              <w:rPr>
                <w:sz w:val="20"/>
                <w:szCs w:val="20"/>
                <w:color w:val="auto"/>
              </w:rPr>
            </w:pPr>
            <w:r>
              <w:rPr>
                <w:rFonts w:ascii="Arial" w:cs="Arial" w:eastAsia="Arial" w:hAnsi="Arial"/>
                <w:sz w:val="14"/>
                <w:szCs w:val="14"/>
                <w:color w:val="auto"/>
              </w:rPr>
              <w:t>Balance, December 31, 2016</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12,801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(3,550)</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36,470</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(4,643)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451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41,529</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Net loss</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(1,505)</w:t>
            </w: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(8)</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(1,513)</w:t>
            </w: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Currency translation adjustments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w:t>
            </w: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(8)</w:t>
            </w: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Changes in fair value of cash flow hedges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358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358</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85</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Vesting of restricted stock</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(110)</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110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264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212</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Stock repurchase program</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(969)</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(969)</w:t>
            </w: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343</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Dividends declared ($2.00 per share)</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(2,775)</w:t>
            </w: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(2,775)</w:t>
            </w: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w:t>
            </w:r>
          </w:p>
        </w:tc>
      </w:tr>
      <w:tr>
        <w:trPr>
          <w:trHeight w:val="153"/>
        </w:trPr>
        <w:tc>
          <w:tcPr>
            <w:tcW w:w="4740" w:type="dxa"/>
            <w:vAlign w:val="bottom"/>
            <w:tcBorders>
              <w:top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December 31, 2017</w:t>
            </w:r>
          </w:p>
        </w:tc>
        <w:tc>
          <w:tcPr>
            <w:tcW w:w="16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12,975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(4,049)</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32,190</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(4,274)</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419</w:t>
            </w: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37,261</w:t>
            </w:r>
          </w:p>
        </w:tc>
        <w:tc>
          <w:tcPr>
            <w:tcW w:w="120" w:type="dxa"/>
            <w:vAlign w:val="bottom"/>
            <w:tcBorders>
              <w:top w:val="single" w:sz="8" w:color="CFF0FC"/>
            </w:tcBorders>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2,138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2,177</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(191)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(196)</w:t>
            </w: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w:t>
            </w: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Changes in fair value of cash flow hedges</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(15)</w:t>
            </w: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w:t>
            </w: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(41)</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75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Vesting of restricted stock</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72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(67)</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294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227</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Stock repurchase program</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(400)</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(400)</w:t>
            </w: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345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345</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Dividends declared ($2.00 per share)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(2,770)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(2,770)</w:t>
            </w:r>
          </w:p>
        </w:tc>
      </w:tr>
      <w:tr>
        <w:trPr>
          <w:trHeight w:val="159"/>
        </w:trPr>
        <w:tc>
          <w:tcPr>
            <w:tcW w:w="474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Stranded tax related to US pension</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r>
      <w:tr>
        <w:trPr>
          <w:trHeight w:val="159"/>
        </w:trPr>
        <w:tc>
          <w:tcPr>
            <w:tcW w:w="4740" w:type="dxa"/>
            <w:vAlign w:val="bottom"/>
          </w:tcPr>
          <w:p>
            <w:pPr>
              <w:ind w:left="240"/>
              <w:spacing w:after="0" w:line="15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(44)</w:t>
            </w:r>
          </w:p>
        </w:tc>
      </w:tr>
      <w:tr>
        <w:trPr>
          <w:trHeight w:val="153"/>
        </w:trPr>
        <w:tc>
          <w:tcPr>
            <w:tcW w:w="474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December 31, 2018</w:t>
            </w:r>
          </w:p>
        </w:tc>
        <w:tc>
          <w:tcPr>
            <w:tcW w:w="160" w:type="dxa"/>
            <w:vAlign w:val="bottom"/>
            <w:tcBorders>
              <w:top w:val="single" w:sz="8" w:color="auto"/>
              <w:bottom w:val="single" w:sz="8" w:color="auto"/>
            </w:tcBorders>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13,132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(4,006)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31,658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(4,622)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424</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36,586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64"/>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0"/>
        </w:trPr>
        <w:tc>
          <w:tcPr>
            <w:tcW w:w="67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80"/>
              </w:rPr>
              <w:t>Issued</w:t>
            </w: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In Treasury</w:t>
            </w:r>
          </w:p>
        </w:tc>
        <w:tc>
          <w:tcPr>
            <w:tcW w:w="24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FF0FC"/>
            </w:tcBorders>
          </w:tcPr>
          <w:p>
            <w:pPr>
              <w:spacing w:after="0"/>
              <w:rPr>
                <w:sz w:val="20"/>
                <w:szCs w:val="20"/>
                <w:color w:val="auto"/>
              </w:rPr>
            </w:pPr>
          </w:p>
        </w:tc>
      </w:tr>
      <w:tr>
        <w:trPr>
          <w:trHeight w:val="21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(178)</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Acquisition of Cameron International Corporation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Stock repurchase program</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67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repurchase program</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0"/>
        </w:trPr>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672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38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Stock repurchase program</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67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44" w:lineRule="exact"/>
        <w:rPr>
          <w:sz w:val="20"/>
          <w:szCs w:val="20"/>
          <w:color w:val="auto"/>
        </w:rPr>
      </w:pPr>
    </w:p>
    <w:p>
      <w:pPr>
        <w:ind w:left="180" w:hanging="174"/>
        <w:spacing w:after="0"/>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Description</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Schlumberger Limited (Schlumberger N.V., incorporated in Curaçao) and its consolidated subsidiaries (collectively, “Schlumberger”) comprise the world’s leading supplier of technology for reservoir characterization, drilling, production and processing to the oil and gas industry.</w:t>
      </w:r>
    </w:p>
    <w:p>
      <w:pPr>
        <w:spacing w:after="0" w:line="280" w:lineRule="exact"/>
        <w:rPr>
          <w:sz w:val="20"/>
          <w:szCs w:val="20"/>
          <w:color w:val="auto"/>
        </w:rPr>
      </w:pPr>
    </w:p>
    <w:p>
      <w:pPr>
        <w:ind w:left="220" w:hanging="214"/>
        <w:spacing w:after="0"/>
        <w:tabs>
          <w:tab w:leader="none" w:pos="2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Accounting Policies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have been prepared in accordance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the disclosure of contingent liabilities at the date of the financial statements and the reported amounts of revenue and expenses during the reporting period. On an ongoing basis, Schlumberger evaluates its estimates, including those related to collectibility of accounts receivable; revenue recognized for certain long-term construction-type contracts over time; recoverability of fixed assets, goodwill, intangible assets, Schlumberger Production Management investments and investments in affiliates; income taxes; multiclient seismic data; contingencies and actuarial assumptions for employee benefit plans. Schlumberger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w:t>
      </w:r>
      <w:r>
        <w:rPr>
          <w:rFonts w:ascii="Arial" w:cs="Arial" w:eastAsia="Arial" w:hAnsi="Arial"/>
          <w:sz w:val="15"/>
          <w:szCs w:val="15"/>
          <w:color w:val="auto"/>
        </w:rPr>
        <w:t>. This ASU amended the existing accounting standards for revenue recognition and requires companies to recognize revenue when control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promised goods or services is transferred to a customer at an amount that reflects the consideration a company expects to receive in exchange for those goods or services. Schlumberger adopted this ASU on January 1, 2018 using the modified retrospective transition method applied to those contracts which were not completed as of January 1, 2018. Prior period amounts have not been adjusted and continue to be reflected in accordance with Schlumberger’s historical accounting. The adoption of this ASU did not have a material impact on Schlumberger’s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Schlumberger recognizes revenue upon the transfer of control of promised products or services to customers at an amount that reflects the consideration it expects to receive in exchange for these products or services. The vast majority of Schlumberger’s services and product offerings are short-term in nature. The time between invoicing and when payment is due under these arrangements is generally between 30 to 60 days.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occasionally generated from contractual arrangements that include multiple performance obligations. Revenue from these arrangements is allocated to each performance obligation based on its relative standalone selling price. Standalone selling prices are generally determined based on the prices charged to customers or using expected costs plus margin.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18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Due to the nature of its businesses, Schlumberger does not have significant backlog. Total backlog was $2.7 billion at December 31, 2018, of which approximately 50% is expected to be recognized as revenue during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are comprised primarily of money market funds, time deposits, certificates of deposit, commercial paper, bonds and notes,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are denominated in US dollars and are stated at cost plus accrued interest, which approximates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xml:space="preserve">, Schlumberger does not consider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to be cash equivalents.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Affiliated Companies</w:t>
      </w:r>
    </w:p>
    <w:p>
      <w:pPr>
        <w:spacing w:after="0" w:line="11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5"/>
          <w:szCs w:val="15"/>
          <w:i w:val="1"/>
          <w:iCs w:val="1"/>
          <w:color w:val="auto"/>
        </w:rPr>
        <w:t>Interest and other income</w:t>
      </w:r>
      <w:r>
        <w:rPr>
          <w:rFonts w:ascii="Arial" w:cs="Arial" w:eastAsia="Arial" w:hAnsi="Arial"/>
          <w:sz w:val="15"/>
          <w:szCs w:val="15"/>
          <w:color w:val="auto"/>
        </w:rPr>
        <w:t>. Investments in privately held companies in which Schlumberger does not have the ability to exercise significant influence are accounted for using the cost method.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Equity and cost method investments are classified as </w:t>
      </w:r>
      <w:r>
        <w:rPr>
          <w:rFonts w:ascii="Arial" w:cs="Arial" w:eastAsia="Arial" w:hAnsi="Arial"/>
          <w:sz w:val="18"/>
          <w:szCs w:val="18"/>
          <w:i w:val="1"/>
          <w:iCs w:val="1"/>
          <w:color w:val="auto"/>
        </w:rPr>
        <w:t>Investments in Affiliated Companies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Schlumberger’s multiclient library consists of completed and in-process seismic surveys that are licensed on a nonexclusive basis. Schlumberger capitalizes costs directly incurred in acquiring and processing the multiclient seismic data. Such costs are charged to </w:t>
      </w:r>
      <w:r>
        <w:rPr>
          <w:rFonts w:ascii="Arial" w:cs="Arial" w:eastAsia="Arial" w:hAnsi="Arial"/>
          <w:sz w:val="18"/>
          <w:szCs w:val="18"/>
          <w:i w:val="1"/>
          <w:iCs w:val="1"/>
          <w:color w:val="auto"/>
        </w:rPr>
        <w:t>Cost of services</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 amortized value.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 Production Management</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Schlumberger Production Management (“SPM”) projects are focused on developing and managing production on behalf of Schlumberger’s clients under long-term agreements. Schlumberger will invest its own services and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compensated based upon cash flow generated or on a fee-per-barrel basis. This includes certain arrangements whereby Schlumberger is only compensated based upon incremental production it helps deliver above a mutually agreed baseline. Revenue from SPM arrangements, which is recognized as the related production is achieved, represented less than 5% of Schlumberger’s consolidated revenue during each of 2018, 2017 and 2016.</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Schlumberger capitalizes its cash investments in a project as well as the direct costs associated with providing services or products for which Schlumberger will be compensated when the related production is achieved. These capitalized investments are amortized to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as the related production is achieved based on the units of production method, whereby each unit produced is assigned a pro-rata portion of the unamortized costs based on estimated total production, resulting in a matching of revenue with the applicable costs. Amortization expense relating to these capitalized investments was $568 million, $465 million and $449 million in 2018, 2017 and 2016, respectively.</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The unamortized portion of Schlumberger’s investments in SPM projects was $4.201 billion and $4.065 billion at December 31, 2018 and 2017, respectively.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2" w:lineRule="exact"/>
        <w:rPr>
          <w:sz w:val="20"/>
          <w:szCs w:val="20"/>
          <w:color w:val="auto"/>
        </w:rPr>
      </w:pPr>
    </w:p>
    <w:p>
      <w:pPr>
        <w:jc w:val="both"/>
        <w:ind w:right="20"/>
        <w:spacing w:after="0" w:line="313" w:lineRule="auto"/>
        <w:rPr>
          <w:sz w:val="20"/>
          <w:szCs w:val="20"/>
          <w:color w:val="auto"/>
        </w:rPr>
      </w:pPr>
      <w:r>
        <w:rPr>
          <w:rFonts w:ascii="Arial" w:cs="Arial" w:eastAsia="Arial" w:hAnsi="Arial"/>
          <w:sz w:val="15"/>
          <w:szCs w:val="15"/>
          <w:color w:val="auto"/>
        </w:rPr>
        <w:t>Schlumberger’s assets that are exposed to concentrations of credit risk consist primarily of cash, short-term investments, receivables from clients and derivative financial instruments. Schlumberger places its cash and short-term investments with financial institutions and corporations and limits the amount of credit exposure with any one of them. Schlumberger regularly evaluates the creditworthiness of the issuers in which it invests. By using derivative financial instruments to hedge certain exposures,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15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Schlumberger operates in more than 85 countries and as such, its accounts receivable are spread over many countries and customers. Accounts receivable in the United States represented 22% of Schlumberger’s accounts receivable balance at December 31, 2018. No other country accounted for greater than 10% of Schlumberger’s accounts receivable balance.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to diluted earnings (loss) per share of Schlumberger for each of the last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5"/>
          </w:tcPr>
          <w:p>
            <w:pPr>
              <w:jc w:val="center"/>
              <w:ind w:left="114"/>
              <w:spacing w:after="0"/>
              <w:rPr>
                <w:sz w:val="20"/>
                <w:szCs w:val="20"/>
                <w:color w:val="auto"/>
              </w:rPr>
            </w:pPr>
            <w:r>
              <w:rPr>
                <w:rFonts w:ascii="Arial" w:cs="Arial" w:eastAsia="Arial" w:hAnsi="Arial"/>
                <w:sz w:val="14"/>
                <w:szCs w:val="14"/>
                <w:i w:val="1"/>
                <w:iCs w:val="1"/>
                <w:color w:val="auto"/>
                <w:w w:val="91"/>
              </w:rPr>
              <w:t>(Stated in millions, except per share amounts)</w:t>
            </w:r>
          </w:p>
        </w:tc>
        <w:tc>
          <w:tcPr>
            <w:tcW w:w="0" w:type="dxa"/>
            <w:vAlign w:val="bottom"/>
          </w:tcPr>
          <w:p>
            <w:pPr>
              <w:spacing w:after="0"/>
              <w:rPr>
                <w:sz w:val="1"/>
                <w:szCs w:val="1"/>
                <w:color w:val="auto"/>
              </w:rPr>
            </w:pPr>
          </w:p>
        </w:tc>
      </w:tr>
      <w:tr>
        <w:trPr>
          <w:trHeight w:val="413"/>
        </w:trPr>
        <w:tc>
          <w:tcPr>
            <w:tcW w:w="6780" w:type="dxa"/>
            <w:vAlign w:val="bottom"/>
          </w:tcPr>
          <w:p>
            <w:pPr>
              <w:spacing w:after="0"/>
              <w:rPr>
                <w:sz w:val="24"/>
                <w:szCs w:val="24"/>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6"/>
                <w:szCs w:val="16"/>
                <w:color w:val="auto"/>
                <w:w w:val="91"/>
              </w:rPr>
              <w:t>Net Income (Loss)</w:t>
            </w: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Average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color w:val="auto"/>
                <w:w w:val="95"/>
              </w:rPr>
              <w:t>Attributable to</w:t>
            </w: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color w:val="auto"/>
                <w:w w:val="82"/>
              </w:rPr>
              <w:t>Shares</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w w:val="90"/>
              </w:rPr>
              <w:t>Earnings (Loss) per</w:t>
            </w:r>
          </w:p>
        </w:tc>
        <w:tc>
          <w:tcPr>
            <w:tcW w:w="0" w:type="dxa"/>
            <w:vAlign w:val="bottom"/>
          </w:tcPr>
          <w:p>
            <w:pPr>
              <w:spacing w:after="0"/>
              <w:rPr>
                <w:sz w:val="1"/>
                <w:szCs w:val="1"/>
                <w:color w:val="auto"/>
              </w:rPr>
            </w:pPr>
          </w:p>
        </w:tc>
      </w:tr>
      <w:tr>
        <w:trPr>
          <w:trHeight w:val="206"/>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color w:val="auto"/>
                <w:w w:val="90"/>
              </w:rPr>
              <w:t>Schlumberger</w:t>
            </w: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Outstanding</w:t>
            </w:r>
          </w:p>
        </w:tc>
        <w:tc>
          <w:tcPr>
            <w:tcW w:w="2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Share</w:t>
            </w:r>
          </w:p>
        </w:tc>
        <w:tc>
          <w:tcPr>
            <w:tcW w:w="0" w:type="dxa"/>
            <w:vAlign w:val="bottom"/>
          </w:tcPr>
          <w:p>
            <w:pPr>
              <w:spacing w:after="0"/>
              <w:rPr>
                <w:sz w:val="1"/>
                <w:szCs w:val="1"/>
                <w:color w:val="auto"/>
              </w:rPr>
            </w:pPr>
          </w:p>
        </w:tc>
      </w:tr>
      <w:tr>
        <w:trPr>
          <w:trHeight w:val="221"/>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2,138</w:t>
            </w:r>
          </w:p>
        </w:tc>
        <w:tc>
          <w:tcPr>
            <w:tcW w:w="260" w:type="dxa"/>
            <w:vAlign w:val="bottom"/>
            <w:tcBorders>
              <w:bottom w:val="single" w:sz="8" w:color="CFF0FC"/>
            </w:tcBorders>
          </w:tcPr>
          <w:p>
            <w:pPr>
              <w:spacing w:after="0"/>
              <w:rPr>
                <w:sz w:val="23"/>
                <w:szCs w:val="23"/>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1,385</w:t>
            </w:r>
          </w:p>
        </w:tc>
        <w:tc>
          <w:tcPr>
            <w:tcW w:w="26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FF0FC"/>
          </w:tcPr>
          <w:p>
            <w:pPr>
              <w:spacing w:after="0" w:line="204" w:lineRule="exact"/>
              <w:rPr>
                <w:sz w:val="20"/>
                <w:szCs w:val="20"/>
                <w:color w:val="auto"/>
              </w:rPr>
            </w:pPr>
            <w:r>
              <w:rPr>
                <w:rFonts w:ascii="Arial" w:cs="Arial" w:eastAsia="Arial" w:hAnsi="Arial"/>
                <w:sz w:val="18"/>
                <w:szCs w:val="18"/>
                <w:b w:val="1"/>
                <w:bCs w:val="1"/>
                <w:color w:val="auto"/>
              </w:rPr>
              <w:t>Assumed exercise of stock options</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Unvested restricted stock</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2,138</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1,393</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center"/>
              <w:ind w:right="113"/>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(1,505)</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113"/>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Assumed exercise of stock options</w:t>
            </w:r>
          </w:p>
        </w:tc>
        <w:tc>
          <w:tcPr>
            <w:tcW w:w="1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78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(1,505)</w:t>
            </w:r>
          </w:p>
        </w:tc>
        <w:tc>
          <w:tcPr>
            <w:tcW w:w="1340" w:type="dxa"/>
            <w:vAlign w:val="bottom"/>
          </w:tcPr>
          <w:p>
            <w:pPr>
              <w:jc w:val="right"/>
              <w:spacing w:after="0"/>
              <w:rPr>
                <w:sz w:val="20"/>
                <w:szCs w:val="20"/>
                <w:color w:val="auto"/>
              </w:rPr>
            </w:pPr>
            <w:r>
              <w:rPr>
                <w:rFonts w:ascii="Arial" w:cs="Arial" w:eastAsia="Arial" w:hAnsi="Arial"/>
                <w:sz w:val="18"/>
                <w:szCs w:val="18"/>
                <w:color w:val="auto"/>
              </w:rPr>
              <w:t>1,388</w:t>
            </w:r>
          </w:p>
        </w:tc>
        <w:tc>
          <w:tcPr>
            <w:tcW w:w="260" w:type="dxa"/>
            <w:vAlign w:val="bottom"/>
          </w:tcPr>
          <w:p>
            <w:pPr>
              <w:spacing w:after="0"/>
              <w:rPr>
                <w:sz w:val="22"/>
                <w:szCs w:val="22"/>
                <w:color w:val="auto"/>
              </w:rPr>
            </w:pPr>
          </w:p>
        </w:tc>
        <w:tc>
          <w:tcPr>
            <w:tcW w:w="280" w:type="dxa"/>
            <w:vAlign w:val="bottom"/>
          </w:tcPr>
          <w:p>
            <w:pPr>
              <w:jc w:val="center"/>
              <w:ind w:right="113"/>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6"/>
        </w:trPr>
        <w:tc>
          <w:tcPr>
            <w:tcW w:w="67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2016:</w:t>
            </w: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78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(1,687)</w:t>
            </w:r>
          </w:p>
        </w:tc>
        <w:tc>
          <w:tcPr>
            <w:tcW w:w="1340" w:type="dxa"/>
            <w:vAlign w:val="bottom"/>
          </w:tcPr>
          <w:p>
            <w:pPr>
              <w:jc w:val="right"/>
              <w:spacing w:after="0"/>
              <w:rPr>
                <w:sz w:val="20"/>
                <w:szCs w:val="20"/>
                <w:color w:val="auto"/>
              </w:rPr>
            </w:pPr>
            <w:r>
              <w:rPr>
                <w:rFonts w:ascii="Arial" w:cs="Arial" w:eastAsia="Arial" w:hAnsi="Arial"/>
                <w:sz w:val="18"/>
                <w:szCs w:val="18"/>
                <w:color w:val="auto"/>
              </w:rPr>
              <w:t>1,357</w:t>
            </w:r>
          </w:p>
        </w:tc>
        <w:tc>
          <w:tcPr>
            <w:tcW w:w="260" w:type="dxa"/>
            <w:vAlign w:val="bottom"/>
          </w:tcPr>
          <w:p>
            <w:pPr>
              <w:spacing w:after="0"/>
              <w:rPr>
                <w:sz w:val="23"/>
                <w:szCs w:val="23"/>
                <w:color w:val="auto"/>
              </w:rPr>
            </w:pPr>
          </w:p>
        </w:tc>
        <w:tc>
          <w:tcPr>
            <w:tcW w:w="280" w:type="dxa"/>
            <w:vAlign w:val="bottom"/>
          </w:tcPr>
          <w:p>
            <w:pPr>
              <w:jc w:val="center"/>
              <w:ind w:right="113"/>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6"/>
        </w:trPr>
        <w:tc>
          <w:tcPr>
            <w:tcW w:w="67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Assumed exercise of stock options</w:t>
            </w:r>
          </w:p>
        </w:tc>
        <w:tc>
          <w:tcPr>
            <w:tcW w:w="16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(1,687)</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113"/>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number of outstanding employee stock options to purchase shares of Schlumberger common stock and unvested restricted stock units that were not included in the computation of diluted earnings/loss per share, because to do so would have had an anti-dilutive effect,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31"/>
        </w:trPr>
        <w:tc>
          <w:tcPr>
            <w:tcW w:w="670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FF0FC"/>
            </w:tcBorders>
          </w:tcPr>
          <w:p>
            <w:pPr>
              <w:spacing w:after="0"/>
              <w:rPr>
                <w:sz w:val="24"/>
                <w:szCs w:val="24"/>
                <w:color w:val="auto"/>
              </w:rPr>
            </w:pPr>
          </w:p>
        </w:tc>
        <w:tc>
          <w:tcPr>
            <w:tcW w:w="138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44"/>
        </w:trPr>
        <w:tc>
          <w:tcPr>
            <w:tcW w:w="6700" w:type="dxa"/>
            <w:vAlign w:val="bottom"/>
          </w:tcPr>
          <w:p>
            <w:pPr>
              <w:jc w:val="right"/>
              <w:ind w:right="812"/>
              <w:spacing w:after="0"/>
              <w:rPr>
                <w:sz w:val="20"/>
                <w:szCs w:val="20"/>
                <w:color w:val="auto"/>
              </w:rPr>
            </w:pPr>
            <w:r>
              <w:rPr>
                <w:rFonts w:ascii="Arial" w:cs="Arial" w:eastAsia="Arial" w:hAnsi="Arial"/>
                <w:sz w:val="18"/>
                <w:szCs w:val="18"/>
                <w:color w:val="auto"/>
              </w:rPr>
              <w:t>36</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7"/>
        </w:trPr>
        <w:tc>
          <w:tcPr>
            <w:tcW w:w="67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764" w:right="219" w:bottom="1440" w:gutter="0" w:footer="0" w:header="0"/>
        </w:sectPr>
      </w:pPr>
    </w:p>
    <w:bookmarkStart w:id="36" w:name="page37"/>
    <w:bookmarkEnd w:id="36"/>
    <w:p>
      <w:pPr>
        <w:ind w:left="220" w:hanging="214"/>
        <w:spacing w:after="0"/>
        <w:tabs>
          <w:tab w:leader="none" w:pos="2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2018, 2017 and 2016: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18" w:lineRule="exact"/>
        <w:rPr>
          <w:sz w:val="20"/>
          <w:szCs w:val="20"/>
          <w:color w:val="auto"/>
        </w:rPr>
      </w:pPr>
    </w:p>
    <w:p>
      <w:pPr>
        <w:jc w:val="both"/>
        <w:ind w:left="740" w:hanging="362"/>
        <w:spacing w:after="0" w:line="27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During the fourth quarter of 2018, Schlumberger completed the divestiture of its marine seismic acquisition business to Shearwater GeoServices (“Shearwater”) for $600 million of cash and a 15% equity interest in Shearwater. As a result of this transaction, Schlumberger recognized a $215 million gain. This gain is classified in </w:t>
      </w:r>
      <w:r>
        <w:rPr>
          <w:rFonts w:ascii="Arial" w:cs="Arial" w:eastAsia="Arial" w:hAnsi="Arial"/>
          <w:sz w:val="17"/>
          <w:szCs w:val="17"/>
          <w:i w:val="1"/>
          <w:iCs w:val="1"/>
          <w:color w:val="auto"/>
        </w:rPr>
        <w:t>Gain on sale of business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p>
    <w:p>
      <w:pPr>
        <w:spacing w:after="0" w:line="64" w:lineRule="exact"/>
        <w:rPr>
          <w:rFonts w:ascii="Arial" w:cs="Arial" w:eastAsia="Arial" w:hAnsi="Arial"/>
          <w:sz w:val="17"/>
          <w:szCs w:val="17"/>
          <w:color w:val="auto"/>
        </w:rPr>
      </w:pPr>
    </w:p>
    <w:p>
      <w:pPr>
        <w:ind w:left="740" w:right="20" w:hanging="362"/>
        <w:spacing w:after="0" w:line="265"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During the fourth quarter of 2018, Schlumberger recorded $172 million of charges to fully impair certain long-lived assets. This amount is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740" w:hanging="362"/>
        <w:spacing w:after="0" w:line="295"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During the second quarter of 2018, Schlumberger recorded a $184 million charge associated with workforce reductions, primarily to further streamline its support cost structure. This charge is classified in </w:t>
      </w:r>
      <w:r>
        <w:rPr>
          <w:rFonts w:ascii="Arial" w:cs="Arial" w:eastAsia="Arial" w:hAnsi="Arial"/>
          <w:sz w:val="17"/>
          <w:szCs w:val="17"/>
          <w:i w:val="1"/>
          <w:iCs w:val="1"/>
          <w:color w:val="auto"/>
        </w:rPr>
        <w:t>Impairment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 and credits.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5180" w:type="dxa"/>
            <w:vAlign w:val="bottom"/>
            <w:tcBorders>
              <w:bottom w:val="single" w:sz="8" w:color="CFF0FC"/>
            </w:tcBorders>
          </w:tcPr>
          <w:p>
            <w:pPr>
              <w:spacing w:after="0"/>
              <w:rPr>
                <w:sz w:val="24"/>
                <w:szCs w:val="24"/>
                <w:color w:val="auto"/>
              </w:rPr>
            </w:pPr>
          </w:p>
        </w:tc>
        <w:tc>
          <w:tcPr>
            <w:tcW w:w="154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Tax</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24"/>
                <w:szCs w:val="24"/>
                <w:color w:val="auto"/>
              </w:rPr>
            </w:pPr>
          </w:p>
        </w:tc>
      </w:tr>
      <w:tr>
        <w:trPr>
          <w:trHeight w:val="21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marine seismic acquisition business</w:t>
            </w:r>
          </w:p>
        </w:tc>
        <w:tc>
          <w:tcPr>
            <w:tcW w:w="2500" w:type="dxa"/>
            <w:vAlign w:val="bottom"/>
            <w:gridSpan w:val="2"/>
            <w:shd w:val="clear" w:color="auto" w:fill="CFF0FC"/>
          </w:tcPr>
          <w:p>
            <w:pPr>
              <w:jc w:val="right"/>
              <w:ind w:right="77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w:t>
            </w: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w:t>
            </w:r>
          </w:p>
        </w:tc>
      </w:tr>
      <w:tr>
        <w:trPr>
          <w:trHeight w:val="225"/>
        </w:trPr>
        <w:tc>
          <w:tcPr>
            <w:tcW w:w="5180" w:type="dxa"/>
            <w:vAlign w:val="bottom"/>
          </w:tcPr>
          <w:p>
            <w:pPr>
              <w:spacing w:after="0"/>
              <w:rPr>
                <w:sz w:val="20"/>
                <w:szCs w:val="20"/>
                <w:color w:val="auto"/>
              </w:rPr>
            </w:pPr>
            <w:r>
              <w:rPr>
                <w:rFonts w:ascii="Arial" w:cs="Arial" w:eastAsia="Arial" w:hAnsi="Arial"/>
                <w:sz w:val="18"/>
                <w:szCs w:val="18"/>
                <w:color w:val="auto"/>
              </w:rPr>
              <w:t>Workforce reductions</w:t>
            </w:r>
          </w:p>
        </w:tc>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2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15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r>
      <w:tr>
        <w:trPr>
          <w:trHeight w:val="219"/>
        </w:trPr>
        <w:tc>
          <w:tcPr>
            <w:tcW w:w="5180" w:type="dxa"/>
            <w:vAlign w:val="bottom"/>
          </w:tcPr>
          <w:p>
            <w:pPr>
              <w:spacing w:after="0"/>
              <w:rPr>
                <w:sz w:val="19"/>
                <w:szCs w:val="19"/>
                <w:color w:val="auto"/>
              </w:rPr>
            </w:pPr>
          </w:p>
        </w:tc>
        <w:tc>
          <w:tcPr>
            <w:tcW w:w="250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18" w:lineRule="exact"/>
        <w:rPr>
          <w:sz w:val="20"/>
          <w:szCs w:val="20"/>
          <w:color w:val="auto"/>
        </w:rPr>
      </w:pPr>
    </w:p>
    <w:p>
      <w:pPr>
        <w:jc w:val="both"/>
        <w:ind w:left="740" w:hanging="362"/>
        <w:spacing w:after="0" w:line="251"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fourth quarter of 2017, Schlumberger decided to cease all future marine seismic acquisition activities, after satisfying its remaining contractual commitments. This decision resulted in a charge of $1.025 billion consisting of the following: $786 million write-down of the vessels to their estimated fair value; $78 million impairment of intangible assets; $59 million write-down of inventory, and $102 million of other related restructuring costs. The fair value of the vessels was determined based on unobservable inputs that required significant judgments. Schlumberger also recorded a $90 million impairment charge relating to its land seismic business.</w:t>
      </w:r>
    </w:p>
    <w:p>
      <w:pPr>
        <w:spacing w:after="0" w:line="85" w:lineRule="exact"/>
        <w:rPr>
          <w:rFonts w:ascii="Arial" w:cs="Arial" w:eastAsia="Arial" w:hAnsi="Arial"/>
          <w:sz w:val="18"/>
          <w:szCs w:val="18"/>
          <w:color w:val="auto"/>
        </w:rPr>
      </w:pPr>
    </w:p>
    <w:p>
      <w:pPr>
        <w:jc w:val="both"/>
        <w:ind w:left="740" w:hanging="362"/>
        <w:spacing w:after="0" w:line="255"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result of the unfavorable near-term outlook for exploration spending, Schlumberger determined in the fourth quarter of 2017 that the carrying value of certain multiclient seismic data, primarily related to the US Gulf of Mexico, was impaired, resulting in a $246 million charge that was estimated based on the projected present value of future cash flows these surveys are expected to generate.</w:t>
      </w:r>
    </w:p>
    <w:p>
      <w:pPr>
        <w:spacing w:after="0" w:line="83" w:lineRule="exact"/>
        <w:rPr>
          <w:rFonts w:ascii="Arial" w:cs="Arial" w:eastAsia="Arial" w:hAnsi="Arial"/>
          <w:sz w:val="18"/>
          <w:szCs w:val="18"/>
          <w:color w:val="auto"/>
        </w:rPr>
      </w:pPr>
    </w:p>
    <w:p>
      <w:pPr>
        <w:jc w:val="both"/>
        <w:ind w:left="740" w:hanging="362"/>
        <w:spacing w:after="0" w:line="272"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fourth quarter of 2017, Schlumberger determined that it was appropriate to write-down its investment in Venezuela, given the recent economic and political developments in the country which have created significant uncertainties regarding recoverability. As a result, Schlumberger recorded a charge of $938 million, reflecting $469 million of accounts receivable, a $105 million other-than-temporary impairment charge relating to certain promissory notes, $285 million of fixed assets and $79 million of other assets in the country.</w:t>
      </w:r>
    </w:p>
    <w:p>
      <w:pPr>
        <w:spacing w:after="0" w:line="69" w:lineRule="exact"/>
        <w:rPr>
          <w:rFonts w:ascii="Arial" w:cs="Arial" w:eastAsia="Arial" w:hAnsi="Arial"/>
          <w:sz w:val="17"/>
          <w:szCs w:val="17"/>
          <w:color w:val="auto"/>
        </w:rPr>
      </w:pPr>
    </w:p>
    <w:p>
      <w:pPr>
        <w:ind w:left="740" w:hanging="362"/>
        <w:spacing w:after="0" w:line="265"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fourth quarter of 2017, Schlumberger recorded a $245 million charge related to an estimated loss on a long-term surface facility construction project.</w:t>
      </w:r>
    </w:p>
    <w:p>
      <w:pPr>
        <w:spacing w:after="0" w:line="73" w:lineRule="exact"/>
        <w:rPr>
          <w:rFonts w:ascii="Arial" w:cs="Arial" w:eastAsia="Arial" w:hAnsi="Arial"/>
          <w:sz w:val="18"/>
          <w:szCs w:val="18"/>
          <w:color w:val="auto"/>
        </w:rPr>
      </w:pPr>
    </w:p>
    <w:p>
      <w:pPr>
        <w:ind w:left="740" w:hanging="362"/>
        <w:spacing w:after="0"/>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Schlumberger recorded $156 million of other restructuring charges during the fourth quarter of 2017, primarily relating to facility and other exit costs.</w:t>
      </w:r>
    </w:p>
    <w:p>
      <w:pPr>
        <w:spacing w:after="0" w:line="146" w:lineRule="exact"/>
        <w:rPr>
          <w:rFonts w:ascii="Arial" w:cs="Arial" w:eastAsia="Arial" w:hAnsi="Arial"/>
          <w:sz w:val="15"/>
          <w:szCs w:val="15"/>
          <w:color w:val="auto"/>
        </w:rPr>
      </w:pPr>
    </w:p>
    <w:p>
      <w:pPr>
        <w:ind w:left="740" w:hanging="362"/>
        <w:spacing w:after="0" w:line="265"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fourth quarter of 2017, Schlumberger recorded a $247 million charge associated with workforce reductions primarily to further streamline its support cost structure.</w:t>
      </w:r>
    </w:p>
    <w:p>
      <w:pPr>
        <w:spacing w:after="0" w:line="73" w:lineRule="exact"/>
        <w:rPr>
          <w:rFonts w:ascii="Arial" w:cs="Arial" w:eastAsia="Arial" w:hAnsi="Arial"/>
          <w:sz w:val="18"/>
          <w:szCs w:val="18"/>
          <w:color w:val="auto"/>
        </w:rPr>
      </w:pPr>
    </w:p>
    <w:p>
      <w:pPr>
        <w:jc w:val="both"/>
        <w:ind w:left="740" w:hanging="362"/>
        <w:spacing w:after="0" w:line="309" w:lineRule="auto"/>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On December 22, 2017, the US enacted the Tax Cuts and Jobs Act (the “Act”). The Act, which is also commonly referred to as “US tax reform,” significantly changes US corporate income tax laws by, among other things, reducing the US corporate income tax rate to 21% starting in 2018 and creating a territorial tax system with a one-time mandatory tax on previously deferred foreign earnings of US subsidiaries. As a result, Schlumberger recorded a net charge of $76 million during the fourth quarter of 2017. This amount, which is included in </w:t>
      </w:r>
      <w:r>
        <w:rPr>
          <w:rFonts w:ascii="Arial" w:cs="Arial" w:eastAsia="Arial" w:hAnsi="Arial"/>
          <w:sz w:val="15"/>
          <w:szCs w:val="15"/>
          <w:i w:val="1"/>
          <w:iCs w:val="1"/>
          <w:color w:val="auto"/>
        </w:rPr>
        <w:t>Tax expense (benefit)</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 of Income (Loss)</w:t>
      </w:r>
      <w:r>
        <w:rPr>
          <w:rFonts w:ascii="Arial" w:cs="Arial" w:eastAsia="Arial" w:hAnsi="Arial"/>
          <w:sz w:val="15"/>
          <w:szCs w:val="15"/>
          <w:color w:val="auto"/>
        </w:rPr>
        <w:t>, consists of two components: (i) a $410 million charge relating to the one-time mandatory tax on previously deferred</w:t>
      </w:r>
      <w:r>
        <w:rPr>
          <w:rFonts w:ascii="Arial" w:cs="Arial" w:eastAsia="Arial" w:hAnsi="Arial"/>
          <w:sz w:val="15"/>
          <w:szCs w:val="15"/>
          <w:i w:val="1"/>
          <w:iCs w:val="1"/>
          <w:color w:val="auto"/>
        </w:rPr>
        <w:t xml:space="preserve"> </w:t>
      </w:r>
      <w:r>
        <w:rPr>
          <w:rFonts w:ascii="Arial" w:cs="Arial" w:eastAsia="Arial" w:hAnsi="Arial"/>
          <w:sz w:val="15"/>
          <w:szCs w:val="15"/>
          <w:color w:val="auto"/>
        </w:rPr>
        <w:t>earnings of certain non-US subsidiaries that are owned either wholly or partially by a US subsidiary of Schlumberger, and (ii)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37" w:name="page38"/>
    <w:bookmarkEnd w:id="37"/>
    <w:p>
      <w:pPr>
        <w:jc w:val="both"/>
        <w:ind w:left="740"/>
        <w:spacing w:after="0" w:line="250" w:lineRule="auto"/>
        <w:rPr>
          <w:sz w:val="20"/>
          <w:szCs w:val="20"/>
          <w:color w:val="auto"/>
        </w:rPr>
      </w:pPr>
      <w:r>
        <w:rPr>
          <w:rFonts w:ascii="Arial" w:cs="Arial" w:eastAsia="Arial" w:hAnsi="Arial"/>
          <w:sz w:val="18"/>
          <w:szCs w:val="18"/>
          <w:color w:val="auto"/>
        </w:rPr>
        <w:t xml:space="preserve">a $334 million credit resulting from the remeasurement of Schlumberger’s net deferred tax liabilities in the US based on the new lower corporate income tax rate. Although the $76 million net charge represented what Schlumberger believed was a reasonable estimate of the impact of the income tax effects of the Act on Schlumberger’s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as of December 31, 2017, it was considered provisional. During 2018, Schlumberger finalized its accounting for this matter and concluded that no material adjustments were required. After considering the impact of foreign tax credits and tax losses, the resulting cash tax payable as a result of the one-time mandatory tax on previously deferred foreign earnings of Schlumberger’s US subsidiary will not be significant.</w:t>
      </w:r>
    </w:p>
    <w:p>
      <w:pPr>
        <w:spacing w:after="0" w:line="87" w:lineRule="exact"/>
        <w:rPr>
          <w:sz w:val="20"/>
          <w:szCs w:val="20"/>
          <w:color w:val="auto"/>
        </w:rPr>
      </w:pPr>
    </w:p>
    <w:p>
      <w:pPr>
        <w:jc w:val="both"/>
        <w:ind w:left="740" w:hanging="362"/>
        <w:spacing w:after="0" w:line="300" w:lineRule="auto"/>
        <w:tabs>
          <w:tab w:leader="none" w:pos="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During the second quarter of 2017, Schlumberger entered into a financing agreement with its primary customer in Venezuela. This agreement resulted in the exchange of $700 million of outstanding accounts receivable for promissory notes with a three-year term that bear interest at the rate of 6.50% per annum. Schlumberger recorded these notes at their estimated fair value on the date of the exchange, which resulted in a charge of $460 million.</w:t>
      </w:r>
    </w:p>
    <w:p>
      <w:pPr>
        <w:spacing w:after="0" w:line="1" w:lineRule="exact"/>
        <w:rPr>
          <w:rFonts w:ascii="Arial" w:cs="Arial" w:eastAsia="Arial" w:hAnsi="Arial"/>
          <w:sz w:val="15"/>
          <w:szCs w:val="15"/>
          <w:color w:val="auto"/>
        </w:rPr>
      </w:pPr>
    </w:p>
    <w:p>
      <w:pPr>
        <w:jc w:val="both"/>
        <w:ind w:left="740"/>
        <w:spacing w:after="0" w:line="249" w:lineRule="auto"/>
        <w:rPr>
          <w:rFonts w:ascii="Arial" w:cs="Arial" w:eastAsia="Arial" w:hAnsi="Arial"/>
          <w:sz w:val="15"/>
          <w:szCs w:val="15"/>
          <w:color w:val="auto"/>
        </w:rPr>
      </w:pPr>
      <w:r>
        <w:rPr>
          <w:rFonts w:ascii="Arial" w:cs="Arial" w:eastAsia="Arial" w:hAnsi="Arial"/>
          <w:sz w:val="18"/>
          <w:szCs w:val="18"/>
          <w:color w:val="auto"/>
        </w:rPr>
        <w:t>Following the $105 million other-than-temporary impairment charge described above, the new cost basis of these promissory notes was $135 million, which approximated their fair value at December 31, 2017. Schlumberger sold these promissory notes during the fourth quarter of 2018, which resulted in an immaterial loss.</w:t>
      </w:r>
    </w:p>
    <w:p>
      <w:pPr>
        <w:spacing w:after="0" w:line="87" w:lineRule="exact"/>
        <w:rPr>
          <w:rFonts w:ascii="Arial" w:cs="Arial" w:eastAsia="Arial" w:hAnsi="Arial"/>
          <w:sz w:val="15"/>
          <w:szCs w:val="15"/>
          <w:color w:val="auto"/>
        </w:rPr>
      </w:pPr>
    </w:p>
    <w:p>
      <w:pPr>
        <w:ind w:left="740" w:right="40" w:hanging="362"/>
        <w:spacing w:after="0" w:line="366" w:lineRule="auto"/>
        <w:tabs>
          <w:tab w:leader="none" w:pos="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During the second quarter of 2017, Schlumberger entered into discussions with a customer relating to certain of its outstanding accounts receivable. As a result of these discussions, Schlumberger recorded a charge of $50 million to adjust these receivables to their estimated net realizable value.</w:t>
      </w:r>
    </w:p>
    <w:p>
      <w:pPr>
        <w:spacing w:after="0" w:line="4" w:lineRule="exact"/>
        <w:rPr>
          <w:rFonts w:ascii="Arial" w:cs="Arial" w:eastAsia="Arial" w:hAnsi="Arial"/>
          <w:sz w:val="15"/>
          <w:szCs w:val="15"/>
          <w:color w:val="auto"/>
        </w:rPr>
      </w:pPr>
    </w:p>
    <w:p>
      <w:pPr>
        <w:ind w:left="740" w:hanging="362"/>
        <w:spacing w:after="0" w:line="366" w:lineRule="auto"/>
        <w:tabs>
          <w:tab w:leader="none" w:pos="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 xml:space="preserve">Schlumberger recorded $308 million of charges during 2017 relating to employee benefits, facility closures and other merger and integration-related costs, primarily in connection with Schlumberger’s 2016 acquisition of Cameron International Corporation (“Cameron”) (See Note 4 – </w:t>
      </w:r>
      <w:r>
        <w:rPr>
          <w:rFonts w:ascii="Arial" w:cs="Arial" w:eastAsia="Arial" w:hAnsi="Arial"/>
          <w:sz w:val="15"/>
          <w:szCs w:val="15"/>
          <w:i w:val="1"/>
          <w:iCs w:val="1"/>
          <w:color w:val="auto"/>
        </w:rPr>
        <w:t>Acquisitions</w:t>
      </w:r>
      <w:r>
        <w:rPr>
          <w:rFonts w:ascii="Arial" w:cs="Arial" w:eastAsia="Arial" w:hAnsi="Arial"/>
          <w:sz w:val="15"/>
          <w:szCs w:val="15"/>
          <w:color w:val="auto"/>
        </w:rPr>
        <w:t>).</w:t>
      </w:r>
    </w:p>
    <w:p>
      <w:pPr>
        <w:spacing w:after="0" w:line="111" w:lineRule="exact"/>
        <w:rPr>
          <w:sz w:val="20"/>
          <w:szCs w:val="20"/>
          <w:color w:val="auto"/>
        </w:rPr>
      </w:pPr>
    </w:p>
    <w:p>
      <w:pPr>
        <w:ind w:left="380"/>
        <w:spacing w:after="0" w:line="265" w:lineRule="auto"/>
        <w:rPr>
          <w:sz w:val="20"/>
          <w:szCs w:val="20"/>
          <w:color w:val="auto"/>
        </w:rPr>
      </w:pPr>
      <w:r>
        <w:rPr>
          <w:rFonts w:ascii="Arial" w:cs="Arial" w:eastAsia="Arial" w:hAnsi="Arial"/>
          <w:sz w:val="18"/>
          <w:szCs w:val="18"/>
          <w:color w:val="auto"/>
        </w:rPr>
        <w:t xml:space="preserve">The following is a summary of these charges and credits, of which $3.211 billion were classified as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$245 million were classified in </w:t>
      </w: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and $308 million were classified as</w:t>
      </w:r>
      <w:r>
        <w:rPr>
          <w:rFonts w:ascii="Arial" w:cs="Arial" w:eastAsia="Arial" w:hAnsi="Arial"/>
          <w:sz w:val="18"/>
          <w:szCs w:val="18"/>
          <w:i w:val="1"/>
          <w:iCs w:val="1"/>
          <w:color w:val="auto"/>
        </w:rPr>
        <w:t xml:space="preserve"> Merger &amp; integration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5"/>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Pretax</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w w:val="98"/>
              </w:rPr>
              <w:t>Interests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Net</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Impairment &amp; other</w:t>
            </w: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WesternGeco seismic restructuring charges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Venezuela investment write-down</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Promissory note fair value adjustment and other</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Workforce reductions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Multiclient seismic data impairment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restructuring charges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Cost of sales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loss on long-term construction project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Merger and integration-related costs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US tax reform charge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50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18" w:lineRule="exact"/>
        <w:rPr>
          <w:sz w:val="20"/>
          <w:szCs w:val="20"/>
          <w:color w:val="auto"/>
        </w:rPr>
      </w:pPr>
    </w:p>
    <w:p>
      <w:pPr>
        <w:jc w:val="both"/>
        <w:ind w:left="740" w:hanging="362"/>
        <w:spacing w:after="0" w:line="252"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Schlumberger reduced its workforce during the second quarter of 2016 as a result of persistent unfavorable oil and gas industry market conditions and the expected impact on customer activity levels. As a result, Schlumberger recorded a $646 million charge during the second quarter of 2016. During the fourth quarter of 2016, Schlumberger further reduced its workforce in order to streamline its support cost structure and recorded an additional $234 million charge associated with these actions.</w:t>
      </w:r>
    </w:p>
    <w:p>
      <w:pPr>
        <w:spacing w:after="0" w:line="86" w:lineRule="exact"/>
        <w:rPr>
          <w:rFonts w:ascii="Arial" w:cs="Arial" w:eastAsia="Arial" w:hAnsi="Arial"/>
          <w:sz w:val="18"/>
          <w:szCs w:val="18"/>
          <w:color w:val="auto"/>
        </w:rPr>
      </w:pPr>
    </w:p>
    <w:p>
      <w:pPr>
        <w:jc w:val="both"/>
        <w:ind w:left="740" w:right="20" w:hanging="362"/>
        <w:spacing w:after="0" w:line="25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fourth quarter of 2016, Schlumberger recorded $302 million of restructuring charges consisting of the following: $165 million of facility closure costs due to the expected sale of certain owned properties and the termination of certain facility leases; $98 million of asset write-offs associated with exiting certain activities; and $39 million of contract termination costs.</w:t>
      </w:r>
    </w:p>
    <w:p>
      <w:pPr>
        <w:spacing w:after="0" w:line="83" w:lineRule="exact"/>
        <w:rPr>
          <w:rFonts w:ascii="Arial" w:cs="Arial" w:eastAsia="Arial" w:hAnsi="Arial"/>
          <w:sz w:val="18"/>
          <w:szCs w:val="18"/>
          <w:color w:val="auto"/>
        </w:rPr>
      </w:pPr>
    </w:p>
    <w:p>
      <w:pPr>
        <w:ind w:left="740" w:hanging="362"/>
        <w:spacing w:after="0" w:line="26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fourth quarter of 2016, the Central Bank of Egypt took the decision to float its currency and the Egyptian pound devalued relative to the US dollar. As a result, Schlumberger recorded a $63 million devaluation charge during the fourth quarter of 2016.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jc w:val="both"/>
        <w:ind w:left="740" w:right="20" w:hanging="362"/>
        <w:spacing w:after="0" w:line="331" w:lineRule="auto"/>
        <w:tabs>
          <w:tab w:leader="none" w:pos="7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 a result of the unfavorable oil and gas industry market conditions that continued to deteriorate in the first half of 2016, and the related impact on 2016 first half operating results and expected customer activity levels, Schlumberger determined that the carrying values of certain assets were no longer recoverable and also took certain decisions that resulted in the following impairment and other charges during the second quarter of 2016:</w:t>
      </w:r>
    </w:p>
    <w:p>
      <w:pPr>
        <w:spacing w:after="0" w:line="29" w:lineRule="exact"/>
        <w:rPr>
          <w:rFonts w:ascii="Arial" w:cs="Arial" w:eastAsia="Arial" w:hAnsi="Arial"/>
          <w:sz w:val="15"/>
          <w:szCs w:val="15"/>
          <w:color w:val="auto"/>
        </w:rPr>
      </w:pPr>
    </w:p>
    <w:p>
      <w:pPr>
        <w:ind w:left="1220" w:hanging="364"/>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$209 million impairment of pressure pumping equipment in North America.</w:t>
      </w:r>
    </w:p>
    <w:p>
      <w:pPr>
        <w:spacing w:after="0" w:line="16" w:lineRule="exact"/>
        <w:rPr>
          <w:rFonts w:ascii="Arial" w:cs="Arial" w:eastAsia="Arial" w:hAnsi="Arial"/>
          <w:sz w:val="18"/>
          <w:szCs w:val="18"/>
          <w:color w:val="auto"/>
        </w:rPr>
      </w:pPr>
    </w:p>
    <w:p>
      <w:pPr>
        <w:ind w:left="1220" w:hanging="364"/>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$165 million impairment of facilities in North America.</w:t>
      </w:r>
    </w:p>
    <w:p>
      <w:pPr>
        <w:spacing w:after="0" w:line="5" w:lineRule="exact"/>
        <w:rPr>
          <w:rFonts w:ascii="Arial" w:cs="Arial" w:eastAsia="Arial" w:hAnsi="Arial"/>
          <w:sz w:val="18"/>
          <w:szCs w:val="18"/>
          <w:color w:val="auto"/>
        </w:rPr>
      </w:pPr>
    </w:p>
    <w:p>
      <w:pPr>
        <w:ind w:left="1220" w:hanging="364"/>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$684 million of other fixed asset impairments primarily relating to underutilized equipment.</w:t>
      </w:r>
    </w:p>
    <w:p>
      <w:pPr>
        <w:spacing w:after="0" w:line="5" w:lineRule="exact"/>
        <w:rPr>
          <w:rFonts w:ascii="Arial" w:cs="Arial" w:eastAsia="Arial" w:hAnsi="Arial"/>
          <w:sz w:val="18"/>
          <w:szCs w:val="18"/>
          <w:color w:val="auto"/>
        </w:rPr>
      </w:pPr>
    </w:p>
    <w:p>
      <w:pPr>
        <w:ind w:left="1220" w:hanging="364"/>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$616 million write-down of the carrying value of certain inventory to its net realizable value.</w:t>
      </w:r>
    </w:p>
    <w:p>
      <w:pPr>
        <w:spacing w:after="0" w:line="5" w:lineRule="exact"/>
        <w:rPr>
          <w:rFonts w:ascii="Arial" w:cs="Arial" w:eastAsia="Arial" w:hAnsi="Arial"/>
          <w:sz w:val="18"/>
          <w:szCs w:val="18"/>
          <w:color w:val="auto"/>
        </w:rPr>
      </w:pPr>
    </w:p>
    <w:p>
      <w:pPr>
        <w:ind w:left="1220" w:hanging="364"/>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$198 million impairment of certain multiclient seismic data, largely related to the US Gulf of Mexico.</w:t>
      </w:r>
    </w:p>
    <w:p>
      <w:pPr>
        <w:spacing w:after="0" w:line="5" w:lineRule="exact"/>
        <w:rPr>
          <w:rFonts w:ascii="Arial" w:cs="Arial" w:eastAsia="Arial" w:hAnsi="Arial"/>
          <w:sz w:val="18"/>
          <w:szCs w:val="18"/>
          <w:color w:val="auto"/>
        </w:rPr>
      </w:pPr>
    </w:p>
    <w:p>
      <w:pPr>
        <w:ind w:left="1220" w:hanging="364"/>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$55 million of other restructuring costs.</w:t>
      </w:r>
    </w:p>
    <w:p>
      <w:pPr>
        <w:spacing w:after="0" w:line="207" w:lineRule="exact"/>
        <w:rPr>
          <w:sz w:val="20"/>
          <w:szCs w:val="20"/>
          <w:color w:val="auto"/>
        </w:rPr>
      </w:pPr>
    </w:p>
    <w:p>
      <w:pPr>
        <w:ind w:left="760" w:right="20"/>
        <w:spacing w:after="0" w:line="295" w:lineRule="auto"/>
        <w:rPr>
          <w:sz w:val="20"/>
          <w:szCs w:val="20"/>
          <w:color w:val="auto"/>
        </w:rPr>
      </w:pPr>
      <w:r>
        <w:rPr>
          <w:rFonts w:ascii="Arial" w:cs="Arial" w:eastAsia="Arial" w:hAnsi="Arial"/>
          <w:sz w:val="17"/>
          <w:szCs w:val="17"/>
          <w:color w:val="auto"/>
        </w:rPr>
        <w:t>The fair value of the impaired fixed assets and multiclient seismic data was estimated based on the projected present value of future cash flows that these assets are expected to generate. Such estimates included unobservable inputs that required significant judgments.</w:t>
      </w:r>
    </w:p>
    <w:p>
      <w:pPr>
        <w:spacing w:after="0" w:line="50" w:lineRule="exact"/>
        <w:rPr>
          <w:sz w:val="20"/>
          <w:szCs w:val="20"/>
          <w:color w:val="auto"/>
        </w:rPr>
      </w:pPr>
    </w:p>
    <w:p>
      <w:pPr>
        <w:jc w:val="both"/>
        <w:ind w:left="740" w:right="20" w:hanging="362"/>
        <w:spacing w:after="0" w:line="251"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connection with Schlumberger’s acquisition of Cameron, Schlumberger recorded $349 million of charges consisting of the following: $83 million relating to employee benefits for change-in-control arrangements and retention bonuses; $45 million of transaction costs, including advisory and legal fees; $61 million of facility closure costs, and $160 million of other merger and integration-related costs. Additionally, Schlumberger recorded $299 million of charges relating to the amortization of purchase accounting adjustments associated with the write-up of acquired inventory to its estimated fair value.</w:t>
      </w:r>
    </w:p>
    <w:p>
      <w:pPr>
        <w:spacing w:after="0" w:line="192"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 xml:space="preserve">The following is a summary of these charges and credits, of which $3.172 billion were classified as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$349 million were classified as </w:t>
      </w:r>
      <w:r>
        <w:rPr>
          <w:rFonts w:ascii="Arial" w:cs="Arial" w:eastAsia="Arial" w:hAnsi="Arial"/>
          <w:sz w:val="18"/>
          <w:szCs w:val="18"/>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&amp; integration </w:t>
      </w:r>
      <w:r>
        <w:rPr>
          <w:rFonts w:ascii="Arial" w:cs="Arial" w:eastAsia="Arial" w:hAnsi="Arial"/>
          <w:sz w:val="18"/>
          <w:szCs w:val="18"/>
          <w:color w:val="auto"/>
        </w:rPr>
        <w:t>and $299 million were classified in</w:t>
      </w:r>
      <w:r>
        <w:rPr>
          <w:rFonts w:ascii="Arial" w:cs="Arial" w:eastAsia="Arial" w:hAnsi="Arial"/>
          <w:sz w:val="18"/>
          <w:szCs w:val="18"/>
          <w:i w:val="1"/>
          <w:iCs w:val="1"/>
          <w:color w:val="auto"/>
        </w:rPr>
        <w:t xml:space="preserve"> Cost of sales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4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Tax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Impairment &amp; other</w:t>
            </w:r>
          </w:p>
        </w:tc>
        <w:tc>
          <w:tcPr>
            <w:tcW w:w="19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Workforce reductions</w:t>
            </w:r>
          </w:p>
        </w:tc>
        <w:tc>
          <w:tcPr>
            <w:tcW w:w="28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880</w:t>
            </w:r>
          </w:p>
        </w:tc>
        <w:tc>
          <w:tcPr>
            <w:tcW w:w="120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fixed asset impairments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Inventory write-downs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 America pressure pumping asset impairments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Multiclient seismic data impairment</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Facility impairments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Facility closure costs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Costs associated with exiting certain activities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Currency devaluation loss in Egypt</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termination costs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Other restructuring charges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Merger &amp; integration</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Other merger and integration-related</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Merger-related employee benefits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ind w:left="240"/>
              <w:spacing w:after="0"/>
              <w:rPr>
                <w:sz w:val="20"/>
                <w:szCs w:val="20"/>
                <w:color w:val="auto"/>
              </w:rPr>
            </w:pPr>
            <w:r>
              <w:rPr>
                <w:rFonts w:ascii="Arial" w:cs="Arial" w:eastAsia="Arial" w:hAnsi="Arial"/>
                <w:sz w:val="18"/>
                <w:szCs w:val="18"/>
                <w:color w:val="auto"/>
              </w:rPr>
              <w:t>Facility closure costs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fees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tcPr>
          <w:p>
            <w:pPr>
              <w:spacing w:after="0"/>
              <w:rPr>
                <w:sz w:val="20"/>
                <w:szCs w:val="20"/>
                <w:color w:val="auto"/>
              </w:rPr>
            </w:pPr>
            <w:r>
              <w:rPr>
                <w:rFonts w:ascii="Arial" w:cs="Arial" w:eastAsia="Arial" w:hAnsi="Arial"/>
                <w:sz w:val="18"/>
                <w:szCs w:val="18"/>
                <w:i w:val="1"/>
                <w:iCs w:val="1"/>
                <w:color w:val="auto"/>
              </w:rPr>
              <w:t>Cost of sales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inventory fair value adjustment</w:t>
            </w:r>
          </w:p>
        </w:tc>
        <w:tc>
          <w:tcPr>
            <w:tcW w:w="19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80" w:type="dxa"/>
            <w:vAlign w:val="bottom"/>
          </w:tcPr>
          <w:p>
            <w:pPr>
              <w:spacing w:after="0"/>
              <w:rPr>
                <w:sz w:val="18"/>
                <w:szCs w:val="18"/>
                <w:color w:val="auto"/>
              </w:rPr>
            </w:pPr>
          </w:p>
        </w:tc>
        <w:tc>
          <w:tcPr>
            <w:tcW w:w="28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3,820</w:t>
            </w:r>
          </w:p>
        </w:tc>
        <w:tc>
          <w:tcPr>
            <w:tcW w:w="120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20" w:type="dxa"/>
            <w:vAlign w:val="bottom"/>
            <w:vMerge w:val="restart"/>
          </w:tcPr>
          <w:p>
            <w:pPr>
              <w:jc w:val="right"/>
              <w:ind w:right="812"/>
              <w:spacing w:after="0"/>
              <w:rPr>
                <w:sz w:val="20"/>
                <w:szCs w:val="20"/>
                <w:color w:val="auto"/>
              </w:rPr>
            </w:pPr>
            <w:r>
              <w:rPr>
                <w:rFonts w:ascii="Arial" w:cs="Arial" w:eastAsia="Arial" w:hAnsi="Arial"/>
                <w:sz w:val="18"/>
                <w:szCs w:val="18"/>
                <w:color w:val="auto"/>
              </w:rPr>
              <w:t>39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47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780" w:type="dxa"/>
            <w:vAlign w:val="bottom"/>
            <w:tcBorders>
              <w:bottom w:val="single" w:sz="8" w:color="9A9A9A"/>
            </w:tcBorders>
          </w:tcPr>
          <w:p>
            <w:pPr>
              <w:spacing w:after="0"/>
              <w:rPr>
                <w:sz w:val="11"/>
                <w:szCs w:val="11"/>
                <w:color w:val="auto"/>
              </w:rPr>
            </w:pPr>
          </w:p>
        </w:tc>
        <w:tc>
          <w:tcPr>
            <w:tcW w:w="19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9" w:name="page40"/>
    <w:bookmarkEnd w:id="39"/>
    <w:p>
      <w:pPr>
        <w:ind w:left="180" w:hanging="174"/>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Cameron</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 2016, Schlumberger acquired all of the outstanding shares of Cameron, a leading provider of flow equipment products, systems and services to the oil and gas industry worldwide. Under the terms of the merger agreement, Cameron became a wholly-owned subsidiary of Schlumberger. Each share of Cameron common stock issued and outstanding immediately prior to the effective time of the merger was converted into the right to receive 0.716 shares of Schlumberger stock and $14.44 in cash.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Consideration Transferred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consideration transferred to effect the acquisition of Cameron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4340" w:type="dxa"/>
            <w:vAlign w:val="bottom"/>
          </w:tcPr>
          <w:p>
            <w:pPr>
              <w:spacing w:after="0"/>
              <w:rPr>
                <w:sz w:val="15"/>
                <w:szCs w:val="15"/>
                <w:color w:val="auto"/>
              </w:rPr>
            </w:pPr>
          </w:p>
        </w:tc>
        <w:tc>
          <w:tcPr>
            <w:tcW w:w="4120" w:type="dxa"/>
            <w:vAlign w:val="bottom"/>
            <w:gridSpan w:val="7"/>
          </w:tcPr>
          <w:p>
            <w:pPr>
              <w:ind w:left="340"/>
              <w:spacing w:after="0"/>
              <w:rPr>
                <w:sz w:val="20"/>
                <w:szCs w:val="20"/>
                <w:color w:val="auto"/>
              </w:rPr>
            </w:pPr>
            <w:r>
              <w:rPr>
                <w:rFonts w:ascii="Arial" w:cs="Arial" w:eastAsia="Arial" w:hAnsi="Arial"/>
                <w:sz w:val="14"/>
                <w:szCs w:val="14"/>
                <w:i w:val="1"/>
                <w:iCs w:val="1"/>
                <w:color w:val="auto"/>
                <w:w w:val="92"/>
              </w:rPr>
              <w:t>(stated in millions, except exchange ratio and per share amounts)</w:t>
            </w:r>
          </w:p>
        </w:tc>
      </w:tr>
      <w:tr>
        <w:trPr>
          <w:trHeight w:val="210"/>
        </w:trPr>
        <w:tc>
          <w:tcPr>
            <w:tcW w:w="4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Equity consideration:</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color w:val="auto"/>
              </w:rPr>
              <w:t>Number of shares of Cameron stock outstanding</w:t>
            </w: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Exchange ratio</w:t>
            </w:r>
          </w:p>
        </w:tc>
        <w:tc>
          <w:tcPr>
            <w:tcW w:w="16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0.716</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8"/>
        </w:trPr>
        <w:tc>
          <w:tcPr>
            <w:tcW w:w="4340" w:type="dxa"/>
            <w:vAlign w:val="bottom"/>
          </w:tcPr>
          <w:p>
            <w:pPr>
              <w:ind w:left="20"/>
              <w:spacing w:after="0"/>
              <w:rPr>
                <w:sz w:val="20"/>
                <w:szCs w:val="20"/>
                <w:color w:val="auto"/>
              </w:rPr>
            </w:pPr>
            <w:r>
              <w:rPr>
                <w:rFonts w:ascii="Arial" w:cs="Arial" w:eastAsia="Arial" w:hAnsi="Arial"/>
                <w:sz w:val="18"/>
                <w:szCs w:val="18"/>
                <w:color w:val="auto"/>
              </w:rPr>
              <w:t>Schlumberger shares of common stock issued</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Schlumberger closing stock share price on April 1, 2016</w:t>
            </w:r>
          </w:p>
        </w:tc>
        <w:tc>
          <w:tcPr>
            <w:tcW w:w="16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8"/>
        </w:trPr>
        <w:tc>
          <w:tcPr>
            <w:tcW w:w="4340" w:type="dxa"/>
            <w:vAlign w:val="bottom"/>
          </w:tcPr>
          <w:p>
            <w:pPr>
              <w:ind w:left="20"/>
              <w:spacing w:after="0"/>
              <w:rPr>
                <w:sz w:val="20"/>
                <w:szCs w:val="20"/>
                <w:color w:val="auto"/>
              </w:rPr>
            </w:pPr>
            <w:r>
              <w:rPr>
                <w:rFonts w:ascii="Arial" w:cs="Arial" w:eastAsia="Arial" w:hAnsi="Arial"/>
                <w:sz w:val="18"/>
                <w:szCs w:val="18"/>
                <w:color w:val="auto"/>
              </w:rPr>
              <w:t>Equity consideration</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9,924</w:t>
            </w:r>
          </w:p>
        </w:tc>
        <w:tc>
          <w:tcPr>
            <w:tcW w:w="60" w:type="dxa"/>
            <w:vAlign w:val="bottom"/>
          </w:tcPr>
          <w:p>
            <w:pPr>
              <w:spacing w:after="0"/>
              <w:rPr>
                <w:sz w:val="18"/>
                <w:szCs w:val="18"/>
                <w:color w:val="auto"/>
              </w:rPr>
            </w:pPr>
          </w:p>
        </w:tc>
      </w:tr>
      <w:tr>
        <w:trPr>
          <w:trHeight w:val="22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Cash consideration:</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color w:val="auto"/>
              </w:rPr>
              <w:t>Number of shares of Cameron stock outstanding</w:t>
            </w: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per Cameron share</w:t>
            </w:r>
          </w:p>
        </w:tc>
        <w:tc>
          <w:tcPr>
            <w:tcW w:w="2040" w:type="dxa"/>
            <w:vAlign w:val="bottom"/>
            <w:gridSpan w:val="2"/>
            <w:shd w:val="clear" w:color="auto" w:fill="CFF0FC"/>
          </w:tcPr>
          <w:p>
            <w:pPr>
              <w:jc w:val="right"/>
              <w:ind w:right="2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8"/>
        </w:trPr>
        <w:tc>
          <w:tcPr>
            <w:tcW w:w="434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16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2,776</w:t>
            </w:r>
          </w:p>
        </w:tc>
        <w:tc>
          <w:tcPr>
            <w:tcW w:w="60" w:type="dxa"/>
            <w:vAlign w:val="bottom"/>
          </w:tcPr>
          <w:p>
            <w:pPr>
              <w:spacing w:after="0"/>
              <w:rPr>
                <w:sz w:val="18"/>
                <w:szCs w:val="18"/>
                <w:color w:val="auto"/>
              </w:rPr>
            </w:pPr>
          </w:p>
        </w:tc>
      </w:tr>
      <w:tr>
        <w:trPr>
          <w:trHeight w:val="22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5"/>
        </w:trPr>
        <w:tc>
          <w:tcPr>
            <w:tcW w:w="43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Fair value of replacement equity awards</w:t>
            </w:r>
          </w:p>
        </w:tc>
        <w:tc>
          <w:tcPr>
            <w:tcW w:w="160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0" w:type="dxa"/>
            <w:vAlign w:val="bottom"/>
            <w:tcBorders>
              <w:bottom w:val="single" w:sz="8" w:color="CFF0FC"/>
            </w:tcBorders>
          </w:tcPr>
          <w:p>
            <w:pPr>
              <w:spacing w:after="0"/>
              <w:rPr>
                <w:sz w:val="19"/>
                <w:szCs w:val="19"/>
                <w:color w:val="auto"/>
              </w:rPr>
            </w:pPr>
          </w:p>
        </w:tc>
      </w:tr>
      <w:tr>
        <w:trPr>
          <w:trHeight w:val="21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fair value of the consideration transferred</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12,803</w:t>
            </w:r>
          </w:p>
        </w:tc>
        <w:tc>
          <w:tcPr>
            <w:tcW w:w="60" w:type="dxa"/>
            <w:vAlign w:val="bottom"/>
            <w:shd w:val="clear" w:color="auto" w:fill="CFF0FC"/>
          </w:tcPr>
          <w:p>
            <w:pPr>
              <w:spacing w:after="0"/>
              <w:rPr>
                <w:sz w:val="19"/>
                <w:szCs w:val="19"/>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Certain amounts reflect rounding adjustments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Allocation of Consideration Transferred to Net Assets Acquired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represent the fair value of assets acquired and liabilities assumed in the merger.</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6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(Stated in millions)</w:t>
            </w:r>
          </w:p>
        </w:tc>
      </w:tr>
      <w:tr>
        <w:trPr>
          <w:trHeight w:val="210"/>
        </w:trPr>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FF0FC"/>
          </w:tcPr>
          <w:p>
            <w:pPr>
              <w:spacing w:after="0"/>
              <w:rPr>
                <w:sz w:val="19"/>
                <w:szCs w:val="19"/>
                <w:color w:val="auto"/>
              </w:rPr>
            </w:pP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9"/>
                <w:szCs w:val="19"/>
                <w:color w:val="auto"/>
              </w:rPr>
            </w:pPr>
          </w:p>
        </w:tc>
      </w:tr>
      <w:tr>
        <w:trPr>
          <w:trHeight w:val="226"/>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80" w:type="dxa"/>
            <w:vAlign w:val="bottom"/>
            <w:shd w:val="clear" w:color="auto" w:fill="CFF0FC"/>
          </w:tcPr>
          <w:p>
            <w:pPr>
              <w:spacing w:after="0"/>
              <w:rPr>
                <w:sz w:val="19"/>
                <w:szCs w:val="19"/>
                <w:color w:val="auto"/>
              </w:rPr>
            </w:pP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2,350</w:t>
            </w:r>
          </w:p>
        </w:tc>
        <w:tc>
          <w:tcPr>
            <w:tcW w:w="80" w:type="dxa"/>
            <w:vAlign w:val="bottom"/>
          </w:tcPr>
          <w:p>
            <w:pPr>
              <w:spacing w:after="0"/>
              <w:rPr>
                <w:sz w:val="19"/>
                <w:szCs w:val="19"/>
                <w:color w:val="auto"/>
              </w:rPr>
            </w:pPr>
          </w:p>
        </w:tc>
      </w:tr>
      <w:tr>
        <w:trPr>
          <w:trHeight w:val="226"/>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assets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FF0FC"/>
          </w:tcPr>
          <w:p>
            <w:pPr>
              <w:spacing w:after="0"/>
              <w:rPr>
                <w:sz w:val="19"/>
                <w:szCs w:val="19"/>
                <w:color w:val="auto"/>
              </w:rPr>
            </w:pP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 (weighted-average life of 25 years)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80" w:type="dxa"/>
            <w:vAlign w:val="bottom"/>
            <w:shd w:val="clear" w:color="auto" w:fill="CFF0FC"/>
          </w:tcPr>
          <w:p>
            <w:pPr>
              <w:spacing w:after="0"/>
              <w:rPr>
                <w:sz w:val="19"/>
                <w:szCs w:val="19"/>
                <w:color w:val="auto"/>
              </w:rPr>
            </w:pPr>
          </w:p>
        </w:tc>
      </w:tr>
      <w:tr>
        <w:trPr>
          <w:trHeight w:val="225"/>
        </w:trPr>
        <w:tc>
          <w:tcPr>
            <w:tcW w:w="6920" w:type="dxa"/>
            <w:vAlign w:val="bottom"/>
          </w:tcPr>
          <w:p>
            <w:pPr>
              <w:ind w:left="260"/>
              <w:spacing w:after="0"/>
              <w:rPr>
                <w:sz w:val="20"/>
                <w:szCs w:val="20"/>
                <w:color w:val="auto"/>
              </w:rPr>
            </w:pPr>
            <w:r>
              <w:rPr>
                <w:rFonts w:ascii="Arial" w:cs="Arial" w:eastAsia="Arial" w:hAnsi="Arial"/>
                <w:sz w:val="18"/>
                <w:szCs w:val="18"/>
                <w:color w:val="auto"/>
              </w:rPr>
              <w:t>Technology/Technical know-how (weighted-average life of 16 years)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9"/>
                <w:szCs w:val="19"/>
                <w:color w:val="auto"/>
              </w:rPr>
            </w:pPr>
          </w:p>
        </w:tc>
      </w:tr>
      <w:tr>
        <w:trPr>
          <w:trHeight w:val="226"/>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Tradenames (weighted-average life of 25 years)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FF0FC"/>
          </w:tcPr>
          <w:p>
            <w:pPr>
              <w:spacing w:after="0"/>
              <w:rPr>
                <w:sz w:val="19"/>
                <w:szCs w:val="19"/>
                <w:color w:val="auto"/>
              </w:rPr>
            </w:pP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9"/>
                <w:szCs w:val="19"/>
                <w:color w:val="auto"/>
              </w:rPr>
            </w:pPr>
          </w:p>
        </w:tc>
      </w:tr>
      <w:tr>
        <w:trPr>
          <w:trHeight w:val="226"/>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(2,604)</w:t>
            </w: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r>
      <w:tr>
        <w:trPr>
          <w:trHeight w:val="226"/>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Deferred taxes </w:t>
            </w:r>
            <w:r>
              <w:rPr>
                <w:rFonts w:ascii="Arial" w:cs="Arial" w:eastAsia="Arial" w:hAnsi="Arial"/>
                <w:sz w:val="15"/>
                <w:szCs w:val="15"/>
                <w:color w:val="auto"/>
              </w:rPr>
              <w:t>(3)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(1,343)</w:t>
            </w: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r>
      <w:tr>
        <w:trPr>
          <w:trHeight w:val="219"/>
        </w:trPr>
        <w:tc>
          <w:tcPr>
            <w:tcW w:w="6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5,912</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Investment in OneSubsea </w:t>
            </w:r>
            <w:r>
              <w:rPr>
                <w:rFonts w:ascii="Arial" w:cs="Arial" w:eastAsia="Arial" w:hAnsi="Arial"/>
                <w:sz w:val="15"/>
                <w:szCs w:val="15"/>
                <w:color w:val="auto"/>
              </w:rPr>
              <w:t>(4)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(2,065)</w:t>
            </w:r>
          </w:p>
        </w:tc>
      </w:tr>
      <w:tr>
        <w:trPr>
          <w:trHeight w:val="225"/>
        </w:trPr>
        <w:tc>
          <w:tcPr>
            <w:tcW w:w="6920" w:type="dxa"/>
            <w:vAlign w:val="bottom"/>
          </w:tcPr>
          <w:p>
            <w:pPr>
              <w:ind w:left="2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19"/>
        </w:trPr>
        <w:tc>
          <w:tcPr>
            <w:tcW w:w="69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identifiable net assets</w:t>
            </w: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6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80" w:type="dxa"/>
            <w:vAlign w:val="bottom"/>
            <w:tcBorders>
              <w:bottom w:val="single" w:sz="8" w:color="CFF0FC"/>
            </w:tcBorders>
          </w:tcPr>
          <w:p>
            <w:pPr>
              <w:spacing w:after="0"/>
              <w:rPr>
                <w:sz w:val="19"/>
                <w:szCs w:val="19"/>
                <w:color w:val="auto"/>
              </w:rPr>
            </w:pPr>
          </w:p>
        </w:tc>
      </w:tr>
      <w:tr>
        <w:trPr>
          <w:trHeight w:val="219"/>
        </w:trPr>
        <w:tc>
          <w:tcPr>
            <w:tcW w:w="6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consideration transferred</w:t>
            </w: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hanging="255"/>
        <w:spacing w:after="0" w:line="195" w:lineRule="auto"/>
        <w:tabs>
          <w:tab w:leader="none" w:pos="848"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 xml:space="preserve">Schlumberger recorded an adjustment of $299 million to write-up the acquired inventory to its estimated fair value. Schlumberger’s 2016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reflected this increased valuation.</w:t>
      </w:r>
    </w:p>
    <w:p>
      <w:pPr>
        <w:spacing w:after="0" w:line="9" w:lineRule="exact"/>
        <w:rPr>
          <w:rFonts w:ascii="Arial" w:cs="Arial" w:eastAsia="Arial" w:hAnsi="Arial"/>
          <w:sz w:val="27"/>
          <w:szCs w:val="27"/>
          <w:color w:val="auto"/>
          <w:vertAlign w:val="superscript"/>
        </w:rPr>
      </w:pPr>
    </w:p>
    <w:p>
      <w:pPr>
        <w:jc w:val="both"/>
        <w:ind w:left="860" w:hanging="256"/>
        <w:spacing w:after="0" w:line="213" w:lineRule="auto"/>
        <w:tabs>
          <w:tab w:leader="none" w:pos="853"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In connection with the merger, Schlumberger assumed all of the debt obligations of Cameron, including its $2.75 billion of fixed rate notes. Schlumberger recorded a $244 million adjustment to increase the carrying amount of these notes to their estimated fair value. This adjustment is being amortized as a reduction of interest expense over the remaining term of the respective obligations.</w:t>
      </w:r>
    </w:p>
    <w:p>
      <w:pPr>
        <w:spacing w:after="0" w:line="8" w:lineRule="exact"/>
        <w:rPr>
          <w:rFonts w:ascii="Arial" w:cs="Arial" w:eastAsia="Arial" w:hAnsi="Arial"/>
          <w:sz w:val="27"/>
          <w:szCs w:val="27"/>
          <w:color w:val="auto"/>
          <w:vertAlign w:val="superscript"/>
        </w:rPr>
      </w:pPr>
    </w:p>
    <w:p>
      <w:pPr>
        <w:ind w:left="860" w:hanging="256"/>
        <w:spacing w:after="0" w:line="195" w:lineRule="auto"/>
        <w:tabs>
          <w:tab w:leader="none" w:pos="853"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In connection with the acquisition accounting, Schlumberger provided deferred taxes related to, among other items, the estimated fair value adjustments for acquired inventory, intangible assets and assumed debt obligations.</w:t>
      </w:r>
    </w:p>
    <w:p>
      <w:pPr>
        <w:spacing w:after="0" w:line="9" w:lineRule="exact"/>
        <w:rPr>
          <w:rFonts w:ascii="Arial" w:cs="Arial" w:eastAsia="Arial" w:hAnsi="Arial"/>
          <w:sz w:val="27"/>
          <w:szCs w:val="27"/>
          <w:color w:val="auto"/>
          <w:vertAlign w:val="superscript"/>
        </w:rPr>
      </w:pPr>
    </w:p>
    <w:p>
      <w:pPr>
        <w:jc w:val="both"/>
        <w:ind w:left="860" w:hanging="256"/>
        <w:spacing w:after="0" w:line="229" w:lineRule="auto"/>
        <w:tabs>
          <w:tab w:leader="none" w:pos="879"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Prior to the completion of the merger, Cameron and Schlumberger operated OneSubsea, a joint venture that manufactured and developed products, systems and services for the subsea oil and gas market, which was 40% owned by Schlumberger and 60% owned by Cameron. OneSubsea is now owned 100% by Schlumberger. As a result of obtaining control of this joint venture, Schlumberger was required to remeasure its previously held equity interest in the joint venture to its acquisition-date fair value. Schlumberger determined that the estimated fair value of its previously held equity interest approximated its carrying value. Accordingly, Schlumberger did not recognize any gain or loss on this transaction.</w:t>
      </w:r>
    </w:p>
    <w:p>
      <w:pPr>
        <w:spacing w:after="0" w:line="10" w:lineRule="exact"/>
        <w:rPr>
          <w:rFonts w:ascii="Arial" w:cs="Arial" w:eastAsia="Arial" w:hAnsi="Arial"/>
          <w:sz w:val="27"/>
          <w:szCs w:val="27"/>
          <w:color w:val="auto"/>
          <w:vertAlign w:val="superscript"/>
        </w:rPr>
      </w:pPr>
    </w:p>
    <w:p>
      <w:pPr>
        <w:ind w:left="860" w:hanging="256"/>
        <w:spacing w:after="0" w:line="205" w:lineRule="auto"/>
        <w:tabs>
          <w:tab w:leader="none" w:pos="879" w:val="left"/>
        </w:tabs>
        <w:numPr>
          <w:ilvl w:val="0"/>
          <w:numId w:val="34"/>
        </w:numPr>
        <w:rPr>
          <w:rFonts w:ascii="Arial" w:cs="Arial" w:eastAsia="Arial" w:hAnsi="Arial"/>
          <w:sz w:val="26"/>
          <w:szCs w:val="26"/>
          <w:color w:val="auto"/>
          <w:vertAlign w:val="superscript"/>
        </w:rPr>
      </w:pPr>
      <w:r>
        <w:rPr>
          <w:rFonts w:ascii="Arial" w:cs="Arial" w:eastAsia="Arial" w:hAnsi="Arial"/>
          <w:sz w:val="15"/>
          <w:szCs w:val="15"/>
          <w:color w:val="auto"/>
        </w:rPr>
        <w:t>The goodwill recognized is primarily attributable to expected synergies that will result from combining the operations of Schlumberger and Cameron, as well as intangible assets which do not qualify for separate recognition. The amount of goodwill that is deductible for income tax purposes is not significant.</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Supplemental Pro Forma Financial Information</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Cameron’s results of operations have been included in Schlumberger’s financial statements for periods subsequent to the closing of the acquisition on April 1, 2016. Businesses acquired from Cameron contributed revenues of approximately $4 billion and pretax operating income of approximately $0.7 billion for the period from April 1, 2016 through December 31, 2016.</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supplemental pro forma results of operations assume that Cameron had been acquired on January 1, 2015. The supplemental pro forma financial information was prepared based on the historical financial information of Schlumberger and Cameron and has been adjusted to give effect to pro forma adjustments that are both directly attributable to the transaction and factually supportable. The pro forma amounts reflect certain adjustments to amortization expense, interest expense and income taxes resulting from purchase accounting. The pro forma results for the year ended December 31, 2016 reflect adjustments to exclude after-tax merger and integration costs of $285 million and after-tax charges relating to the amortization of the inventory fair value adjustment of $209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jc w:val="both"/>
        <w:spacing w:after="0" w:line="249" w:lineRule="auto"/>
        <w:rPr>
          <w:sz w:val="20"/>
          <w:szCs w:val="20"/>
          <w:color w:val="auto"/>
        </w:rPr>
      </w:pPr>
      <w:r>
        <w:rPr>
          <w:rFonts w:ascii="Arial" w:cs="Arial" w:eastAsia="Arial" w:hAnsi="Arial"/>
          <w:sz w:val="18"/>
          <w:szCs w:val="18"/>
          <w:color w:val="auto"/>
        </w:rPr>
        <w:t>The supplemental pro forma financial information presented below is unaudited and does not include any anticipated cost savings or the expected realization of other synergies associated with this transaction. Accordingly, this supplemental pro forma financial information is presented for informational purposes only and is not necessarily indicative of what the actual results of operations of the combined company would have been had the acquisition occurred on January 1, 2015, nor is it indicative of future results of operations.</w:t>
      </w:r>
    </w:p>
    <w:tbl>
      <w:tblPr>
        <w:tblLayout w:type="fixed"/>
        <w:tblInd w:w="0" w:type="dxa"/>
        <w:tblCellMar>
          <w:top w:w="0" w:type="dxa"/>
          <w:left w:w="0" w:type="dxa"/>
          <w:bottom w:w="0" w:type="dxa"/>
          <w:right w:w="0" w:type="dxa"/>
        </w:tblCellMar>
      </w:tblPr>
      <w:tr>
        <w:trPr>
          <w:trHeight w:val="144"/>
        </w:trPr>
        <w:tc>
          <w:tcPr>
            <w:tcW w:w="6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right"/>
              <w:ind w:right="140"/>
              <w:spacing w:after="0" w:line="144" w:lineRule="exact"/>
              <w:rPr>
                <w:sz w:val="20"/>
                <w:szCs w:val="20"/>
                <w:color w:val="auto"/>
              </w:rPr>
            </w:pPr>
            <w:r>
              <w:rPr>
                <w:rFonts w:ascii="Arial" w:cs="Arial" w:eastAsia="Arial" w:hAnsi="Arial"/>
                <w:sz w:val="14"/>
                <w:szCs w:val="14"/>
                <w:i w:val="1"/>
                <w:iCs w:val="1"/>
                <w:color w:val="auto"/>
                <w:w w:val="94"/>
              </w:rPr>
              <w:t>(Stated in millions, except per</w:t>
            </w:r>
          </w:p>
        </w:tc>
      </w:tr>
      <w:tr>
        <w:trPr>
          <w:trHeight w:val="180"/>
        </w:trPr>
        <w:tc>
          <w:tcPr>
            <w:tcW w:w="63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share amounts)</w:t>
            </w:r>
          </w:p>
        </w:tc>
      </w:tr>
      <w:tr>
        <w:trPr>
          <w:trHeight w:val="210"/>
        </w:trPr>
        <w:tc>
          <w:tcPr>
            <w:tcW w:w="6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6340" w:type="dxa"/>
            <w:vAlign w:val="bottom"/>
            <w:tcBorders>
              <w:bottom w:val="single" w:sz="8" w:color="CFF0FC"/>
            </w:tcBorders>
          </w:tcPr>
          <w:p>
            <w:pPr>
              <w:spacing w:after="0"/>
              <w:rPr>
                <w:sz w:val="18"/>
                <w:szCs w:val="18"/>
                <w:color w:val="auto"/>
              </w:rPr>
            </w:pPr>
          </w:p>
        </w:tc>
        <w:tc>
          <w:tcPr>
            <w:tcW w:w="30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17"/>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FF0FC"/>
            </w:tcBorders>
          </w:tcPr>
          <w:p>
            <w:pPr>
              <w:spacing w:after="0"/>
              <w:rPr>
                <w:sz w:val="18"/>
                <w:szCs w:val="18"/>
                <w:color w:val="auto"/>
              </w:rPr>
            </w:pPr>
          </w:p>
        </w:tc>
      </w:tr>
      <w:tr>
        <w:trPr>
          <w:trHeight w:val="21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29,438</w:t>
            </w:r>
          </w:p>
        </w:tc>
        <w:tc>
          <w:tcPr>
            <w:tcW w:w="120" w:type="dxa"/>
            <w:vAlign w:val="bottom"/>
            <w:shd w:val="clear" w:color="auto" w:fill="CFF0FC"/>
          </w:tcPr>
          <w:p>
            <w:pPr>
              <w:spacing w:after="0"/>
              <w:rPr>
                <w:sz w:val="19"/>
                <w:szCs w:val="19"/>
                <w:color w:val="auto"/>
              </w:rPr>
            </w:pPr>
          </w:p>
        </w:tc>
      </w:tr>
      <w:tr>
        <w:trPr>
          <w:trHeight w:val="225"/>
        </w:trPr>
        <w:tc>
          <w:tcPr>
            <w:tcW w:w="6340" w:type="dxa"/>
            <w:vAlign w:val="bottom"/>
          </w:tcPr>
          <w:p>
            <w:pPr>
              <w:spacing w:after="0"/>
              <w:rPr>
                <w:sz w:val="20"/>
                <w:szCs w:val="20"/>
                <w:color w:val="auto"/>
              </w:rPr>
            </w:pPr>
            <w:r>
              <w:rPr>
                <w:rFonts w:ascii="Arial" w:cs="Arial" w:eastAsia="Arial" w:hAnsi="Arial"/>
                <w:sz w:val="18"/>
                <w:szCs w:val="18"/>
                <w:color w:val="auto"/>
              </w:rPr>
              <w:t>Net income (loss) attributable to Schlumberger</w:t>
            </w:r>
          </w:p>
        </w:tc>
        <w:tc>
          <w:tcPr>
            <w:tcW w:w="3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(1,419)</w:t>
            </w:r>
          </w:p>
        </w:tc>
      </w:tr>
      <w:tr>
        <w:trPr>
          <w:trHeight w:val="226"/>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share</w:t>
            </w:r>
          </w:p>
        </w:tc>
        <w:tc>
          <w:tcPr>
            <w:tcW w:w="3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made other acquisitions and investments for cash payments, net of cash acquired, of $292 million during 2018, $847 million during 2017 and $407 million during 2016. None of these transactions were significant to Schlumberger’s consolidated financial statements, either individually or in the aggregate.</w:t>
      </w:r>
    </w:p>
    <w:p>
      <w:pPr>
        <w:spacing w:after="0" w:line="290" w:lineRule="exact"/>
        <w:rPr>
          <w:sz w:val="20"/>
          <w:szCs w:val="20"/>
          <w:color w:val="auto"/>
        </w:rPr>
      </w:pPr>
    </w:p>
    <w:p>
      <w:pPr>
        <w:ind w:left="220" w:hanging="214"/>
        <w:spacing w:after="0"/>
        <w:tabs>
          <w:tab w:leader="none" w:pos="2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Inventories, which are stated at the lower of average cost or net realizable value,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5"/>
        </w:trPr>
        <w:tc>
          <w:tcPr>
            <w:tcW w:w="1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670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1,803</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519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4,010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Fixed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8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7820" w:type="dxa"/>
            <w:vAlign w:val="bottom"/>
            <w:gridSpan w:val="3"/>
          </w:tcPr>
          <w:p>
            <w:pPr>
              <w:spacing w:after="0"/>
              <w:rPr>
                <w:sz w:val="20"/>
                <w:szCs w:val="20"/>
                <w:color w:val="auto"/>
              </w:rPr>
            </w:pPr>
            <w:r>
              <w:rPr>
                <w:rFonts w:ascii="Arial" w:cs="Arial" w:eastAsia="Arial" w:hAnsi="Arial"/>
                <w:sz w:val="18"/>
                <w:szCs w:val="18"/>
                <w:color w:val="auto"/>
              </w:rPr>
              <w:t>Fixed assets consist of the following:</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5"/>
        </w:trPr>
        <w:tc>
          <w:tcPr>
            <w:tcW w:w="1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670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462</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Arial" w:cs="Arial" w:eastAsia="Arial" w:hAnsi="Arial"/>
                <w:sz w:val="18"/>
                <w:szCs w:val="18"/>
                <w:color w:val="auto"/>
              </w:rPr>
              <w:t>Buildings &amp; improvements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5,534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Machinery &amp; equipment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32,668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Seismic vessels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38,664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26,985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7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11,679</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67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estimated useful lives of Buildings &amp; improvements are primarily 25 to 30 years. The estimated useful lives of Machinery &amp; equipment are primarily 5 to 10 years.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which is recorded on a straight-line basis, was $2.1 billion, $2.3 billion and $2.7 billion in 2018, 2017 and 2016,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2" w:name="page43"/>
    <w:bookmarkEnd w:id="42"/>
    <w:p>
      <w:pPr>
        <w:ind w:left="180" w:hanging="174"/>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435"/>
        </w:trPr>
        <w:tc>
          <w:tcPr>
            <w:tcW w:w="180" w:type="dxa"/>
            <w:vAlign w:val="bottom"/>
            <w:tcBorders>
              <w:bottom w:val="single" w:sz="8" w:color="CFF0FC"/>
            </w:tcBorders>
          </w:tcPr>
          <w:p>
            <w:pPr>
              <w:spacing w:after="0"/>
              <w:rPr>
                <w:sz w:val="24"/>
                <w:szCs w:val="24"/>
                <w:color w:val="auto"/>
              </w:rPr>
            </w:pPr>
          </w:p>
        </w:tc>
        <w:tc>
          <w:tcPr>
            <w:tcW w:w="700" w:type="dxa"/>
            <w:vAlign w:val="bottom"/>
            <w:tcBorders>
              <w:bottom w:val="single" w:sz="8" w:color="CFF0FC"/>
            </w:tcBorders>
          </w:tcPr>
          <w:p>
            <w:pPr>
              <w:spacing w:after="0"/>
              <w:rPr>
                <w:sz w:val="24"/>
                <w:szCs w:val="24"/>
                <w:color w:val="auto"/>
              </w:rPr>
            </w:pPr>
          </w:p>
        </w:tc>
        <w:tc>
          <w:tcPr>
            <w:tcW w:w="600" w:type="dxa"/>
            <w:vAlign w:val="bottom"/>
            <w:tcBorders>
              <w:bottom w:val="single" w:sz="8" w:color="CFF0FC"/>
            </w:tcBorders>
          </w:tcPr>
          <w:p>
            <w:pPr>
              <w:spacing w:after="0"/>
              <w:rPr>
                <w:sz w:val="24"/>
                <w:szCs w:val="24"/>
                <w:color w:val="auto"/>
              </w:rPr>
            </w:pPr>
          </w:p>
        </w:tc>
        <w:tc>
          <w:tcPr>
            <w:tcW w:w="178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7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60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727</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60" w:type="dxa"/>
            <w:vAlign w:val="bottom"/>
            <w:gridSpan w:val="4"/>
          </w:tcPr>
          <w:p>
            <w:pPr>
              <w:spacing w:after="0"/>
              <w:rPr>
                <w:sz w:val="20"/>
                <w:szCs w:val="20"/>
                <w:color w:val="auto"/>
              </w:rPr>
            </w:pPr>
            <w:r>
              <w:rPr>
                <w:rFonts w:ascii="Arial" w:cs="Arial" w:eastAsia="Arial" w:hAnsi="Arial"/>
                <w:sz w:val="18"/>
                <w:szCs w:val="18"/>
                <w:color w:val="auto"/>
              </w:rPr>
              <w:t>Capitalized in period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Charged to expense</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(226)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6"/>
        </w:trPr>
        <w:tc>
          <w:tcPr>
            <w:tcW w:w="3260" w:type="dxa"/>
            <w:vAlign w:val="bottom"/>
            <w:gridSpan w:val="4"/>
          </w:tcPr>
          <w:p>
            <w:pPr>
              <w:spacing w:after="0"/>
              <w:rPr>
                <w:sz w:val="20"/>
                <w:szCs w:val="20"/>
                <w:color w:val="auto"/>
              </w:rPr>
            </w:pPr>
            <w:r>
              <w:rPr>
                <w:rFonts w:ascii="Arial" w:cs="Arial" w:eastAsia="Arial" w:hAnsi="Arial"/>
                <w:sz w:val="18"/>
                <w:szCs w:val="18"/>
                <w:color w:val="auto"/>
              </w:rPr>
              <w:t>Impairment charge (see Note 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601</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bottom w:val="single" w:sz="8" w:color="CFF0FC"/>
            </w:tcBorders>
            <w:gridSpan w:val="4"/>
            <w:vMerge w:val="restart"/>
          </w:tcPr>
          <w:p>
            <w:pPr>
              <w:spacing w:after="0"/>
              <w:rPr>
                <w:sz w:val="20"/>
                <w:szCs w:val="20"/>
                <w:color w:val="auto"/>
              </w:rPr>
            </w:pPr>
            <w:r>
              <w:rPr>
                <w:rFonts w:ascii="Arial" w:cs="Arial" w:eastAsia="Arial" w:hAnsi="Arial"/>
                <w:sz w:val="18"/>
                <w:szCs w:val="18"/>
                <w:b w:val="1"/>
                <w:bCs w:val="1"/>
                <w:color w:val="auto"/>
              </w:rPr>
              <w:t>8. Goodwill</w:t>
            </w: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32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980" w:type="dxa"/>
            <w:vAlign w:val="bottom"/>
            <w:gridSpan w:val="11"/>
          </w:tcPr>
          <w:p>
            <w:pPr>
              <w:spacing w:after="0"/>
              <w:rPr>
                <w:sz w:val="20"/>
                <w:szCs w:val="20"/>
                <w:color w:val="auto"/>
              </w:rPr>
            </w:pPr>
            <w:r>
              <w:rPr>
                <w:rFonts w:ascii="Arial" w:cs="Arial" w:eastAsia="Arial" w:hAnsi="Arial"/>
                <w:sz w:val="18"/>
                <w:szCs w:val="18"/>
                <w:color w:val="auto"/>
                <w:w w:val="97"/>
              </w:rPr>
              <w:t>The changes in the carrying amount of goodwill by segment were as follows: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435"/>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Reservoir</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Characterization</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Drilling</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88"/>
              </w:rPr>
              <w:t>Production</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color w:val="auto"/>
              </w:rPr>
              <w:t>Cameron</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4,820</w:t>
            </w:r>
          </w:p>
        </w:tc>
        <w:tc>
          <w:tcPr>
            <w:tcW w:w="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10,114</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4,639</w:t>
            </w:r>
          </w:p>
        </w:tc>
        <w:tc>
          <w:tcPr>
            <w:tcW w:w="600" w:type="dxa"/>
            <w:vAlign w:val="bottom"/>
            <w:gridSpan w:val="3"/>
            <w:shd w:val="clear" w:color="auto" w:fill="CFF0FC"/>
          </w:tcPr>
          <w:p>
            <w:pPr>
              <w:jc w:val="right"/>
              <w:ind w:right="19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5,417</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gridSpan w:val="4"/>
          </w:tcPr>
          <w:p>
            <w:pPr>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Impact of changes in exchange rates</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gridSpan w:val="4"/>
          </w:tcPr>
          <w:p>
            <w:pPr>
              <w:spacing w:after="0"/>
              <w:rPr>
                <w:sz w:val="20"/>
                <w:szCs w:val="20"/>
                <w:color w:val="auto"/>
              </w:rPr>
            </w:pPr>
            <w:r>
              <w:rPr>
                <w:rFonts w:ascii="Arial" w:cs="Arial" w:eastAsia="Arial" w:hAnsi="Arial"/>
                <w:sz w:val="18"/>
                <w:szCs w:val="18"/>
                <w:color w:val="auto"/>
              </w:rPr>
              <w:t>Balance, December 31, 2017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4,848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10,126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gridSpan w:val="4"/>
          </w:tcPr>
          <w:p>
            <w:pPr>
              <w:spacing w:after="0"/>
              <w:rPr>
                <w:sz w:val="20"/>
                <w:szCs w:val="20"/>
                <w:color w:val="auto"/>
              </w:rPr>
            </w:pPr>
            <w:r>
              <w:rPr>
                <w:rFonts w:ascii="Arial" w:cs="Arial" w:eastAsia="Arial" w:hAnsi="Arial"/>
                <w:sz w:val="18"/>
                <w:szCs w:val="18"/>
                <w:color w:val="auto"/>
              </w:rPr>
              <w:t>Business divestiture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(175)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6"/>
        </w:trPr>
        <w:tc>
          <w:tcPr>
            <w:tcW w:w="3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Impact of changes in exchange rates</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(15)</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72"/>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260" w:type="dxa"/>
            <w:vAlign w:val="bottom"/>
            <w:gridSpan w:val="4"/>
            <w:vMerge w:val="restart"/>
          </w:tcPr>
          <w:p>
            <w:pPr>
              <w:spacing w:after="0"/>
              <w:rPr>
                <w:sz w:val="20"/>
                <w:szCs w:val="20"/>
                <w:color w:val="auto"/>
              </w:rPr>
            </w:pPr>
            <w:r>
              <w:rPr>
                <w:rFonts w:ascii="Arial" w:cs="Arial" w:eastAsia="Arial" w:hAnsi="Arial"/>
                <w:sz w:val="18"/>
                <w:szCs w:val="18"/>
                <w:color w:val="auto"/>
              </w:rPr>
              <w:t>Balance, December 31, 2018</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6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4,703</w:t>
            </w:r>
          </w:p>
        </w:tc>
        <w:tc>
          <w:tcPr>
            <w:tcW w:w="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10,111</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4,678</w:t>
            </w:r>
          </w:p>
        </w:tc>
        <w:tc>
          <w:tcPr>
            <w:tcW w:w="60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9. Intangible Assets</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32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260" w:type="dxa"/>
            <w:vAlign w:val="bottom"/>
            <w:gridSpan w:val="4"/>
          </w:tcPr>
          <w:p>
            <w:pPr>
              <w:spacing w:after="0"/>
              <w:rPr>
                <w:sz w:val="20"/>
                <w:szCs w:val="20"/>
                <w:color w:val="auto"/>
              </w:rPr>
            </w:pPr>
            <w:r>
              <w:rPr>
                <w:rFonts w:ascii="Arial" w:cs="Arial" w:eastAsia="Arial" w:hAnsi="Arial"/>
                <w:sz w:val="18"/>
                <w:szCs w:val="18"/>
                <w:color w:val="auto"/>
                <w:w w:val="99"/>
              </w:rPr>
              <w:t>Intangible assets consist of the following:</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449"/>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center"/>
              <w:ind w:left="192"/>
              <w:spacing w:after="0"/>
              <w:rPr>
                <w:sz w:val="20"/>
                <w:szCs w:val="20"/>
                <w:color w:val="auto"/>
              </w:rPr>
            </w:pPr>
            <w:r>
              <w:rPr>
                <w:rFonts w:ascii="Arial" w:cs="Arial" w:eastAsia="Arial" w:hAnsi="Arial"/>
                <w:sz w:val="18"/>
                <w:szCs w:val="18"/>
                <w:color w:val="auto"/>
                <w:w w:val="89"/>
              </w:rPr>
              <w:t>2017</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Gross</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Accumulated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w w:val="86"/>
              </w:rPr>
              <w:t>Net Book</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9"/>
                <w:szCs w:val="19"/>
                <w:color w:val="auto"/>
              </w:rPr>
            </w:pPr>
          </w:p>
        </w:tc>
        <w:tc>
          <w:tcPr>
            <w:tcW w:w="1320" w:type="dxa"/>
            <w:vAlign w:val="bottom"/>
            <w:gridSpan w:val="7"/>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Net Book</w:t>
            </w:r>
          </w:p>
        </w:tc>
        <w:tc>
          <w:tcPr>
            <w:tcW w:w="0" w:type="dxa"/>
            <w:vAlign w:val="bottom"/>
          </w:tcPr>
          <w:p>
            <w:pPr>
              <w:spacing w:after="0"/>
              <w:rPr>
                <w:sz w:val="1"/>
                <w:szCs w:val="1"/>
                <w:color w:val="auto"/>
              </w:rPr>
            </w:pPr>
          </w:p>
        </w:tc>
      </w:tr>
      <w:tr>
        <w:trPr>
          <w:trHeight w:val="234"/>
        </w:trPr>
        <w:tc>
          <w:tcPr>
            <w:tcW w:w="18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600" w:type="dxa"/>
            <w:vAlign w:val="bottom"/>
            <w:tcBorders>
              <w:bottom w:val="single" w:sz="8" w:color="CFF0FC"/>
            </w:tcBorders>
          </w:tcPr>
          <w:p>
            <w:pPr>
              <w:spacing w:after="0"/>
              <w:rPr>
                <w:sz w:val="20"/>
                <w:szCs w:val="20"/>
                <w:color w:val="auto"/>
              </w:rPr>
            </w:pPr>
          </w:p>
        </w:tc>
        <w:tc>
          <w:tcPr>
            <w:tcW w:w="178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7"/>
              </w:rPr>
              <w:t>Book Value</w:t>
            </w:r>
          </w:p>
        </w:tc>
        <w:tc>
          <w:tcPr>
            <w:tcW w:w="2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Amortization</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b w:val="1"/>
                <w:bCs w:val="1"/>
                <w:color w:val="auto"/>
              </w:rPr>
              <w:t>Value</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color w:val="auto"/>
                <w:w w:val="89"/>
              </w:rPr>
              <w:t>Book Value</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3"/>
              </w:rPr>
              <w:t>Amortization</w:t>
            </w:r>
          </w:p>
        </w:tc>
        <w:tc>
          <w:tcPr>
            <w:tcW w:w="220" w:type="dxa"/>
            <w:vAlign w:val="bottom"/>
            <w:tcBorders>
              <w:bottom w:val="single" w:sz="8" w:color="CFF0FC"/>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4,768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3,525</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1,020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60" w:type="dxa"/>
            <w:vAlign w:val="bottom"/>
            <w:gridSpan w:val="4"/>
          </w:tcPr>
          <w:p>
            <w:pPr>
              <w:spacing w:after="0"/>
              <w:rPr>
                <w:sz w:val="20"/>
                <w:szCs w:val="20"/>
                <w:color w:val="auto"/>
              </w:rPr>
            </w:pPr>
            <w:r>
              <w:rPr>
                <w:rFonts w:ascii="Arial" w:cs="Arial" w:eastAsia="Arial" w:hAnsi="Arial"/>
                <w:sz w:val="18"/>
                <w:szCs w:val="18"/>
                <w:color w:val="auto"/>
              </w:rPr>
              <w:t>Technology/Technical Know-How</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3,494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2,248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1,078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Tradenames</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2,799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2,171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6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12,465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8,727</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12,567</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3,213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Customer relationships are generally amortized over periods ranging from 18 to 28 years, technology/technical know-how are generally amortized over periods ranging from 10 to 18 years, and tradenames are generally amortized over periods ranging from 15 to 30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$673 million in 2018, $663 million in 2017 and $567 million in 2016.</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Based on the carrying value of intangible assets at December 31, 2018, amortization expense for the subsequent five years is estimated to be as follows: 2019:</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$677 million, 2020: $668 million, 2021: $632 million, 2022: $622 million and 2023: $612 million.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43" w:name="page44"/>
    <w:bookmarkEnd w:id="43"/>
    <w:p>
      <w:pPr>
        <w:ind w:left="280" w:hanging="274"/>
        <w:spacing w:after="0"/>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 and Debt Facility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480" w:type="dxa"/>
            <w:vAlign w:val="bottom"/>
            <w:tcBorders>
              <w:bottom w:val="single" w:sz="8" w:color="CFF0FC"/>
            </w:tcBorders>
          </w:tcPr>
          <w:p>
            <w:pPr>
              <w:spacing w:after="0"/>
              <w:rPr>
                <w:sz w:val="24"/>
                <w:szCs w:val="24"/>
                <w:color w:val="auto"/>
              </w:rPr>
            </w:pPr>
          </w:p>
        </w:tc>
        <w:tc>
          <w:tcPr>
            <w:tcW w:w="734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24"/>
                <w:szCs w:val="24"/>
                <w:color w:val="auto"/>
              </w:rPr>
            </w:pPr>
          </w:p>
        </w:tc>
      </w:tr>
      <w:tr>
        <w:trPr>
          <w:trHeight w:val="219"/>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1040" w:type="dxa"/>
            <w:vAlign w:val="bottom"/>
            <w:shd w:val="clear" w:color="auto" w:fill="CFF0FC"/>
          </w:tcPr>
          <w:p>
            <w:pPr>
              <w:jc w:val="right"/>
              <w:ind w:right="852"/>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3.30%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1,596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3.65%</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4.20%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2.40%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3.63%</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1.00%</w:t>
            </w:r>
          </w:p>
        </w:tc>
        <w:tc>
          <w:tcPr>
            <w:tcW w:w="7340" w:type="dxa"/>
            <w:vAlign w:val="bottom"/>
          </w:tcPr>
          <w:p>
            <w:pPr>
              <w:ind w:left="20"/>
              <w:spacing w:after="0"/>
              <w:rPr>
                <w:sz w:val="20"/>
                <w:szCs w:val="20"/>
                <w:color w:val="auto"/>
              </w:rPr>
            </w:pPr>
            <w:r>
              <w:rPr>
                <w:rFonts w:ascii="Arial" w:cs="Arial" w:eastAsia="Arial" w:hAnsi="Arial"/>
                <w:sz w:val="18"/>
                <w:szCs w:val="18"/>
                <w:color w:val="auto"/>
              </w:rPr>
              <w:t>Guaranteed Notes due 2026</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2.65%</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2.20%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7.00%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2038</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4.50%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2021</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5.95%</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2041</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2022</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5.13%</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2043</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4.00%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3.70%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0.63%</w:t>
            </w:r>
          </w:p>
        </w:tc>
        <w:tc>
          <w:tcPr>
            <w:tcW w:w="734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1.50%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2019</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gridSpan w:val="2"/>
          </w:tcPr>
          <w:p>
            <w:pPr>
              <w:spacing w:after="0"/>
              <w:rPr>
                <w:sz w:val="20"/>
                <w:szCs w:val="20"/>
                <w:color w:val="auto"/>
              </w:rPr>
            </w:pPr>
            <w:r>
              <w:rPr>
                <w:rFonts w:ascii="Arial" w:cs="Arial" w:eastAsia="Arial" w:hAnsi="Arial"/>
                <w:sz w:val="18"/>
                <w:szCs w:val="18"/>
                <w:color w:val="auto"/>
              </w:rPr>
              <w:t>Commercial paper borrowings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2,433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263</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FF0FC"/>
          </w:tcPr>
          <w:p>
            <w:pPr>
              <w:spacing w:after="0"/>
              <w:rPr>
                <w:sz w:val="19"/>
                <w:szCs w:val="19"/>
                <w:color w:val="auto"/>
              </w:rPr>
            </w:pPr>
          </w:p>
        </w:tc>
      </w:tr>
      <w:tr>
        <w:trPr>
          <w:trHeight w:val="219"/>
        </w:trPr>
        <w:tc>
          <w:tcPr>
            <w:tcW w:w="48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14,644</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9"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Schlumberger Limited fully and unconditionally guarantees the securities issued by certain of its subsidiaries, including securities issued by Schlumberger Investment SA, a wholly-owned finance subsidiary of Schlumberger.</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At December 31, 2018, Schlumberger had separate committed credit facility agreements aggregating $6.5 billion with commercial banks, of which $4.1 billion was available and unused. These committed facilities support commercial paper programs in the United States and Europe, and $1.0 billion matures in February 2019, $1.5 billion matures in November 2020, $2.0 billion matures in February 2022 and $2.0 billion matures in February 2023. Interest rates and other terms of borrowing under these lines of credit vary from country to country.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2018, Schlumberger issued €600 million of 1.00% Guaranteed Notes due 2026.</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Commercial paper borrowings are classified as long-term debt to the extent they are backed up by available and unused committed credit facilities maturing in more than one year and to the extent it is Schlumberger’s intent to maintain these obligations for longer than one year. Borrowings under the commercial paper programs at December 31, 2018 were $2.4 billion, all of which was classified within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At December 31, 2017, borrowings under the commercial paper programs were $3.0 billion, of which $1.7 billion was classified within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$1.3 billion was classified in </w:t>
      </w:r>
      <w:r>
        <w:rPr>
          <w:rFonts w:ascii="Arial" w:cs="Arial" w:eastAsia="Arial" w:hAnsi="Arial"/>
          <w:sz w:val="17"/>
          <w:szCs w:val="17"/>
          <w:i w:val="1"/>
          <w:iCs w:val="1"/>
          <w:color w:val="auto"/>
        </w:rPr>
        <w:t>Short-term borrowings and current portion of long-term debt</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variable rate debt as of December 31, 2018 was 3.5%.</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December 31, 2018 is due as follows: $2.1 billion in 2020, $3.1 billion in 2021, $4.4 billion in 2022, $2.1 billion in 2023, $1.8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2025, $0.7 billion in 2026 and $0.4 billion thereafter.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line="265"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December 31, 2018 and December 31, 2017 was $14.6 billion and $15.2 billion, respectively, and was estimated based on quoted market prices.</w:t>
      </w:r>
    </w:p>
    <w:p>
      <w:pPr>
        <w:spacing w:after="0" w:line="280" w:lineRule="exact"/>
        <w:rPr>
          <w:sz w:val="20"/>
          <w:szCs w:val="20"/>
          <w:color w:val="auto"/>
        </w:rPr>
      </w:pPr>
    </w:p>
    <w:p>
      <w:pPr>
        <w:ind w:left="260" w:hanging="254"/>
        <w:spacing w:after="0"/>
        <w:tabs>
          <w:tab w:leader="none" w:pos="2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18"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Schlumberger is exposed to market risks related to fluctuations in interest rates and foreign currency exchange rates. To mitigate these risks, Schlumberger utilizes derivative instruments. Schlumberger does not enter into derivative transactions for speculative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90"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During 2013, Schlumberger entered into a cross-currency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cross-currency swap is designated as a fair value hedge of the underlying debt and is marked to market with gains and losses recognized immediately in income to largely offset the effects of changes in the fair value of the hedged debt.</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2017, a Canadian dollar functional currency subsidiary of Schlumberger issued $1.1 billion of US dollar denominated debt. Schlumberger entered into cross-currency swaps for an aggregate notional amount of $1.1 billion in order to hedge changes in the fair value of its $0.5 billion 2.20% Senior Notes due 2020 and its $0.6 billion 2.65% Senior Notes due 2022. These cross-currency swaps effectively convert the US dollar notes to Canadian dollar denominated debt with fixed annual interest rates of 1.97% and 2.52%, respectively.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These cross-currency swaps are designated as cash flow hedges. The changes in the fair values of the hedges are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Amounts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are reclassified to earnings in the same periods that the underlying hedged item is recognized in earnings.</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At December 31, 2018, Schlumberger had fixed rate debt aggregating $12.7 billion and variable rate debt aggregating $3.4 billion, after taking into account the effect of interest rate swaps.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multinational company, Schlumberger conducts its business in over 85 countries. Schlumberger’s functional currency is primarily the US dollar. Approximately 79% of Schlumberger’s revenues in 2018 was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denominated in currencies other than the functional currency. Schlumberger uses foreign currency forward contracts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 reclassified into</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in the same period or periods that the hedged item is recognized in earnings.</w:t>
      </w:r>
    </w:p>
    <w:p>
      <w:pPr>
        <w:spacing w:after="0" w:line="182"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 xml:space="preserve">At December 31, 2018, Schlumberger recognized a cumulative net $12 million loss in </w:t>
      </w:r>
      <w:r>
        <w:rPr>
          <w:rFonts w:ascii="Arial" w:cs="Arial" w:eastAsia="Arial" w:hAnsi="Arial"/>
          <w:sz w:val="15"/>
          <w:szCs w:val="15"/>
          <w:i w:val="1"/>
          <w:iCs w:val="1"/>
          <w:color w:val="auto"/>
        </w:rPr>
        <w:t>Accumulated Other Comprehensive Loss</w:t>
      </w:r>
      <w:r>
        <w:rPr>
          <w:rFonts w:ascii="Arial" w:cs="Arial" w:eastAsia="Arial" w:hAnsi="Arial"/>
          <w:sz w:val="15"/>
          <w:szCs w:val="15"/>
          <w:color w:val="auto"/>
        </w:rPr>
        <w:t xml:space="preserve"> relating to revaluation of foreign currency forward contracts designated as cash flow hedges, the majority of which is expected to be reclassified into earnings within the next 12 months.</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changes in the fair value are recognized in the </w:t>
      </w:r>
      <w:r>
        <w:rPr>
          <w:rFonts w:ascii="Arial" w:cs="Arial" w:eastAsia="Arial" w:hAnsi="Arial"/>
          <w:sz w:val="18"/>
          <w:szCs w:val="18"/>
          <w:i w:val="1"/>
          <w:iCs w:val="1"/>
          <w:color w:val="auto"/>
        </w:rPr>
        <w:t xml:space="preserve">Consolidated Statement of Income (Loss), </w:t>
      </w:r>
      <w:r>
        <w:rPr>
          <w:rFonts w:ascii="Arial" w:cs="Arial" w:eastAsia="Arial" w:hAnsi="Arial"/>
          <w:sz w:val="18"/>
          <w:szCs w:val="18"/>
          <w:color w:val="auto"/>
        </w:rPr>
        <w:t>as are changes in the fair value of the hedged item. Transaction gains of $1 million in 2018 and transaction losses of</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and $93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5" w:name="page46"/>
    <w:bookmarkEnd w:id="45"/>
    <w:p>
      <w:pPr>
        <w:spacing w:after="0" w:line="265" w:lineRule="auto"/>
        <w:rPr>
          <w:sz w:val="20"/>
          <w:szCs w:val="20"/>
          <w:color w:val="auto"/>
        </w:rPr>
      </w:pPr>
      <w:r>
        <w:rPr>
          <w:rFonts w:ascii="Arial" w:cs="Arial" w:eastAsia="Arial" w:hAnsi="Arial"/>
          <w:sz w:val="18"/>
          <w:szCs w:val="18"/>
          <w:color w:val="auto"/>
        </w:rPr>
        <w:t xml:space="preserve">million in 2017 and 2016, respectively, were recognized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net of related hedging activities. Included in the 2016 amount was $63 million of losses relating to Egypt. See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 xml:space="preserve"> for further details.</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At December 31, 2018, contracts were outstanding for the US dollar equivalent of $5.0 billion in various foreign currencies, of which $1.9 billion relates to hedges of debt denominated in currencies other than the functional currency.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outstanding derivatives was not material at December 31, 2018 and 2017.</w:t>
      </w:r>
    </w:p>
    <w:p>
      <w:pPr>
        <w:spacing w:after="0" w:line="21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 xml:space="preserve">The effect of derivative instruments designated as fair value hedges and those not designated as hedges on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was as follows: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w w:val="95"/>
              </w:rPr>
              <w:t>(Stated in millions)</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5720" w:type="dxa"/>
            <w:vAlign w:val="bottom"/>
          </w:tcPr>
          <w:p>
            <w:pPr>
              <w:spacing w:after="0"/>
              <w:rPr>
                <w:sz w:val="24"/>
                <w:szCs w:val="24"/>
                <w:color w:val="auto"/>
              </w:rPr>
            </w:pPr>
          </w:p>
        </w:tc>
        <w:tc>
          <w:tcPr>
            <w:tcW w:w="3460" w:type="dxa"/>
            <w:vAlign w:val="bottom"/>
            <w:tcBorders>
              <w:bottom w:val="single" w:sz="8" w:color="auto"/>
            </w:tcBorders>
            <w:gridSpan w:val="8"/>
          </w:tcPr>
          <w:p>
            <w:pPr>
              <w:jc w:val="right"/>
              <w:ind w:right="89"/>
              <w:spacing w:after="0"/>
              <w:rPr>
                <w:sz w:val="20"/>
                <w:szCs w:val="20"/>
                <w:color w:val="auto"/>
              </w:rPr>
            </w:pPr>
            <w:r>
              <w:rPr>
                <w:rFonts w:ascii="Arial" w:cs="Arial" w:eastAsia="Arial" w:hAnsi="Arial"/>
                <w:sz w:val="16"/>
                <w:szCs w:val="16"/>
                <w:b w:val="1"/>
                <w:bCs w:val="1"/>
                <w:color w:val="auto"/>
              </w:rPr>
              <w:t>Gain (Loss) Recognized in Income (Loss)</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color w:val="auto"/>
                <w:w w:val="94"/>
              </w:rPr>
              <w:t>Consolidated Statement</w:t>
            </w:r>
          </w:p>
        </w:tc>
        <w:tc>
          <w:tcPr>
            <w:tcW w:w="0" w:type="dxa"/>
            <w:vAlign w:val="bottom"/>
          </w:tcPr>
          <w:p>
            <w:pPr>
              <w:spacing w:after="0"/>
              <w:rPr>
                <w:sz w:val="1"/>
                <w:szCs w:val="1"/>
                <w:color w:val="auto"/>
              </w:rPr>
            </w:pPr>
          </w:p>
        </w:tc>
      </w:tr>
      <w:tr>
        <w:trPr>
          <w:trHeight w:val="199"/>
        </w:trPr>
        <w:tc>
          <w:tcPr>
            <w:tcW w:w="5720" w:type="dxa"/>
            <w:vAlign w:val="bottom"/>
          </w:tcPr>
          <w:p>
            <w:pPr>
              <w:spacing w:after="0"/>
              <w:rPr>
                <w:sz w:val="17"/>
                <w:szCs w:val="17"/>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ind w:left="40"/>
              <w:spacing w:after="0"/>
              <w:rPr>
                <w:sz w:val="20"/>
                <w:szCs w:val="20"/>
                <w:color w:val="auto"/>
              </w:rPr>
            </w:pPr>
            <w:r>
              <w:rPr>
                <w:rFonts w:ascii="Arial" w:cs="Arial" w:eastAsia="Arial" w:hAnsi="Arial"/>
                <w:sz w:val="16"/>
                <w:szCs w:val="16"/>
                <w:color w:val="auto"/>
              </w:rPr>
              <w:t>of Income (Loss)</w:t>
            </w:r>
          </w:p>
        </w:tc>
        <w:tc>
          <w:tcPr>
            <w:tcW w:w="0" w:type="dxa"/>
            <w:vAlign w:val="bottom"/>
          </w:tcPr>
          <w:p>
            <w:pPr>
              <w:spacing w:after="0"/>
              <w:rPr>
                <w:sz w:val="1"/>
                <w:szCs w:val="1"/>
                <w:color w:val="auto"/>
              </w:rPr>
            </w:pPr>
          </w:p>
        </w:tc>
      </w:tr>
      <w:tr>
        <w:trPr>
          <w:trHeight w:val="206"/>
        </w:trPr>
        <w:tc>
          <w:tcPr>
            <w:tcW w:w="5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2017</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221"/>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8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720" w:type="dxa"/>
            <w:vAlign w:val="bottom"/>
          </w:tcPr>
          <w:p>
            <w:pPr>
              <w:spacing w:after="0"/>
              <w:rPr>
                <w:sz w:val="20"/>
                <w:szCs w:val="20"/>
                <w:color w:val="auto"/>
              </w:rPr>
            </w:pPr>
            <w:r>
              <w:rPr>
                <w:rFonts w:ascii="Arial" w:cs="Arial" w:eastAsia="Arial" w:hAnsi="Arial"/>
                <w:sz w:val="18"/>
                <w:szCs w:val="18"/>
                <w:color w:val="auto"/>
              </w:rPr>
              <w:t>Cross currency swap</w:t>
            </w:r>
          </w:p>
        </w:tc>
        <w:tc>
          <w:tcPr>
            <w:tcW w:w="800" w:type="dxa"/>
            <w:vAlign w:val="bottom"/>
          </w:tcPr>
          <w:p>
            <w:pPr>
              <w:jc w:val="right"/>
              <w:ind w:right="642"/>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3"/>
                <w:szCs w:val="23"/>
                <w:color w:val="auto"/>
              </w:rPr>
            </w:pPr>
          </w:p>
        </w:tc>
        <w:tc>
          <w:tcPr>
            <w:tcW w:w="84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720" w:type="dxa"/>
            <w:vAlign w:val="bottom"/>
            <w:gridSpan w:val="2"/>
          </w:tcPr>
          <w:p>
            <w:pPr>
              <w:ind w:left="8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5"/>
        </w:trPr>
        <w:tc>
          <w:tcPr>
            <w:tcW w:w="57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20" w:type="dxa"/>
            <w:vAlign w:val="bottom"/>
          </w:tcPr>
          <w:p>
            <w:pPr>
              <w:spacing w:after="0"/>
              <w:rPr>
                <w:sz w:val="20"/>
                <w:szCs w:val="20"/>
                <w:color w:val="auto"/>
              </w:rPr>
            </w:pPr>
            <w:r>
              <w:rPr>
                <w:rFonts w:ascii="Arial" w:cs="Arial" w:eastAsia="Arial" w:hAnsi="Arial"/>
                <w:sz w:val="18"/>
                <w:szCs w:val="18"/>
                <w:color w:val="auto"/>
              </w:rPr>
              <w:t>Derivatives designated as cash flow hedges: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Cross currency swap</w:t>
            </w:r>
          </w:p>
        </w:tc>
        <w:tc>
          <w:tcPr>
            <w:tcW w:w="800" w:type="dxa"/>
            <w:vAlign w:val="bottom"/>
            <w:shd w:val="clear" w:color="auto" w:fill="CFF0FC"/>
          </w:tcPr>
          <w:p>
            <w:pPr>
              <w:jc w:val="right"/>
              <w:ind w:right="642"/>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3"/>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FF0FC"/>
          </w:tcPr>
          <w:p>
            <w:pPr>
              <w:jc w:val="right"/>
              <w:ind w:right="58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8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26"/>
        </w:trPr>
        <w:tc>
          <w:tcPr>
            <w:tcW w:w="57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8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i w:val="1"/>
                <w:iCs w:val="1"/>
                <w:color w:val="auto"/>
                <w:w w:val="92"/>
              </w:rPr>
              <w:t>Cost of services/sales</w:t>
            </w: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7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2"/>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3"/>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FF0FC"/>
          </w:tcPr>
          <w:p>
            <w:pPr>
              <w:jc w:val="right"/>
              <w:ind w:right="58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Derivatives not designated as hedges: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800" w:type="dxa"/>
            <w:vAlign w:val="bottom"/>
            <w:shd w:val="clear" w:color="auto" w:fill="CFF0FC"/>
          </w:tcPr>
          <w:p>
            <w:pPr>
              <w:jc w:val="right"/>
              <w:ind w:right="642"/>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3"/>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840" w:type="dxa"/>
            <w:vAlign w:val="bottom"/>
            <w:gridSpan w:val="2"/>
            <w:shd w:val="clear" w:color="auto" w:fill="CFF0FC"/>
          </w:tcPr>
          <w:p>
            <w:pPr>
              <w:jc w:val="right"/>
              <w:ind w:right="58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(246)</w:t>
            </w:r>
          </w:p>
        </w:tc>
        <w:tc>
          <w:tcPr>
            <w:tcW w:w="1720" w:type="dxa"/>
            <w:vAlign w:val="bottom"/>
            <w:gridSpan w:val="2"/>
            <w:shd w:val="clear" w:color="auto" w:fill="CFF0FC"/>
          </w:tcPr>
          <w:p>
            <w:pPr>
              <w:ind w:left="80"/>
              <w:spacing w:after="0"/>
              <w:rPr>
                <w:sz w:val="20"/>
                <w:szCs w:val="20"/>
                <w:color w:val="auto"/>
              </w:rPr>
            </w:pPr>
            <w:r>
              <w:rPr>
                <w:rFonts w:ascii="Arial" w:cs="Arial" w:eastAsia="Arial" w:hAnsi="Arial"/>
                <w:sz w:val="18"/>
                <w:szCs w:val="18"/>
                <w:i w:val="1"/>
                <w:iCs w:val="1"/>
                <w:color w:val="auto"/>
                <w:w w:val="92"/>
              </w:rPr>
              <w:t>Cost of services/sales</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280" w:hanging="274"/>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Schlumberger is authorized to issue 4,500,000,000 shares of common stock, par value $0.01 per share, of which 1,382,964,324 and 1,383,932,776 shares were outstanding on December 31, 2018 and 2017, respectively. Holders of common stock are entitled to one vote for each share of stock held. Schlumberger is also authorized to issue 200,000,000 shares of preferred stock, par value $0.01 per share, which may be issued in series with terms and conditions determined by the Schlumberger Board of Directors. No shares of preferred stock have been issued.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Pension and</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Currency</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Other</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Marketable</w:t>
            </w:r>
          </w:p>
        </w:tc>
        <w:tc>
          <w:tcPr>
            <w:tcW w:w="1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Cash Flow</w:t>
            </w:r>
          </w:p>
        </w:tc>
        <w:tc>
          <w:tcPr>
            <w:tcW w:w="80" w:type="dxa"/>
            <w:vAlign w:val="bottom"/>
          </w:tcPr>
          <w:p>
            <w:pPr>
              <w:spacing w:after="0"/>
              <w:rPr>
                <w:sz w:val="19"/>
                <w:szCs w:val="19"/>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Postretirement</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8"/>
              </w:rPr>
              <w:t>Adjustments</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5"/>
              </w:rPr>
              <w:t>Securities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Hedges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7"/>
              </w:rPr>
              <w:t>Benefit Plans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4"/>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Amounts reclassified from accumulated other</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(2,509)</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Amounts reclassified from accumulated other</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(2,151)</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8"/>
                <w:szCs w:val="18"/>
                <w:color w:val="auto"/>
                <w:w w:val="91"/>
              </w:rPr>
              <w:t xml:space="preserve">Reclassification to </w:t>
            </w:r>
            <w:r>
              <w:rPr>
                <w:rFonts w:ascii="Arial" w:cs="Arial" w:eastAsia="Arial" w:hAnsi="Arial"/>
                <w:sz w:val="18"/>
                <w:szCs w:val="18"/>
                <w:i w:val="1"/>
                <w:iCs w:val="1"/>
                <w:color w:val="auto"/>
                <w:w w:val="91"/>
              </w:rPr>
              <w:t>Retained Earnings</w:t>
            </w:r>
            <w:r>
              <w:rPr>
                <w:rFonts w:ascii="Arial" w:cs="Arial" w:eastAsia="Arial" w:hAnsi="Arial"/>
                <w:sz w:val="18"/>
                <w:szCs w:val="18"/>
                <w:color w:val="auto"/>
                <w:w w:val="91"/>
              </w:rPr>
              <w:t xml:space="preserve"> of stranded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40"/>
              <w:spacing w:after="0"/>
              <w:rPr>
                <w:sz w:val="20"/>
                <w:szCs w:val="20"/>
                <w:color w:val="auto"/>
              </w:rPr>
            </w:pPr>
            <w:r>
              <w:rPr>
                <w:rFonts w:ascii="Arial" w:cs="Arial" w:eastAsia="Arial" w:hAnsi="Arial"/>
                <w:sz w:val="18"/>
                <w:szCs w:val="18"/>
                <w:color w:val="auto"/>
              </w:rPr>
              <w:t>tax effects resulting from US tax reform</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Other comprehensive loss before reclassifications</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8"/>
                <w:szCs w:val="18"/>
                <w:color w:val="auto"/>
                <w:w w:val="99"/>
              </w:rPr>
              <w:t>Amounts reclassified from accumulated other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4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Balance, December 31, 2018</w:t>
            </w: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8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(2,330)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was $239 million in 2018 and $85 million in 2016.  Other comprehensive income was $369 million in 2017.</w:t>
      </w:r>
    </w:p>
    <w:p>
      <w:pPr>
        <w:spacing w:after="0" w:line="318" w:lineRule="exact"/>
        <w:rPr>
          <w:sz w:val="20"/>
          <w:szCs w:val="20"/>
          <w:color w:val="auto"/>
        </w:rPr>
      </w:pPr>
    </w:p>
    <w:p>
      <w:pPr>
        <w:ind w:left="280" w:hanging="274"/>
        <w:spacing w:after="0"/>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 Plans</w:t>
      </w:r>
    </w:p>
    <w:p>
      <w:pPr>
        <w:spacing w:after="0" w:line="118"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Schlumberger has three types of stock-based compensation programs: (i) stock options, (ii) a restricted stock, restricted stock unit and performance share unit program (collectively referred to as “restricted stock”), and (iii) a discounted stock purchase plan (“DSPP”).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2" w:lineRule="exact"/>
        <w:rPr>
          <w:sz w:val="20"/>
          <w:szCs w:val="20"/>
          <w:color w:val="auto"/>
        </w:rPr>
      </w:pPr>
    </w:p>
    <w:p>
      <w:pPr>
        <w:ind w:right="20"/>
        <w:spacing w:after="0" w:line="366" w:lineRule="auto"/>
        <w:rPr>
          <w:sz w:val="20"/>
          <w:szCs w:val="20"/>
          <w:color w:val="auto"/>
        </w:rPr>
      </w:pPr>
      <w:r>
        <w:rPr>
          <w:rFonts w:ascii="Arial" w:cs="Arial" w:eastAsia="Arial" w:hAnsi="Arial"/>
          <w:sz w:val="15"/>
          <w:szCs w:val="15"/>
          <w:color w:val="auto"/>
        </w:rPr>
        <w:t>Key employees are granted stock options under Schlumberger stock option plans. For all stock options granted, the exercise price equals the average of the high and low sales prices of Schlumberger stock on the date of grant; the maximum term is 10 years, and the options generally vest in increments over five years.</w:t>
      </w:r>
    </w:p>
    <w:p>
      <w:pPr>
        <w:spacing w:after="0" w:line="111"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CFF0FC"/>
            </w:tcBorders>
          </w:tcPr>
          <w:p>
            <w:pPr>
              <w:spacing w:after="0"/>
              <w:rPr>
                <w:sz w:val="20"/>
                <w:szCs w:val="20"/>
                <w:color w:val="auto"/>
              </w:rPr>
            </w:pPr>
          </w:p>
        </w:tc>
        <w:tc>
          <w:tcPr>
            <w:tcW w:w="230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6"/>
        </w:trPr>
        <w:tc>
          <w:tcPr>
            <w:tcW w:w="4160" w:type="dxa"/>
            <w:vAlign w:val="bottom"/>
          </w:tcPr>
          <w:p>
            <w:pPr>
              <w:spacing w:after="0"/>
              <w:rPr>
                <w:sz w:val="20"/>
                <w:szCs w:val="20"/>
                <w:color w:val="auto"/>
              </w:rPr>
            </w:pPr>
            <w:r>
              <w:rPr>
                <w:rFonts w:ascii="Arial" w:cs="Arial" w:eastAsia="Arial" w:hAnsi="Arial"/>
                <w:sz w:val="18"/>
                <w:szCs w:val="18"/>
                <w:color w:val="auto"/>
              </w:rPr>
              <w:t>Expected volatility</w:t>
            </w: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2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26"/>
        </w:trPr>
        <w:tc>
          <w:tcPr>
            <w:tcW w:w="416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share</w:t>
            </w:r>
          </w:p>
        </w:tc>
        <w:tc>
          <w:tcPr>
            <w:tcW w:w="3180" w:type="dxa"/>
            <w:vAlign w:val="bottom"/>
            <w:gridSpan w:val="2"/>
            <w:shd w:val="clear" w:color="auto" w:fill="CFF0FC"/>
          </w:tcPr>
          <w:p>
            <w:pPr>
              <w:jc w:val="right"/>
              <w:ind w:right="71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17.37</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20.85</w:t>
            </w:r>
          </w:p>
        </w:tc>
        <w:tc>
          <w:tcPr>
            <w:tcW w:w="2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3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36"/>
        </w:trPr>
        <w:tc>
          <w:tcPr>
            <w:tcW w:w="4160" w:type="dxa"/>
            <w:vAlign w:val="bottom"/>
          </w:tcPr>
          <w:p>
            <w:pPr>
              <w:spacing w:after="0"/>
              <w:rPr>
                <w:sz w:val="24"/>
                <w:szCs w:val="24"/>
                <w:color w:val="auto"/>
              </w:rPr>
            </w:pPr>
          </w:p>
        </w:tc>
        <w:tc>
          <w:tcPr>
            <w:tcW w:w="2300" w:type="dxa"/>
            <w:vAlign w:val="bottom"/>
          </w:tcPr>
          <w:p>
            <w:pPr>
              <w:jc w:val="right"/>
              <w:ind w:right="572"/>
              <w:spacing w:after="0"/>
              <w:rPr>
                <w:sz w:val="20"/>
                <w:szCs w:val="20"/>
                <w:color w:val="auto"/>
              </w:rPr>
            </w:pPr>
            <w:r>
              <w:rPr>
                <w:rFonts w:ascii="Arial" w:cs="Arial" w:eastAsia="Arial" w:hAnsi="Arial"/>
                <w:sz w:val="18"/>
                <w:szCs w:val="18"/>
                <w:color w:val="auto"/>
              </w:rPr>
              <w:t>47</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7"/>
        </w:trPr>
        <w:tc>
          <w:tcPr>
            <w:tcW w:w="4160" w:type="dxa"/>
            <w:vAlign w:val="bottom"/>
            <w:tcBorders>
              <w:bottom w:val="single" w:sz="8" w:color="9A9A9A"/>
            </w:tcBorders>
          </w:tcPr>
          <w:p>
            <w:pPr>
              <w:spacing w:after="0"/>
              <w:rPr>
                <w:sz w:val="11"/>
                <w:szCs w:val="11"/>
                <w:color w:val="auto"/>
              </w:rPr>
            </w:pPr>
          </w:p>
        </w:tc>
        <w:tc>
          <w:tcPr>
            <w:tcW w:w="23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following table summarizes information related to options outstanding and options exercisable as of December 31, 2018:</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ind w:right="60"/>
              <w:spacing w:after="0"/>
              <w:rPr>
                <w:sz w:val="20"/>
                <w:szCs w:val="20"/>
                <w:color w:val="auto"/>
              </w:rPr>
            </w:pPr>
            <w:r>
              <w:rPr>
                <w:rFonts w:ascii="Arial" w:cs="Arial" w:eastAsia="Arial" w:hAnsi="Arial"/>
                <w:sz w:val="14"/>
                <w:szCs w:val="14"/>
                <w:i w:val="1"/>
                <w:iCs w:val="1"/>
                <w:color w:val="auto"/>
              </w:rPr>
              <w:t>(Shares stated in thousands)</w:t>
            </w:r>
          </w:p>
        </w:tc>
      </w:tr>
      <w:tr>
        <w:trPr>
          <w:trHeight w:val="449"/>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w w:val="91"/>
              </w:rPr>
              <w:t>Options Outstanding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jc w:val="center"/>
              <w:ind w:right="60"/>
              <w:spacing w:after="0"/>
              <w:rPr>
                <w:sz w:val="20"/>
                <w:szCs w:val="20"/>
                <w:color w:val="auto"/>
              </w:rPr>
            </w:pPr>
            <w:r>
              <w:rPr>
                <w:rFonts w:ascii="Arial" w:cs="Arial" w:eastAsia="Arial" w:hAnsi="Arial"/>
                <w:sz w:val="18"/>
                <w:szCs w:val="18"/>
                <w:color w:val="auto"/>
                <w:w w:val="89"/>
              </w:rPr>
              <w:t>Options Exercisable</w:t>
            </w:r>
          </w:p>
        </w:tc>
      </w:tr>
      <w:tr>
        <w:trPr>
          <w:trHeight w:val="218"/>
        </w:trPr>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0"/>
              </w:rPr>
              <w:t>Weighted-</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Weighted-</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Weighted-</w:t>
            </w:r>
          </w:p>
        </w:tc>
      </w:tr>
      <w:tr>
        <w:trPr>
          <w:trHeight w:val="226"/>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Options</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Options</w:t>
            </w:r>
          </w:p>
        </w:tc>
        <w:tc>
          <w:tcPr>
            <w:tcW w:w="1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r>
      <w:tr>
        <w:trPr>
          <w:trHeight w:val="187"/>
        </w:trPr>
        <w:tc>
          <w:tcPr>
            <w:tcW w:w="4500" w:type="dxa"/>
            <w:vAlign w:val="bottom"/>
            <w:gridSpan w:val="3"/>
          </w:tcPr>
          <w:p>
            <w:pPr>
              <w:spacing w:after="0" w:line="187" w:lineRule="exact"/>
              <w:rPr>
                <w:sz w:val="20"/>
                <w:szCs w:val="20"/>
                <w:color w:val="auto"/>
              </w:rPr>
            </w:pPr>
            <w:r>
              <w:rPr>
                <w:rFonts w:ascii="Arial" w:cs="Arial" w:eastAsia="Arial" w:hAnsi="Arial"/>
                <w:sz w:val="18"/>
                <w:szCs w:val="18"/>
                <w:color w:val="auto"/>
              </w:rPr>
              <w:t>Exercise prices range</w:t>
            </w:r>
          </w:p>
        </w:tc>
        <w:tc>
          <w:tcPr>
            <w:tcW w:w="1280" w:type="dxa"/>
            <w:vAlign w:val="bottom"/>
            <w:gridSpan w:val="2"/>
          </w:tcPr>
          <w:p>
            <w:pPr>
              <w:jc w:val="center"/>
              <w:ind w:right="260"/>
              <w:spacing w:after="0" w:line="187" w:lineRule="exact"/>
              <w:rPr>
                <w:sz w:val="20"/>
                <w:szCs w:val="20"/>
                <w:color w:val="auto"/>
              </w:rPr>
            </w:pPr>
            <w:r>
              <w:rPr>
                <w:rFonts w:ascii="Arial" w:cs="Arial" w:eastAsia="Arial" w:hAnsi="Arial"/>
                <w:sz w:val="18"/>
                <w:szCs w:val="18"/>
                <w:color w:val="auto"/>
                <w:w w:val="88"/>
              </w:rPr>
              <w:t>Outstanding</w:t>
            </w:r>
          </w:p>
        </w:tc>
        <w:tc>
          <w:tcPr>
            <w:tcW w:w="1660" w:type="dxa"/>
            <w:vAlign w:val="bottom"/>
            <w:gridSpan w:val="2"/>
          </w:tcPr>
          <w:p>
            <w:pPr>
              <w:jc w:val="center"/>
              <w:ind w:right="200"/>
              <w:spacing w:after="0" w:line="187" w:lineRule="exact"/>
              <w:rPr>
                <w:sz w:val="20"/>
                <w:szCs w:val="20"/>
                <w:color w:val="auto"/>
              </w:rPr>
            </w:pPr>
            <w:r>
              <w:rPr>
                <w:rFonts w:ascii="Arial" w:cs="Arial" w:eastAsia="Arial" w:hAnsi="Arial"/>
                <w:sz w:val="18"/>
                <w:szCs w:val="18"/>
                <w:color w:val="auto"/>
                <w:w w:val="87"/>
              </w:rPr>
              <w:t>(in years)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320"/>
              <w:spacing w:after="0" w:line="187" w:lineRule="exact"/>
              <w:rPr>
                <w:sz w:val="20"/>
                <w:szCs w:val="20"/>
                <w:color w:val="auto"/>
              </w:rPr>
            </w:pPr>
            <w:r>
              <w:rPr>
                <w:rFonts w:ascii="Arial" w:cs="Arial" w:eastAsia="Arial" w:hAnsi="Arial"/>
                <w:sz w:val="18"/>
                <w:szCs w:val="18"/>
                <w:color w:val="auto"/>
                <w:w w:val="88"/>
              </w:rPr>
              <w:t>Exercise Price</w:t>
            </w:r>
          </w:p>
        </w:tc>
        <w:tc>
          <w:tcPr>
            <w:tcW w:w="1200" w:type="dxa"/>
            <w:vAlign w:val="bottom"/>
            <w:gridSpan w:val="2"/>
          </w:tcPr>
          <w:p>
            <w:pPr>
              <w:jc w:val="center"/>
              <w:ind w:right="220"/>
              <w:spacing w:after="0" w:line="187" w:lineRule="exact"/>
              <w:rPr>
                <w:sz w:val="20"/>
                <w:szCs w:val="20"/>
                <w:color w:val="auto"/>
              </w:rPr>
            </w:pPr>
            <w:r>
              <w:rPr>
                <w:rFonts w:ascii="Arial" w:cs="Arial" w:eastAsia="Arial" w:hAnsi="Arial"/>
                <w:sz w:val="18"/>
                <w:szCs w:val="18"/>
                <w:color w:val="auto"/>
                <w:w w:val="88"/>
              </w:rPr>
              <w:t>Exercisable</w:t>
            </w:r>
          </w:p>
        </w:tc>
        <w:tc>
          <w:tcPr>
            <w:tcW w:w="100" w:type="dxa"/>
            <w:vAlign w:val="bottom"/>
          </w:tcPr>
          <w:p>
            <w:pPr>
              <w:spacing w:after="0"/>
              <w:rPr>
                <w:sz w:val="16"/>
                <w:szCs w:val="16"/>
                <w:color w:val="auto"/>
              </w:rPr>
            </w:pPr>
          </w:p>
        </w:tc>
        <w:tc>
          <w:tcPr>
            <w:tcW w:w="1200" w:type="dxa"/>
            <w:vAlign w:val="bottom"/>
            <w:gridSpan w:val="2"/>
          </w:tcPr>
          <w:p>
            <w:pPr>
              <w:jc w:val="center"/>
              <w:ind w:right="180"/>
              <w:spacing w:after="0" w:line="187" w:lineRule="exact"/>
              <w:rPr>
                <w:sz w:val="20"/>
                <w:szCs w:val="20"/>
                <w:color w:val="auto"/>
              </w:rPr>
            </w:pPr>
            <w:r>
              <w:rPr>
                <w:rFonts w:ascii="Arial" w:cs="Arial" w:eastAsia="Arial" w:hAnsi="Arial"/>
                <w:sz w:val="18"/>
                <w:szCs w:val="18"/>
                <w:color w:val="auto"/>
                <w:w w:val="88"/>
              </w:rPr>
              <w:t>Exercise Price</w:t>
            </w:r>
          </w:p>
        </w:tc>
      </w:tr>
      <w:tr>
        <w:trPr>
          <w:trHeight w:val="20"/>
        </w:trPr>
        <w:tc>
          <w:tcPr>
            <w:tcW w:w="520" w:type="dxa"/>
            <w:vAlign w:val="bottom"/>
            <w:tcBorders>
              <w:top w:val="single" w:sz="8" w:color="auto"/>
              <w:bottom w:val="single" w:sz="8" w:color="CFF0FC"/>
            </w:tcBorders>
          </w:tcPr>
          <w:p>
            <w:pPr>
              <w:spacing w:after="0" w:line="20" w:lineRule="exact"/>
              <w:rPr>
                <w:sz w:val="1"/>
                <w:szCs w:val="1"/>
                <w:color w:val="auto"/>
              </w:rPr>
            </w:pPr>
          </w:p>
        </w:tc>
        <w:tc>
          <w:tcPr>
            <w:tcW w:w="1000" w:type="dxa"/>
            <w:vAlign w:val="bottom"/>
            <w:tcBorders>
              <w:top w:val="single" w:sz="8" w:color="auto"/>
              <w:bottom w:val="single" w:sz="8" w:color="CFF0FC"/>
            </w:tcBorders>
          </w:tcPr>
          <w:p>
            <w:pPr>
              <w:spacing w:after="0" w:line="20" w:lineRule="exact"/>
              <w:rPr>
                <w:sz w:val="1"/>
                <w:szCs w:val="1"/>
                <w:color w:val="auto"/>
              </w:rPr>
            </w:pPr>
          </w:p>
        </w:tc>
        <w:tc>
          <w:tcPr>
            <w:tcW w:w="298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r>
      <w:tr>
        <w:trPr>
          <w:trHeight w:val="219"/>
        </w:trPr>
        <w:tc>
          <w:tcPr>
            <w:tcW w:w="1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$37.85 - $69.98</w:t>
            </w:r>
          </w:p>
        </w:tc>
        <w:tc>
          <w:tcPr>
            <w:tcW w:w="29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6,859</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60.99</w:t>
            </w:r>
          </w:p>
        </w:tc>
        <w:tc>
          <w:tcPr>
            <w:tcW w:w="40" w:type="dxa"/>
            <w:vAlign w:val="bottom"/>
            <w:shd w:val="clear" w:color="auto" w:fill="CFF0FC"/>
          </w:tcPr>
          <w:p>
            <w:pPr>
              <w:spacing w:after="0"/>
              <w:rPr>
                <w:sz w:val="19"/>
                <w:szCs w:val="19"/>
                <w:color w:val="auto"/>
              </w:rPr>
            </w:pPr>
          </w:p>
        </w:tc>
      </w:tr>
      <w:tr>
        <w:trPr>
          <w:trHeight w:val="225"/>
        </w:trPr>
        <w:tc>
          <w:tcPr>
            <w:tcW w:w="520" w:type="dxa"/>
            <w:vAlign w:val="bottom"/>
          </w:tcPr>
          <w:p>
            <w:pPr>
              <w:spacing w:after="0"/>
              <w:rPr>
                <w:sz w:val="20"/>
                <w:szCs w:val="20"/>
                <w:color w:val="auto"/>
              </w:rPr>
            </w:pPr>
            <w:r>
              <w:rPr>
                <w:rFonts w:ascii="Arial" w:cs="Arial" w:eastAsia="Arial" w:hAnsi="Arial"/>
                <w:sz w:val="18"/>
                <w:szCs w:val="18"/>
                <w:color w:val="auto"/>
                <w:w w:val="90"/>
              </w:rPr>
              <w:t>$70.31</w:t>
            </w:r>
          </w:p>
        </w:tc>
        <w:tc>
          <w:tcPr>
            <w:tcW w:w="1000" w:type="dxa"/>
            <w:vAlign w:val="bottom"/>
          </w:tcPr>
          <w:p>
            <w:pPr>
              <w:ind w:left="20"/>
              <w:spacing w:after="0"/>
              <w:rPr>
                <w:sz w:val="20"/>
                <w:szCs w:val="20"/>
                <w:color w:val="auto"/>
              </w:rPr>
            </w:pPr>
            <w:r>
              <w:rPr>
                <w:rFonts w:ascii="Arial" w:cs="Arial" w:eastAsia="Arial" w:hAnsi="Arial"/>
                <w:sz w:val="18"/>
                <w:szCs w:val="18"/>
                <w:color w:val="auto"/>
              </w:rPr>
              <w:t>- $76.74</w:t>
            </w:r>
          </w:p>
        </w:tc>
        <w:tc>
          <w:tcPr>
            <w:tcW w:w="2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10,579</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72.17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10,144</w:t>
            </w:r>
          </w:p>
        </w:tc>
        <w:tc>
          <w:tcPr>
            <w:tcW w:w="20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72.02</w:t>
            </w:r>
          </w:p>
        </w:tc>
        <w:tc>
          <w:tcPr>
            <w:tcW w:w="40" w:type="dxa"/>
            <w:vAlign w:val="bottom"/>
          </w:tcPr>
          <w:p>
            <w:pPr>
              <w:spacing w:after="0"/>
              <w:rPr>
                <w:sz w:val="19"/>
                <w:szCs w:val="19"/>
                <w:color w:val="auto"/>
              </w:rPr>
            </w:pPr>
          </w:p>
        </w:tc>
      </w:tr>
      <w:tr>
        <w:trPr>
          <w:trHeight w:val="226"/>
        </w:trPr>
        <w:tc>
          <w:tcPr>
            <w:tcW w:w="520" w:type="dxa"/>
            <w:vAlign w:val="bottom"/>
            <w:shd w:val="clear" w:color="auto" w:fill="CFF0FC"/>
          </w:tcPr>
          <w:p>
            <w:pPr>
              <w:spacing w:after="0"/>
              <w:rPr>
                <w:sz w:val="20"/>
                <w:szCs w:val="20"/>
                <w:color w:val="auto"/>
              </w:rPr>
            </w:pPr>
            <w:r>
              <w:rPr>
                <w:rFonts w:ascii="Arial" w:cs="Arial" w:eastAsia="Arial" w:hAnsi="Arial"/>
                <w:sz w:val="18"/>
                <w:szCs w:val="18"/>
                <w:color w:val="auto"/>
                <w:w w:val="90"/>
              </w:rPr>
              <w:t>$77.10</w:t>
            </w:r>
          </w:p>
        </w:tc>
        <w:tc>
          <w:tcPr>
            <w:tcW w:w="1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$83.15</w:t>
            </w:r>
          </w:p>
        </w:tc>
        <w:tc>
          <w:tcPr>
            <w:tcW w:w="29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8,095</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79.34</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79.81</w:t>
            </w:r>
          </w:p>
        </w:tc>
        <w:tc>
          <w:tcPr>
            <w:tcW w:w="40" w:type="dxa"/>
            <w:vAlign w:val="bottom"/>
            <w:shd w:val="clear" w:color="auto" w:fill="CFF0FC"/>
          </w:tcPr>
          <w:p>
            <w:pPr>
              <w:spacing w:after="0"/>
              <w:rPr>
                <w:sz w:val="19"/>
                <w:szCs w:val="19"/>
                <w:color w:val="auto"/>
              </w:rPr>
            </w:pPr>
          </w:p>
        </w:tc>
      </w:tr>
      <w:tr>
        <w:trPr>
          <w:trHeight w:val="225"/>
        </w:trPr>
        <w:tc>
          <w:tcPr>
            <w:tcW w:w="520" w:type="dxa"/>
            <w:vAlign w:val="bottom"/>
          </w:tcPr>
          <w:p>
            <w:pPr>
              <w:spacing w:after="0"/>
              <w:rPr>
                <w:sz w:val="20"/>
                <w:szCs w:val="20"/>
                <w:color w:val="auto"/>
              </w:rPr>
            </w:pPr>
            <w:r>
              <w:rPr>
                <w:rFonts w:ascii="Arial" w:cs="Arial" w:eastAsia="Arial" w:hAnsi="Arial"/>
                <w:sz w:val="18"/>
                <w:szCs w:val="18"/>
                <w:color w:val="auto"/>
                <w:w w:val="90"/>
              </w:rPr>
              <w:t>$83.89</w:t>
            </w:r>
          </w:p>
        </w:tc>
        <w:tc>
          <w:tcPr>
            <w:tcW w:w="1000" w:type="dxa"/>
            <w:vAlign w:val="bottom"/>
          </w:tcPr>
          <w:p>
            <w:pPr>
              <w:ind w:left="20"/>
              <w:spacing w:after="0"/>
              <w:rPr>
                <w:sz w:val="20"/>
                <w:szCs w:val="20"/>
                <w:color w:val="auto"/>
              </w:rPr>
            </w:pPr>
            <w:r>
              <w:rPr>
                <w:rFonts w:ascii="Arial" w:cs="Arial" w:eastAsia="Arial" w:hAnsi="Arial"/>
                <w:sz w:val="18"/>
                <w:szCs w:val="18"/>
                <w:color w:val="auto"/>
              </w:rPr>
              <w:t>- $88.77</w:t>
            </w:r>
          </w:p>
        </w:tc>
        <w:tc>
          <w:tcPr>
            <w:tcW w:w="2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9,644</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85.88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85.00</w:t>
            </w:r>
          </w:p>
        </w:tc>
        <w:tc>
          <w:tcPr>
            <w:tcW w:w="40" w:type="dxa"/>
            <w:vAlign w:val="bottom"/>
          </w:tcPr>
          <w:p>
            <w:pPr>
              <w:spacing w:after="0"/>
              <w:rPr>
                <w:sz w:val="19"/>
                <w:szCs w:val="19"/>
                <w:color w:val="auto"/>
              </w:rPr>
            </w:pPr>
          </w:p>
        </w:tc>
      </w:tr>
      <w:tr>
        <w:trPr>
          <w:trHeight w:val="226"/>
        </w:trPr>
        <w:tc>
          <w:tcPr>
            <w:tcW w:w="520" w:type="dxa"/>
            <w:vAlign w:val="bottom"/>
            <w:shd w:val="clear" w:color="auto" w:fill="CFF0FC"/>
          </w:tcPr>
          <w:p>
            <w:pPr>
              <w:spacing w:after="0"/>
              <w:rPr>
                <w:sz w:val="20"/>
                <w:szCs w:val="20"/>
                <w:color w:val="auto"/>
              </w:rPr>
            </w:pPr>
            <w:r>
              <w:rPr>
                <w:rFonts w:ascii="Arial" w:cs="Arial" w:eastAsia="Arial" w:hAnsi="Arial"/>
                <w:sz w:val="18"/>
                <w:szCs w:val="18"/>
                <w:color w:val="auto"/>
                <w:w w:val="90"/>
              </w:rPr>
              <w:t>$90.00</w:t>
            </w:r>
          </w:p>
        </w:tc>
        <w:tc>
          <w:tcPr>
            <w:tcW w:w="1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$114.83</w:t>
            </w:r>
          </w:p>
        </w:tc>
        <w:tc>
          <w:tcPr>
            <w:tcW w:w="29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8,352</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40" w:type="dxa"/>
            <w:vAlign w:val="bottom"/>
            <w:shd w:val="clear" w:color="auto" w:fill="CFF0FC"/>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9"/>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43,529</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79.36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31,046</w:t>
            </w:r>
          </w:p>
        </w:tc>
        <w:tc>
          <w:tcPr>
            <w:tcW w:w="20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78.09</w:t>
            </w:r>
          </w:p>
        </w:tc>
        <w:tc>
          <w:tcPr>
            <w:tcW w:w="4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contractual life of stock options exercisable as of December 31, 2018 was 4.1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years ended December 31, 2018, 2017 and 2016:</w:t>
      </w: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(Shares stated in thousands)</w:t>
            </w:r>
          </w:p>
        </w:tc>
        <w:tc>
          <w:tcPr>
            <w:tcW w:w="0" w:type="dxa"/>
            <w:vAlign w:val="bottom"/>
          </w:tcPr>
          <w:p>
            <w:pPr>
              <w:spacing w:after="0"/>
              <w:rPr>
                <w:sz w:val="1"/>
                <w:szCs w:val="1"/>
                <w:color w:val="auto"/>
              </w:rPr>
            </w:pPr>
          </w:p>
        </w:tc>
      </w:tr>
      <w:tr>
        <w:trPr>
          <w:trHeight w:val="449"/>
        </w:trPr>
        <w:tc>
          <w:tcPr>
            <w:tcW w:w="4680" w:type="dxa"/>
            <w:vAlign w:val="bottom"/>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Weighted-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Weighted-</w:t>
            </w:r>
          </w:p>
        </w:tc>
        <w:tc>
          <w:tcPr>
            <w:tcW w:w="0" w:type="dxa"/>
            <w:vAlign w:val="bottom"/>
          </w:tcPr>
          <w:p>
            <w:pPr>
              <w:spacing w:after="0"/>
              <w:rPr>
                <w:sz w:val="1"/>
                <w:szCs w:val="1"/>
                <w:color w:val="auto"/>
              </w:rPr>
            </w:pPr>
          </w:p>
        </w:tc>
      </w:tr>
      <w:tr>
        <w:trPr>
          <w:trHeight w:val="226"/>
        </w:trPr>
        <w:tc>
          <w:tcPr>
            <w:tcW w:w="4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26"/>
        </w:trPr>
        <w:tc>
          <w:tcPr>
            <w:tcW w:w="4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Exercise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Exercise</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Shares</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Price</w:t>
            </w:r>
          </w:p>
        </w:tc>
        <w:tc>
          <w:tcPr>
            <w:tcW w:w="2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Price</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47,210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79.13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46,502</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2,121</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76.95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86.55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Assumed in Cameron transaction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(936)</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54.20</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57.87</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(4,866)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84.19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(3,160)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86.99</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Outstanding at year-end</w:t>
            </w: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8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43,529</w:t>
            </w: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79.36</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47,210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79.13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46,502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Stock options outstanding and stock options exercisable as of December 31, 2018 had no intrinsic value .</w:t>
      </w:r>
    </w:p>
    <w:p>
      <w:pPr>
        <w:spacing w:after="0" w:line="218"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The total intrinsic value of options exercised during the years ended December 31, 2018, 2017 and 2016 was $15 million, $26 million and $45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2" w:lineRule="exact"/>
        <w:rPr>
          <w:sz w:val="20"/>
          <w:szCs w:val="20"/>
          <w:color w:val="auto"/>
        </w:rPr>
      </w:pPr>
    </w:p>
    <w:p>
      <w:pPr>
        <w:jc w:val="both"/>
        <w:ind w:right="100"/>
        <w:spacing w:after="0" w:line="322" w:lineRule="auto"/>
        <w:rPr>
          <w:sz w:val="20"/>
          <w:szCs w:val="20"/>
          <w:color w:val="auto"/>
        </w:rPr>
      </w:pPr>
      <w:r>
        <w:rPr>
          <w:rFonts w:ascii="Arial" w:cs="Arial" w:eastAsia="Arial" w:hAnsi="Arial"/>
          <w:sz w:val="15"/>
          <w:szCs w:val="15"/>
          <w:color w:val="auto"/>
        </w:rPr>
        <w:t>Schlumberger grants performance share units to certain executives. The number of shares earned is determined at the end of each performance period, which is generally three years, based on Schlumberger’s achievement of certain predefined targets as defined in the underlying performance share unit agreement. In the event Schlumberger exceeds the predefined target, shares for up to the maximum of 250% of the target award may be awarded. In the event Schlumberger falls below the predefined target, a reduced number of shares may be awarded. If Schlumberger falls below the threshold award performance level, no shares will be awarded. As of December 31, 2018, 1.9 million performance share units were outstanding assuming the achievement of 100% of target.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All other restricted stock awards generally vest at the end of three years.</w:t>
      </w:r>
    </w:p>
    <w:p>
      <w:pPr>
        <w:spacing w:after="0" w:line="218" w:lineRule="exact"/>
        <w:rPr>
          <w:sz w:val="20"/>
          <w:szCs w:val="20"/>
          <w:color w:val="auto"/>
        </w:rPr>
      </w:pPr>
    </w:p>
    <w:p>
      <w:pPr>
        <w:jc w:val="both"/>
        <w:ind w:right="100"/>
        <w:spacing w:after="0" w:line="295" w:lineRule="auto"/>
        <w:rPr>
          <w:sz w:val="20"/>
          <w:szCs w:val="20"/>
          <w:color w:val="auto"/>
        </w:rPr>
      </w:pPr>
      <w:r>
        <w:rPr>
          <w:rFonts w:ascii="Arial" w:cs="Arial" w:eastAsia="Arial" w:hAnsi="Arial"/>
          <w:sz w:val="17"/>
          <w:szCs w:val="17"/>
          <w:color w:val="auto"/>
        </w:rPr>
        <w:t>Restricted stock awards generally do not pay dividends or have voting rights prior to vesting. Accordingly, the fair value of a restricted stock award is the quoted market price of Schlumberger’s stock on the date of grant less the present value of the expected dividends not received prior to vesting.</w:t>
      </w:r>
    </w:p>
    <w:p>
      <w:pPr>
        <w:spacing w:after="0" w:line="1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67" w:right="1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 summarizes information related to restricted stock transactions: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jc w:val="right"/>
              <w:ind w:right="60"/>
              <w:spacing w:after="0"/>
              <w:rPr>
                <w:sz w:val="20"/>
                <w:szCs w:val="20"/>
                <w:color w:val="auto"/>
              </w:rPr>
            </w:pPr>
            <w:r>
              <w:rPr>
                <w:rFonts w:ascii="Arial" w:cs="Arial" w:eastAsia="Arial" w:hAnsi="Arial"/>
                <w:sz w:val="14"/>
                <w:szCs w:val="14"/>
                <w:i w:val="1"/>
                <w:iCs w:val="1"/>
                <w:color w:val="auto"/>
              </w:rPr>
              <w:t>(Shares stated in thousands)</w:t>
            </w:r>
          </w:p>
        </w:tc>
        <w:tc>
          <w:tcPr>
            <w:tcW w:w="0" w:type="dxa"/>
            <w:vAlign w:val="bottom"/>
          </w:tcPr>
          <w:p>
            <w:pPr>
              <w:spacing w:after="0"/>
              <w:rPr>
                <w:sz w:val="1"/>
                <w:szCs w:val="1"/>
                <w:color w:val="auto"/>
              </w:rPr>
            </w:pPr>
          </w:p>
        </w:tc>
      </w:tr>
      <w:tr>
        <w:trPr>
          <w:trHeight w:val="449"/>
        </w:trPr>
        <w:tc>
          <w:tcPr>
            <w:tcW w:w="4820" w:type="dxa"/>
            <w:vAlign w:val="bottom"/>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26"/>
        </w:trPr>
        <w:tc>
          <w:tcPr>
            <w:tcW w:w="4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26"/>
        </w:trPr>
        <w:tc>
          <w:tcPr>
            <w:tcW w:w="48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Restricted</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Grant Date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Restricted</w:t>
            </w:r>
          </w:p>
        </w:tc>
        <w:tc>
          <w:tcPr>
            <w:tcW w:w="80" w:type="dxa"/>
            <w:vAlign w:val="bottom"/>
          </w:tcPr>
          <w:p>
            <w:pPr>
              <w:spacing w:after="0"/>
              <w:rPr>
                <w:sz w:val="19"/>
                <w:szCs w:val="19"/>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Grant Date</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Restricted</w:t>
            </w:r>
          </w:p>
        </w:tc>
        <w:tc>
          <w:tcPr>
            <w:tcW w:w="100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Stock</w:t>
            </w:r>
          </w:p>
        </w:tc>
        <w:tc>
          <w:tcPr>
            <w:tcW w:w="2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Stock</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0"/>
              </w:rPr>
              <w:t>Fair Value</w:t>
            </w:r>
          </w:p>
        </w:tc>
        <w:tc>
          <w:tcPr>
            <w:tcW w:w="2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Stock</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0"/>
              </w:rPr>
              <w:t>Fair Value</w:t>
            </w:r>
          </w:p>
        </w:tc>
        <w:tc>
          <w:tcPr>
            <w:tcW w:w="4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Unvested at beginning of year</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72.33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5,112</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85.04</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3,204</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70.54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2,495</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73.09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Assumed in Cameron transaction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72.12</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(982)</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77.62</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83.03</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(699)</w:t>
            </w:r>
          </w:p>
        </w:tc>
        <w:tc>
          <w:tcPr>
            <w:tcW w:w="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70.67</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80.87</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Unvested at year-end</w:t>
            </w: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2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6,951</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70.13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5,428</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72.33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112" w:lineRule="exact"/>
        <w:rPr>
          <w:sz w:val="20"/>
          <w:szCs w:val="20"/>
          <w:color w:val="auto"/>
        </w:rPr>
      </w:pPr>
    </w:p>
    <w:p>
      <w:pPr>
        <w:ind w:right="100"/>
        <w:spacing w:after="0" w:line="366" w:lineRule="auto"/>
        <w:rPr>
          <w:sz w:val="20"/>
          <w:szCs w:val="20"/>
          <w:color w:val="auto"/>
        </w:rPr>
      </w:pPr>
      <w:r>
        <w:rPr>
          <w:rFonts w:ascii="Arial" w:cs="Arial" w:eastAsia="Arial" w:hAnsi="Arial"/>
          <w:sz w:val="15"/>
          <w:szCs w:val="15"/>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spacing w:after="0" w:line="111"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weighted-average fair value per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1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26"/>
        </w:trPr>
        <w:tc>
          <w:tcPr>
            <w:tcW w:w="6540" w:type="dxa"/>
            <w:vAlign w:val="bottom"/>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r>
      <w:tr>
        <w:trPr>
          <w:trHeight w:val="226"/>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Weighted-average fair value per share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9.01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2"/>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Total Stock-based Compensation Expense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9"/>
        </w:trPr>
        <w:tc>
          <w:tcPr>
            <w:tcW w:w="6540" w:type="dxa"/>
            <w:vAlign w:val="bottom"/>
          </w:tcPr>
          <w:p>
            <w:pPr>
              <w:spacing w:after="0"/>
              <w:rPr>
                <w:sz w:val="20"/>
                <w:szCs w:val="20"/>
                <w:color w:val="auto"/>
              </w:rPr>
            </w:pPr>
            <w:r>
              <w:rPr>
                <w:rFonts w:ascii="Arial" w:cs="Arial" w:eastAsia="Arial" w:hAnsi="Arial"/>
                <w:sz w:val="18"/>
                <w:szCs w:val="18"/>
                <w:color w:val="auto"/>
                <w:w w:val="95"/>
              </w:rPr>
              <w:t>The following summarizes stock-based compensation expense recognized in income: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65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1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134</w:t>
            </w:r>
          </w:p>
        </w:tc>
        <w:tc>
          <w:tcPr>
            <w:tcW w:w="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r>
      <w:tr>
        <w:trPr>
          <w:trHeight w:val="226"/>
        </w:trPr>
        <w:tc>
          <w:tcPr>
            <w:tcW w:w="6540" w:type="dxa"/>
            <w:vAlign w:val="bottom"/>
          </w:tcPr>
          <w:p>
            <w:pPr>
              <w:spacing w:after="0"/>
              <w:rPr>
                <w:sz w:val="20"/>
                <w:szCs w:val="20"/>
                <w:color w:val="auto"/>
              </w:rPr>
            </w:pPr>
            <w:r>
              <w:rPr>
                <w:rFonts w:ascii="Arial" w:cs="Arial" w:eastAsia="Arial" w:hAnsi="Arial"/>
                <w:sz w:val="18"/>
                <w:szCs w:val="18"/>
                <w:color w:val="auto"/>
              </w:rPr>
              <w:t>Restricted stock</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26"/>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DSPP</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19"/>
        </w:trPr>
        <w:tc>
          <w:tcPr>
            <w:tcW w:w="6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345</w:t>
            </w:r>
          </w:p>
        </w:tc>
        <w:tc>
          <w:tcPr>
            <w:tcW w:w="80" w:type="dxa"/>
            <w:vAlign w:val="bottom"/>
          </w:tcPr>
          <w:p>
            <w:pPr>
              <w:spacing w:after="0"/>
              <w:rPr>
                <w:sz w:val="19"/>
                <w:szCs w:val="19"/>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At December 31, 2018, there was $418 million of total unrecognized compensation cost related to nonvested stock-based compensation arrangements, of which $238 million is expected to be recognized in 2019, $139 million in 2020, $35 million in 2021, $6 million in 2022.</w:t>
      </w:r>
    </w:p>
    <w:p>
      <w:pPr>
        <w:spacing w:after="0" w:line="180"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As of December 31, 2018, approximately 45 million shares of Schlumberger common stock were available for future grants under Schlumberger’s stock-based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hanging="314"/>
        <w:spacing w:after="0"/>
        <w:tabs>
          <w:tab w:leader="none" w:pos="3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in more than 100 tax jurisdictions, where statutory tax rates generally vary from 0% to 35%.</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339" w:right="1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 xml:space="preserve">Income (loss) before taxes </w:t>
      </w:r>
      <w:r>
        <w:rPr>
          <w:rFonts w:ascii="Arial" w:cs="Arial" w:eastAsia="Arial" w:hAnsi="Arial"/>
          <w:sz w:val="18"/>
          <w:szCs w:val="18"/>
          <w:color w:val="auto"/>
        </w:rPr>
        <w:t>subject to United States and non-United States income taxes was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628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r>
      <w:tr>
        <w:trPr>
          <w:trHeight w:val="21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FF0FC"/>
          </w:tcPr>
          <w:p>
            <w:pPr>
              <w:jc w:val="right"/>
              <w:ind w:right="819"/>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19"/>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(841)</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(3,103)</w:t>
            </w:r>
          </w:p>
        </w:tc>
      </w:tr>
      <w:tr>
        <w:trPr>
          <w:trHeight w:val="226"/>
        </w:trPr>
        <w:tc>
          <w:tcPr>
            <w:tcW w:w="6280" w:type="dxa"/>
            <w:vAlign w:val="bottom"/>
          </w:tcPr>
          <w:p>
            <w:pPr>
              <w:spacing w:after="0"/>
              <w:rPr>
                <w:sz w:val="20"/>
                <w:szCs w:val="20"/>
                <w:color w:val="auto"/>
              </w:rPr>
            </w:pPr>
            <w:r>
              <w:rPr>
                <w:rFonts w:ascii="Arial" w:cs="Arial" w:eastAsia="Arial" w:hAnsi="Arial"/>
                <w:sz w:val="18"/>
                <w:szCs w:val="18"/>
                <w:color w:val="auto"/>
              </w:rPr>
              <w:t>Outside United States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2,679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6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19"/>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2,624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19"/>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(1,183)</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(1,905)</w:t>
            </w:r>
          </w:p>
        </w:tc>
      </w:tr>
      <w:tr>
        <w:trPr>
          <w:trHeight w:val="20"/>
        </w:trPr>
        <w:tc>
          <w:tcPr>
            <w:tcW w:w="6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Schlumberger recorded net pretax charges of $141 million in 2018 ($102 million in the US and $39 million outside the US); $3.764 billion in 2017 ($533 billion in the US and $3.231 billion outside the US); and $3.820 billion in 2016 ($1.848 billion in the US and $1.972 billion outside the US). These charges and credits are included in the table above and are more fully described in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782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1040" w:type="dxa"/>
            <w:vAlign w:val="bottom"/>
            <w:shd w:val="clear" w:color="auto" w:fill="CFF0FC"/>
          </w:tcPr>
          <w:p>
            <w:pPr>
              <w:jc w:val="right"/>
              <w:ind w:right="852"/>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Intangible assets</w:t>
            </w:r>
          </w:p>
        </w:tc>
        <w:tc>
          <w:tcPr>
            <w:tcW w:w="10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(2,110)</w:t>
            </w:r>
          </w:p>
        </w:tc>
        <w:tc>
          <w:tcPr>
            <w:tcW w:w="3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(2,186)</w:t>
            </w: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(223)</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Fixed assets, net</w:t>
            </w:r>
          </w:p>
        </w:tc>
        <w:tc>
          <w:tcPr>
            <w:tcW w:w="10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w:t>
            </w:r>
          </w:p>
        </w:tc>
        <w:tc>
          <w:tcPr>
            <w:tcW w:w="3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Foreign tax credits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456</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19"/>
                <w:szCs w:val="19"/>
                <w:color w:val="auto"/>
              </w:rPr>
            </w:pPr>
          </w:p>
        </w:tc>
        <w:tc>
          <w:tcPr>
            <w:tcW w:w="1040" w:type="dxa"/>
            <w:vAlign w:val="bottom"/>
          </w:tcPr>
          <w:p>
            <w:pPr>
              <w:jc w:val="right"/>
              <w:ind w:right="85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(1,441)</w:t>
            </w:r>
          </w:p>
        </w:tc>
        <w:tc>
          <w:tcPr>
            <w:tcW w:w="28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r>
      <w:tr>
        <w:trPr>
          <w:trHeight w:val="20"/>
        </w:trPr>
        <w:tc>
          <w:tcPr>
            <w:tcW w:w="7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The above deferred tax balances at December 31, 2018 and 2017 were net of valuation allowances relating to net operating losses in certain countries of $87 million and $119 million, respectively.</w:t>
      </w:r>
    </w:p>
    <w:p>
      <w:pPr>
        <w:spacing w:after="0" w:line="1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Schlumberger generally does not provide for taxes related to its undistributed earnings because such earnings either would not be taxable when remitted or they are considered to be indefinitely reinvested. Taxes that would be incurred if the undistributed earnings of other Schlumberger subsidiaries were distributed to their ultimate parent company would not be material.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Tax expense (benefit)</w:t>
      </w:r>
      <w:r>
        <w:rPr>
          <w:rFonts w:ascii="Arial" w:cs="Arial" w:eastAsia="Arial" w:hAnsi="Arial"/>
          <w:sz w:val="18"/>
          <w:szCs w:val="18"/>
          <w:color w:val="auto"/>
        </w:rPr>
        <w:t xml:space="preserve"> were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3580" w:type="dxa"/>
            <w:vAlign w:val="bottom"/>
            <w:tcBorders>
              <w:bottom w:val="single" w:sz="8" w:color="CFF0FC"/>
            </w:tcBorders>
          </w:tcPr>
          <w:p>
            <w:pPr>
              <w:spacing w:after="0"/>
              <w:rPr>
                <w:sz w:val="24"/>
                <w:szCs w:val="24"/>
                <w:color w:val="auto"/>
              </w:rPr>
            </w:pPr>
          </w:p>
        </w:tc>
        <w:tc>
          <w:tcPr>
            <w:tcW w:w="27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Arial" w:cs="Arial" w:eastAsia="Arial" w:hAnsi="Arial"/>
                <w:sz w:val="18"/>
                <w:szCs w:val="18"/>
                <w:color w:val="auto"/>
              </w:rPr>
              <w:t>United States-Federal</w:t>
            </w:r>
          </w:p>
        </w:tc>
        <w:tc>
          <w:tcPr>
            <w:tcW w:w="3020" w:type="dxa"/>
            <w:vAlign w:val="bottom"/>
            <w:gridSpan w:val="2"/>
          </w:tcPr>
          <w:p>
            <w:pPr>
              <w:jc w:val="right"/>
              <w:ind w:right="163"/>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United States-State</w:t>
            </w: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(50)</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Outside United States</w:t>
            </w:r>
          </w:p>
        </w:tc>
        <w:tc>
          <w:tcPr>
            <w:tcW w:w="2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Arial" w:cs="Arial" w:eastAsia="Arial" w:hAnsi="Arial"/>
                <w:sz w:val="18"/>
                <w:szCs w:val="18"/>
                <w:color w:val="auto"/>
              </w:rPr>
              <w:t>Deferred:</w:t>
            </w: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United States-Federal</w:t>
            </w:r>
          </w:p>
        </w:tc>
        <w:tc>
          <w:tcPr>
            <w:tcW w:w="3020" w:type="dxa"/>
            <w:vAlign w:val="bottom"/>
            <w:gridSpan w:val="2"/>
            <w:shd w:val="clear" w:color="auto" w:fill="CFF0FC"/>
          </w:tcPr>
          <w:p>
            <w:pPr>
              <w:jc w:val="right"/>
              <w:ind w:right="163"/>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(143)</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(225)</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Arial" w:cs="Arial" w:eastAsia="Arial" w:hAnsi="Arial"/>
                <w:sz w:val="18"/>
                <w:szCs w:val="18"/>
                <w:color w:val="auto"/>
              </w:rPr>
              <w:t>United States-State</w:t>
            </w: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Outside United States</w:t>
            </w: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(69)</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Arial" w:cs="Arial" w:eastAsia="Arial" w:hAnsi="Arial"/>
                <w:sz w:val="18"/>
                <w:szCs w:val="18"/>
                <w:color w:val="auto"/>
              </w:rPr>
              <w:t>Valuation allowance</w:t>
            </w: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(245)</w:t>
            </w:r>
          </w:p>
        </w:tc>
        <w:tc>
          <w:tcPr>
            <w:tcW w:w="2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80" w:type="dxa"/>
            <w:vAlign w:val="bottom"/>
          </w:tcPr>
          <w:p>
            <w:pPr>
              <w:spacing w:after="0"/>
              <w:rPr>
                <w:sz w:val="19"/>
                <w:szCs w:val="19"/>
                <w:color w:val="auto"/>
              </w:rPr>
            </w:pPr>
          </w:p>
        </w:tc>
        <w:tc>
          <w:tcPr>
            <w:tcW w:w="2700" w:type="dxa"/>
            <w:vAlign w:val="bottom"/>
            <w:vMerge w:val="continue"/>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28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700" w:type="dxa"/>
            <w:vAlign w:val="bottom"/>
            <w:vMerge w:val="restart"/>
          </w:tcPr>
          <w:p>
            <w:pPr>
              <w:jc w:val="right"/>
              <w:ind w:right="392"/>
              <w:spacing w:after="0"/>
              <w:rPr>
                <w:sz w:val="20"/>
                <w:szCs w:val="20"/>
                <w:color w:val="auto"/>
              </w:rPr>
            </w:pPr>
            <w:r>
              <w:rPr>
                <w:rFonts w:ascii="Arial" w:cs="Arial" w:eastAsia="Arial" w:hAnsi="Arial"/>
                <w:sz w:val="18"/>
                <w:szCs w:val="18"/>
                <w:color w:val="auto"/>
              </w:rPr>
              <w:t>50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35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580" w:type="dxa"/>
            <w:vAlign w:val="bottom"/>
            <w:tcBorders>
              <w:bottom w:val="single" w:sz="8" w:color="9A9A9A"/>
            </w:tcBorders>
          </w:tcPr>
          <w:p>
            <w:pPr>
              <w:spacing w:after="0"/>
              <w:rPr>
                <w:sz w:val="11"/>
                <w:szCs w:val="11"/>
                <w:color w:val="auto"/>
              </w:rPr>
            </w:pPr>
          </w:p>
        </w:tc>
        <w:tc>
          <w:tcPr>
            <w:tcW w:w="27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A reconciliation of the United States statutory federal tax rate to the consolidated effective tax rate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FF0FC"/>
            </w:tcBorders>
          </w:tcPr>
          <w:p>
            <w:pPr>
              <w:spacing w:after="0"/>
              <w:rPr>
                <w:sz w:val="20"/>
                <w:szCs w:val="20"/>
                <w:color w:val="auto"/>
              </w:rPr>
            </w:pPr>
          </w:p>
        </w:tc>
      </w:tr>
      <w:tr>
        <w:trPr>
          <w:trHeight w:val="21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21%</w:t>
            </w: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35%</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r>
      <w:tr>
        <w:trPr>
          <w:trHeight w:val="226"/>
        </w:trPr>
        <w:tc>
          <w:tcPr>
            <w:tcW w:w="6080" w:type="dxa"/>
            <w:vAlign w:val="bottom"/>
          </w:tcPr>
          <w:p>
            <w:pPr>
              <w:spacing w:after="0"/>
              <w:rPr>
                <w:sz w:val="20"/>
                <w:szCs w:val="20"/>
                <w:color w:val="auto"/>
              </w:rPr>
            </w:pPr>
            <w:r>
              <w:rPr>
                <w:rFonts w:ascii="Arial" w:cs="Arial" w:eastAsia="Arial" w:hAnsi="Arial"/>
                <w:sz w:val="18"/>
                <w:szCs w:val="18"/>
                <w:color w:val="auto"/>
              </w:rPr>
              <w:t>State tax</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r>
      <w:tr>
        <w:trPr>
          <w:trHeight w:val="226"/>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Non-US income taxed at different rates</w:t>
            </w: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(2)</w:t>
            </w:r>
          </w:p>
        </w:tc>
        <w:tc>
          <w:tcPr>
            <w:tcW w:w="1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(24)</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r>
      <w:tr>
        <w:trPr>
          <w:trHeight w:val="226"/>
        </w:trPr>
        <w:tc>
          <w:tcPr>
            <w:tcW w:w="6080" w:type="dxa"/>
            <w:vAlign w:val="bottom"/>
          </w:tcPr>
          <w:p>
            <w:pPr>
              <w:spacing w:after="0"/>
              <w:rPr>
                <w:sz w:val="20"/>
                <w:szCs w:val="20"/>
                <w:color w:val="auto"/>
              </w:rPr>
            </w:pPr>
            <w:r>
              <w:rPr>
                <w:rFonts w:ascii="Arial" w:cs="Arial" w:eastAsia="Arial" w:hAnsi="Arial"/>
                <w:sz w:val="18"/>
                <w:szCs w:val="18"/>
                <w:color w:val="auto"/>
              </w:rPr>
              <w:t>Charges and credits (See Note 3)</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26"/>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Enactment of US tax reform (See Note 3)</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6"/>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r>
      <w:tr>
        <w:trPr>
          <w:trHeight w:val="219"/>
        </w:trPr>
        <w:tc>
          <w:tcPr>
            <w:tcW w:w="60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17%</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A number of the jurisdictions in which Schlumberger operates have tax laws that are not fully defined and are evolving. Schlumberger’s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reconciliation of the beginning and ending amount of liabilities associated with uncertain tax positions for the years ended December 31, 2018, 2017 and 2016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5"/>
        </w:trPr>
        <w:tc>
          <w:tcPr>
            <w:tcW w:w="628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980" w:type="dxa"/>
            <w:vAlign w:val="bottom"/>
            <w:shd w:val="clear" w:color="auto" w:fill="CFF0FC"/>
          </w:tcPr>
          <w:p>
            <w:pPr>
              <w:jc w:val="right"/>
              <w:ind w:right="819"/>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80" w:type="dxa"/>
            <w:vAlign w:val="bottom"/>
          </w:tcPr>
          <w:p>
            <w:pPr>
              <w:spacing w:after="0"/>
              <w:rPr>
                <w:sz w:val="20"/>
                <w:szCs w:val="20"/>
                <w:color w:val="auto"/>
              </w:rPr>
            </w:pPr>
            <w:r>
              <w:rPr>
                <w:rFonts w:ascii="Arial" w:cs="Arial" w:eastAsia="Arial" w:hAnsi="Arial"/>
                <w:sz w:val="18"/>
                <w:szCs w:val="18"/>
                <w:color w:val="auto"/>
              </w:rPr>
              <w:t>Additions related to acquisitions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exchange rates</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(41)</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6"/>
        </w:trPr>
        <w:tc>
          <w:tcPr>
            <w:tcW w:w="6280" w:type="dxa"/>
            <w:vAlign w:val="bottom"/>
          </w:tcPr>
          <w:p>
            <w:pPr>
              <w:spacing w:after="0"/>
              <w:rPr>
                <w:sz w:val="20"/>
                <w:szCs w:val="20"/>
                <w:color w:val="auto"/>
              </w:rPr>
            </w:pPr>
            <w:r>
              <w:rPr>
                <w:rFonts w:ascii="Arial" w:cs="Arial" w:eastAsia="Arial" w:hAnsi="Arial"/>
                <w:sz w:val="18"/>
                <w:szCs w:val="18"/>
                <w:color w:val="auto"/>
              </w:rPr>
              <w:t>Settlements with tax authorities</w:t>
            </w:r>
          </w:p>
        </w:tc>
        <w:tc>
          <w:tcPr>
            <w:tcW w:w="9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w:t>
            </w: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Reductions for tax positions of prior years</w:t>
            </w:r>
          </w:p>
        </w:tc>
        <w:tc>
          <w:tcPr>
            <w:tcW w:w="9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(57)</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6"/>
        </w:trPr>
        <w:tc>
          <w:tcPr>
            <w:tcW w:w="6280" w:type="dxa"/>
            <w:vAlign w:val="bottom"/>
          </w:tcPr>
          <w:p>
            <w:pPr>
              <w:spacing w:after="0"/>
              <w:rPr>
                <w:sz w:val="20"/>
                <w:szCs w:val="20"/>
                <w:color w:val="auto"/>
              </w:rPr>
            </w:pPr>
            <w:r>
              <w:rPr>
                <w:rFonts w:ascii="Arial" w:cs="Arial" w:eastAsia="Arial" w:hAnsi="Arial"/>
                <w:sz w:val="18"/>
                <w:szCs w:val="18"/>
                <w:color w:val="auto"/>
              </w:rPr>
              <w:t>Reductions due to the lapse of the applicable statute of limitations</w:t>
            </w:r>
          </w:p>
        </w:tc>
        <w:tc>
          <w:tcPr>
            <w:tcW w:w="9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w:t>
            </w: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8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jc w:val="right"/>
              <w:ind w:right="819"/>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amounts above exclude accrued interest and penalties of $205 million, $195 million and $178 million at December 31, 2018, 2017 and 2016, respectively. Schlumberger classifies interest and penalties relating to uncertain tax positions within </w:t>
      </w:r>
      <w:r>
        <w:rPr>
          <w:rFonts w:ascii="Arial" w:cs="Arial" w:eastAsia="Arial" w:hAnsi="Arial"/>
          <w:sz w:val="18"/>
          <w:szCs w:val="18"/>
          <w:i w:val="1"/>
          <w:iCs w:val="1"/>
          <w:color w:val="auto"/>
        </w:rPr>
        <w:t>Tax expense (benefit)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 (Loss)</w:t>
      </w:r>
      <w:r>
        <w:rPr>
          <w:rFonts w:ascii="Arial" w:cs="Arial" w:eastAsia="Arial" w:hAnsi="Arial"/>
          <w:sz w:val="18"/>
          <w:szCs w:val="18"/>
          <w:color w:val="auto"/>
        </w:rPr>
        <w:t>.</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4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2011 - 2018</w:t>
            </w: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Ecuador</w:t>
            </w:r>
          </w:p>
        </w:tc>
        <w:tc>
          <w:tcPr>
            <w:tcW w:w="4160" w:type="dxa"/>
            <w:vAlign w:val="bottom"/>
          </w:tcPr>
          <w:p>
            <w:pPr>
              <w:jc w:val="right"/>
              <w:spacing w:after="0"/>
              <w:rPr>
                <w:sz w:val="20"/>
                <w:szCs w:val="20"/>
                <w:color w:val="auto"/>
              </w:rPr>
            </w:pPr>
            <w:r>
              <w:rPr>
                <w:rFonts w:ascii="Arial" w:cs="Arial" w:eastAsia="Arial" w:hAnsi="Arial"/>
                <w:sz w:val="18"/>
                <w:szCs w:val="18"/>
                <w:color w:val="auto"/>
              </w:rPr>
              <w:t>2015 - 2018</w:t>
            </w:r>
          </w:p>
        </w:tc>
      </w:tr>
      <w:tr>
        <w:trPr>
          <w:trHeight w:val="22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Mexico</w:t>
            </w:r>
          </w:p>
        </w:tc>
        <w:tc>
          <w:tcPr>
            <w:tcW w:w="4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2011 - 2018</w:t>
            </w: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Norway</w:t>
            </w:r>
          </w:p>
        </w:tc>
        <w:tc>
          <w:tcPr>
            <w:tcW w:w="4160" w:type="dxa"/>
            <w:vAlign w:val="bottom"/>
          </w:tcPr>
          <w:p>
            <w:pPr>
              <w:jc w:val="right"/>
              <w:spacing w:after="0"/>
              <w:rPr>
                <w:sz w:val="20"/>
                <w:szCs w:val="20"/>
                <w:color w:val="auto"/>
              </w:rPr>
            </w:pPr>
            <w:r>
              <w:rPr>
                <w:rFonts w:ascii="Arial" w:cs="Arial" w:eastAsia="Arial" w:hAnsi="Arial"/>
                <w:sz w:val="18"/>
                <w:szCs w:val="18"/>
                <w:color w:val="auto"/>
              </w:rPr>
              <w:t>2013 - 2018</w:t>
            </w:r>
          </w:p>
        </w:tc>
      </w:tr>
      <w:tr>
        <w:trPr>
          <w:trHeight w:val="22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Russia</w:t>
            </w:r>
          </w:p>
        </w:tc>
        <w:tc>
          <w:tcPr>
            <w:tcW w:w="4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2015 - 2018</w:t>
            </w: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Saudi Arabia</w:t>
            </w:r>
          </w:p>
        </w:tc>
        <w:tc>
          <w:tcPr>
            <w:tcW w:w="4160" w:type="dxa"/>
            <w:vAlign w:val="bottom"/>
          </w:tcPr>
          <w:p>
            <w:pPr>
              <w:jc w:val="right"/>
              <w:spacing w:after="0"/>
              <w:rPr>
                <w:sz w:val="20"/>
                <w:szCs w:val="20"/>
                <w:color w:val="auto"/>
              </w:rPr>
            </w:pPr>
            <w:r>
              <w:rPr>
                <w:rFonts w:ascii="Arial" w:cs="Arial" w:eastAsia="Arial" w:hAnsi="Arial"/>
                <w:sz w:val="18"/>
                <w:szCs w:val="18"/>
                <w:color w:val="auto"/>
              </w:rPr>
              <w:t>2004 - 2018</w:t>
            </w:r>
          </w:p>
        </w:tc>
      </w:tr>
      <w:tr>
        <w:trPr>
          <w:trHeight w:val="226"/>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4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2016 - 2018</w:t>
            </w: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United States</w:t>
            </w:r>
          </w:p>
        </w:tc>
        <w:tc>
          <w:tcPr>
            <w:tcW w:w="4160" w:type="dxa"/>
            <w:vAlign w:val="bottom"/>
          </w:tcPr>
          <w:p>
            <w:pPr>
              <w:jc w:val="right"/>
              <w:spacing w:after="0"/>
              <w:rPr>
                <w:sz w:val="20"/>
                <w:szCs w:val="20"/>
                <w:color w:val="auto"/>
              </w:rPr>
            </w:pPr>
            <w:r>
              <w:rPr>
                <w:rFonts w:ascii="Arial" w:cs="Arial" w:eastAsia="Arial" w:hAnsi="Arial"/>
                <w:sz w:val="18"/>
                <w:szCs w:val="18"/>
                <w:color w:val="auto"/>
              </w:rPr>
              <w:t>2015 - 2018</w:t>
            </w:r>
          </w:p>
        </w:tc>
      </w:tr>
    </w:tbl>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certain of the jurisdictions noted above, Schlumberger operates through more than one legal entity, each of which may have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1" w:name="page52"/>
    <w:bookmarkEnd w:id="51"/>
    <w:p>
      <w:pPr>
        <w:ind w:left="280" w:hanging="274"/>
        <w:spacing w:after="0"/>
        <w:tabs>
          <w:tab w:leader="none" w:pos="2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 and Lease Commitments</w:t>
      </w:r>
    </w:p>
    <w:p>
      <w:pPr>
        <w:spacing w:after="0" w:line="118"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 xml:space="preserve">During the fourth quarter of 2018, Schlumberger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effective January 1, 2018. This ASU requires lessees to recognize an operating lease asset and a lease liability on the balance sheet, with the exception of short-term leases.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Under the transition method selected by Schlumberger, leases existing at, or entered into after, January 1, 2018 were required to be recognized and measured. Prior period amounts have not been adjusted and continue to be reflected in accordance with Schlumberger’s historical accounting. The adoption of this standard resulted in the recording of operating lease assets and operating lease liabilities of approximately of $1.3 billion as of January 1, 2018, with no related impact on Schlumberger’s </w:t>
      </w:r>
      <w:r>
        <w:rPr>
          <w:rFonts w:ascii="Arial" w:cs="Arial" w:eastAsia="Arial" w:hAnsi="Arial"/>
          <w:sz w:val="18"/>
          <w:szCs w:val="18"/>
          <w:i w:val="1"/>
          <w:iCs w:val="1"/>
          <w:color w:val="auto"/>
        </w:rPr>
        <w:t>Consolidated Statement of Equity</w:t>
      </w:r>
      <w:r>
        <w:rPr>
          <w:rFonts w:ascii="Arial" w:cs="Arial" w:eastAsia="Arial" w:hAnsi="Arial"/>
          <w:sz w:val="18"/>
          <w:szCs w:val="18"/>
          <w:color w:val="auto"/>
        </w:rPr>
        <w:t xml:space="preserve"> or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Short-term leases have not been recorded on the balance sheet.</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Schlumberger elected the package of practical expedients permitted under the transition guidance within the new standard which, among other things, allows companies to carry forward their historical lease classification.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leasing activities primarily consist of operating leases for administrative offices, manufacturing facilities, research centers, service centers, sales offices and certain equipment. Total operating lease expense, which approximates cash paid and includes short-term leases, was $1.7 billion in 2018, $1.4 billion in 2017, and $1.2 billion in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commitments under noncancelable operating leases as of December 31, 2017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i w:val="1"/>
                <w:iCs w:val="1"/>
                <w:color w:val="auto"/>
              </w:rPr>
              <w:t>(Stated in millions)</w:t>
            </w:r>
          </w:p>
        </w:tc>
      </w:tr>
      <w:tr>
        <w:trPr>
          <w:trHeight w:val="210"/>
        </w:trPr>
        <w:tc>
          <w:tcPr>
            <w:tcW w:w="7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9"/>
                <w:szCs w:val="19"/>
                <w:color w:val="auto"/>
              </w:rPr>
            </w:pPr>
          </w:p>
        </w:tc>
      </w:tr>
      <w:tr>
        <w:trPr>
          <w:trHeight w:val="225"/>
        </w:trPr>
        <w:tc>
          <w:tcPr>
            <w:tcW w:w="746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26"/>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r>
      <w:tr>
        <w:trPr>
          <w:trHeight w:val="225"/>
        </w:trPr>
        <w:tc>
          <w:tcPr>
            <w:tcW w:w="746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26"/>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r>
      <w:tr>
        <w:trPr>
          <w:trHeight w:val="225"/>
        </w:trPr>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FF0FC"/>
            </w:tcBorders>
          </w:tcPr>
          <w:p>
            <w:pPr>
              <w:spacing w:after="0"/>
              <w:rPr>
                <w:sz w:val="19"/>
                <w:szCs w:val="19"/>
                <w:color w:val="auto"/>
              </w:rPr>
            </w:pPr>
          </w:p>
        </w:tc>
      </w:tr>
      <w:tr>
        <w:trPr>
          <w:trHeight w:val="219"/>
        </w:trPr>
        <w:tc>
          <w:tcPr>
            <w:tcW w:w="74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December 31, 2018 were as follows:</w:t>
      </w:r>
    </w:p>
    <w:p>
      <w:pPr>
        <w:spacing w:after="0" w:line="225" w:lineRule="exact"/>
        <w:rPr>
          <w:sz w:val="20"/>
          <w:szCs w:val="20"/>
          <w:color w:val="auto"/>
        </w:rPr>
      </w:pPr>
    </w:p>
    <w:p>
      <w:pPr>
        <w:ind w:left="796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5798820" cy="143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8820" cy="143510"/>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43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8820"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43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8820"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51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8820" cy="15176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Total lease payments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Less: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60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8820" cy="16002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Amounts recognized in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5798820" cy="143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8820" cy="14351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Accounts payable and accrued liabilities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798820" cy="160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882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301" w:hanging="1301"/>
        <w:spacing w:after="0"/>
        <w:tabs>
          <w:tab w:leader="none" w:pos="13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568</w:t>
      </w:r>
    </w:p>
    <w:p>
      <w:pPr>
        <w:spacing w:after="0" w:line="18" w:lineRule="exact"/>
        <w:rPr>
          <w:rFonts w:ascii="Arial" w:cs="Arial" w:eastAsia="Arial" w:hAnsi="Arial"/>
          <w:sz w:val="18"/>
          <w:szCs w:val="18"/>
          <w:color w:val="auto"/>
        </w:rPr>
      </w:pPr>
    </w:p>
    <w:p>
      <w:pPr>
        <w:ind w:left="1301"/>
        <w:spacing w:after="0"/>
        <w:rPr>
          <w:rFonts w:ascii="Arial" w:cs="Arial" w:eastAsia="Arial" w:hAnsi="Arial"/>
          <w:sz w:val="18"/>
          <w:szCs w:val="18"/>
          <w:color w:val="auto"/>
        </w:rPr>
      </w:pPr>
      <w:r>
        <w:rPr>
          <w:rFonts w:ascii="Arial" w:cs="Arial" w:eastAsia="Arial" w:hAnsi="Arial"/>
          <w:sz w:val="18"/>
          <w:szCs w:val="18"/>
          <w:color w:val="auto"/>
        </w:rPr>
        <w:t>486</w:t>
      </w:r>
    </w:p>
    <w:p>
      <w:pPr>
        <w:spacing w:after="0" w:line="18" w:lineRule="exact"/>
        <w:rPr>
          <w:rFonts w:ascii="Arial" w:cs="Arial" w:eastAsia="Arial" w:hAnsi="Arial"/>
          <w:sz w:val="18"/>
          <w:szCs w:val="18"/>
          <w:color w:val="auto"/>
        </w:rPr>
      </w:pPr>
    </w:p>
    <w:p>
      <w:pPr>
        <w:ind w:left="1301"/>
        <w:spacing w:after="0"/>
        <w:rPr>
          <w:rFonts w:ascii="Arial" w:cs="Arial" w:eastAsia="Arial" w:hAnsi="Arial"/>
          <w:sz w:val="18"/>
          <w:szCs w:val="18"/>
          <w:color w:val="auto"/>
        </w:rPr>
      </w:pPr>
      <w:r>
        <w:rPr>
          <w:rFonts w:ascii="Arial" w:cs="Arial" w:eastAsia="Arial" w:hAnsi="Arial"/>
          <w:sz w:val="18"/>
          <w:szCs w:val="18"/>
          <w:color w:val="auto"/>
        </w:rPr>
        <w:t>246</w:t>
      </w:r>
    </w:p>
    <w:p>
      <w:pPr>
        <w:spacing w:after="0" w:line="18" w:lineRule="exact"/>
        <w:rPr>
          <w:rFonts w:ascii="Arial" w:cs="Arial" w:eastAsia="Arial" w:hAnsi="Arial"/>
          <w:sz w:val="18"/>
          <w:szCs w:val="18"/>
          <w:color w:val="auto"/>
        </w:rPr>
      </w:pPr>
    </w:p>
    <w:p>
      <w:pPr>
        <w:ind w:left="1301"/>
        <w:spacing w:after="0"/>
        <w:rPr>
          <w:rFonts w:ascii="Arial" w:cs="Arial" w:eastAsia="Arial" w:hAnsi="Arial"/>
          <w:sz w:val="18"/>
          <w:szCs w:val="18"/>
          <w:color w:val="auto"/>
        </w:rPr>
      </w:pPr>
      <w:r>
        <w:rPr>
          <w:rFonts w:ascii="Arial" w:cs="Arial" w:eastAsia="Arial" w:hAnsi="Arial"/>
          <w:sz w:val="18"/>
          <w:szCs w:val="18"/>
          <w:color w:val="auto"/>
        </w:rPr>
        <w:t>161</w:t>
      </w:r>
    </w:p>
    <w:p>
      <w:pPr>
        <w:spacing w:after="0" w:line="18" w:lineRule="exact"/>
        <w:rPr>
          <w:rFonts w:ascii="Arial" w:cs="Arial" w:eastAsia="Arial" w:hAnsi="Arial"/>
          <w:sz w:val="18"/>
          <w:szCs w:val="18"/>
          <w:color w:val="auto"/>
        </w:rPr>
      </w:pPr>
    </w:p>
    <w:p>
      <w:pPr>
        <w:ind w:left="1301"/>
        <w:spacing w:after="0"/>
        <w:rPr>
          <w:rFonts w:ascii="Arial" w:cs="Arial" w:eastAsia="Arial" w:hAnsi="Arial"/>
          <w:sz w:val="18"/>
          <w:szCs w:val="18"/>
          <w:color w:val="auto"/>
        </w:rPr>
      </w:pPr>
      <w:r>
        <w:rPr>
          <w:rFonts w:ascii="Arial" w:cs="Arial" w:eastAsia="Arial" w:hAnsi="Arial"/>
          <w:sz w:val="18"/>
          <w:szCs w:val="18"/>
          <w:color w:val="auto"/>
        </w:rPr>
        <w:t>132</w:t>
      </w:r>
    </w:p>
    <w:p>
      <w:pPr>
        <w:spacing w:after="0" w:line="18" w:lineRule="exact"/>
        <w:rPr>
          <w:rFonts w:ascii="Arial" w:cs="Arial" w:eastAsia="Arial" w:hAnsi="Arial"/>
          <w:sz w:val="18"/>
          <w:szCs w:val="18"/>
          <w:color w:val="auto"/>
        </w:rPr>
      </w:pPr>
    </w:p>
    <w:p>
      <w:pPr>
        <w:ind w:left="1301"/>
        <w:spacing w:after="0"/>
        <w:rPr>
          <w:rFonts w:ascii="Arial" w:cs="Arial" w:eastAsia="Arial" w:hAnsi="Arial"/>
          <w:sz w:val="18"/>
          <w:szCs w:val="18"/>
          <w:color w:val="auto"/>
        </w:rPr>
      </w:pPr>
      <w:r>
        <w:rPr>
          <w:rFonts w:ascii="Arial" w:cs="Arial" w:eastAsia="Arial" w:hAnsi="Arial"/>
          <w:sz w:val="18"/>
          <w:szCs w:val="18"/>
          <w:color w:val="auto"/>
        </w:rPr>
        <w:t>392</w:t>
      </w:r>
    </w:p>
    <w:p>
      <w:pPr>
        <w:spacing w:after="0" w:line="32" w:lineRule="exact"/>
        <w:rPr>
          <w:sz w:val="20"/>
          <w:szCs w:val="20"/>
          <w:color w:val="auto"/>
        </w:rPr>
      </w:pPr>
    </w:p>
    <w:p>
      <w:pPr>
        <w:ind w:left="1161" w:hanging="1161"/>
        <w:spacing w:after="0"/>
        <w:tabs>
          <w:tab w:leader="none" w:pos="11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1,985</w:t>
      </w:r>
    </w:p>
    <w:p>
      <w:pPr>
        <w:spacing w:after="0" w:line="18" w:lineRule="exact"/>
        <w:rPr>
          <w:rFonts w:ascii="Arial" w:cs="Arial" w:eastAsia="Arial" w:hAnsi="Arial"/>
          <w:sz w:val="18"/>
          <w:szCs w:val="18"/>
          <w:color w:val="auto"/>
        </w:rPr>
      </w:pPr>
    </w:p>
    <w:p>
      <w:pPr>
        <w:ind w:left="1241"/>
        <w:spacing w:after="0"/>
        <w:rPr>
          <w:rFonts w:ascii="Arial" w:cs="Arial" w:eastAsia="Arial" w:hAnsi="Arial"/>
          <w:sz w:val="18"/>
          <w:szCs w:val="18"/>
          <w:color w:val="auto"/>
        </w:rPr>
      </w:pPr>
      <w:r>
        <w:rPr>
          <w:rFonts w:ascii="Arial" w:cs="Arial" w:eastAsia="Arial" w:hAnsi="Arial"/>
          <w:sz w:val="17"/>
          <w:szCs w:val="17"/>
          <w:color w:val="auto"/>
        </w:rPr>
        <w:t>(209)</w:t>
      </w:r>
    </w:p>
    <w:p>
      <w:pPr>
        <w:spacing w:after="0" w:line="43" w:lineRule="exact"/>
        <w:rPr>
          <w:sz w:val="20"/>
          <w:szCs w:val="20"/>
          <w:color w:val="auto"/>
        </w:rPr>
      </w:pPr>
    </w:p>
    <w:p>
      <w:pPr>
        <w:ind w:left="1161" w:hanging="1161"/>
        <w:spacing w:after="0"/>
        <w:tabs>
          <w:tab w:leader="none" w:pos="11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1,776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0033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4" w:lineRule="exact"/>
        <w:rPr>
          <w:sz w:val="20"/>
          <w:szCs w:val="20"/>
          <w:color w:val="auto"/>
        </w:rPr>
      </w:pPr>
    </w:p>
    <w:p>
      <w:pPr>
        <w:ind w:left="1301" w:hanging="1301"/>
        <w:spacing w:after="0"/>
        <w:tabs>
          <w:tab w:leader="none" w:pos="13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551</w:t>
      </w:r>
    </w:p>
    <w:p>
      <w:pPr>
        <w:spacing w:after="0" w:line="18" w:lineRule="exact"/>
        <w:rPr>
          <w:rFonts w:ascii="Arial" w:cs="Arial" w:eastAsia="Arial" w:hAnsi="Arial"/>
          <w:sz w:val="18"/>
          <w:szCs w:val="18"/>
          <w:color w:val="auto"/>
        </w:rPr>
      </w:pPr>
    </w:p>
    <w:p>
      <w:pPr>
        <w:ind w:left="1161"/>
        <w:spacing w:after="0"/>
        <w:rPr>
          <w:rFonts w:ascii="Arial" w:cs="Arial" w:eastAsia="Arial" w:hAnsi="Arial"/>
          <w:sz w:val="18"/>
          <w:szCs w:val="18"/>
          <w:color w:val="auto"/>
        </w:rPr>
      </w:pPr>
      <w:r>
        <w:rPr>
          <w:rFonts w:ascii="Arial" w:cs="Arial" w:eastAsia="Arial" w:hAnsi="Arial"/>
          <w:sz w:val="18"/>
          <w:szCs w:val="18"/>
          <w:color w:val="auto"/>
        </w:rPr>
        <w:t>1,225</w:t>
      </w:r>
    </w:p>
    <w:p>
      <w:pPr>
        <w:spacing w:after="0" w:line="32" w:lineRule="exact"/>
        <w:rPr>
          <w:sz w:val="20"/>
          <w:szCs w:val="20"/>
          <w:color w:val="auto"/>
        </w:rPr>
      </w:pPr>
    </w:p>
    <w:p>
      <w:pPr>
        <w:ind w:left="1161" w:hanging="1161"/>
        <w:spacing w:after="0"/>
        <w:tabs>
          <w:tab w:leader="none" w:pos="11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1,776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0033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59" w:space="720"/>
            <w:col w:w="3941"/>
          </w:cols>
          <w:pgMar w:left="240" w:top="440" w:right="2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Operating lease assets of $1.8 billion as of December 31, 2018 were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18"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The weighted-average remaining lease term as of December 31, 2018 was 7 years. The weighted-average discount rate used to determine the operating lease liability as of December 31, 2018 was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type w:val="continuous"/>
        </w:sectPr>
      </w:pPr>
    </w:p>
    <w:bookmarkStart w:id="52" w:name="page53"/>
    <w:bookmarkEnd w:id="52"/>
    <w:p>
      <w:pPr>
        <w:ind w:left="280" w:hanging="274"/>
        <w:spacing w:after="0"/>
        <w:tabs>
          <w:tab w:leader="none" w:pos="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18" w:lineRule="exact"/>
        <w:rPr>
          <w:sz w:val="20"/>
          <w:szCs w:val="20"/>
          <w:color w:val="auto"/>
        </w:rPr>
      </w:pPr>
    </w:p>
    <w:p>
      <w:pPr>
        <w:jc w:val="both"/>
        <w:ind w:right="100"/>
        <w:spacing w:after="0" w:line="278" w:lineRule="auto"/>
        <w:rPr>
          <w:sz w:val="20"/>
          <w:szCs w:val="20"/>
          <w:color w:val="auto"/>
        </w:rPr>
      </w:pPr>
      <w:r>
        <w:rPr>
          <w:rFonts w:ascii="Arial" w:cs="Arial" w:eastAsia="Arial" w:hAnsi="Arial"/>
          <w:sz w:val="17"/>
          <w:szCs w:val="17"/>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00" w:lineRule="exact"/>
        <w:rPr>
          <w:sz w:val="20"/>
          <w:szCs w:val="20"/>
          <w:color w:val="auto"/>
        </w:rPr>
      </w:pPr>
    </w:p>
    <w:p>
      <w:pPr>
        <w:spacing w:after="0" w:line="256" w:lineRule="exact"/>
        <w:rPr>
          <w:sz w:val="20"/>
          <w:szCs w:val="20"/>
          <w:color w:val="auto"/>
        </w:rPr>
      </w:pPr>
    </w:p>
    <w:p>
      <w:pPr>
        <w:ind w:left="280" w:hanging="274"/>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Schlumberger’s segments are as follows:</w:t>
      </w:r>
    </w:p>
    <w:p>
      <w:pPr>
        <w:spacing w:after="0" w:line="112" w:lineRule="exact"/>
        <w:rPr>
          <w:sz w:val="20"/>
          <w:szCs w:val="20"/>
          <w:color w:val="auto"/>
        </w:rPr>
      </w:pPr>
    </w:p>
    <w:p>
      <w:pPr>
        <w:ind w:left="740" w:right="100" w:hanging="362"/>
        <w:spacing w:after="0" w:line="265"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Reservoir Characterization </w:t>
      </w:r>
      <w:r>
        <w:rPr>
          <w:rFonts w:ascii="Arial" w:cs="Arial" w:eastAsia="Arial" w:hAnsi="Arial"/>
          <w:sz w:val="18"/>
          <w:szCs w:val="18"/>
          <w:color w:val="auto"/>
        </w:rPr>
        <w:t>– Consists of the principal Technologies involved in finding and defining hydrocarbon resources. These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WesternGeco, Wireline, Testing Services, OneSurface, Software Integrated Solutions and Integrated Services Management.</w:t>
      </w:r>
    </w:p>
    <w:p>
      <w:pPr>
        <w:spacing w:after="0" w:line="73" w:lineRule="exact"/>
        <w:rPr>
          <w:rFonts w:ascii="Arial" w:cs="Arial" w:eastAsia="Arial" w:hAnsi="Arial"/>
          <w:sz w:val="18"/>
          <w:szCs w:val="18"/>
          <w:color w:val="auto"/>
        </w:rPr>
      </w:pPr>
    </w:p>
    <w:p>
      <w:pPr>
        <w:ind w:left="740" w:right="100" w:hanging="362"/>
        <w:spacing w:after="0" w:line="265"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Drilling </w:t>
      </w:r>
      <w:r>
        <w:rPr>
          <w:rFonts w:ascii="Arial" w:cs="Arial" w:eastAsia="Arial" w:hAnsi="Arial"/>
          <w:sz w:val="18"/>
          <w:szCs w:val="18"/>
          <w:color w:val="auto"/>
        </w:rPr>
        <w:t>– Consists of the principal Technologies involved in the drilling and positioning of oil and gas wells. These include Bits &amp; Drilling Tools, M-I SWACO, Drilling &amp; Measurements, Land Rigs and Integrated Drilling Services.</w:t>
      </w:r>
    </w:p>
    <w:p>
      <w:pPr>
        <w:spacing w:after="0" w:line="73" w:lineRule="exact"/>
        <w:rPr>
          <w:rFonts w:ascii="Arial" w:cs="Arial" w:eastAsia="Arial" w:hAnsi="Arial"/>
          <w:sz w:val="18"/>
          <w:szCs w:val="18"/>
          <w:color w:val="auto"/>
        </w:rPr>
      </w:pPr>
    </w:p>
    <w:p>
      <w:pPr>
        <w:ind w:left="740" w:right="100" w:hanging="362"/>
        <w:spacing w:after="0" w:line="265"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 Consists of the principal Technologies involved in the lifetime production of oil and gas reservoirs. These include Well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OneStim, Completions, Artificial Lift and Schlumberger Production Management.</w:t>
      </w:r>
    </w:p>
    <w:p>
      <w:pPr>
        <w:spacing w:after="0" w:line="73" w:lineRule="exact"/>
        <w:rPr>
          <w:rFonts w:ascii="Arial" w:cs="Arial" w:eastAsia="Arial" w:hAnsi="Arial"/>
          <w:sz w:val="18"/>
          <w:szCs w:val="18"/>
          <w:color w:val="auto"/>
        </w:rPr>
      </w:pPr>
    </w:p>
    <w:p>
      <w:pPr>
        <w:ind w:left="740" w:right="100"/>
        <w:spacing w:after="0" w:line="26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Cameron</w:t>
      </w:r>
      <w:r>
        <w:rPr>
          <w:rFonts w:ascii="Arial" w:cs="Arial" w:eastAsia="Arial" w:hAnsi="Arial"/>
          <w:sz w:val="18"/>
          <w:szCs w:val="18"/>
          <w:color w:val="auto"/>
        </w:rPr>
        <w:t xml:space="preserve"> – Consists of the principal Technologies involved in pressure and flow control for drilling and intervention rigs, oil and gas wells and production facilities. These include OneSubsea, Surface Systems, Drilling Systems and Valves &amp; Measurements.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years ended December 31, 2018, 2017 and 2016, by segment, is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18"/>
        </w:trPr>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2"/>
              <w:spacing w:after="0"/>
              <w:rPr>
                <w:sz w:val="20"/>
                <w:szCs w:val="20"/>
                <w:color w:val="auto"/>
              </w:rPr>
            </w:pPr>
            <w:r>
              <w:rPr>
                <w:rFonts w:ascii="Arial" w:cs="Arial" w:eastAsia="Arial" w:hAnsi="Arial"/>
                <w:sz w:val="18"/>
                <w:szCs w:val="18"/>
                <w:color w:val="auto"/>
                <w:w w:val="91"/>
              </w:rPr>
              <w:t>Depreciation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3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Capital</w:t>
            </w:r>
          </w:p>
        </w:tc>
      </w:tr>
      <w:tr>
        <w:trPr>
          <w:trHeight w:val="226"/>
        </w:trPr>
        <w:tc>
          <w:tcPr>
            <w:tcW w:w="3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Revenue</w:t>
            </w:r>
          </w:p>
        </w:tc>
        <w:tc>
          <w:tcPr>
            <w:tcW w:w="14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Before Taxes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Assets</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3"/>
              </w:rPr>
              <w:t>Amortization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Expenditures</w:t>
            </w:r>
          </w:p>
        </w:tc>
      </w:tr>
      <w:tr>
        <w:trPr>
          <w:trHeight w:val="219"/>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6,526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4,477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w:t>
            </w:r>
          </w:p>
        </w:tc>
      </w:tr>
      <w:tr>
        <w:trPr>
          <w:trHeight w:val="226"/>
        </w:trPr>
        <w:tc>
          <w:tcPr>
            <w:tcW w:w="3700" w:type="dxa"/>
            <w:vAlign w:val="bottom"/>
          </w:tcPr>
          <w:p>
            <w:pPr>
              <w:spacing w:after="0"/>
              <w:rPr>
                <w:sz w:val="20"/>
                <w:szCs w:val="20"/>
                <w:color w:val="auto"/>
              </w:rPr>
            </w:pPr>
            <w:r>
              <w:rPr>
                <w:rFonts w:ascii="Arial" w:cs="Arial" w:eastAsia="Arial" w:hAnsi="Arial"/>
                <w:sz w:val="18"/>
                <w:szCs w:val="18"/>
                <w:color w:val="auto"/>
              </w:rPr>
              <w:t>Drilling</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w:t>
            </w:r>
          </w:p>
        </w:tc>
      </w:tr>
      <w:tr>
        <w:trPr>
          <w:trHeight w:val="22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12,394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8</w:t>
            </w:r>
          </w:p>
        </w:tc>
      </w:tr>
      <w:tr>
        <w:trPr>
          <w:trHeight w:val="226"/>
        </w:trPr>
        <w:tc>
          <w:tcPr>
            <w:tcW w:w="3700" w:type="dxa"/>
            <w:vAlign w:val="bottom"/>
          </w:tcPr>
          <w:p>
            <w:pPr>
              <w:spacing w:after="0"/>
              <w:rPr>
                <w:sz w:val="20"/>
                <w:szCs w:val="20"/>
                <w:color w:val="auto"/>
              </w:rPr>
            </w:pPr>
            <w:r>
              <w:rPr>
                <w:rFonts w:ascii="Arial" w:cs="Arial" w:eastAsia="Arial" w:hAnsi="Arial"/>
                <w:sz w:val="18"/>
                <w:szCs w:val="18"/>
                <w:color w:val="auto"/>
              </w:rPr>
              <w:t>Cameron</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5,167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r>
      <w:tr>
        <w:trPr>
          <w:trHeight w:val="22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(522)</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(104)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w:t>
            </w:r>
          </w:p>
        </w:tc>
      </w:tr>
      <w:tr>
        <w:trPr>
          <w:trHeight w:val="219"/>
        </w:trPr>
        <w:tc>
          <w:tcPr>
            <w:tcW w:w="370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33,658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3700" w:type="dxa"/>
            <w:vAlign w:val="bottom"/>
          </w:tcPr>
          <w:p>
            <w:pPr>
              <w:spacing w:after="0"/>
              <w:rPr>
                <w:sz w:val="20"/>
                <w:szCs w:val="20"/>
                <w:color w:val="auto"/>
              </w:rPr>
            </w:pPr>
            <w:r>
              <w:rPr>
                <w:rFonts w:ascii="Arial" w:cs="Arial" w:eastAsia="Arial" w:hAnsi="Arial"/>
                <w:sz w:val="18"/>
                <w:szCs w:val="18"/>
                <w:color w:val="auto"/>
              </w:rPr>
              <w:t>Cash and short term investments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370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370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(141)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9"/>
        </w:trPr>
        <w:tc>
          <w:tcPr>
            <w:tcW w:w="3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32,815</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70,507</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3,556</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2,1</w:t>
            </w:r>
          </w:p>
        </w:tc>
      </w:tr>
      <w:tr>
        <w:trPr>
          <w:trHeight w:val="20"/>
        </w:trPr>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03"/>
        </w:trPr>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7"/>
        </w:trPr>
        <w:tc>
          <w:tcPr>
            <w:tcW w:w="370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440" w:right="1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0"/>
        </w:trPr>
        <w:tc>
          <w:tcPr>
            <w:tcW w:w="4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4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4"/>
              </w:rPr>
              <w:t>2017</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8"/>
                <w:szCs w:val="18"/>
                <w:color w:val="auto"/>
                <w:w w:val="91"/>
              </w:rPr>
              <w:t>Depreciation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4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Income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Capital</w:t>
            </w:r>
          </w:p>
        </w:tc>
      </w:tr>
      <w:tr>
        <w:trPr>
          <w:trHeight w:val="226"/>
        </w:trPr>
        <w:tc>
          <w:tcPr>
            <w:tcW w:w="46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5"/>
              </w:rPr>
              <w:t>Revenue</w:t>
            </w:r>
          </w:p>
        </w:tc>
        <w:tc>
          <w:tcPr>
            <w:tcW w:w="220" w:type="dxa"/>
            <w:vAlign w:val="bottom"/>
            <w:tcBorders>
              <w:bottom w:val="single" w:sz="8" w:color="CFF0FC"/>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Before Taxes</w:t>
            </w:r>
          </w:p>
        </w:tc>
        <w:tc>
          <w:tcPr>
            <w:tcW w:w="20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5"/>
              </w:rPr>
              <w:t>Assets</w:t>
            </w:r>
          </w:p>
        </w:tc>
        <w:tc>
          <w:tcPr>
            <w:tcW w:w="180" w:type="dxa"/>
            <w:vAlign w:val="bottom"/>
            <w:tcBorders>
              <w:bottom w:val="single" w:sz="8" w:color="CFF0FC"/>
            </w:tcBorders>
            <w:gridSpan w:val="2"/>
          </w:tcPr>
          <w:p>
            <w:pPr>
              <w:spacing w:after="0"/>
              <w:rPr>
                <w:sz w:val="19"/>
                <w:szCs w:val="19"/>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Amortization</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Expenditures</w:t>
            </w:r>
          </w:p>
        </w:tc>
        <w:tc>
          <w:tcPr>
            <w:tcW w:w="10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6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Drilling</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Cameron</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64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Cash and short term investments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(3,764)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464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(1,183)</w:t>
            </w:r>
          </w:p>
        </w:tc>
        <w:tc>
          <w:tcPr>
            <w:tcW w:w="6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71,987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3,837</w:t>
            </w:r>
          </w:p>
        </w:tc>
        <w:tc>
          <w:tcPr>
            <w:tcW w:w="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792"/>
        </w:trPr>
        <w:tc>
          <w:tcPr>
            <w:tcW w:w="4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i w:val="1"/>
                <w:iCs w:val="1"/>
                <w:color w:val="auto"/>
                <w:w w:val="92"/>
              </w:rPr>
              <w:t>(Stated in millions)</w:t>
            </w:r>
          </w:p>
        </w:tc>
      </w:tr>
      <w:tr>
        <w:trPr>
          <w:trHeight w:val="435"/>
        </w:trPr>
        <w:tc>
          <w:tcPr>
            <w:tcW w:w="4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8"/>
        </w:trPr>
        <w:tc>
          <w:tcPr>
            <w:tcW w:w="4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Depreciation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4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Income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Capital</w:t>
            </w:r>
          </w:p>
        </w:tc>
      </w:tr>
      <w:tr>
        <w:trPr>
          <w:trHeight w:val="226"/>
        </w:trPr>
        <w:tc>
          <w:tcPr>
            <w:tcW w:w="46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7"/>
              </w:rPr>
              <w:t>Revenue</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7"/>
              </w:rPr>
              <w:t>Before Taxes</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Assets</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Amortization</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5"/>
              </w:rPr>
              <w:t>Expenditures</w:t>
            </w:r>
          </w:p>
        </w:tc>
      </w:tr>
      <w:tr>
        <w:trPr>
          <w:trHeight w:val="21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6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6,890</w:t>
            </w:r>
          </w:p>
        </w:tc>
        <w:tc>
          <w:tcPr>
            <w:tcW w:w="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1,156</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532</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Drilling</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6,803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425</w:t>
            </w: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10,497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655</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Cameron</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4,246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176</w:t>
            </w: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267</w:t>
            </w:r>
          </w:p>
        </w:tc>
      </w:tr>
      <w:tr>
        <w:trPr>
          <w:trHeight w:val="218"/>
        </w:trPr>
        <w:tc>
          <w:tcPr>
            <w:tcW w:w="464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34,845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w w:val="97"/>
              </w:rPr>
              <w:t>Cash, short term investments and fixed income investments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9,495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3,652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(3,820)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r>
      <w:tr>
        <w:trPr>
          <w:trHeight w:val="431"/>
        </w:trPr>
        <w:tc>
          <w:tcPr>
            <w:tcW w:w="464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27,810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(1,905)</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77,956</w:t>
            </w:r>
          </w:p>
        </w:tc>
        <w:tc>
          <w:tcPr>
            <w:tcW w:w="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4,094</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2,055</w:t>
            </w:r>
          </w:p>
        </w:tc>
      </w:tr>
      <w:tr>
        <w:trPr>
          <w:trHeight w:val="20"/>
        </w:trPr>
        <w:tc>
          <w:tcPr>
            <w:tcW w:w="4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80" w:right="120" w:hanging="374"/>
        <w:spacing w:after="0" w:line="233" w:lineRule="auto"/>
        <w:tabs>
          <w:tab w:leader="none" w:pos="38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(including intangible asset amortization expense resulting from the 2016 acquisition of Cameron), certain centrally managed initiatives and other nonoperating items.</w:t>
      </w:r>
    </w:p>
    <w:p>
      <w:pPr>
        <w:spacing w:after="0" w:line="7" w:lineRule="exact"/>
        <w:rPr>
          <w:rFonts w:ascii="Arial" w:cs="Arial" w:eastAsia="Arial" w:hAnsi="Arial"/>
          <w:sz w:val="22"/>
          <w:szCs w:val="22"/>
          <w:color w:val="auto"/>
          <w:vertAlign w:val="superscript"/>
        </w:rPr>
      </w:pPr>
    </w:p>
    <w:p>
      <w:pPr>
        <w:ind w:left="380" w:hanging="374"/>
        <w:spacing w:after="0"/>
        <w:tabs>
          <w:tab w:leader="none" w:pos="380"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Interest income excludes amounts which are included in the segments’ income (2018: $8 million; 2017: $21 million; 2016: $26 million).</w:t>
      </w:r>
    </w:p>
    <w:p>
      <w:pPr>
        <w:spacing w:after="0" w:line="128" w:lineRule="exact"/>
        <w:rPr>
          <w:rFonts w:ascii="Arial" w:cs="Arial" w:eastAsia="Arial" w:hAnsi="Arial"/>
          <w:sz w:val="26"/>
          <w:szCs w:val="26"/>
          <w:color w:val="auto"/>
          <w:vertAlign w:val="superscript"/>
        </w:rPr>
      </w:pPr>
    </w:p>
    <w:p>
      <w:pPr>
        <w:ind w:left="380" w:hanging="374"/>
        <w:spacing w:after="0" w:line="180" w:lineRule="auto"/>
        <w:tabs>
          <w:tab w:leader="none" w:pos="38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(2018: $38 million; 2017: $53 million; 2016: $53 million).</w:t>
      </w:r>
    </w:p>
    <w:p>
      <w:pPr>
        <w:spacing w:after="0" w:line="128" w:lineRule="exact"/>
        <w:rPr>
          <w:rFonts w:ascii="Arial" w:cs="Arial" w:eastAsia="Arial" w:hAnsi="Arial"/>
          <w:sz w:val="22"/>
          <w:szCs w:val="22"/>
          <w:color w:val="auto"/>
          <w:vertAlign w:val="superscript"/>
        </w:rPr>
      </w:pPr>
    </w:p>
    <w:p>
      <w:pPr>
        <w:ind w:left="380" w:hanging="374"/>
        <w:spacing w:after="0" w:line="180" w:lineRule="auto"/>
        <w:tabs>
          <w:tab w:leader="none" w:pos="38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receivables, inventories, fixed assets, multiclient seismic data and SPM investments.</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625" w:right="139" w:bottom="1440" w:gutter="0" w:footer="0" w:header="0"/>
        </w:sectPr>
      </w:pPr>
    </w:p>
    <w:bookmarkStart w:id="54" w:name="page55"/>
    <w:bookmarkEnd w:id="54"/>
    <w:p>
      <w:pPr>
        <w:ind w:right="20"/>
        <w:spacing w:after="0" w:line="265" w:lineRule="auto"/>
        <w:rPr>
          <w:sz w:val="20"/>
          <w:szCs w:val="20"/>
          <w:color w:val="auto"/>
        </w:rPr>
      </w:pPr>
      <w:r>
        <w:rPr>
          <w:rFonts w:ascii="Arial" w:cs="Arial" w:eastAsia="Arial" w:hAnsi="Arial"/>
          <w:sz w:val="18"/>
          <w:szCs w:val="18"/>
          <w:color w:val="auto"/>
        </w:rPr>
        <w:t>Depreciation and amortization includes depreciation of property, plant and equipment and amortization of intangible assets, multiclient seismic data costs and SPM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by geographic area for the years ended December 31, 2018, 2017 and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435"/>
        </w:trPr>
        <w:tc>
          <w:tcPr>
            <w:tcW w:w="4100" w:type="dxa"/>
            <w:vAlign w:val="bottom"/>
            <w:tcBorders>
              <w:bottom w:val="single" w:sz="8" w:color="CFF0FC"/>
            </w:tcBorders>
          </w:tcPr>
          <w:p>
            <w:pPr>
              <w:spacing w:after="0"/>
              <w:rPr>
                <w:sz w:val="24"/>
                <w:szCs w:val="24"/>
                <w:color w:val="auto"/>
              </w:rPr>
            </w:pPr>
          </w:p>
        </w:tc>
        <w:tc>
          <w:tcPr>
            <w:tcW w:w="2600" w:type="dxa"/>
            <w:vAlign w:val="bottom"/>
            <w:tcBorders>
              <w:bottom w:val="single" w:sz="8" w:color="CFF0FC"/>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r>
      <w:tr>
        <w:trPr>
          <w:trHeight w:val="21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11,984</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CFF0FC"/>
          </w:tcPr>
          <w:p>
            <w:pPr>
              <w:spacing w:after="0"/>
              <w:rPr>
                <w:sz w:val="19"/>
                <w:szCs w:val="19"/>
                <w:color w:val="auto"/>
              </w:rPr>
            </w:pP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Latin America</w:t>
            </w:r>
          </w:p>
        </w:tc>
        <w:tc>
          <w:tcPr>
            <w:tcW w:w="2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3,745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9"/>
                <w:szCs w:val="19"/>
                <w:color w:val="auto"/>
              </w:rPr>
            </w:pPr>
          </w:p>
        </w:tc>
      </w:tr>
      <w:tr>
        <w:trPr>
          <w:trHeight w:val="22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FF0FC"/>
          </w:tcPr>
          <w:p>
            <w:pPr>
              <w:spacing w:after="0"/>
              <w:rPr>
                <w:sz w:val="19"/>
                <w:szCs w:val="19"/>
                <w:color w:val="auto"/>
              </w:rPr>
            </w:pP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Middle East &amp; Asia</w:t>
            </w:r>
          </w:p>
        </w:tc>
        <w:tc>
          <w:tcPr>
            <w:tcW w:w="2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9,543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19"/>
                <w:szCs w:val="19"/>
                <w:color w:val="auto"/>
              </w:rPr>
            </w:pPr>
          </w:p>
        </w:tc>
      </w:tr>
      <w:tr>
        <w:trPr>
          <w:trHeight w:val="22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6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9"/>
                <w:szCs w:val="19"/>
                <w:color w:val="auto"/>
              </w:rPr>
            </w:pPr>
          </w:p>
        </w:tc>
      </w:tr>
      <w:tr>
        <w:trPr>
          <w:trHeight w:val="219"/>
        </w:trPr>
        <w:tc>
          <w:tcPr>
            <w:tcW w:w="41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32,815</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30,440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27,810</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Revenue is based on the location where services are provided and products are sold.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each of the three years ended December 31, 2018, 2017 and 2016, no single customer exceeded 10% of consolidated revenue.</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Revenue in the United States in 2018, 2017 and 2016 was $10.1 billion, $8.1 billion and $5.4 billion,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1"/>
        </w:trPr>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6"/>
          </w:tcPr>
          <w:p>
            <w:pPr>
              <w:jc w:val="center"/>
              <w:ind w:right="260"/>
              <w:spacing w:after="0"/>
              <w:rPr>
                <w:sz w:val="20"/>
                <w:szCs w:val="20"/>
                <w:color w:val="auto"/>
              </w:rPr>
            </w:pPr>
            <w:r>
              <w:rPr>
                <w:rFonts w:ascii="Arial" w:cs="Arial" w:eastAsia="Arial" w:hAnsi="Arial"/>
                <w:sz w:val="18"/>
                <w:szCs w:val="18"/>
                <w:color w:val="auto"/>
                <w:w w:val="94"/>
              </w:rPr>
              <w:t>Eliminations &amp;</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9"/>
                <w:szCs w:val="19"/>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International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other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9"/>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9"/>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5,067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467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tcPr>
          <w:p>
            <w:pPr>
              <w:spacing w:after="0"/>
              <w:rPr>
                <w:sz w:val="20"/>
                <w:szCs w:val="20"/>
                <w:color w:val="auto"/>
              </w:rPr>
            </w:pPr>
            <w:r>
              <w:rPr>
                <w:rFonts w:ascii="Arial" w:cs="Arial" w:eastAsia="Arial" w:hAnsi="Arial"/>
                <w:sz w:val="18"/>
                <w:szCs w:val="18"/>
                <w:color w:val="auto"/>
              </w:rPr>
              <w:t>Drilling</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6,684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6,077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tcPr>
          <w:p>
            <w:pPr>
              <w:spacing w:after="0"/>
              <w:rPr>
                <w:sz w:val="20"/>
                <w:szCs w:val="20"/>
                <w:color w:val="auto"/>
              </w:rPr>
            </w:pPr>
            <w:r>
              <w:rPr>
                <w:rFonts w:ascii="Arial" w:cs="Arial" w:eastAsia="Arial" w:hAnsi="Arial"/>
                <w:sz w:val="18"/>
                <w:szCs w:val="18"/>
                <w:color w:val="auto"/>
              </w:rPr>
              <w:t>Cameron</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9"/>
              </w:rPr>
              <w:t>(401)</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(522)</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11,984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20,446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385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i w:val="1"/>
                <w:iCs w:val="1"/>
                <w:color w:val="auto"/>
                <w:w w:val="90"/>
              </w:rPr>
              <w:t xml:space="preserve">Fixed Assets less accumulated depreciation </w:t>
            </w:r>
            <w:r>
              <w:rPr>
                <w:rFonts w:ascii="Arial" w:cs="Arial" w:eastAsia="Arial" w:hAnsi="Arial"/>
                <w:sz w:val="18"/>
                <w:szCs w:val="18"/>
                <w:color w:val="auto"/>
                <w:w w:val="90"/>
              </w:rPr>
              <w:t>by geographic area are as follows:</w:t>
            </w: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5"/>
        </w:trPr>
        <w:tc>
          <w:tcPr>
            <w:tcW w:w="572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38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42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94"/>
              </w:rPr>
              <w:t>2017</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2"/>
              <w:spacing w:after="0"/>
              <w:rPr>
                <w:sz w:val="20"/>
                <w:szCs w:val="20"/>
                <w:color w:val="auto"/>
              </w:rPr>
            </w:pPr>
            <w:r>
              <w:rPr>
                <w:rFonts w:ascii="Arial" w:cs="Arial" w:eastAsia="Arial" w:hAnsi="Arial"/>
                <w:sz w:val="18"/>
                <w:szCs w:val="18"/>
                <w:b w:val="1"/>
                <w:bCs w:val="1"/>
                <w:color w:val="auto"/>
                <w:w w:val="79"/>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5,715</w:t>
            </w: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tcPr>
          <w:p>
            <w:pPr>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2,364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tcPr>
          <w:p>
            <w:pPr>
              <w:spacing w:after="0"/>
              <w:rPr>
                <w:sz w:val="20"/>
                <w:szCs w:val="20"/>
                <w:color w:val="auto"/>
              </w:rPr>
            </w:pPr>
            <w:r>
              <w:rPr>
                <w:rFonts w:ascii="Arial" w:cs="Arial" w:eastAsia="Arial" w:hAnsi="Arial"/>
                <w:sz w:val="18"/>
                <w:szCs w:val="18"/>
                <w:color w:val="auto"/>
              </w:rPr>
              <w:t>Middle East &amp; Asia</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2,604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11,679</w:t>
            </w:r>
          </w:p>
        </w:tc>
        <w:tc>
          <w:tcPr>
            <w:tcW w:w="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u w:val="single" w:color="auto"/>
          <w:color w:val="auto"/>
        </w:rPr>
        <w:t>Pension and Other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5" w:name="page56"/>
    <w:bookmarkEnd w:id="55"/>
    <w:p>
      <w:pPr>
        <w:jc w:val="both"/>
        <w:ind w:right="20"/>
        <w:spacing w:after="0" w:line="319" w:lineRule="auto"/>
        <w:rPr>
          <w:sz w:val="20"/>
          <w:szCs w:val="20"/>
          <w:color w:val="auto"/>
        </w:rPr>
      </w:pPr>
      <w:r>
        <w:rPr>
          <w:rFonts w:ascii="Arial" w:cs="Arial" w:eastAsia="Arial" w:hAnsi="Arial"/>
          <w:sz w:val="15"/>
          <w:szCs w:val="15"/>
          <w:color w:val="auto"/>
        </w:rPr>
        <w:t>In addition to the US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45"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weighted-average assumed discount rate, compensation increases and expected long-term rate of return on plan assets used to determine the net pension cost for the US and International plans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US</w:t>
            </w: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0"/>
              </w:rPr>
              <w:t>International</w:t>
            </w: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44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FF0FC"/>
            </w:tcBorders>
          </w:tcPr>
          <w:p>
            <w:pPr>
              <w:spacing w:after="0"/>
              <w:rPr>
                <w:sz w:val="19"/>
                <w:szCs w:val="19"/>
                <w:color w:val="auto"/>
              </w:rPr>
            </w:pPr>
          </w:p>
        </w:tc>
      </w:tr>
      <w:tr>
        <w:trPr>
          <w:trHeight w:val="21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3.70%</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4.20%</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3.55%</w:t>
            </w:r>
          </w:p>
        </w:tc>
        <w:tc>
          <w:tcPr>
            <w:tcW w:w="12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4.13%</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4.36%</w:t>
            </w:r>
          </w:p>
        </w:tc>
      </w:tr>
      <w:tr>
        <w:trPr>
          <w:trHeight w:val="226"/>
        </w:trPr>
        <w:tc>
          <w:tcPr>
            <w:tcW w:w="4460" w:type="dxa"/>
            <w:vAlign w:val="bottom"/>
          </w:tcPr>
          <w:p>
            <w:pPr>
              <w:spacing w:after="0"/>
              <w:rPr>
                <w:sz w:val="20"/>
                <w:szCs w:val="20"/>
                <w:color w:val="auto"/>
              </w:rPr>
            </w:pPr>
            <w:r>
              <w:rPr>
                <w:rFonts w:ascii="Arial" w:cs="Arial" w:eastAsia="Arial" w:hAnsi="Arial"/>
                <w:sz w:val="18"/>
                <w:szCs w:val="18"/>
                <w:color w:val="auto"/>
              </w:rPr>
              <w:t>Compensation increases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4.81%</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4.81%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r>
      <w:tr>
        <w:trPr>
          <w:trHeight w:val="22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Return on plan assets</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7.25%</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7.25%</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7.40%</w:t>
            </w:r>
          </w:p>
        </w:tc>
        <w:tc>
          <w:tcPr>
            <w:tcW w:w="12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7.40%</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2018, 2017 and 2016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2"/>
              </w:rPr>
              <w:t>(Stated in millions)</w:t>
            </w:r>
          </w:p>
        </w:tc>
      </w:tr>
      <w:tr>
        <w:trPr>
          <w:trHeight w:val="422"/>
        </w:trPr>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4"/>
              </w:rPr>
              <w:t>International</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4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9"/>
                <w:szCs w:val="19"/>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Service cost - benefits earned during the period</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(248)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(584)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(517)</w:t>
            </w:r>
          </w:p>
        </w:tc>
      </w:tr>
      <w:tr>
        <w:trPr>
          <w:trHeight w:val="226"/>
        </w:trPr>
        <w:tc>
          <w:tcPr>
            <w:tcW w:w="47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r>
      <w:tr>
        <w:trPr>
          <w:trHeight w:val="219"/>
        </w:trPr>
        <w:tc>
          <w:tcPr>
            <w:tcW w:w="474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weighted-average assumed discount rate and compensation increases used to determine the projected benefit obligations for the US and International plans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US</w:t>
            </w:r>
          </w:p>
        </w:tc>
        <w:tc>
          <w:tcPr>
            <w:tcW w:w="11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color w:val="auto"/>
                <w:w w:val="94"/>
              </w:rPr>
              <w:t>International</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56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4"/>
              </w:rPr>
              <w:t>2017</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6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68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4.30%</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3.70%</w:t>
            </w:r>
          </w:p>
        </w:tc>
        <w:tc>
          <w:tcPr>
            <w:tcW w:w="1500" w:type="dxa"/>
            <w:vAlign w:val="bottom"/>
            <w:gridSpan w:val="2"/>
            <w:shd w:val="clear" w:color="auto" w:fill="CFF0FC"/>
          </w:tcPr>
          <w:p>
            <w:pPr>
              <w:ind w:left="840"/>
              <w:spacing w:after="0"/>
              <w:rPr>
                <w:sz w:val="20"/>
                <w:szCs w:val="20"/>
                <w:color w:val="auto"/>
              </w:rPr>
            </w:pPr>
            <w:r>
              <w:rPr>
                <w:rFonts w:ascii="Arial" w:cs="Arial" w:eastAsia="Arial" w:hAnsi="Arial"/>
                <w:sz w:val="18"/>
                <w:szCs w:val="18"/>
                <w:b w:val="1"/>
                <w:bCs w:val="1"/>
                <w:color w:val="auto"/>
              </w:rPr>
              <w:t>4.00%</w:t>
            </w: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9"/>
                <w:szCs w:val="19"/>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Compensation increases</w:t>
            </w:r>
          </w:p>
        </w:tc>
        <w:tc>
          <w:tcPr>
            <w:tcW w:w="6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4.00%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500" w:type="dxa"/>
            <w:vAlign w:val="bottom"/>
            <w:gridSpan w:val="2"/>
          </w:tcPr>
          <w:p>
            <w:pPr>
              <w:ind w:left="840"/>
              <w:spacing w:after="0"/>
              <w:rPr>
                <w:sz w:val="20"/>
                <w:szCs w:val="20"/>
                <w:color w:val="auto"/>
              </w:rPr>
            </w:pPr>
            <w:r>
              <w:rPr>
                <w:rFonts w:ascii="Arial" w:cs="Arial" w:eastAsia="Arial" w:hAnsi="Arial"/>
                <w:sz w:val="18"/>
                <w:szCs w:val="18"/>
                <w:b w:val="1"/>
                <w:bCs w:val="1"/>
                <w:color w:val="auto"/>
              </w:rPr>
              <w:t>4.83%</w:t>
            </w: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9"/>
                <w:szCs w:val="19"/>
                <w:color w:val="auto"/>
              </w:rPr>
            </w:pPr>
          </w:p>
        </w:tc>
      </w:tr>
      <w:tr>
        <w:trPr>
          <w:trHeight w:val="420"/>
        </w:trPr>
        <w:tc>
          <w:tcPr>
            <w:tcW w:w="6460" w:type="dxa"/>
            <w:vAlign w:val="bottom"/>
            <w:gridSpan w:val="2"/>
          </w:tcPr>
          <w:p>
            <w:pPr>
              <w:jc w:val="right"/>
              <w:ind w:right="572"/>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7"/>
        </w:trPr>
        <w:tc>
          <w:tcPr>
            <w:tcW w:w="566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changes in the projected benefit obligation, plan assets and funded status of the plans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22"/>
        </w:trPr>
        <w:tc>
          <w:tcPr>
            <w:tcW w:w="5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US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International</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3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4"/>
              </w:rPr>
              <w:t>2017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Projected Benefit Obligations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Projected benefit obligation at beginning of year</w:t>
            </w:r>
          </w:p>
        </w:tc>
        <w:tc>
          <w:tcPr>
            <w:tcW w:w="800" w:type="dxa"/>
            <w:vAlign w:val="bottom"/>
            <w:gridSpan w:val="2"/>
          </w:tcPr>
          <w:p>
            <w:pPr>
              <w:jc w:val="right"/>
              <w:ind w:right="83"/>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4,603</w:t>
            </w:r>
          </w:p>
        </w:tc>
        <w:tc>
          <w:tcPr>
            <w:tcW w:w="24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4,240</w:t>
            </w:r>
          </w:p>
        </w:tc>
        <w:tc>
          <w:tcPr>
            <w:tcW w:w="160" w:type="dxa"/>
            <w:vAlign w:val="bottom"/>
          </w:tcPr>
          <w:p>
            <w:pPr>
              <w:spacing w:after="0"/>
              <w:rPr>
                <w:sz w:val="19"/>
                <w:szCs w:val="19"/>
                <w:color w:val="auto"/>
              </w:rPr>
            </w:pPr>
          </w:p>
        </w:tc>
        <w:tc>
          <w:tcPr>
            <w:tcW w:w="320" w:type="dxa"/>
            <w:vAlign w:val="bottom"/>
            <w:gridSpan w:val="2"/>
          </w:tcPr>
          <w:p>
            <w:pPr>
              <w:jc w:val="right"/>
              <w:ind w:right="83"/>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8,752</w:t>
            </w:r>
          </w:p>
        </w:tc>
        <w:tc>
          <w:tcPr>
            <w:tcW w:w="240" w:type="dxa"/>
            <w:vAlign w:val="bottom"/>
          </w:tcPr>
          <w:p>
            <w:pPr>
              <w:spacing w:after="0"/>
              <w:rPr>
                <w:sz w:val="19"/>
                <w:szCs w:val="19"/>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Interest cost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Contribution by plan participants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Actuarial (gains) losses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(349)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(758)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Currency effect</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(87)</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Benefits paid</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(202)</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(317)</w:t>
            </w:r>
          </w:p>
        </w:tc>
        <w:tc>
          <w:tcPr>
            <w:tcW w:w="3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9"/>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Projected benefit obligation at end of year</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8,111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Change in Plan Assets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Plan assets at fair value at beginning of year</w:t>
            </w:r>
          </w:p>
        </w:tc>
        <w:tc>
          <w:tcPr>
            <w:tcW w:w="80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4,058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8,507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(112)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Currency effect</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(105)</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Company contributions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Contributions by plan participants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Benefits paid</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(202)</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(317)</w:t>
            </w:r>
          </w:p>
        </w:tc>
        <w:tc>
          <w:tcPr>
            <w:tcW w:w="3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Plan assets at fair value at end of year</w:t>
            </w: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Unfunded Liability</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Amounts Recognized in Balance Sheet</w:t>
            </w: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3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80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FF0FC"/>
          </w:tcPr>
          <w:p>
            <w:pPr>
              <w:jc w:val="right"/>
              <w:ind w:right="92"/>
              <w:spacing w:after="0"/>
              <w:rPr>
                <w:sz w:val="20"/>
                <w:szCs w:val="20"/>
                <w:color w:val="auto"/>
              </w:rPr>
            </w:pPr>
            <w:r>
              <w:rPr>
                <w:rFonts w:ascii="Arial" w:cs="Arial" w:eastAsia="Arial" w:hAnsi="Arial"/>
                <w:sz w:val="18"/>
                <w:szCs w:val="18"/>
                <w:b w:val="1"/>
                <w:bCs w:val="1"/>
                <w:color w:val="auto"/>
              </w:rPr>
              <w:t>(530)</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(545)</w:t>
            </w:r>
          </w:p>
        </w:tc>
        <w:tc>
          <w:tcPr>
            <w:tcW w:w="32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(514)</w:t>
            </w: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6"/>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w w:val="94"/>
              </w:rPr>
              <w:t>Amounts Recognized in Accumulated Other Comprehensive Loss</w:t>
            </w: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3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Actuarial losses</w:t>
            </w:r>
          </w:p>
        </w:tc>
        <w:tc>
          <w:tcPr>
            <w:tcW w:w="80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Prior service cost</w:t>
            </w: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7,895</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(“ABO”) represents the actuarial present value of benefits based on employee service and compensation, but does not include an assumption about future compensation levels.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Actuarial gains arising during 2018 are primarily attributable to the increase in the discount rate used to determine the PBO. As of December 31, 2018, the PBO and fair value of plan assets for plans with PBOs in excess of plan assets were $11.0 billion and $9.9 billion, respectively. The related ABO for these plans was $10.6 billion at December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allocation of plan assets and the target allocations by asset category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US</w:t>
            </w:r>
          </w:p>
        </w:tc>
        <w:tc>
          <w:tcPr>
            <w:tcW w:w="9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2"/>
              </w:rPr>
              <w:t>International</w:t>
            </w:r>
          </w:p>
        </w:tc>
        <w:tc>
          <w:tcPr>
            <w:tcW w:w="960" w:type="dxa"/>
            <w:vAlign w:val="bottom"/>
            <w:tcBorders>
              <w:bottom w:val="single" w:sz="8" w:color="auto"/>
            </w:tcBorders>
          </w:tcPr>
          <w:p>
            <w:pPr>
              <w:spacing w:after="0"/>
              <w:rPr>
                <w:sz w:val="19"/>
                <w:szCs w:val="19"/>
                <w:color w:val="auto"/>
              </w:rPr>
            </w:pPr>
          </w:p>
        </w:tc>
      </w:tr>
      <w:tr>
        <w:trPr>
          <w:trHeight w:val="219"/>
        </w:trPr>
        <w:tc>
          <w:tcPr>
            <w:tcW w:w="4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Target</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Target</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2017</w:t>
            </w: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- 30%</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21%</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- 59%</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r>
      <w:tr>
        <w:trPr>
          <w:trHeight w:val="226"/>
        </w:trPr>
        <w:tc>
          <w:tcPr>
            <w:tcW w:w="4260" w:type="dxa"/>
            <w:vAlign w:val="bottom"/>
          </w:tcPr>
          <w:p>
            <w:pPr>
              <w:spacing w:after="0"/>
              <w:rPr>
                <w:sz w:val="20"/>
                <w:szCs w:val="20"/>
                <w:color w:val="auto"/>
              </w:rPr>
            </w:pPr>
            <w:r>
              <w:rPr>
                <w:rFonts w:ascii="Arial" w:cs="Arial" w:eastAsia="Arial" w:hAnsi="Arial"/>
                <w:sz w:val="18"/>
                <w:szCs w:val="18"/>
                <w:color w:val="auto"/>
              </w:rPr>
              <w:t>Debt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jc w:val="right"/>
              <w:spacing w:after="0"/>
              <w:rPr>
                <w:sz w:val="20"/>
                <w:szCs w:val="20"/>
                <w:color w:val="auto"/>
              </w:rPr>
            </w:pPr>
            <w:r>
              <w:rPr>
                <w:rFonts w:ascii="Arial" w:cs="Arial" w:eastAsia="Arial" w:hAnsi="Arial"/>
                <w:sz w:val="18"/>
                <w:szCs w:val="18"/>
                <w:color w:val="auto"/>
                <w:w w:val="96"/>
              </w:rPr>
              <w:t>- 77</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jc w:val="right"/>
              <w:spacing w:after="0"/>
              <w:rPr>
                <w:sz w:val="20"/>
                <w:szCs w:val="20"/>
                <w:color w:val="auto"/>
              </w:rPr>
            </w:pPr>
            <w:r>
              <w:rPr>
                <w:rFonts w:ascii="Arial" w:cs="Arial" w:eastAsia="Arial" w:hAnsi="Arial"/>
                <w:sz w:val="18"/>
                <w:szCs w:val="18"/>
                <w:color w:val="auto"/>
              </w:rPr>
              <w:t>- 33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0 - 3</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0 - 3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Alternative investments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- 10</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- 22</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9"/>
        </w:trPr>
        <w:tc>
          <w:tcPr>
            <w:tcW w:w="4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Asset performance is monitored frequently with an overall expectation that plan assets will meet or exceed the weighted index of its target asset allocation and component benchmark over rolling five-year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67" w:right="239" w:bottom="1440" w:gutter="0" w:footer="0" w:header="0"/>
        </w:sectPr>
      </w:pPr>
    </w:p>
    <w:bookmarkStart w:id="57" w:name="page58"/>
    <w:bookmarkEnd w:id="57"/>
    <w:p>
      <w:pPr>
        <w:jc w:val="both"/>
        <w:ind w:right="20"/>
        <w:spacing w:after="0" w:line="255" w:lineRule="auto"/>
        <w:rPr>
          <w:sz w:val="20"/>
          <w:szCs w:val="20"/>
          <w:color w:val="auto"/>
        </w:rPr>
      </w:pPr>
      <w:r>
        <w:rPr>
          <w:rFonts w:ascii="Arial" w:cs="Arial" w:eastAsia="Arial" w:hAnsi="Arial"/>
          <w:sz w:val="18"/>
          <w:szCs w:val="18"/>
          <w:color w:val="auto"/>
        </w:rPr>
        <w:t>The expected rate of return on assets assumptions reflect the long-term average rate of earnings expected on funds invested or to be invested.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9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fair value of Schlumberger’s pension plan assets at December 31, 2018 and 2017, by asset category, is presented below and was determined based on valuation techniques categorized as follows:</w:t>
      </w:r>
    </w:p>
    <w:p>
      <w:pPr>
        <w:spacing w:after="0" w:line="74" w:lineRule="exact"/>
        <w:rPr>
          <w:sz w:val="20"/>
          <w:szCs w:val="20"/>
          <w:color w:val="auto"/>
        </w:rPr>
      </w:pPr>
    </w:p>
    <w:p>
      <w:pPr>
        <w:ind w:left="1020" w:hanging="377"/>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One: The use of quoted prices in active markets for identical instruments.</w:t>
      </w:r>
    </w:p>
    <w:p>
      <w:pPr>
        <w:spacing w:after="0" w:line="111" w:lineRule="exact"/>
        <w:rPr>
          <w:rFonts w:ascii="Arial" w:cs="Arial" w:eastAsia="Arial" w:hAnsi="Arial"/>
          <w:sz w:val="18"/>
          <w:szCs w:val="18"/>
          <w:color w:val="auto"/>
        </w:rPr>
      </w:pPr>
    </w:p>
    <w:p>
      <w:pPr>
        <w:ind w:left="1020" w:right="20" w:hanging="363"/>
        <w:spacing w:after="0" w:line="265"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73" w:lineRule="exact"/>
        <w:rPr>
          <w:rFonts w:ascii="Arial" w:cs="Arial" w:eastAsia="Arial" w:hAnsi="Arial"/>
          <w:sz w:val="18"/>
          <w:szCs w:val="18"/>
          <w:color w:val="auto"/>
        </w:rPr>
      </w:pPr>
    </w:p>
    <w:p>
      <w:pPr>
        <w:ind w:left="1020" w:right="20" w:hanging="363"/>
        <w:spacing w:after="0" w:line="265"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Level Three: The use of significant unobservable inputs that typically require the use of management’s estimates of assumptions that market participants would use in pricing.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ind w:left="50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8"/>
                <w:szCs w:val="18"/>
                <w:color w:val="auto"/>
              </w:rPr>
              <w:t>US Plan Assets</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7"/>
              </w:rPr>
              <w:t>Level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Level</w:t>
            </w:r>
          </w:p>
        </w:tc>
        <w:tc>
          <w:tcPr>
            <w:tcW w:w="1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7"/>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Level</w:t>
            </w:r>
          </w:p>
        </w:tc>
        <w:tc>
          <w:tcPr>
            <w:tcW w:w="120" w:type="dxa"/>
            <w:vAlign w:val="bottom"/>
          </w:tcPr>
          <w:p>
            <w:pPr>
              <w:spacing w:after="0"/>
              <w:rPr>
                <w:sz w:val="18"/>
                <w:szCs w:val="18"/>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w w:val="97"/>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Level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99"/>
              </w:rPr>
              <w:t>Total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One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Two</w:t>
            </w:r>
          </w:p>
        </w:tc>
        <w:tc>
          <w:tcPr>
            <w:tcW w:w="14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89"/>
              </w:rPr>
              <w:t>Three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99"/>
              </w:rPr>
              <w:t>Total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82"/>
              </w:rPr>
              <w:t>One</w:t>
            </w:r>
          </w:p>
        </w:tc>
        <w:tc>
          <w:tcPr>
            <w:tcW w:w="120" w:type="dxa"/>
            <w:vAlign w:val="bottom"/>
          </w:tcPr>
          <w:p>
            <w:pPr>
              <w:spacing w:after="0"/>
              <w:rPr>
                <w:sz w:val="19"/>
                <w:szCs w:val="19"/>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Two</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Three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 Category:</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ind w:left="2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5"/>
                <w:szCs w:val="15"/>
                <w:color w:val="auto"/>
              </w:rPr>
              <w:t>(a)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(b)</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b w:val="1"/>
                <w:bCs w:val="1"/>
                <w:color w:val="auto"/>
              </w:rPr>
              <w:t>Debt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15"/>
                <w:szCs w:val="15"/>
                <w:color w:val="auto"/>
              </w:rPr>
              <w:t>(c)</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240"/>
              <w:spacing w:after="0"/>
              <w:rPr>
                <w:sz w:val="20"/>
                <w:szCs w:val="20"/>
                <w:color w:val="auto"/>
              </w:rPr>
            </w:pPr>
            <w:r>
              <w:rPr>
                <w:rFonts w:ascii="Arial" w:cs="Arial" w:eastAsia="Arial" w:hAnsi="Arial"/>
                <w:sz w:val="18"/>
                <w:szCs w:val="18"/>
                <w:color w:val="auto"/>
              </w:rPr>
              <w:t>Government and government-related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24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5"/>
                <w:szCs w:val="15"/>
                <w:color w:val="auto"/>
              </w:rPr>
              <w:t>(d)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Collateralized mortgage obligations and mortgage</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backed securities </w:t>
            </w:r>
            <w:r>
              <w:rPr>
                <w:rFonts w:ascii="Arial" w:cs="Arial" w:eastAsia="Arial" w:hAnsi="Arial"/>
                <w:sz w:val="15"/>
                <w:szCs w:val="15"/>
                <w:color w:val="auto"/>
              </w:rPr>
              <w:t>(e)</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Private equity </w:t>
            </w:r>
            <w:r>
              <w:rPr>
                <w:rFonts w:ascii="Arial" w:cs="Arial" w:eastAsia="Arial" w:hAnsi="Arial"/>
                <w:sz w:val="15"/>
                <w:szCs w:val="15"/>
                <w:color w:val="auto"/>
              </w:rPr>
              <w:t>(f)</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 xml:space="preserve">Real estate </w:t>
            </w:r>
            <w:r>
              <w:rPr>
                <w:rFonts w:ascii="Arial" w:cs="Arial" w:eastAsia="Arial" w:hAnsi="Arial"/>
                <w:sz w:val="15"/>
                <w:szCs w:val="15"/>
                <w:color w:val="auto"/>
              </w:rPr>
              <w:t>(g)</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3,748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2,688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9"/>
              </w:rPr>
              <w:t>58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8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0"/>
        </w:trPr>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ind w:left="5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2"/>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color w:val="auto"/>
                <w:w w:val="91"/>
              </w:rPr>
              <w:t>International Plan Assets</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Level</w:t>
            </w:r>
          </w:p>
        </w:tc>
        <w:tc>
          <w:tcPr>
            <w:tcW w:w="1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7"/>
              </w:rPr>
              <w:t>Level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7"/>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Level</w:t>
            </w:r>
          </w:p>
        </w:tc>
        <w:tc>
          <w:tcPr>
            <w:tcW w:w="120" w:type="dxa"/>
            <w:vAlign w:val="bottom"/>
          </w:tcPr>
          <w:p>
            <w:pPr>
              <w:spacing w:after="0"/>
              <w:rPr>
                <w:sz w:val="18"/>
                <w:szCs w:val="18"/>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Level</w:t>
            </w:r>
          </w:p>
        </w:tc>
        <w:tc>
          <w:tcPr>
            <w:tcW w:w="12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Level</w:t>
            </w:r>
          </w:p>
        </w:tc>
        <w:tc>
          <w:tcPr>
            <w:tcW w:w="0" w:type="dxa"/>
            <w:vAlign w:val="bottom"/>
          </w:tcPr>
          <w:p>
            <w:pPr>
              <w:spacing w:after="0"/>
              <w:rPr>
                <w:sz w:val="1"/>
                <w:szCs w:val="1"/>
                <w:color w:val="auto"/>
              </w:rPr>
            </w:pPr>
          </w:p>
        </w:tc>
      </w:tr>
      <w:tr>
        <w:trPr>
          <w:trHeight w:val="226"/>
        </w:trPr>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99"/>
              </w:rPr>
              <w:t>Total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One</w:t>
            </w:r>
          </w:p>
        </w:tc>
        <w:tc>
          <w:tcPr>
            <w:tcW w:w="14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Two</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89"/>
              </w:rPr>
              <w:t>Three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color w:val="auto"/>
                <w:w w:val="82"/>
              </w:rPr>
              <w:t>One</w:t>
            </w:r>
          </w:p>
        </w:tc>
        <w:tc>
          <w:tcPr>
            <w:tcW w:w="120" w:type="dxa"/>
            <w:vAlign w:val="bottom"/>
          </w:tcPr>
          <w:p>
            <w:pPr>
              <w:spacing w:after="0"/>
              <w:rPr>
                <w:sz w:val="19"/>
                <w:szCs w:val="19"/>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Two</w:t>
            </w:r>
          </w:p>
        </w:tc>
        <w:tc>
          <w:tcPr>
            <w:tcW w:w="12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Three</w:t>
            </w:r>
          </w:p>
        </w:tc>
        <w:tc>
          <w:tcPr>
            <w:tcW w:w="0" w:type="dxa"/>
            <w:vAlign w:val="bottom"/>
          </w:tcPr>
          <w:p>
            <w:pPr>
              <w:spacing w:after="0"/>
              <w:rPr>
                <w:sz w:val="1"/>
                <w:szCs w:val="1"/>
                <w:color w:val="auto"/>
              </w:rPr>
            </w:pPr>
          </w:p>
        </w:tc>
      </w:tr>
      <w:tr>
        <w:trPr>
          <w:trHeight w:val="219"/>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 Category:</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ind w:left="2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5"/>
                <w:szCs w:val="15"/>
                <w:color w:val="auto"/>
              </w:rPr>
              <w:t>(a)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2,421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(b)</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b w:val="1"/>
                <w:bCs w:val="1"/>
                <w:color w:val="auto"/>
              </w:rPr>
              <w:t>Debt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15"/>
                <w:szCs w:val="15"/>
                <w:color w:val="auto"/>
              </w:rPr>
              <w:t>(c)</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240"/>
              <w:spacing w:after="0"/>
              <w:rPr>
                <w:sz w:val="20"/>
                <w:szCs w:val="20"/>
                <w:color w:val="auto"/>
              </w:rPr>
            </w:pPr>
            <w:r>
              <w:rPr>
                <w:rFonts w:ascii="Arial" w:cs="Arial" w:eastAsia="Arial" w:hAnsi="Arial"/>
                <w:sz w:val="18"/>
                <w:szCs w:val="18"/>
                <w:color w:val="auto"/>
              </w:rPr>
              <w:t>Government and government-related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24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5"/>
                <w:szCs w:val="15"/>
                <w:color w:val="auto"/>
              </w:rPr>
              <w:t>(d)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Collateralized mortgage obligations and mortgage</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236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236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backed securities </w:t>
            </w:r>
            <w:r>
              <w:rPr>
                <w:rFonts w:ascii="Arial" w:cs="Arial" w:eastAsia="Arial" w:hAnsi="Arial"/>
                <w:sz w:val="15"/>
                <w:szCs w:val="15"/>
                <w:color w:val="auto"/>
              </w:rPr>
              <w:t>(e)</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Private equity </w:t>
            </w:r>
            <w:r>
              <w:rPr>
                <w:rFonts w:ascii="Arial" w:cs="Arial" w:eastAsia="Arial" w:hAnsi="Arial"/>
                <w:sz w:val="15"/>
                <w:szCs w:val="15"/>
                <w:color w:val="auto"/>
              </w:rPr>
              <w:t>(f)</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tcPr>
          <w:p>
            <w:pPr>
              <w:ind w:left="240"/>
              <w:spacing w:after="0"/>
              <w:rPr>
                <w:sz w:val="20"/>
                <w:szCs w:val="20"/>
                <w:color w:val="auto"/>
              </w:rPr>
            </w:pPr>
            <w:r>
              <w:rPr>
                <w:rFonts w:ascii="Arial" w:cs="Arial" w:eastAsia="Arial" w:hAnsi="Arial"/>
                <w:sz w:val="18"/>
                <w:szCs w:val="18"/>
                <w:color w:val="auto"/>
              </w:rPr>
              <w:t xml:space="preserve">Real estate </w:t>
            </w:r>
            <w:r>
              <w:rPr>
                <w:rFonts w:ascii="Arial" w:cs="Arial" w:eastAsia="Arial" w:hAnsi="Arial"/>
                <w:sz w:val="15"/>
                <w:szCs w:val="15"/>
                <w:color w:val="auto"/>
              </w:rPr>
              <w:t>(g)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7,872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3,514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3,126</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1,232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8,507</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4,593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3,136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4"/>
        <w:spacing w:after="0" w:line="195" w:lineRule="auto"/>
        <w:tabs>
          <w:tab w:leader="none" w:pos="52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US equities include companies that are well-diversified by industry sector and equity style (i.e., growth and value strategies). Active and passive management strategies are employed. Investments are primarily in large capitalization stocks and, to a lesser extent, mid- and small-cap stocks.</w:t>
      </w:r>
    </w:p>
    <w:p>
      <w:pPr>
        <w:spacing w:after="0" w:line="102" w:lineRule="exact"/>
        <w:rPr>
          <w:rFonts w:ascii="Arial" w:cs="Arial" w:eastAsia="Arial" w:hAnsi="Arial"/>
          <w:sz w:val="27"/>
          <w:szCs w:val="27"/>
          <w:color w:val="auto"/>
          <w:vertAlign w:val="superscript"/>
        </w:rPr>
      </w:pPr>
    </w:p>
    <w:p>
      <w:pPr>
        <w:ind w:left="520" w:hanging="514"/>
        <w:spacing w:after="0" w:line="221" w:lineRule="auto"/>
        <w:tabs>
          <w:tab w:leader="none" w:pos="52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International equities are invested in companies that are traded on exchanges outside the US and are well-diversified by industry sector, country and equity style. Active and passive strategies are employed. The vast majority of the investments are made in companies in developed markets, with a small percentage in emerging markets.</w:t>
      </w:r>
    </w:p>
    <w:p>
      <w:pPr>
        <w:ind w:left="520" w:hanging="514"/>
        <w:spacing w:after="0" w:line="235" w:lineRule="auto"/>
        <w:tabs>
          <w:tab w:leader="none" w:pos="52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Corporate bonds consist primarily of investment grade bonds from diversified industries.</w:t>
      </w:r>
    </w:p>
    <w:p>
      <w:pPr>
        <w:spacing w:after="0" w:line="116" w:lineRule="exact"/>
        <w:rPr>
          <w:rFonts w:ascii="Arial" w:cs="Arial" w:eastAsia="Arial" w:hAnsi="Arial"/>
          <w:sz w:val="27"/>
          <w:szCs w:val="27"/>
          <w:color w:val="auto"/>
          <w:vertAlign w:val="superscript"/>
        </w:rPr>
      </w:pPr>
    </w:p>
    <w:p>
      <w:pPr>
        <w:ind w:left="520" w:hanging="514"/>
        <w:spacing w:after="0" w:line="188" w:lineRule="auto"/>
        <w:tabs>
          <w:tab w:leader="none" w:pos="52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Government and government-related debt securities are comprised primarily of inflation-protected US treasuries and, to a lesser extent, other government-related securities.</w:t>
      </w:r>
    </w:p>
    <w:p>
      <w:pPr>
        <w:spacing w:after="0" w:line="103" w:lineRule="exact"/>
        <w:rPr>
          <w:rFonts w:ascii="Arial" w:cs="Arial" w:eastAsia="Arial" w:hAnsi="Arial"/>
          <w:sz w:val="27"/>
          <w:szCs w:val="27"/>
          <w:color w:val="auto"/>
          <w:vertAlign w:val="superscript"/>
        </w:rPr>
      </w:pPr>
    </w:p>
    <w:p>
      <w:pPr>
        <w:ind w:left="520" w:hanging="514"/>
        <w:spacing w:after="0" w:line="221" w:lineRule="auto"/>
        <w:tabs>
          <w:tab w:leader="none" w:pos="52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Collateralized mortgage obligations and mortgage backed-securities are debt obligations that represent claims to the cash flows from pools of mortgage loans, which are purchased from banks, mortgage companies, and other originators and then assembled into pools by governmental, quasi-governmental and private entities.</w:t>
      </w:r>
    </w:p>
    <w:p>
      <w:pPr>
        <w:ind w:left="520" w:hanging="514"/>
        <w:spacing w:after="0" w:line="235" w:lineRule="auto"/>
        <w:tabs>
          <w:tab w:leader="none" w:pos="52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Private equity includes investments in several funds of funds.</w:t>
      </w:r>
    </w:p>
    <w:p>
      <w:pPr>
        <w:spacing w:after="0" w:line="116" w:lineRule="exact"/>
        <w:rPr>
          <w:rFonts w:ascii="Arial" w:cs="Arial" w:eastAsia="Arial" w:hAnsi="Arial"/>
          <w:sz w:val="27"/>
          <w:szCs w:val="27"/>
          <w:color w:val="auto"/>
          <w:vertAlign w:val="superscript"/>
        </w:rPr>
      </w:pPr>
    </w:p>
    <w:p>
      <w:pPr>
        <w:ind w:left="520" w:hanging="514"/>
        <w:spacing w:after="0" w:line="180" w:lineRule="auto"/>
        <w:tabs>
          <w:tab w:leader="none" w:pos="520" w:val="left"/>
        </w:tabs>
        <w:numPr>
          <w:ilvl w:val="0"/>
          <w:numId w:val="53"/>
        </w:numPr>
        <w:rPr>
          <w:rFonts w:ascii="Arial" w:cs="Arial" w:eastAsia="Arial" w:hAnsi="Arial"/>
          <w:sz w:val="22"/>
          <w:szCs w:val="22"/>
          <w:color w:val="auto"/>
          <w:vertAlign w:val="superscript"/>
        </w:rPr>
      </w:pPr>
      <w:r>
        <w:rPr>
          <w:rFonts w:ascii="Arial" w:cs="Arial" w:eastAsia="Arial" w:hAnsi="Arial"/>
          <w:sz w:val="13"/>
          <w:szCs w:val="13"/>
          <w:color w:val="auto"/>
        </w:rPr>
        <w:t>Real estate primarily includes investments in real estate limited partnerships, concentrated in commercial real estate.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funding policy is to annually contribute amounts that are based upon a number of factors including the actuarial accrued liability, amounts that are deductible for income tax purposes, legal funding requirements and available cash flow. Schlumberger expects to contribute approximately $25 million to its postretirement benefit plans in 2019, subject to market and business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Benefits Other Than Pensions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Schlumberger provides certain healthcare benefits to certain former US employees who have retired. Effective April 1, 2015, Schlumberger changed the way it provides healthcare coverage to certain retirees who are age 65 and over. Under the amended plan, these retirees transferred to individual coverage under the Medicare Exchange. Schlumberger subsidizes the cost of the program by providing these retirees with a Health Reimbursement Account. The annual subsidy may be increased based on medical cost inflation, but it will not be increased by more than 5% in any given year.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9" w:name="page60"/>
    <w:bookmarkEnd w:id="59"/>
    <w:p>
      <w:pPr>
        <w:spacing w:after="0" w:line="265" w:lineRule="auto"/>
        <w:rPr>
          <w:sz w:val="20"/>
          <w:szCs w:val="20"/>
          <w:color w:val="auto"/>
        </w:rPr>
      </w:pPr>
      <w:r>
        <w:rPr>
          <w:rFonts w:ascii="Arial" w:cs="Arial" w:eastAsia="Arial" w:hAnsi="Arial"/>
          <w:sz w:val="18"/>
          <w:szCs w:val="18"/>
          <w:color w:val="auto"/>
        </w:rPr>
        <w:t>The actuarial assumptions used to determine the accumulated postretirement benefit obligation and net periodic benefit cost for the US postretirement medical plan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80" w:type="dxa"/>
            <w:vAlign w:val="bottom"/>
          </w:tcPr>
          <w:p>
            <w:pPr>
              <w:spacing w:after="0"/>
              <w:rPr>
                <w:sz w:val="19"/>
                <w:szCs w:val="19"/>
                <w:color w:val="auto"/>
              </w:rPr>
            </w:pPr>
          </w:p>
        </w:tc>
        <w:tc>
          <w:tcPr>
            <w:tcW w:w="264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Benefit Obligations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6"/>
          </w:tcPr>
          <w:p>
            <w:pPr>
              <w:jc w:val="center"/>
              <w:spacing w:after="0"/>
              <w:rPr>
                <w:sz w:val="20"/>
                <w:szCs w:val="20"/>
                <w:color w:val="auto"/>
              </w:rPr>
            </w:pPr>
            <w:r>
              <w:rPr>
                <w:rFonts w:ascii="Arial" w:cs="Arial" w:eastAsia="Arial" w:hAnsi="Arial"/>
                <w:sz w:val="18"/>
                <w:szCs w:val="18"/>
                <w:color w:val="auto"/>
                <w:w w:val="91"/>
              </w:rPr>
              <w:t>Net Periodic Benefit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19"/>
                <w:szCs w:val="19"/>
                <w:color w:val="auto"/>
              </w:rPr>
            </w:pPr>
          </w:p>
        </w:tc>
        <w:tc>
          <w:tcPr>
            <w:tcW w:w="26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At December 31,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5"/>
          </w:tcPr>
          <w:p>
            <w:pPr>
              <w:jc w:val="center"/>
              <w:ind w:right="52"/>
              <w:spacing w:after="0"/>
              <w:rPr>
                <w:sz w:val="20"/>
                <w:szCs w:val="20"/>
                <w:color w:val="auto"/>
              </w:rPr>
            </w:pPr>
            <w:r>
              <w:rPr>
                <w:rFonts w:ascii="Arial" w:cs="Arial" w:eastAsia="Arial" w:hAnsi="Arial"/>
                <w:sz w:val="18"/>
                <w:szCs w:val="18"/>
                <w:color w:val="auto"/>
                <w:w w:val="88"/>
              </w:rPr>
              <w:t>Cost for the Year</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59"/>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center"/>
              <w:ind w:left="152"/>
              <w:spacing w:after="0"/>
              <w:rPr>
                <w:sz w:val="20"/>
                <w:szCs w:val="20"/>
                <w:color w:val="auto"/>
              </w:rPr>
            </w:pPr>
            <w:r>
              <w:rPr>
                <w:rFonts w:ascii="Arial" w:cs="Arial" w:eastAsia="Arial" w:hAnsi="Arial"/>
                <w:sz w:val="18"/>
                <w:szCs w:val="18"/>
                <w:color w:val="auto"/>
                <w:w w:val="89"/>
              </w:rPr>
              <w:t>2017</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4.30%</w:t>
            </w: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3.70%</w:t>
            </w:r>
          </w:p>
        </w:tc>
        <w:tc>
          <w:tcPr>
            <w:tcW w:w="13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Return on plan assets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7.00%</w:t>
            </w: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7.00%</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Current medical cost trend rate</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7.00%</w:t>
            </w: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7.00%</w:t>
            </w:r>
          </w:p>
        </w:tc>
        <w:tc>
          <w:tcPr>
            <w:tcW w:w="13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2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Ultimate medical cost trend rate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5.00%</w:t>
            </w: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5.00%</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Year that the rate reaches the ultimate trend rate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2026</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9"/>
              </w:rPr>
              <w:t>2026</w:t>
            </w:r>
          </w:p>
        </w:tc>
        <w:tc>
          <w:tcPr>
            <w:tcW w:w="1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6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7620" w:type="dxa"/>
            <w:vAlign w:val="bottom"/>
            <w:gridSpan w:val="7"/>
          </w:tcPr>
          <w:p>
            <w:pPr>
              <w:spacing w:after="0"/>
              <w:rPr>
                <w:sz w:val="20"/>
                <w:szCs w:val="20"/>
                <w:color w:val="auto"/>
              </w:rPr>
            </w:pPr>
            <w:r>
              <w:rPr>
                <w:rFonts w:ascii="Arial" w:cs="Arial" w:eastAsia="Arial" w:hAnsi="Arial"/>
                <w:sz w:val="18"/>
                <w:szCs w:val="18"/>
                <w:color w:val="auto"/>
                <w:w w:val="91"/>
              </w:rPr>
              <w:t>The net periodic benefit credit for the US postretirement medical plan included the following components: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422"/>
        </w:trPr>
        <w:tc>
          <w:tcPr>
            <w:tcW w:w="4980" w:type="dxa"/>
            <w:vAlign w:val="bottom"/>
            <w:tcBorders>
              <w:bottom w:val="single" w:sz="8" w:color="CFF0FC"/>
            </w:tcBorders>
          </w:tcPr>
          <w:p>
            <w:pPr>
              <w:spacing w:after="0"/>
              <w:rPr>
                <w:sz w:val="24"/>
                <w:szCs w:val="24"/>
                <w:color w:val="auto"/>
              </w:rPr>
            </w:pPr>
          </w:p>
        </w:tc>
        <w:tc>
          <w:tcPr>
            <w:tcW w:w="102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38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w w:val="84"/>
              </w:rPr>
              <w:t>2017</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59"/>
              <w:spacing w:after="0"/>
              <w:rPr>
                <w:sz w:val="20"/>
                <w:szCs w:val="20"/>
                <w:color w:val="auto"/>
              </w:rPr>
            </w:pPr>
            <w:r>
              <w:rPr>
                <w:rFonts w:ascii="Arial" w:cs="Arial" w:eastAsia="Arial" w:hAnsi="Arial"/>
                <w:sz w:val="15"/>
                <w:szCs w:val="15"/>
                <w:b w:val="1"/>
                <w:bCs w:val="1"/>
                <w:color w:val="auto"/>
                <w:w w:val="71"/>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23"/>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4"/>
          </w:tcPr>
          <w:p>
            <w:pPr>
              <w:jc w:val="right"/>
              <w:ind w:right="123"/>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vMerge w:val="restart"/>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vMerge w:val="continue"/>
            <w:shd w:val="clear" w:color="auto" w:fill="CFF0FC"/>
          </w:tcPr>
          <w:p>
            <w:pPr>
              <w:spacing w:after="0"/>
              <w:rPr>
                <w:sz w:val="19"/>
                <w:szCs w:val="19"/>
                <w:color w:val="auto"/>
              </w:rPr>
            </w:pPr>
          </w:p>
        </w:tc>
        <w:tc>
          <w:tcPr>
            <w:tcW w:w="620" w:type="dxa"/>
            <w:vAlign w:val="bottom"/>
            <w:shd w:val="clear" w:color="auto" w:fill="CFF0FC"/>
          </w:tcPr>
          <w:p>
            <w:pPr>
              <w:jc w:val="right"/>
              <w:ind w:right="459"/>
              <w:spacing w:after="0"/>
              <w:rPr>
                <w:sz w:val="20"/>
                <w:szCs w:val="20"/>
                <w:color w:val="auto"/>
              </w:rPr>
            </w:pPr>
            <w:r>
              <w:rPr>
                <w:rFonts w:ascii="Arial" w:cs="Arial" w:eastAsia="Arial" w:hAnsi="Arial"/>
                <w:sz w:val="15"/>
                <w:szCs w:val="15"/>
                <w:b w:val="1"/>
                <w:bCs w:val="1"/>
                <w:color w:val="auto"/>
                <w:w w:val="71"/>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vMerge w:val="continue"/>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23"/>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gridSpan w:val="4"/>
          </w:tcPr>
          <w:p>
            <w:pPr>
              <w:spacing w:after="0" w:line="20" w:lineRule="exact"/>
              <w:rPr>
                <w:sz w:val="1"/>
                <w:szCs w:val="1"/>
                <w:color w:val="auto"/>
              </w:rPr>
            </w:pPr>
          </w:p>
        </w:tc>
        <w:tc>
          <w:tcPr>
            <w:tcW w:w="112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8180" w:type="dxa"/>
            <w:vAlign w:val="bottom"/>
            <w:gridSpan w:val="10"/>
          </w:tcPr>
          <w:p>
            <w:pPr>
              <w:spacing w:after="0"/>
              <w:rPr>
                <w:sz w:val="20"/>
                <w:szCs w:val="20"/>
                <w:color w:val="auto"/>
              </w:rPr>
            </w:pPr>
            <w:r>
              <w:rPr>
                <w:rFonts w:ascii="Arial" w:cs="Arial" w:eastAsia="Arial" w:hAnsi="Arial"/>
                <w:sz w:val="18"/>
                <w:szCs w:val="18"/>
                <w:color w:val="auto"/>
                <w:w w:val="90"/>
              </w:rPr>
              <w:t>The changes in the accumulated postretirement benefit obligation, plan assets and funded status were as follows: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422"/>
        </w:trPr>
        <w:tc>
          <w:tcPr>
            <w:tcW w:w="4980" w:type="dxa"/>
            <w:vAlign w:val="bottom"/>
            <w:tcBorders>
              <w:bottom w:val="single" w:sz="8" w:color="CFF0FC"/>
            </w:tcBorders>
          </w:tcPr>
          <w:p>
            <w:pPr>
              <w:spacing w:after="0"/>
              <w:rPr>
                <w:sz w:val="24"/>
                <w:szCs w:val="24"/>
                <w:color w:val="auto"/>
              </w:rPr>
            </w:pPr>
          </w:p>
        </w:tc>
        <w:tc>
          <w:tcPr>
            <w:tcW w:w="102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380" w:type="dxa"/>
            <w:vAlign w:val="bottom"/>
            <w:tcBorders>
              <w:bottom w:val="single" w:sz="8" w:color="CFF0FC"/>
            </w:tcBorders>
          </w:tcPr>
          <w:p>
            <w:pPr>
              <w:spacing w:after="0"/>
              <w:rPr>
                <w:sz w:val="24"/>
                <w:szCs w:val="24"/>
                <w:color w:val="auto"/>
              </w:rPr>
            </w:pPr>
          </w:p>
        </w:tc>
        <w:tc>
          <w:tcPr>
            <w:tcW w:w="6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Projected Benefit Obligations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1,213</w:t>
            </w:r>
          </w:p>
        </w:tc>
        <w:tc>
          <w:tcPr>
            <w:tcW w:w="2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Contribution by plan participants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Benefit obligation at end of year</w:t>
            </w: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1,106</w:t>
            </w:r>
          </w:p>
        </w:tc>
        <w:tc>
          <w:tcPr>
            <w:tcW w:w="2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Plan Assets</w:t>
            </w:r>
          </w:p>
        </w:tc>
        <w:tc>
          <w:tcPr>
            <w:tcW w:w="10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Plan assets at fair value at beginning of year</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1,094</w:t>
            </w:r>
          </w:p>
        </w:tc>
        <w:tc>
          <w:tcPr>
            <w:tcW w:w="2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Actual return on plan assets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Company contributions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Contributions by plan participants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Benefits paid</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Plan assets at fair value at end of year</w:t>
            </w:r>
          </w:p>
        </w:tc>
        <w:tc>
          <w:tcPr>
            <w:tcW w:w="10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8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1,094</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Unfunded Liability</w:t>
            </w: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980" w:type="dxa"/>
            <w:vAlign w:val="bottom"/>
            <w:vMerge w:val="continue"/>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w:t>
            </w:r>
          </w:p>
        </w:tc>
        <w:tc>
          <w:tcPr>
            <w:tcW w:w="280" w:type="dxa"/>
            <w:vAlign w:val="bottom"/>
            <w:vMerge w:val="continue"/>
          </w:tcPr>
          <w:p>
            <w:pPr>
              <w:spacing w:after="0"/>
              <w:rPr>
                <w:sz w:val="22"/>
                <w:szCs w:val="22"/>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2"/>
                <w:szCs w:val="22"/>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5"/>
        </w:trPr>
        <w:tc>
          <w:tcPr>
            <w:tcW w:w="498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b w:val="1"/>
                <w:bCs w:val="1"/>
                <w:i w:val="1"/>
                <w:iCs w:val="1"/>
                <w:color w:val="auto"/>
                <w:w w:val="88"/>
              </w:rPr>
              <w:t>Amounts Recognized in Accumulated Other Comprehensive Loss</w:t>
            </w:r>
          </w:p>
        </w:tc>
        <w:tc>
          <w:tcPr>
            <w:tcW w:w="10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Actuarial losses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credit</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(186)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c>
          <w:tcPr>
            <w:tcW w:w="280" w:type="dxa"/>
            <w:vAlign w:val="bottom"/>
            <w:vMerge w:val="continue"/>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unfunded liability is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assets of the US postretirement medical plan are invested 57% in equity securities and 43% in debt securities at December 31, 2018. The fair value of these assets was primarily determined based on Level Two valuation techniques.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expected benefits to be paid under the US and International pension plans as well as the postretirement medical plan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21"/>
        </w:trPr>
        <w:tc>
          <w:tcPr>
            <w:tcW w:w="37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8"/>
                <w:szCs w:val="18"/>
                <w:color w:val="auto"/>
                <w:w w:val="90"/>
              </w:rPr>
              <w:t>Pension Benefits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Postretirement</w:t>
            </w:r>
          </w:p>
        </w:tc>
      </w:tr>
      <w:tr>
        <w:trPr>
          <w:trHeight w:val="219"/>
        </w:trPr>
        <w:tc>
          <w:tcPr>
            <w:tcW w:w="3740" w:type="dxa"/>
            <w:vAlign w:val="bottom"/>
            <w:tcBorders>
              <w:bottom w:val="single" w:sz="8" w:color="CFF0FC"/>
            </w:tcBorders>
          </w:tcPr>
          <w:p>
            <w:pPr>
              <w:spacing w:after="0"/>
              <w:rPr>
                <w:sz w:val="19"/>
                <w:szCs w:val="19"/>
                <w:color w:val="auto"/>
              </w:rPr>
            </w:pPr>
          </w:p>
        </w:tc>
        <w:tc>
          <w:tcPr>
            <w:tcW w:w="29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4"/>
              </w:rPr>
              <w:t>International</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7"/>
              </w:rPr>
              <w:t>Medical Plan</w:t>
            </w:r>
          </w:p>
        </w:tc>
        <w:tc>
          <w:tcPr>
            <w:tcW w:w="100" w:type="dxa"/>
            <w:vAlign w:val="bottom"/>
            <w:tcBorders>
              <w:bottom w:val="single" w:sz="8" w:color="CFF0FC"/>
            </w:tcBorders>
          </w:tcPr>
          <w:p>
            <w:pPr>
              <w:spacing w:after="0"/>
              <w:rPr>
                <w:sz w:val="19"/>
                <w:szCs w:val="19"/>
                <w:color w:val="auto"/>
              </w:rPr>
            </w:pPr>
          </w:p>
        </w:tc>
      </w:tr>
      <w:tr>
        <w:trPr>
          <w:trHeight w:val="21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800" w:type="dxa"/>
            <w:vAlign w:val="bottom"/>
            <w:gridSpan w:val="2"/>
            <w:shd w:val="clear" w:color="auto" w:fill="CFF0FC"/>
          </w:tcPr>
          <w:p>
            <w:pPr>
              <w:jc w:val="right"/>
              <w:ind w:right="6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25"/>
        </w:trPr>
        <w:tc>
          <w:tcPr>
            <w:tcW w:w="3740" w:type="dxa"/>
            <w:vAlign w:val="bottom"/>
          </w:tcPr>
          <w:p>
            <w:pPr>
              <w:spacing w:after="0"/>
              <w:rPr>
                <w:sz w:val="20"/>
                <w:szCs w:val="20"/>
                <w:color w:val="auto"/>
              </w:rPr>
            </w:pPr>
            <w:r>
              <w:rPr>
                <w:rFonts w:ascii="Arial" w:cs="Arial" w:eastAsia="Arial" w:hAnsi="Arial"/>
                <w:sz w:val="18"/>
                <w:szCs w:val="18"/>
                <w:color w:val="auto"/>
              </w:rPr>
              <w:t>2020</w:t>
            </w:r>
          </w:p>
        </w:tc>
        <w:tc>
          <w:tcPr>
            <w:tcW w:w="38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2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800" w:type="dxa"/>
            <w:vAlign w:val="bottom"/>
            <w:gridSpan w:val="2"/>
            <w:shd w:val="clear" w:color="auto" w:fill="CFF0FC"/>
          </w:tcPr>
          <w:p>
            <w:pPr>
              <w:jc w:val="right"/>
              <w:ind w:right="6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5"/>
        </w:trPr>
        <w:tc>
          <w:tcPr>
            <w:tcW w:w="3740" w:type="dxa"/>
            <w:vAlign w:val="bottom"/>
          </w:tcPr>
          <w:p>
            <w:pPr>
              <w:spacing w:after="0"/>
              <w:rPr>
                <w:sz w:val="20"/>
                <w:szCs w:val="20"/>
                <w:color w:val="auto"/>
              </w:rPr>
            </w:pPr>
            <w:r>
              <w:rPr>
                <w:rFonts w:ascii="Arial" w:cs="Arial" w:eastAsia="Arial" w:hAnsi="Arial"/>
                <w:sz w:val="18"/>
                <w:szCs w:val="18"/>
                <w:color w:val="auto"/>
              </w:rPr>
              <w:t>2022</w:t>
            </w:r>
          </w:p>
        </w:tc>
        <w:tc>
          <w:tcPr>
            <w:tcW w:w="38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2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800" w:type="dxa"/>
            <w:vAlign w:val="bottom"/>
            <w:gridSpan w:val="2"/>
            <w:shd w:val="clear" w:color="auto" w:fill="CFF0FC"/>
          </w:tcPr>
          <w:p>
            <w:pPr>
              <w:jc w:val="right"/>
              <w:ind w:right="6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r>
      <w:tr>
        <w:trPr>
          <w:trHeight w:val="225"/>
        </w:trPr>
        <w:tc>
          <w:tcPr>
            <w:tcW w:w="3740" w:type="dxa"/>
            <w:vAlign w:val="bottom"/>
          </w:tcPr>
          <w:p>
            <w:pPr>
              <w:spacing w:after="0"/>
              <w:rPr>
                <w:sz w:val="20"/>
                <w:szCs w:val="20"/>
                <w:color w:val="auto"/>
              </w:rPr>
            </w:pPr>
            <w:r>
              <w:rPr>
                <w:rFonts w:ascii="Arial" w:cs="Arial" w:eastAsia="Arial" w:hAnsi="Arial"/>
                <w:sz w:val="18"/>
                <w:szCs w:val="18"/>
                <w:color w:val="auto"/>
              </w:rPr>
              <w:t>2024-2028</w:t>
            </w:r>
          </w:p>
        </w:tc>
        <w:tc>
          <w:tcPr>
            <w:tcW w:w="38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1,240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1,980</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53" w:lineRule="exact"/>
        <w:rPr>
          <w:sz w:val="20"/>
          <w:szCs w:val="20"/>
          <w:color w:val="auto"/>
        </w:rPr>
      </w:pPr>
    </w:p>
    <w:p>
      <w:pPr>
        <w:jc w:val="both"/>
        <w:ind w:right="40"/>
        <w:spacing w:after="0" w:line="366" w:lineRule="auto"/>
        <w:rPr>
          <w:sz w:val="20"/>
          <w:szCs w:val="20"/>
          <w:color w:val="auto"/>
        </w:rPr>
      </w:pPr>
      <w:r>
        <w:rPr>
          <w:rFonts w:ascii="Arial" w:cs="Arial" w:eastAsia="Arial" w:hAnsi="Arial"/>
          <w:sz w:val="15"/>
          <w:szCs w:val="15"/>
          <w:color w:val="auto"/>
        </w:rPr>
        <w:t>In addition to providing defined pension benefits and a postretirement medical plan, Schlumberger has other deferred benefit programs, primarily profit sharing and defined contribution pension plans. Expenses for these programs were $435 million, $413 million and $445 million in 2018, 2017 and 2016, respectively.</w:t>
      </w:r>
    </w:p>
    <w:p>
      <w:pPr>
        <w:spacing w:after="0" w:line="211" w:lineRule="exact"/>
        <w:rPr>
          <w:sz w:val="20"/>
          <w:szCs w:val="20"/>
          <w:color w:val="auto"/>
        </w:rPr>
      </w:pPr>
    </w:p>
    <w:p>
      <w:pPr>
        <w:ind w:left="280" w:hanging="274"/>
        <w:spacing w:after="0"/>
        <w:tabs>
          <w:tab w:leader="none" w:pos="2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Supplementary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paid (refunded) for interest and income taxes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4980" w:type="dxa"/>
            <w:vAlign w:val="bottom"/>
            <w:tcBorders>
              <w:bottom w:val="single" w:sz="8" w:color="CFF0FC"/>
            </w:tcBorders>
          </w:tcPr>
          <w:p>
            <w:pPr>
              <w:spacing w:after="0"/>
              <w:rPr>
                <w:sz w:val="24"/>
                <w:szCs w:val="24"/>
                <w:color w:val="auto"/>
              </w:rPr>
            </w:pPr>
          </w:p>
        </w:tc>
        <w:tc>
          <w:tcPr>
            <w:tcW w:w="172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7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8"/>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Income tax</w:t>
            </w:r>
          </w:p>
        </w:tc>
        <w:tc>
          <w:tcPr>
            <w:tcW w:w="2680" w:type="dxa"/>
            <w:vAlign w:val="bottom"/>
            <w:gridSpan w:val="2"/>
          </w:tcPr>
          <w:p>
            <w:pPr>
              <w:jc w:val="right"/>
              <w:ind w:right="798"/>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980" w:type="dxa"/>
            <w:vAlign w:val="bottom"/>
          </w:tcPr>
          <w:p>
            <w:pPr>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980" w:type="dxa"/>
            <w:vAlign w:val="bottom"/>
            <w:tcBorders>
              <w:bottom w:val="single" w:sz="8" w:color="CFF0FC"/>
            </w:tcBorders>
          </w:tcPr>
          <w:p>
            <w:pPr>
              <w:spacing w:after="0"/>
              <w:rPr>
                <w:sz w:val="24"/>
                <w:szCs w:val="24"/>
                <w:color w:val="auto"/>
              </w:rPr>
            </w:pPr>
          </w:p>
        </w:tc>
        <w:tc>
          <w:tcPr>
            <w:tcW w:w="172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7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8"/>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of equity method investments</w:t>
            </w:r>
          </w:p>
        </w:tc>
        <w:tc>
          <w:tcPr>
            <w:tcW w:w="1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8"/>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 xml:space="preserve">The change in </w:t>
            </w:r>
            <w:r>
              <w:rPr>
                <w:rFonts w:ascii="Arial" w:cs="Arial" w:eastAsia="Arial" w:hAnsi="Arial"/>
                <w:sz w:val="18"/>
                <w:szCs w:val="18"/>
                <w:i w:val="1"/>
                <w:iCs w:val="1"/>
                <w:color w:val="auto"/>
              </w:rPr>
              <w:t>Allowance for doubtful accounts</w:t>
            </w:r>
            <w:r>
              <w:rPr>
                <w:rFonts w:ascii="Arial" w:cs="Arial" w:eastAsia="Arial" w:hAnsi="Arial"/>
                <w:sz w:val="18"/>
                <w:szCs w:val="18"/>
                <w:color w:val="auto"/>
              </w:rPr>
              <w:t xml:space="preserve"> is as follows:</w:t>
            </w:r>
          </w:p>
        </w:tc>
        <w:tc>
          <w:tcPr>
            <w:tcW w:w="17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9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980" w:type="dxa"/>
            <w:vAlign w:val="bottom"/>
            <w:tcBorders>
              <w:bottom w:val="single" w:sz="8" w:color="CFF0FC"/>
            </w:tcBorders>
          </w:tcPr>
          <w:p>
            <w:pPr>
              <w:spacing w:after="0"/>
              <w:rPr>
                <w:sz w:val="24"/>
                <w:szCs w:val="24"/>
                <w:color w:val="auto"/>
              </w:rPr>
            </w:pPr>
          </w:p>
        </w:tc>
        <w:tc>
          <w:tcPr>
            <w:tcW w:w="172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7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98"/>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spacing w:after="0"/>
              <w:rPr>
                <w:sz w:val="20"/>
                <w:szCs w:val="20"/>
                <w:color w:val="auto"/>
              </w:rPr>
            </w:pPr>
            <w:r>
              <w:rPr>
                <w:rFonts w:ascii="Arial" w:cs="Arial" w:eastAsia="Arial" w:hAnsi="Arial"/>
                <w:sz w:val="18"/>
                <w:szCs w:val="18"/>
                <w:color w:val="auto"/>
              </w:rPr>
              <w:t>Additions</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Amounts written off</w:t>
            </w:r>
          </w:p>
        </w:tc>
        <w:tc>
          <w:tcPr>
            <w:tcW w:w="1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Balance at end of year</w:t>
            </w:r>
          </w:p>
        </w:tc>
        <w:tc>
          <w:tcPr>
            <w:tcW w:w="17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8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960" w:type="dxa"/>
            <w:vAlign w:val="bottom"/>
          </w:tcPr>
          <w:p>
            <w:pPr>
              <w:jc w:val="right"/>
              <w:ind w:right="79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720" w:type="dxa"/>
            <w:vAlign w:val="bottom"/>
            <w:vMerge w:val="restart"/>
          </w:tcPr>
          <w:p>
            <w:pPr>
              <w:jc w:val="right"/>
              <w:ind w:right="812"/>
              <w:spacing w:after="0"/>
              <w:rPr>
                <w:sz w:val="20"/>
                <w:szCs w:val="20"/>
                <w:color w:val="auto"/>
              </w:rPr>
            </w:pPr>
            <w:r>
              <w:rPr>
                <w:rFonts w:ascii="Arial" w:cs="Arial" w:eastAsia="Arial" w:hAnsi="Arial"/>
                <w:sz w:val="18"/>
                <w:szCs w:val="18"/>
                <w:color w:val="auto"/>
              </w:rPr>
              <w:t>61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9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98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61" w:name="page62"/>
    <w:bookmarkEnd w:id="61"/>
    <w:p>
      <w:pPr>
        <w:ind w:right="480"/>
        <w:spacing w:after="0" w:line="295" w:lineRule="auto"/>
        <w:rPr>
          <w:sz w:val="20"/>
          <w:szCs w:val="20"/>
          <w:color w:val="auto"/>
        </w:rPr>
      </w:pPr>
      <w:r>
        <w:rPr>
          <w:rFonts w:ascii="Arial" w:cs="Arial" w:eastAsia="Arial" w:hAnsi="Arial"/>
          <w:sz w:val="17"/>
          <w:szCs w:val="17"/>
          <w:color w:val="auto"/>
        </w:rPr>
        <w:t xml:space="preserve">Revenue in excess of billings related to contracts where revenue is recognized over time was $0.2 billion and $0.3 billion at December 31, 2018 and 2017, respectively. Such amounts are included within </w:t>
      </w:r>
      <w:r>
        <w:rPr>
          <w:rFonts w:ascii="Arial" w:cs="Arial" w:eastAsia="Arial" w:hAnsi="Arial"/>
          <w:sz w:val="17"/>
          <w:szCs w:val="17"/>
          <w:i w:val="1"/>
          <w:iCs w:val="1"/>
          <w:color w:val="auto"/>
        </w:rPr>
        <w:t>Receivables less allowance for doubtful accounts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422"/>
        </w:trPr>
        <w:tc>
          <w:tcPr>
            <w:tcW w:w="782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Trade</w:t>
            </w:r>
          </w:p>
        </w:tc>
        <w:tc>
          <w:tcPr>
            <w:tcW w:w="1040" w:type="dxa"/>
            <w:vAlign w:val="bottom"/>
            <w:shd w:val="clear" w:color="auto" w:fill="CFF0FC"/>
          </w:tcPr>
          <w:p>
            <w:pPr>
              <w:jc w:val="right"/>
              <w:ind w:right="852"/>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4,709</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Payroll, vacation and employee benefits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1,244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Billings and cash collections in excess of revenue</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3,393</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2"/>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10,223</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10,036</w:t>
            </w:r>
          </w:p>
        </w:tc>
        <w:tc>
          <w:tcPr>
            <w:tcW w:w="100" w:type="dxa"/>
            <w:vAlign w:val="bottom"/>
            <w:shd w:val="clear" w:color="auto" w:fill="CFF0FC"/>
          </w:tcPr>
          <w:p>
            <w:pPr>
              <w:spacing w:after="0"/>
              <w:rPr>
                <w:sz w:val="19"/>
                <w:szCs w:val="19"/>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6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Schlumberger management is responsible for establishing and maintaining adequate internal control over financial reporting as defined in Rule 13a–15(f) of the Securities Exchange Act of 1934, as amended (the “Exchange Act”).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Schlumberger management assessed the effectiveness of its internal control over financial reporting as of December 31, 2018. In making this assessment, it used the criteria set forth in 2013 by the Committee of Sponsoring Organizations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this assessment Schlumberger’s management has concluded that, as of December 31, 2018, its internal control over financial reporting is effective based on those criteria.</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effectiveness of Schlumberger’s internal control over financial reporting as of December 31, 2018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have audited the accompanying consolidated balance sheets of Schlumberger Limited and its subsidiaries (“the Company”) as of December 31, 2018 and 2017, and the related consolidated statements of income (loss), comprehensive income (loss), stockholders’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their operations and their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1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8288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January 23,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19"/>
          </w:cols>
          <w:pgMar w:left="240" w:top="366"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Quarterly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Schlumberger’s results by quarter for the years ended December 31, 2018 and 2017.</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10"/>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35"/>
        </w:trPr>
        <w:tc>
          <w:tcPr>
            <w:tcW w:w="3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Net Income (Loss)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right"/>
              <w:ind w:right="440"/>
              <w:spacing w:after="0"/>
              <w:rPr>
                <w:sz w:val="20"/>
                <w:szCs w:val="20"/>
                <w:color w:val="auto"/>
              </w:rPr>
            </w:pPr>
            <w:r>
              <w:rPr>
                <w:rFonts w:ascii="Arial" w:cs="Arial" w:eastAsia="Arial" w:hAnsi="Arial"/>
                <w:sz w:val="18"/>
                <w:szCs w:val="18"/>
                <w:color w:val="auto"/>
                <w:w w:val="93"/>
              </w:rPr>
              <w:t>Earnings per Share of</w:t>
            </w:r>
          </w:p>
        </w:tc>
      </w:tr>
      <w:tr>
        <w:trPr>
          <w:trHeight w:val="239"/>
        </w:trPr>
        <w:tc>
          <w:tcPr>
            <w:tcW w:w="3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Attributable to</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8"/>
                <w:szCs w:val="18"/>
                <w:color w:val="auto"/>
              </w:rPr>
              <w:t xml:space="preserve">Schlumberger </w:t>
            </w:r>
            <w:r>
              <w:rPr>
                <w:rFonts w:ascii="Arial" w:cs="Arial" w:eastAsia="Arial" w:hAnsi="Arial"/>
                <w:sz w:val="15"/>
                <w:szCs w:val="15"/>
                <w:color w:val="auto"/>
              </w:rPr>
              <w:t>(2)</w:t>
            </w:r>
          </w:p>
        </w:tc>
        <w:tc>
          <w:tcPr>
            <w:tcW w:w="80" w:type="dxa"/>
            <w:vAlign w:val="bottom"/>
          </w:tcPr>
          <w:p>
            <w:pPr>
              <w:spacing w:after="0"/>
              <w:rPr>
                <w:sz w:val="20"/>
                <w:szCs w:val="20"/>
                <w:color w:val="auto"/>
              </w:rPr>
            </w:pPr>
          </w:p>
        </w:tc>
      </w:tr>
      <w:tr>
        <w:trPr>
          <w:trHeight w:val="233"/>
        </w:trPr>
        <w:tc>
          <w:tcPr>
            <w:tcW w:w="3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 xml:space="preserve">Revenue </w:t>
            </w:r>
            <w:r>
              <w:rPr>
                <w:rFonts w:ascii="Arial" w:cs="Arial" w:eastAsia="Arial" w:hAnsi="Arial"/>
                <w:sz w:val="15"/>
                <w:szCs w:val="15"/>
                <w:color w:val="auto"/>
                <w:w w:val="92"/>
              </w:rPr>
              <w:t>(2)</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5"/>
              </w:rPr>
              <w:t xml:space="preserve">Margin </w:t>
            </w:r>
            <w:r>
              <w:rPr>
                <w:rFonts w:ascii="Arial" w:cs="Arial" w:eastAsia="Arial" w:hAnsi="Arial"/>
                <w:sz w:val="15"/>
                <w:szCs w:val="15"/>
                <w:color w:val="auto"/>
                <w:w w:val="95"/>
              </w:rPr>
              <w:t>(1),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 xml:space="preserve">Schlumberger </w:t>
            </w:r>
            <w:r>
              <w:rPr>
                <w:rFonts w:ascii="Arial" w:cs="Arial" w:eastAsia="Arial" w:hAnsi="Arial"/>
                <w:sz w:val="15"/>
                <w:szCs w:val="15"/>
                <w:color w:val="auto"/>
                <w:w w:val="88"/>
              </w:rPr>
              <w:t>(2)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Diluted</w:t>
            </w:r>
          </w:p>
        </w:tc>
      </w:tr>
      <w:tr>
        <w:trPr>
          <w:trHeight w:val="219"/>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Quarters 2018</w:t>
            </w:r>
          </w:p>
        </w:tc>
        <w:tc>
          <w:tcPr>
            <w:tcW w:w="19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6"/>
        </w:trPr>
        <w:tc>
          <w:tcPr>
            <w:tcW w:w="3060" w:type="dxa"/>
            <w:vAlign w:val="bottom"/>
          </w:tcPr>
          <w:p>
            <w:pPr>
              <w:ind w:left="240"/>
              <w:spacing w:after="0"/>
              <w:rPr>
                <w:sz w:val="20"/>
                <w:szCs w:val="20"/>
                <w:color w:val="auto"/>
              </w:rPr>
            </w:pPr>
            <w:r>
              <w:rPr>
                <w:rFonts w:ascii="Arial" w:cs="Arial" w:eastAsia="Arial" w:hAnsi="Arial"/>
                <w:sz w:val="18"/>
                <w:szCs w:val="18"/>
                <w:b w:val="1"/>
                <w:bCs w:val="1"/>
                <w:color w:val="auto"/>
              </w:rPr>
              <w:t>First</w:t>
            </w:r>
          </w:p>
        </w:tc>
        <w:tc>
          <w:tcPr>
            <w:tcW w:w="2260" w:type="dxa"/>
            <w:vAlign w:val="bottom"/>
            <w:gridSpan w:val="2"/>
          </w:tcPr>
          <w:p>
            <w:pPr>
              <w:jc w:val="right"/>
              <w:ind w:right="117"/>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7,829</w:t>
            </w:r>
          </w:p>
        </w:tc>
        <w:tc>
          <w:tcPr>
            <w:tcW w:w="38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1,027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120" w:type="dxa"/>
            <w:vAlign w:val="bottom"/>
          </w:tcPr>
          <w:p>
            <w:pPr>
              <w:spacing w:after="0"/>
              <w:rPr>
                <w:sz w:val="19"/>
                <w:szCs w:val="19"/>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160" w:type="dxa"/>
            <w:vAlign w:val="bottom"/>
          </w:tcPr>
          <w:p>
            <w:pPr>
              <w:spacing w:after="0"/>
              <w:rPr>
                <w:sz w:val="19"/>
                <w:szCs w:val="19"/>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80" w:type="dxa"/>
            <w:vAlign w:val="bottom"/>
          </w:tcPr>
          <w:p>
            <w:pPr>
              <w:spacing w:after="0"/>
              <w:rPr>
                <w:sz w:val="19"/>
                <w:szCs w:val="19"/>
                <w:color w:val="auto"/>
              </w:rPr>
            </w:pPr>
          </w:p>
        </w:tc>
      </w:tr>
      <w:tr>
        <w:trPr>
          <w:trHeight w:val="226"/>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5"/>
                <w:szCs w:val="15"/>
                <w:b w:val="1"/>
                <w:bCs w:val="1"/>
                <w:color w:val="auto"/>
              </w:rPr>
              <w:t>(3)</w:t>
            </w:r>
          </w:p>
        </w:tc>
        <w:tc>
          <w:tcPr>
            <w:tcW w:w="1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8,303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0.31</w:t>
            </w:r>
          </w:p>
        </w:tc>
        <w:tc>
          <w:tcPr>
            <w:tcW w:w="80" w:type="dxa"/>
            <w:vAlign w:val="bottom"/>
            <w:shd w:val="clear" w:color="auto" w:fill="CFF0FC"/>
          </w:tcPr>
          <w:p>
            <w:pPr>
              <w:spacing w:after="0"/>
              <w:rPr>
                <w:sz w:val="19"/>
                <w:szCs w:val="19"/>
                <w:color w:val="auto"/>
              </w:rPr>
            </w:pPr>
          </w:p>
        </w:tc>
      </w:tr>
      <w:tr>
        <w:trPr>
          <w:trHeight w:val="226"/>
        </w:trPr>
        <w:tc>
          <w:tcPr>
            <w:tcW w:w="3060" w:type="dxa"/>
            <w:vAlign w:val="bottom"/>
          </w:tcPr>
          <w:p>
            <w:pPr>
              <w:ind w:left="240"/>
              <w:spacing w:after="0"/>
              <w:rPr>
                <w:sz w:val="20"/>
                <w:szCs w:val="20"/>
                <w:color w:val="auto"/>
              </w:rPr>
            </w:pPr>
            <w:r>
              <w:rPr>
                <w:rFonts w:ascii="Arial" w:cs="Arial" w:eastAsia="Arial" w:hAnsi="Arial"/>
                <w:sz w:val="18"/>
                <w:szCs w:val="18"/>
                <w:b w:val="1"/>
                <w:bCs w:val="1"/>
                <w:color w:val="auto"/>
              </w:rPr>
              <w:t>Third</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8,504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1,180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80" w:type="dxa"/>
            <w:vAlign w:val="bottom"/>
          </w:tcPr>
          <w:p>
            <w:pPr>
              <w:spacing w:after="0"/>
              <w:rPr>
                <w:sz w:val="19"/>
                <w:szCs w:val="19"/>
                <w:color w:val="auto"/>
              </w:rPr>
            </w:pPr>
          </w:p>
        </w:tc>
      </w:tr>
      <w:tr>
        <w:trPr>
          <w:trHeight w:val="226"/>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5"/>
                <w:szCs w:val="15"/>
                <w:b w:val="1"/>
                <w:bCs w:val="1"/>
                <w:color w:val="auto"/>
              </w:rPr>
              <w:t>(4)</w:t>
            </w:r>
          </w:p>
        </w:tc>
        <w:tc>
          <w:tcPr>
            <w:tcW w:w="1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8,180</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1,008</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0.39</w:t>
            </w:r>
          </w:p>
        </w:tc>
        <w:tc>
          <w:tcPr>
            <w:tcW w:w="80" w:type="dxa"/>
            <w:vAlign w:val="bottom"/>
            <w:shd w:val="clear" w:color="auto" w:fill="CFF0FC"/>
          </w:tcPr>
          <w:p>
            <w:pPr>
              <w:spacing w:after="0"/>
              <w:rPr>
                <w:sz w:val="19"/>
                <w:szCs w:val="19"/>
                <w:color w:val="auto"/>
              </w:rPr>
            </w:pPr>
          </w:p>
        </w:tc>
      </w:tr>
      <w:tr>
        <w:trPr>
          <w:trHeight w:val="259"/>
        </w:trPr>
        <w:tc>
          <w:tcPr>
            <w:tcW w:w="3060" w:type="dxa"/>
            <w:vAlign w:val="bottom"/>
            <w:tcBorders>
              <w:bottom w:val="single" w:sz="8" w:color="CFF0FC"/>
            </w:tcBorders>
          </w:tcPr>
          <w:p>
            <w:pPr>
              <w:spacing w:after="0"/>
              <w:rPr>
                <w:sz w:val="22"/>
                <w:szCs w:val="22"/>
                <w:color w:val="auto"/>
              </w:rPr>
            </w:pPr>
          </w:p>
        </w:tc>
        <w:tc>
          <w:tcPr>
            <w:tcW w:w="19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32,815</w:t>
            </w: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4,337</w:t>
            </w: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2,138</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80" w:type="dxa"/>
            <w:vAlign w:val="bottom"/>
            <w:tcBorders>
              <w:bottom w:val="single" w:sz="8" w:color="CFF0FC"/>
            </w:tcBorders>
          </w:tcPr>
          <w:p>
            <w:pPr>
              <w:spacing w:after="0"/>
              <w:rPr>
                <w:sz w:val="22"/>
                <w:szCs w:val="22"/>
                <w:color w:val="auto"/>
              </w:rPr>
            </w:pPr>
          </w:p>
        </w:tc>
      </w:tr>
      <w:tr>
        <w:trPr>
          <w:trHeight w:val="205"/>
        </w:trPr>
        <w:tc>
          <w:tcPr>
            <w:tcW w:w="3060" w:type="dxa"/>
            <w:vAlign w:val="bottom"/>
            <w:shd w:val="clear" w:color="auto" w:fill="CFF0FC"/>
          </w:tcPr>
          <w:p>
            <w:pPr>
              <w:spacing w:after="0" w:line="204" w:lineRule="exact"/>
              <w:rPr>
                <w:sz w:val="20"/>
                <w:szCs w:val="20"/>
                <w:color w:val="auto"/>
              </w:rPr>
            </w:pPr>
            <w:r>
              <w:rPr>
                <w:rFonts w:ascii="Arial" w:cs="Arial" w:eastAsia="Arial" w:hAnsi="Arial"/>
                <w:sz w:val="18"/>
                <w:szCs w:val="18"/>
                <w:color w:val="auto"/>
              </w:rPr>
              <w:t>Quarters 2017</w:t>
            </w:r>
          </w:p>
        </w:tc>
        <w:tc>
          <w:tcPr>
            <w:tcW w:w="1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5"/>
        </w:trPr>
        <w:tc>
          <w:tcPr>
            <w:tcW w:w="3060" w:type="dxa"/>
            <w:vAlign w:val="bottom"/>
          </w:tcPr>
          <w:p>
            <w:pPr>
              <w:ind w:left="240"/>
              <w:spacing w:after="0"/>
              <w:rPr>
                <w:sz w:val="20"/>
                <w:szCs w:val="20"/>
                <w:color w:val="auto"/>
              </w:rPr>
            </w:pPr>
            <w:r>
              <w:rPr>
                <w:rFonts w:ascii="Arial" w:cs="Arial" w:eastAsia="Arial" w:hAnsi="Arial"/>
                <w:sz w:val="18"/>
                <w:szCs w:val="18"/>
                <w:color w:val="auto"/>
              </w:rPr>
              <w:t xml:space="preserve">First </w:t>
            </w:r>
            <w:r>
              <w:rPr>
                <w:rFonts w:ascii="Arial" w:cs="Arial" w:eastAsia="Arial" w:hAnsi="Arial"/>
                <w:sz w:val="15"/>
                <w:szCs w:val="15"/>
                <w:color w:val="auto"/>
              </w:rPr>
              <w:t>(5)</w:t>
            </w:r>
          </w:p>
        </w:tc>
        <w:tc>
          <w:tcPr>
            <w:tcW w:w="226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6,894</w:t>
            </w:r>
          </w:p>
        </w:tc>
        <w:tc>
          <w:tcPr>
            <w:tcW w:w="3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9"/>
                <w:szCs w:val="19"/>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r>
      <w:tr>
        <w:trPr>
          <w:trHeight w:val="226"/>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Second </w:t>
            </w:r>
            <w:r>
              <w:rPr>
                <w:rFonts w:ascii="Arial" w:cs="Arial" w:eastAsia="Arial" w:hAnsi="Arial"/>
                <w:sz w:val="15"/>
                <w:szCs w:val="15"/>
                <w:color w:val="auto"/>
              </w:rPr>
              <w:t>(6)</w:t>
            </w:r>
          </w:p>
        </w:tc>
        <w:tc>
          <w:tcPr>
            <w:tcW w:w="1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(0.05)</w:t>
            </w:r>
          </w:p>
        </w:tc>
      </w:tr>
      <w:tr>
        <w:trPr>
          <w:trHeight w:val="225"/>
        </w:trPr>
        <w:tc>
          <w:tcPr>
            <w:tcW w:w="3060" w:type="dxa"/>
            <w:vAlign w:val="bottom"/>
          </w:tcPr>
          <w:p>
            <w:pPr>
              <w:ind w:left="240"/>
              <w:spacing w:after="0"/>
              <w:rPr>
                <w:sz w:val="20"/>
                <w:szCs w:val="20"/>
                <w:color w:val="auto"/>
              </w:rPr>
            </w:pPr>
            <w:r>
              <w:rPr>
                <w:rFonts w:ascii="Arial" w:cs="Arial" w:eastAsia="Arial" w:hAnsi="Arial"/>
                <w:sz w:val="18"/>
                <w:szCs w:val="18"/>
                <w:color w:val="auto"/>
              </w:rPr>
              <w:t xml:space="preserve">Third </w:t>
            </w:r>
            <w:r>
              <w:rPr>
                <w:rFonts w:ascii="Arial" w:cs="Arial" w:eastAsia="Arial" w:hAnsi="Arial"/>
                <w:sz w:val="15"/>
                <w:szCs w:val="15"/>
                <w:color w:val="auto"/>
              </w:rPr>
              <w:t>(7)</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r>
      <w:tr>
        <w:trPr>
          <w:trHeight w:val="226"/>
        </w:trPr>
        <w:tc>
          <w:tcPr>
            <w:tcW w:w="3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Fourth </w:t>
            </w:r>
            <w:r>
              <w:rPr>
                <w:rFonts w:ascii="Arial" w:cs="Arial" w:eastAsia="Arial" w:hAnsi="Arial"/>
                <w:sz w:val="15"/>
                <w:szCs w:val="15"/>
                <w:color w:val="auto"/>
              </w:rPr>
              <w:t>(8)</w:t>
            </w:r>
          </w:p>
        </w:tc>
        <w:tc>
          <w:tcPr>
            <w:tcW w:w="1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(2,255)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r>
      <w:tr>
        <w:trPr>
          <w:trHeight w:val="20"/>
        </w:trPr>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9"/>
        </w:trPr>
        <w:tc>
          <w:tcPr>
            <w:tcW w:w="3060" w:type="dxa"/>
            <w:vAlign w:val="bottom"/>
          </w:tcPr>
          <w:p>
            <w:pPr>
              <w:spacing w:after="0"/>
              <w:rPr>
                <w:sz w:val="19"/>
                <w:szCs w:val="19"/>
                <w:color w:val="auto"/>
              </w:rPr>
            </w:pPr>
          </w:p>
        </w:tc>
        <w:tc>
          <w:tcPr>
            <w:tcW w:w="226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30,440</w:t>
            </w:r>
          </w:p>
        </w:tc>
        <w:tc>
          <w:tcPr>
            <w:tcW w:w="3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(1,505)</w:t>
            </w: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0"/>
        </w:trPr>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ind w:left="380" w:hanging="374"/>
        <w:spacing w:after="0"/>
        <w:tabs>
          <w:tab w:leader="none" w:pos="380" w:val="left"/>
        </w:tabs>
        <w:numPr>
          <w:ilvl w:val="0"/>
          <w:numId w:val="55"/>
        </w:numPr>
        <w:rPr>
          <w:rFonts w:ascii="Arial" w:cs="Arial" w:eastAsia="Arial" w:hAnsi="Arial"/>
          <w:sz w:val="26"/>
          <w:szCs w:val="26"/>
          <w:color w:val="auto"/>
          <w:vertAlign w:val="superscript"/>
        </w:rPr>
      </w:pPr>
      <w:r>
        <w:rPr>
          <w:rFonts w:ascii="Arial" w:cs="Arial" w:eastAsia="Arial" w:hAnsi="Arial"/>
          <w:sz w:val="18"/>
          <w:szCs w:val="18"/>
          <w:color w:val="auto"/>
        </w:rPr>
        <w:t xml:space="preserve">Gross margin equals </w:t>
      </w:r>
      <w:r>
        <w:rPr>
          <w:rFonts w:ascii="Arial" w:cs="Arial" w:eastAsia="Arial" w:hAnsi="Arial"/>
          <w:sz w:val="18"/>
          <w:szCs w:val="18"/>
          <w:i w:val="1"/>
          <w:iCs w:val="1"/>
          <w:color w:val="auto"/>
        </w:rPr>
        <w:t>Total Revenue</w:t>
      </w:r>
      <w:r>
        <w:rPr>
          <w:rFonts w:ascii="Arial" w:cs="Arial" w:eastAsia="Arial" w:hAnsi="Arial"/>
          <w:sz w:val="18"/>
          <w:szCs w:val="18"/>
          <w:color w:val="auto"/>
        </w:rPr>
        <w:t xml:space="preserve"> less </w:t>
      </w:r>
      <w:r>
        <w:rPr>
          <w:rFonts w:ascii="Arial" w:cs="Arial" w:eastAsia="Arial" w:hAnsi="Arial"/>
          <w:sz w:val="18"/>
          <w:szCs w:val="18"/>
          <w:i w:val="1"/>
          <w:iCs w:val="1"/>
          <w:color w:val="auto"/>
        </w:rPr>
        <w:t>Cost of Services</w:t>
      </w:r>
      <w:r>
        <w:rPr>
          <w:rFonts w:ascii="Arial" w:cs="Arial" w:eastAsia="Arial" w:hAnsi="Arial"/>
          <w:sz w:val="18"/>
          <w:szCs w:val="18"/>
          <w:color w:val="auto"/>
        </w:rPr>
        <w:t xml:space="preserve"> and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2" w:lineRule="exact"/>
        <w:rPr>
          <w:rFonts w:ascii="Arial" w:cs="Arial" w:eastAsia="Arial" w:hAnsi="Arial"/>
          <w:sz w:val="26"/>
          <w:szCs w:val="26"/>
          <w:color w:val="auto"/>
          <w:vertAlign w:val="superscript"/>
        </w:rPr>
      </w:pPr>
    </w:p>
    <w:p>
      <w:pPr>
        <w:ind w:left="380" w:hanging="374"/>
        <w:spacing w:after="0" w:line="182" w:lineRule="auto"/>
        <w:tabs>
          <w:tab w:leader="none" w:pos="38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Amounts may not add due to rounding.</w:t>
      </w:r>
    </w:p>
    <w:p>
      <w:pPr>
        <w:spacing w:after="0" w:line="42" w:lineRule="exact"/>
        <w:rPr>
          <w:rFonts w:ascii="Arial" w:cs="Arial" w:eastAsia="Arial" w:hAnsi="Arial"/>
          <w:sz w:val="24"/>
          <w:szCs w:val="24"/>
          <w:color w:val="auto"/>
          <w:vertAlign w:val="superscript"/>
        </w:rPr>
      </w:pPr>
    </w:p>
    <w:p>
      <w:pPr>
        <w:ind w:left="380" w:hanging="374"/>
        <w:spacing w:after="0" w:line="182" w:lineRule="auto"/>
        <w:tabs>
          <w:tab w:leader="none" w:pos="38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Net income in the second quarter of 2018 includes after-tax and noncontrolling interest charges of $164 million.</w:t>
      </w:r>
    </w:p>
    <w:p>
      <w:pPr>
        <w:spacing w:after="0" w:line="42" w:lineRule="exact"/>
        <w:rPr>
          <w:rFonts w:ascii="Arial" w:cs="Arial" w:eastAsia="Arial" w:hAnsi="Arial"/>
          <w:sz w:val="24"/>
          <w:szCs w:val="24"/>
          <w:color w:val="auto"/>
          <w:vertAlign w:val="superscript"/>
        </w:rPr>
      </w:pPr>
    </w:p>
    <w:p>
      <w:pPr>
        <w:ind w:left="380" w:hanging="374"/>
        <w:spacing w:after="0" w:line="182" w:lineRule="auto"/>
        <w:tabs>
          <w:tab w:leader="none" w:pos="38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Net income in the fourth quarter of 2018 includes after-tax and noncontrolling interest credits of $40 million.</w:t>
      </w:r>
    </w:p>
    <w:p>
      <w:pPr>
        <w:spacing w:after="0" w:line="42" w:lineRule="exact"/>
        <w:rPr>
          <w:rFonts w:ascii="Arial" w:cs="Arial" w:eastAsia="Arial" w:hAnsi="Arial"/>
          <w:sz w:val="24"/>
          <w:szCs w:val="24"/>
          <w:color w:val="auto"/>
          <w:vertAlign w:val="superscript"/>
        </w:rPr>
      </w:pPr>
    </w:p>
    <w:p>
      <w:pPr>
        <w:ind w:left="380" w:hanging="374"/>
        <w:spacing w:after="0" w:line="182" w:lineRule="auto"/>
        <w:tabs>
          <w:tab w:leader="none" w:pos="38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Net income in the first quarter of 2017 includes after-tax and noncontrolling interest charges of $68 million.</w:t>
      </w:r>
    </w:p>
    <w:p>
      <w:pPr>
        <w:spacing w:after="0" w:line="42" w:lineRule="exact"/>
        <w:rPr>
          <w:rFonts w:ascii="Arial" w:cs="Arial" w:eastAsia="Arial" w:hAnsi="Arial"/>
          <w:sz w:val="24"/>
          <w:szCs w:val="24"/>
          <w:color w:val="auto"/>
          <w:vertAlign w:val="superscript"/>
        </w:rPr>
      </w:pPr>
    </w:p>
    <w:p>
      <w:pPr>
        <w:ind w:left="380" w:hanging="374"/>
        <w:spacing w:after="0" w:line="182" w:lineRule="auto"/>
        <w:tabs>
          <w:tab w:leader="none" w:pos="38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Net income in the second quarter of 2017 includes after-tax and noncontrolling interest charges of $631 million.</w:t>
      </w:r>
    </w:p>
    <w:p>
      <w:pPr>
        <w:spacing w:after="0" w:line="42" w:lineRule="exact"/>
        <w:rPr>
          <w:rFonts w:ascii="Arial" w:cs="Arial" w:eastAsia="Arial" w:hAnsi="Arial"/>
          <w:sz w:val="24"/>
          <w:szCs w:val="24"/>
          <w:color w:val="auto"/>
          <w:vertAlign w:val="superscript"/>
        </w:rPr>
      </w:pPr>
    </w:p>
    <w:p>
      <w:pPr>
        <w:ind w:left="380" w:hanging="374"/>
        <w:spacing w:after="0" w:line="182" w:lineRule="auto"/>
        <w:tabs>
          <w:tab w:leader="none" w:pos="38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Net income in the third quarter of 2017 includes after-tax charges of $36 million.</w:t>
      </w:r>
    </w:p>
    <w:p>
      <w:pPr>
        <w:spacing w:after="0" w:line="42" w:lineRule="exact"/>
        <w:rPr>
          <w:rFonts w:ascii="Arial" w:cs="Arial" w:eastAsia="Arial" w:hAnsi="Arial"/>
          <w:sz w:val="24"/>
          <w:szCs w:val="24"/>
          <w:color w:val="auto"/>
          <w:vertAlign w:val="superscript"/>
        </w:rPr>
      </w:pPr>
    </w:p>
    <w:p>
      <w:pPr>
        <w:ind w:left="380" w:hanging="374"/>
        <w:spacing w:after="0" w:line="182" w:lineRule="auto"/>
        <w:tabs>
          <w:tab w:leader="none" w:pos="38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Net income in the fourth quarter of 2017 includes after-tax charges of $2.923 billion.</w:t>
      </w:r>
    </w:p>
    <w:p>
      <w:pPr>
        <w:spacing w:after="0" w:line="200" w:lineRule="exact"/>
        <w:rPr>
          <w:sz w:val="20"/>
          <w:szCs w:val="20"/>
          <w:color w:val="auto"/>
        </w:rPr>
      </w:pPr>
    </w:p>
    <w:p>
      <w:pPr>
        <w:spacing w:after="0" w:line="214" w:lineRule="exact"/>
        <w:rPr>
          <w:sz w:val="20"/>
          <w:szCs w:val="20"/>
          <w:color w:val="auto"/>
        </w:rPr>
      </w:pPr>
    </w:p>
    <w:p>
      <w:pPr>
        <w:ind w:left="320" w:hanging="301"/>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Mark of Schlumberger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1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2018 that has materially affected, or is reasonably likely to materially affect, Schlumberger’s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Schlumberger’s residual transactions or dealings with the government of Iran during 2018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 of Schlumberger.</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 “Item 1. Business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2019 Proxy Statement is incorporated herein by reference.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Schlumberger has a Code of Conduct that applies to all of its directors, officers and employees, including its principal executive, financial and accounting officers, or persons performing similar functions. Schlumberger’s Code of Conduct is posted on its website at www.slb.com/about/codeofconduct.aspx. Schlumberger intends to disclose future amendments to the Code of Conduct and any grant of a waiver from a provision of the Code of Conduct requiring disclosure under applicable SEC rules at www.slb.com/about/codeofconduct.aspx.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set forth under the captions “Compensation Discussion and Analysis,” “Executive Compensation Tables and Accompanying Narrative,” “Compensation Committee Report” and “Director Compensation in Fiscal Year 2018” in Schlumberger’s 2019 Proxy Statement is incorporated herein by reference.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under the captions “Stock Ownership Information—Security Ownership by Certain Beneficial Owners,” “Stock Ownership Information— Security Ownership by Management” and “Equity Compensation Plan Information” in Schlumberger’s 2019 Proxy Statement is incorporated herein by reference.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information under the captions “Corporate Governance—Board Independence” and “Corporate Governance—Policies and Procedures for Approval of Related Person Transactions” in Schlumberger’s 2019 Proxy Statement is incorporated herein by reference.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118"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The information under the caption “Ratification of Appointment of Independent Auditors for 2019” in Schlumberger’s 2019 Proxy Statement is incorporated herein by reference.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9120" w:type="dxa"/>
            <w:vAlign w:val="bottom"/>
            <w:gridSpan w:val="12"/>
          </w:tcPr>
          <w:p>
            <w:pPr>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4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Item 15. Exhibits and Financial Statement Schedules.</w:t>
            </w:r>
          </w:p>
        </w:tc>
        <w:tc>
          <w:tcPr>
            <w:tcW w:w="5040" w:type="dxa"/>
            <w:vAlign w:val="bottom"/>
            <w:gridSpan w:val="8"/>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8760" w:type="dxa"/>
            <w:vAlign w:val="bottom"/>
            <w:gridSpan w:val="11"/>
          </w:tcPr>
          <w:p>
            <w:pPr>
              <w:ind w:left="160"/>
              <w:spacing w:after="0"/>
              <w:rPr>
                <w:sz w:val="20"/>
                <w:szCs w:val="20"/>
                <w:color w:val="auto"/>
              </w:rPr>
            </w:pPr>
            <w:r>
              <w:rPr>
                <w:rFonts w:ascii="Arial" w:cs="Arial" w:eastAsia="Arial" w:hAnsi="Arial"/>
                <w:sz w:val="18"/>
                <w:szCs w:val="18"/>
                <w:color w:val="auto"/>
              </w:rPr>
              <w:t>The following documents are filed as part of this Report: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60" w:type="dxa"/>
            <w:vAlign w:val="bottom"/>
          </w:tcPr>
          <w:p>
            <w:pPr>
              <w:spacing w:after="0"/>
              <w:rPr>
                <w:sz w:val="24"/>
                <w:szCs w:val="24"/>
                <w:color w:val="auto"/>
              </w:rPr>
            </w:pPr>
          </w:p>
        </w:tc>
        <w:tc>
          <w:tcPr>
            <w:tcW w:w="8760" w:type="dxa"/>
            <w:vAlign w:val="bottom"/>
            <w:gridSpan w:val="11"/>
            <w:vMerge w:val="restart"/>
          </w:tcPr>
          <w:p>
            <w:pPr>
              <w:ind w:left="560"/>
              <w:spacing w:after="0"/>
              <w:rPr>
                <w:sz w:val="20"/>
                <w:szCs w:val="20"/>
                <w:color w:val="auto"/>
              </w:rPr>
            </w:pPr>
            <w:r>
              <w:rPr>
                <w:rFonts w:ascii="Arial" w:cs="Arial" w:eastAsia="Arial" w:hAnsi="Arial"/>
                <w:sz w:val="18"/>
                <w:szCs w:val="18"/>
                <w:color w:val="auto"/>
              </w:rPr>
              <w:t>(1)  Financial Statements</w:t>
            </w:r>
          </w:p>
        </w:tc>
        <w:tc>
          <w:tcPr>
            <w:tcW w:w="1220" w:type="dxa"/>
            <w:vAlign w:val="bottom"/>
          </w:tcPr>
          <w:p>
            <w:pPr>
              <w:jc w:val="center"/>
              <w:ind w:left="433"/>
              <w:spacing w:after="0"/>
              <w:rPr>
                <w:sz w:val="20"/>
                <w:szCs w:val="20"/>
                <w:color w:val="auto"/>
              </w:rPr>
            </w:pPr>
            <w:r>
              <w:rPr>
                <w:rFonts w:ascii="Arial" w:cs="Arial" w:eastAsia="Arial" w:hAnsi="Arial"/>
                <w:sz w:val="14"/>
                <w:szCs w:val="14"/>
                <w:color w:val="auto"/>
                <w:w w:val="85"/>
              </w:rPr>
              <w:t>Page(s)</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8760" w:type="dxa"/>
            <w:vAlign w:val="bottom"/>
            <w:gridSpan w:val="11"/>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gridSpan w:val="10"/>
          </w:tcPr>
          <w:p>
            <w:pPr>
              <w:spacing w:after="0" w:line="185" w:lineRule="exact"/>
              <w:rPr>
                <w:rFonts w:ascii="Arial" w:cs="Arial" w:eastAsia="Arial" w:hAnsi="Arial"/>
                <w:sz w:val="18"/>
                <w:szCs w:val="18"/>
                <w:color w:val="0000EE"/>
              </w:rPr>
            </w:pPr>
            <w:hyperlink w:anchor="page28">
              <w:r>
                <w:rPr>
                  <w:rFonts w:ascii="Arial" w:cs="Arial" w:eastAsia="Arial" w:hAnsi="Arial"/>
                  <w:sz w:val="18"/>
                  <w:szCs w:val="18"/>
                  <w:color w:val="0000EE"/>
                </w:rPr>
                <w:t>Consolidated Statement of Income (Loss) for the three years ended December 31, 2018</w:t>
              </w:r>
            </w:hyperlink>
          </w:p>
        </w:tc>
        <w:tc>
          <w:tcPr>
            <w:tcW w:w="1220" w:type="dxa"/>
            <w:vAlign w:val="bottom"/>
          </w:tcPr>
          <w:p>
            <w:pPr>
              <w:jc w:val="center"/>
              <w:ind w:left="433"/>
              <w:spacing w:after="0" w:line="185"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gridSpan w:val="10"/>
          </w:tcPr>
          <w:p>
            <w:pPr>
              <w:spacing w:after="0" w:line="193"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Consolidated Statement of Comprehensive Income (Loss) for the three years ended December 31, 2018</w:t>
              </w:r>
            </w:hyperlink>
          </w:p>
        </w:tc>
        <w:tc>
          <w:tcPr>
            <w:tcW w:w="1220" w:type="dxa"/>
            <w:vAlign w:val="bottom"/>
          </w:tcPr>
          <w:p>
            <w:pPr>
              <w:jc w:val="center"/>
              <w:ind w:left="433"/>
              <w:spacing w:after="0" w:line="193"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320" w:type="dxa"/>
            <w:vAlign w:val="bottom"/>
            <w:tcBorders>
              <w:top w:val="single" w:sz="8" w:color="0000EE"/>
            </w:tcBorders>
            <w:gridSpan w:val="9"/>
          </w:tcPr>
          <w:p>
            <w:pPr>
              <w:spacing w:after="0" w:line="193" w:lineRule="exact"/>
              <w:rPr>
                <w:rFonts w:ascii="Arial" w:cs="Arial" w:eastAsia="Arial" w:hAnsi="Arial"/>
                <w:sz w:val="18"/>
                <w:szCs w:val="18"/>
                <w:color w:val="0000EE"/>
              </w:rPr>
            </w:pPr>
            <w:hyperlink w:anchor="page30">
              <w:r>
                <w:rPr>
                  <w:rFonts w:ascii="Arial" w:cs="Arial" w:eastAsia="Arial" w:hAnsi="Arial"/>
                  <w:sz w:val="18"/>
                  <w:szCs w:val="18"/>
                  <w:color w:val="0000EE"/>
                </w:rPr>
                <w:t>Consolidated Balance Sheet at December 31, 2018 and 2017</w:t>
              </w:r>
            </w:hyperlink>
          </w:p>
        </w:tc>
        <w:tc>
          <w:tcPr>
            <w:tcW w:w="540" w:type="dxa"/>
            <w:vAlign w:val="bottom"/>
          </w:tcPr>
          <w:p>
            <w:pPr>
              <w:spacing w:after="0"/>
              <w:rPr>
                <w:sz w:val="16"/>
                <w:szCs w:val="16"/>
                <w:color w:val="auto"/>
              </w:rPr>
            </w:pPr>
          </w:p>
        </w:tc>
        <w:tc>
          <w:tcPr>
            <w:tcW w:w="1220" w:type="dxa"/>
            <w:vAlign w:val="bottom"/>
          </w:tcPr>
          <w:p>
            <w:pPr>
              <w:jc w:val="center"/>
              <w:ind w:left="433"/>
              <w:spacing w:after="0" w:line="193"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980" w:type="dxa"/>
            <w:vAlign w:val="bottom"/>
            <w:tcBorders>
              <w:bottom w:val="single" w:sz="8" w:color="0000EE"/>
            </w:tcBorders>
            <w:gridSpan w:val="6"/>
          </w:tcPr>
          <w:p>
            <w:pPr>
              <w:spacing w:after="0" w:line="193"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Consolidated Statement of Cash Flows for the three years ended December 31, 2018</w:t>
              </w:r>
            </w:hyperlink>
          </w:p>
        </w:tc>
        <w:tc>
          <w:tcPr>
            <w:tcW w:w="1880" w:type="dxa"/>
            <w:vAlign w:val="bottom"/>
            <w:gridSpan w:val="4"/>
          </w:tcPr>
          <w:p>
            <w:pPr>
              <w:spacing w:after="0"/>
              <w:rPr>
                <w:sz w:val="16"/>
                <w:szCs w:val="16"/>
                <w:color w:val="auto"/>
              </w:rPr>
            </w:pPr>
          </w:p>
        </w:tc>
        <w:tc>
          <w:tcPr>
            <w:tcW w:w="1220" w:type="dxa"/>
            <w:vAlign w:val="bottom"/>
          </w:tcPr>
          <w:p>
            <w:pPr>
              <w:jc w:val="center"/>
              <w:ind w:left="433"/>
              <w:spacing w:after="0" w:line="193"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gridSpan w:val="10"/>
          </w:tcPr>
          <w:p>
            <w:pPr>
              <w:spacing w:after="0" w:line="193"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Statement of Stockholders’ Equity for the three years ended December 31, 2018</w:t>
              </w:r>
            </w:hyperlink>
          </w:p>
        </w:tc>
        <w:tc>
          <w:tcPr>
            <w:tcW w:w="1220" w:type="dxa"/>
            <w:vAlign w:val="bottom"/>
          </w:tcPr>
          <w:p>
            <w:pPr>
              <w:jc w:val="center"/>
              <w:ind w:left="433"/>
              <w:spacing w:after="0" w:line="193" w:lineRule="exact"/>
              <w:rPr>
                <w:sz w:val="20"/>
                <w:szCs w:val="20"/>
                <w:color w:val="auto"/>
              </w:rPr>
            </w:pPr>
            <w:r>
              <w:rPr>
                <w:rFonts w:ascii="Arial" w:cs="Arial" w:eastAsia="Arial" w:hAnsi="Arial"/>
                <w:sz w:val="18"/>
                <w:szCs w:val="18"/>
                <w:color w:val="auto"/>
                <w:w w:val="87"/>
              </w:rPr>
              <w:t>32 and 33</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40" w:type="dxa"/>
            <w:vAlign w:val="bottom"/>
            <w:tcBorders>
              <w:top w:val="single" w:sz="8" w:color="0000EE"/>
            </w:tcBorders>
            <w:gridSpan w:val="8"/>
          </w:tcPr>
          <w:p>
            <w:pPr>
              <w:spacing w:after="0" w:line="193" w:lineRule="exact"/>
              <w:rPr>
                <w:rFonts w:ascii="Arial" w:cs="Arial" w:eastAsia="Arial" w:hAnsi="Arial"/>
                <w:sz w:val="18"/>
                <w:szCs w:val="18"/>
                <w:color w:val="0000EE"/>
              </w:rPr>
            </w:pPr>
            <w:hyperlink w:anchor="page34">
              <w:r>
                <w:rPr>
                  <w:rFonts w:ascii="Arial" w:cs="Arial" w:eastAsia="Arial" w:hAnsi="Arial"/>
                  <w:sz w:val="18"/>
                  <w:szCs w:val="18"/>
                  <w:color w:val="0000EE"/>
                </w:rPr>
                <w:t>Notes to Consolidated Financial Statements</w:t>
              </w:r>
            </w:hyperlink>
          </w:p>
        </w:tc>
        <w:tc>
          <w:tcPr>
            <w:tcW w:w="1220" w:type="dxa"/>
            <w:vAlign w:val="bottom"/>
            <w:gridSpan w:val="2"/>
          </w:tcPr>
          <w:p>
            <w:pPr>
              <w:spacing w:after="0"/>
              <w:rPr>
                <w:sz w:val="16"/>
                <w:szCs w:val="16"/>
                <w:color w:val="auto"/>
              </w:rPr>
            </w:pPr>
          </w:p>
        </w:tc>
        <w:tc>
          <w:tcPr>
            <w:tcW w:w="1220" w:type="dxa"/>
            <w:vAlign w:val="bottom"/>
          </w:tcPr>
          <w:p>
            <w:pPr>
              <w:jc w:val="center"/>
              <w:ind w:left="433"/>
              <w:spacing w:after="0" w:line="193" w:lineRule="exact"/>
              <w:rPr>
                <w:sz w:val="20"/>
                <w:szCs w:val="20"/>
                <w:color w:val="auto"/>
              </w:rPr>
            </w:pPr>
            <w:r>
              <w:rPr>
                <w:rFonts w:ascii="Arial" w:cs="Arial" w:eastAsia="Arial" w:hAnsi="Arial"/>
                <w:sz w:val="18"/>
                <w:szCs w:val="18"/>
                <w:color w:val="auto"/>
                <w:w w:val="89"/>
              </w:rPr>
              <w:t>34 to 62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60" w:type="dxa"/>
            <w:vAlign w:val="bottom"/>
            <w:gridSpan w:val="10"/>
          </w:tcPr>
          <w:p>
            <w:pPr>
              <w:spacing w:after="0" w:line="193" w:lineRule="exact"/>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1220" w:type="dxa"/>
            <w:vAlign w:val="bottom"/>
          </w:tcPr>
          <w:p>
            <w:pPr>
              <w:jc w:val="center"/>
              <w:ind w:left="433"/>
              <w:spacing w:after="0" w:line="193"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Quarterly Results (Unaudited)</w:t>
              </w:r>
            </w:hyperlink>
          </w:p>
        </w:tc>
        <w:tc>
          <w:tcPr>
            <w:tcW w:w="2000" w:type="dxa"/>
            <w:vAlign w:val="bottom"/>
            <w:tcBorders>
              <w:top w:val="single" w:sz="8" w:color="0000EE"/>
            </w:tcBorders>
            <w:gridSpan w:val="3"/>
          </w:tcPr>
          <w:p>
            <w:pPr>
              <w:spacing w:after="0"/>
              <w:rPr>
                <w:sz w:val="16"/>
                <w:szCs w:val="16"/>
                <w:color w:val="auto"/>
              </w:rPr>
            </w:pPr>
          </w:p>
        </w:tc>
        <w:tc>
          <w:tcPr>
            <w:tcW w:w="3720" w:type="dxa"/>
            <w:vAlign w:val="bottom"/>
            <w:gridSpan w:val="6"/>
          </w:tcPr>
          <w:p>
            <w:pPr>
              <w:spacing w:after="0"/>
              <w:rPr>
                <w:sz w:val="16"/>
                <w:szCs w:val="16"/>
                <w:color w:val="auto"/>
              </w:rPr>
            </w:pPr>
          </w:p>
        </w:tc>
        <w:tc>
          <w:tcPr>
            <w:tcW w:w="1220" w:type="dxa"/>
            <w:vAlign w:val="bottom"/>
          </w:tcPr>
          <w:p>
            <w:pPr>
              <w:jc w:val="center"/>
              <w:ind w:left="433"/>
              <w:spacing w:after="0" w:line="193"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Financial statements of companies accounted for under the equity method and unconsolidated subsidiaries have been omitted because they do not meet the materiality tests for assets or income.</w:t>
      </w:r>
    </w:p>
    <w:p>
      <w:pPr>
        <w:spacing w:after="0" w:line="207" w:lineRule="exact"/>
        <w:rPr>
          <w:sz w:val="20"/>
          <w:szCs w:val="20"/>
          <w:color w:val="auto"/>
        </w:rPr>
      </w:pPr>
    </w:p>
    <w:p>
      <w:pPr>
        <w:ind w:left="1260" w:hanging="338"/>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16" w:lineRule="exact"/>
        <w:rPr>
          <w:rFonts w:ascii="Arial" w:cs="Arial" w:eastAsia="Arial" w:hAnsi="Arial"/>
          <w:sz w:val="18"/>
          <w:szCs w:val="18"/>
          <w:color w:val="auto"/>
        </w:rPr>
      </w:pPr>
    </w:p>
    <w:p>
      <w:pPr>
        <w:ind w:left="1260" w:hanging="338"/>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Exhibits: See exhibits listed under Part (b) below.</w:t>
      </w:r>
    </w:p>
    <w:p>
      <w:pPr>
        <w:spacing w:after="0" w:line="100" w:lineRule="exact"/>
        <w:rPr>
          <w:rFonts w:ascii="Arial" w:cs="Arial" w:eastAsia="Arial" w:hAnsi="Arial"/>
          <w:sz w:val="18"/>
          <w:szCs w:val="18"/>
          <w:color w:val="auto"/>
        </w:rPr>
      </w:pPr>
    </w:p>
    <w:p>
      <w:pPr>
        <w:ind w:left="520" w:hanging="514"/>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36" w:lineRule="exact"/>
        <w:rPr>
          <w:sz w:val="20"/>
          <w:szCs w:val="20"/>
          <w:color w:val="auto"/>
        </w:rPr>
      </w:pPr>
    </w:p>
    <w:p>
      <w:pPr>
        <w:jc w:val="both"/>
        <w:ind w:left="20" w:right="20"/>
        <w:spacing w:after="0" w:line="265" w:lineRule="auto"/>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Articles of Incorporation of Schlumberger Limited (Schlumberger N.V.), as amended on April 6, 2016 (incorporated by reference to Exhibit</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3.1 to Schlumberger’s Current Report on Form 8-K filed on April 6, 2016)</w:t>
        </w:r>
      </w:hyperlink>
    </w:p>
    <w:p>
      <w:pPr>
        <w:spacing w:after="0" w:line="87" w:lineRule="exact"/>
        <w:rPr>
          <w:sz w:val="20"/>
          <w:szCs w:val="20"/>
          <w:color w:val="auto"/>
        </w:rPr>
      </w:pPr>
    </w:p>
    <w:p>
      <w:pPr>
        <w:jc w:val="both"/>
        <w:ind w:left="20"/>
        <w:spacing w:after="0" w:line="265" w:lineRule="auto"/>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Amended and Restated By-Laws of Schlumberger Limited (Schlumberger N.V.), as amended on January 19, 2017 (incorporated by reference</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to Exhibit 3.1 to Schlumberger’s Current Report on Form 8-K filed on January 19, 2017)</w:t>
        </w:r>
      </w:hyperlink>
    </w:p>
    <w:p>
      <w:pPr>
        <w:spacing w:after="0" w:line="87" w:lineRule="exact"/>
        <w:rPr>
          <w:sz w:val="20"/>
          <w:szCs w:val="20"/>
          <w:color w:val="auto"/>
        </w:rPr>
      </w:pPr>
    </w:p>
    <w:p>
      <w:pPr>
        <w:jc w:val="both"/>
        <w:ind w:left="20"/>
        <w:spacing w:after="0" w:line="255" w:lineRule="auto"/>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Indenture dated as of December 3, 2013, by and among Schlumberger Investment SA, as issuer, Schlumberger Limited, as guarantor, and The</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Bank of New York Mellon Trust Company, N.A., as trustee (incorporated by reference to Exhibit 4.1 to Schlumberger’s Current Report on</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Form 8-K filed on December 3, 2013)</w:t>
        </w:r>
      </w:hyperlink>
    </w:p>
    <w:p>
      <w:pPr>
        <w:spacing w:after="0" w:line="97" w:lineRule="exact"/>
        <w:rPr>
          <w:rFonts w:ascii="Arial" w:cs="Arial" w:eastAsia="Arial" w:hAnsi="Arial"/>
          <w:sz w:val="18"/>
          <w:szCs w:val="18"/>
          <w:u w:val="single" w:color="auto"/>
          <w:color w:val="0000EE"/>
        </w:rPr>
      </w:pPr>
    </w:p>
    <w:p>
      <w:pPr>
        <w:jc w:val="both"/>
        <w:ind w:left="20"/>
        <w:spacing w:after="0" w:line="331" w:lineRule="auto"/>
        <w:rPr>
          <w:rFonts w:ascii="Arial" w:cs="Arial" w:eastAsia="Arial" w:hAnsi="Arial"/>
          <w:sz w:val="15"/>
          <w:szCs w:val="15"/>
          <w:u w:val="single" w:color="auto"/>
          <w:color w:val="0000EE"/>
        </w:rPr>
      </w:pPr>
      <w:hyperlink r:id="rId114">
        <w:r>
          <w:rPr>
            <w:rFonts w:ascii="Arial" w:cs="Arial" w:eastAsia="Arial" w:hAnsi="Arial"/>
            <w:sz w:val="15"/>
            <w:szCs w:val="15"/>
            <w:u w:val="single" w:color="auto"/>
            <w:color w:val="0000EE"/>
          </w:rPr>
          <w:t>First Supplemental Indenture dated as of December 3, 2013, by and among Schlumberger Investment SA, as issuer, Schlumberger Limited, as</w:t>
        </w:r>
      </w:hyperlink>
      <w:r>
        <w:rPr>
          <w:rFonts w:ascii="Arial" w:cs="Arial" w:eastAsia="Arial" w:hAnsi="Arial"/>
          <w:sz w:val="15"/>
          <w:szCs w:val="15"/>
          <w:u w:val="single" w:color="auto"/>
          <w:color w:val="0000EE"/>
        </w:rPr>
        <w:t xml:space="preserve"> </w:t>
      </w:r>
      <w:hyperlink r:id="rId114">
        <w:r>
          <w:rPr>
            <w:rFonts w:ascii="Arial" w:cs="Arial" w:eastAsia="Arial" w:hAnsi="Arial"/>
            <w:sz w:val="15"/>
            <w:szCs w:val="15"/>
            <w:u w:val="single" w:color="auto"/>
            <w:color w:val="0000EE"/>
          </w:rPr>
          <w:t>guarantor, and The Bank of New York Mellon Trust Company, N.A., as trustee (including form of global notes representing 3.650% Senior</w:t>
        </w:r>
      </w:hyperlink>
      <w:r>
        <w:rPr>
          <w:rFonts w:ascii="Arial" w:cs="Arial" w:eastAsia="Arial" w:hAnsi="Arial"/>
          <w:sz w:val="15"/>
          <w:szCs w:val="15"/>
          <w:u w:val="single" w:color="auto"/>
          <w:color w:val="0000EE"/>
        </w:rPr>
        <w:t xml:space="preserve"> </w:t>
      </w:r>
      <w:hyperlink r:id="rId114">
        <w:r>
          <w:rPr>
            <w:rFonts w:ascii="Arial" w:cs="Arial" w:eastAsia="Arial" w:hAnsi="Arial"/>
            <w:sz w:val="15"/>
            <w:szCs w:val="15"/>
            <w:u w:val="single" w:color="auto"/>
            <w:color w:val="0000EE"/>
          </w:rPr>
          <w:t>Notes due 2023) (incorporated by reference to Exhibit 4.2 to Schlumberger’s Current Report on Form 8-K filed on December 3, 2013)</w:t>
        </w:r>
      </w:hyperlink>
    </w:p>
    <w:p>
      <w:pPr>
        <w:spacing w:after="0" w:line="43" w:lineRule="exact"/>
        <w:rPr>
          <w:rFonts w:ascii="Arial" w:cs="Arial" w:eastAsia="Arial" w:hAnsi="Arial"/>
          <w:sz w:val="15"/>
          <w:szCs w:val="15"/>
          <w:u w:val="single" w:color="auto"/>
          <w:color w:val="0000EE"/>
        </w:rPr>
      </w:pPr>
    </w:p>
    <w:p>
      <w:pPr>
        <w:ind w:left="20" w:right="1980"/>
        <w:spacing w:after="0" w:line="265" w:lineRule="auto"/>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Schlumberger Limited Supplementary Benefit Plan, as established effective June 1, 1995 and conformed to include</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amendments through January 1, 2019 (*) (+)</w:t>
        </w:r>
      </w:hyperlink>
    </w:p>
    <w:p>
      <w:pPr>
        <w:spacing w:after="0" w:line="87" w:lineRule="exact"/>
        <w:rPr>
          <w:sz w:val="20"/>
          <w:szCs w:val="20"/>
          <w:color w:val="auto"/>
        </w:rPr>
      </w:pPr>
    </w:p>
    <w:p>
      <w:pPr>
        <w:ind w:left="20" w:right="2200"/>
        <w:spacing w:after="0" w:line="265" w:lineRule="auto"/>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Schlumberger Limited Restoration Savings Plan, as established effective June 1, 1995 and conformed to include</w:t>
        </w:r>
      </w:hyperlink>
      <w:r>
        <w:rPr>
          <w:rFonts w:ascii="Arial" w:cs="Arial" w:eastAsia="Arial" w:hAnsi="Arial"/>
          <w:sz w:val="18"/>
          <w:szCs w:val="18"/>
          <w:u w:val="single" w:color="auto"/>
          <w:color w:val="0000EE"/>
        </w:rPr>
        <w:t xml:space="preserve"> </w:t>
      </w:r>
      <w:hyperlink w:anchor="page87">
        <w:r>
          <w:rPr>
            <w:rFonts w:ascii="Arial" w:cs="Arial" w:eastAsia="Arial" w:hAnsi="Arial"/>
            <w:sz w:val="18"/>
            <w:szCs w:val="18"/>
            <w:u w:val="single" w:color="auto"/>
            <w:color w:val="0000EE"/>
          </w:rPr>
          <w:t>amendments through January 1, 2019 (*) (+)</w:t>
        </w:r>
      </w:hyperlink>
    </w:p>
    <w:p>
      <w:pPr>
        <w:spacing w:after="0" w:line="180" w:lineRule="exact"/>
        <w:rPr>
          <w:sz w:val="20"/>
          <w:szCs w:val="20"/>
          <w:color w:val="auto"/>
        </w:rPr>
      </w:pPr>
    </w:p>
    <w:p>
      <w:pPr>
        <w:ind w:left="20"/>
        <w:spacing w:after="0" w:line="265" w:lineRule="auto"/>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Schlumberger Technology Corporation Supplementary Benefit Plan, as established effective January 1, 1995 and conformed to include</w:t>
        </w:r>
      </w:hyperlink>
      <w:r>
        <w:rPr>
          <w:rFonts w:ascii="Arial" w:cs="Arial" w:eastAsia="Arial" w:hAnsi="Arial"/>
          <w:sz w:val="18"/>
          <w:szCs w:val="18"/>
          <w:u w:val="single" w:color="auto"/>
          <w:color w:val="0000EE"/>
        </w:rPr>
        <w:t xml:space="preserve"> </w:t>
      </w:r>
      <w:hyperlink w:anchor="page103">
        <w:r>
          <w:rPr>
            <w:rFonts w:ascii="Arial" w:cs="Arial" w:eastAsia="Arial" w:hAnsi="Arial"/>
            <w:sz w:val="18"/>
            <w:szCs w:val="18"/>
            <w:u w:val="single" w:color="auto"/>
            <w:color w:val="0000EE"/>
          </w:rPr>
          <w:t>amendments through January 1, 2019 (*) (+)</w:t>
        </w:r>
      </w:hyperlink>
    </w:p>
    <w:p>
      <w:pPr>
        <w:spacing w:after="0" w:line="87" w:lineRule="exact"/>
        <w:rPr>
          <w:sz w:val="20"/>
          <w:szCs w:val="20"/>
          <w:color w:val="auto"/>
        </w:rPr>
      </w:pPr>
    </w:p>
    <w:p>
      <w:pPr>
        <w:ind w:left="2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Schlumberger 2001 Stock Option Plan, as amended and restated as of July 19, 2017 (*) (+)</w:t>
        </w:r>
      </w:hyperlink>
    </w:p>
    <w:p>
      <w:pPr>
        <w:spacing w:after="0" w:line="125" w:lineRule="exact"/>
        <w:rPr>
          <w:sz w:val="20"/>
          <w:szCs w:val="20"/>
          <w:color w:val="auto"/>
        </w:rPr>
      </w:pPr>
    </w:p>
    <w:p>
      <w:pPr>
        <w:ind w:left="20"/>
        <w:spacing w:after="0" w:line="265" w:lineRule="auto"/>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Schlumberger Limited 2004 Stock and Deferral Plan for Non-Employee Directors, as amended and restated effective January 19, 2012</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(incorporated by reference to Exhibit 10 to Schlumberger’s Current Report on Form 8-K filed on April 11, 2012) (+)</w:t>
        </w:r>
      </w:hyperlink>
    </w:p>
    <w:p>
      <w:pPr>
        <w:spacing w:after="0" w:line="87" w:lineRule="exact"/>
        <w:rPr>
          <w:sz w:val="20"/>
          <w:szCs w:val="20"/>
          <w:color w:val="auto"/>
        </w:rPr>
      </w:pPr>
    </w:p>
    <w:p>
      <w:pPr>
        <w:ind w:left="2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Schlumberger 2005 Stock Incentive Plan, as amended and restated as of July 19, 2017 (*) (+)</w:t>
        </w:r>
      </w:hyperlink>
    </w:p>
    <w:p>
      <w:pPr>
        <w:spacing w:after="0" w:line="125" w:lineRule="exact"/>
        <w:rPr>
          <w:sz w:val="20"/>
          <w:szCs w:val="20"/>
          <w:color w:val="auto"/>
        </w:rPr>
      </w:pPr>
    </w:p>
    <w:p>
      <w:pPr>
        <w:ind w:left="2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Schlumberger 2008 Stock Incentive Plan, as amended and restated as of July 19, 2017 (*) (+)</w:t>
        </w:r>
      </w:hyperlink>
    </w:p>
    <w:p>
      <w:pPr>
        <w:spacing w:after="0" w:line="125" w:lineRule="exact"/>
        <w:rPr>
          <w:sz w:val="20"/>
          <w:szCs w:val="20"/>
          <w:color w:val="auto"/>
        </w:rPr>
      </w:pPr>
    </w:p>
    <w:p>
      <w:pPr>
        <w:ind w:left="2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Schlumberger 2010 Omnibus Stock Incentive Plan, as amended and restated as of July 19, 2017 (*) (+)</w:t>
        </w:r>
      </w:hyperlink>
    </w:p>
    <w:p>
      <w:pPr>
        <w:spacing w:after="0" w:line="125" w:lineRule="exact"/>
        <w:rPr>
          <w:sz w:val="20"/>
          <w:szCs w:val="20"/>
          <w:color w:val="auto"/>
        </w:rPr>
      </w:pPr>
    </w:p>
    <w:p>
      <w:pPr>
        <w:ind w:left="20"/>
        <w:spacing w:after="0" w:line="265" w:lineRule="auto"/>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Cameron International Corporation Equity Incentive Plan, as amended and restated as of January 1, 2013 (incorporated by reference to Exhibit</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10.16 to Schlumberger’s Annual Report on Form 10-K for the year ended December 31, 2016) (+)</w:t>
        </w:r>
      </w:hyperlink>
    </w:p>
    <w:p>
      <w:pPr>
        <w:spacing w:after="0" w:line="87" w:lineRule="exact"/>
        <w:rPr>
          <w:sz w:val="20"/>
          <w:szCs w:val="20"/>
          <w:color w:val="auto"/>
        </w:rPr>
      </w:pPr>
    </w:p>
    <w:p>
      <w:pPr>
        <w:ind w:left="20"/>
        <w:spacing w:after="0" w:line="265" w:lineRule="auto"/>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French Sub-Plan of Schlumberger 2010 Omnibus Stock Incentive Plan for Employees in France (incorporated by reference to Exhibit 10.7 to</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Schlumberger’s Quarterly Report on Form 10-Q for the quarter ended March 31, 2013) (+)</w:t>
        </w:r>
      </w:hyperlink>
    </w:p>
    <w:p>
      <w:pPr>
        <w:spacing w:after="0" w:line="180" w:lineRule="exact"/>
        <w:rPr>
          <w:sz w:val="20"/>
          <w:szCs w:val="20"/>
          <w:color w:val="auto"/>
        </w:rPr>
      </w:pPr>
    </w:p>
    <w:p>
      <w:pPr>
        <w:ind w:left="20"/>
        <w:spacing w:after="0" w:line="265"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Amended and Restated French Sub Plan for Restricted Units (incorporated by reference to Appendix B of Schlumberger's Definitive</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Proxy Statement filed with the SEC on March 2, 2018)</w:t>
        </w:r>
      </w:hyperlink>
    </w:p>
    <w:p>
      <w:pPr>
        <w:spacing w:after="0" w:line="87" w:lineRule="exact"/>
        <w:rPr>
          <w:sz w:val="20"/>
          <w:szCs w:val="20"/>
          <w:color w:val="auto"/>
        </w:rPr>
      </w:pPr>
    </w:p>
    <w:p>
      <w:pPr>
        <w:ind w:left="20"/>
        <w:spacing w:after="0" w:line="295" w:lineRule="auto"/>
        <w:rPr>
          <w:rFonts w:ascii="Arial" w:cs="Arial" w:eastAsia="Arial" w:hAnsi="Arial"/>
          <w:sz w:val="17"/>
          <w:szCs w:val="17"/>
          <w:u w:val="single" w:color="auto"/>
          <w:color w:val="0000EE"/>
        </w:rPr>
      </w:pPr>
      <w:hyperlink r:id="rId119">
        <w:r>
          <w:rPr>
            <w:rFonts w:ascii="Arial" w:cs="Arial" w:eastAsia="Arial" w:hAnsi="Arial"/>
            <w:sz w:val="17"/>
            <w:szCs w:val="17"/>
            <w:u w:val="single" w:color="auto"/>
            <w:color w:val="0000EE"/>
          </w:rPr>
          <w:t>Form of Option Agreement (Employees in France), Incentive Stock Option, under Schlumberger 2010 Omnibus Stock Incentive Plan</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(incorporated by reference to Exhibit 10.10 to Schlumberger’s Quarterly Report on Form 10-Q for the quarter ended June 30, 2013) (+)</w:t>
        </w:r>
      </w:hyperlink>
    </w:p>
    <w:p>
      <w:pPr>
        <w:spacing w:after="0" w:line="64" w:lineRule="exact"/>
        <w:rPr>
          <w:sz w:val="20"/>
          <w:szCs w:val="20"/>
          <w:color w:val="auto"/>
        </w:rPr>
      </w:pPr>
    </w:p>
    <w:p>
      <w:pPr>
        <w:ind w:left="20" w:right="20"/>
        <w:spacing w:after="0" w:line="366" w:lineRule="auto"/>
        <w:rPr>
          <w:rFonts w:ascii="Arial" w:cs="Arial" w:eastAsia="Arial" w:hAnsi="Arial"/>
          <w:sz w:val="15"/>
          <w:szCs w:val="15"/>
          <w:u w:val="single" w:color="auto"/>
          <w:color w:val="0000EE"/>
        </w:rPr>
      </w:pPr>
      <w:hyperlink r:id="rId120">
        <w:r>
          <w:rPr>
            <w:rFonts w:ascii="Arial" w:cs="Arial" w:eastAsia="Arial" w:hAnsi="Arial"/>
            <w:sz w:val="15"/>
            <w:szCs w:val="15"/>
            <w:u w:val="single" w:color="auto"/>
            <w:color w:val="0000EE"/>
          </w:rPr>
          <w:t>Form of Option Agreement (Employees in France), Non-Qualified Stock Option, under Schlumberger 2010 Omnibus Stock Incentive Plan</w:t>
        </w:r>
      </w:hyperlink>
      <w:r>
        <w:rPr>
          <w:rFonts w:ascii="Arial" w:cs="Arial" w:eastAsia="Arial" w:hAnsi="Arial"/>
          <w:sz w:val="15"/>
          <w:szCs w:val="15"/>
          <w:u w:val="single" w:color="auto"/>
          <w:color w:val="0000EE"/>
        </w:rPr>
        <w:t xml:space="preserve"> </w:t>
      </w:r>
      <w:hyperlink r:id="rId120">
        <w:r>
          <w:rPr>
            <w:rFonts w:ascii="Arial" w:cs="Arial" w:eastAsia="Arial" w:hAnsi="Arial"/>
            <w:sz w:val="15"/>
            <w:szCs w:val="15"/>
            <w:u w:val="single" w:color="auto"/>
            <w:color w:val="0000EE"/>
          </w:rPr>
          <w:t>(incorporated by reference to Exhibit 10.11 to Schlumberger’s Quarterly Report on Form 10-Q for the quarter ended June 30, 2013) (+)</w:t>
        </w:r>
      </w:hyperlink>
    </w:p>
    <w:p>
      <w:pPr>
        <w:spacing w:after="0" w:line="18" w:lineRule="exact"/>
        <w:rPr>
          <w:sz w:val="20"/>
          <w:szCs w:val="20"/>
          <w:color w:val="auto"/>
        </w:rPr>
      </w:pPr>
    </w:p>
    <w:p>
      <w:pPr>
        <w:ind w:left="20"/>
        <w:spacing w:after="0" w:line="265" w:lineRule="auto"/>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Form of Schlumberger Stock Incentive Plan Restricted Stock Unit Award Agreement for France (incorporated by reference to Exhibit 10.3 to</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Schlumberger’s Quarterly Report on Form 10-Q for the quarter ended March 31, 2017) (+)</w:t>
        </w:r>
      </w:hyperlink>
    </w:p>
    <w:p>
      <w:pPr>
        <w:spacing w:after="0" w:line="87" w:lineRule="exact"/>
        <w:rPr>
          <w:sz w:val="20"/>
          <w:szCs w:val="20"/>
          <w:color w:val="auto"/>
        </w:rPr>
      </w:pPr>
    </w:p>
    <w:p>
      <w:pPr>
        <w:ind w:left="2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Schlumberger 2013 Omnibus Stock Incentive Plan, as Amended and Restated as of July 19, 2017 (*) (+)</w:t>
        </w:r>
      </w:hyperlink>
    </w:p>
    <w:p>
      <w:pPr>
        <w:spacing w:after="0" w:line="125" w:lineRule="exact"/>
        <w:rPr>
          <w:sz w:val="20"/>
          <w:szCs w:val="20"/>
          <w:color w:val="auto"/>
        </w:rPr>
      </w:pPr>
    </w:p>
    <w:p>
      <w:pPr>
        <w:ind w:left="20"/>
        <w:spacing w:after="0" w:line="265" w:lineRule="auto"/>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Form of Option Agreement, Incentive Stock Option, under Schlumberger 2013 Omnibus Stock Incentive Plan (incorporated by reference to</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Exhibit 10.1 to the Schlumberger’s Quarterly Report on Form 10-Q for the quarter ended June 30, 2015) (+)</w:t>
        </w:r>
      </w:hyperlink>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3.1</w:t>
      </w:r>
    </w:p>
    <w:p>
      <w:pPr>
        <w:spacing w:after="0" w:line="37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3.2</w:t>
      </w:r>
    </w:p>
    <w:p>
      <w:pPr>
        <w:spacing w:after="0" w:line="37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4.1</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33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10.10</w:t>
      </w: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10.11</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10.12</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10.13</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10.14</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10.15</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10.16</w:t>
      </w:r>
    </w:p>
    <w:p>
      <w:pPr>
        <w:sectPr>
          <w:pgSz w:w="11900" w:h="16838" w:orient="portrait"/>
          <w:cols w:equalWidth="0" w:num="2">
            <w:col w:w="10160" w:space="480"/>
            <w:col w:w="760"/>
          </w:cols>
          <w:pgMar w:left="240" w:top="121" w:right="259" w:bottom="1440" w:gutter="0" w:footer="0" w:header="0"/>
        </w:sectPr>
      </w:pPr>
    </w:p>
    <w:bookmarkStart w:id="69" w:name="page70"/>
    <w:bookmarkEnd w:id="69"/>
    <w:p>
      <w:pPr>
        <w:spacing w:after="0" w:line="276" w:lineRule="exact"/>
        <w:rPr>
          <w:sz w:val="20"/>
          <w:szCs w:val="20"/>
          <w:color w:val="auto"/>
        </w:rPr>
      </w:pPr>
    </w:p>
    <w:p>
      <w:pPr>
        <w:spacing w:after="0" w:line="295" w:lineRule="auto"/>
        <w:rPr>
          <w:rFonts w:ascii="Arial" w:cs="Arial" w:eastAsia="Arial" w:hAnsi="Arial"/>
          <w:sz w:val="17"/>
          <w:szCs w:val="17"/>
          <w:u w:val="single" w:color="auto"/>
          <w:color w:val="0000EE"/>
        </w:rPr>
      </w:pPr>
      <w:hyperlink r:id="rId124">
        <w:r>
          <w:rPr>
            <w:rFonts w:ascii="Arial" w:cs="Arial" w:eastAsia="Arial" w:hAnsi="Arial"/>
            <w:sz w:val="17"/>
            <w:szCs w:val="17"/>
            <w:u w:val="single" w:color="auto"/>
            <w:color w:val="0000EE"/>
          </w:rPr>
          <w:t>Form of Option Agreement, Non-Qualified Stock Option, under Schlumberger 2013 Omnibus Stock Incentive Plan (incorporated by reference</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to Exhibit 10.2 to Schlumberger’s Quarterly Report on Form 10-Q for the quarter ended June 30, 2015) (+)</w:t>
        </w:r>
      </w:hyperlink>
    </w:p>
    <w:p>
      <w:pPr>
        <w:spacing w:after="0" w:line="64" w:lineRule="exact"/>
        <w:rPr>
          <w:sz w:val="20"/>
          <w:szCs w:val="20"/>
          <w:color w:val="auto"/>
        </w:rPr>
      </w:pPr>
    </w:p>
    <w:p>
      <w:pPr>
        <w:ind w:right="20"/>
        <w:spacing w:after="0" w:line="265" w:lineRule="auto"/>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Form of Restricted Stock Unit Award Agreement under Schlumberger 2013 Omnibus Stock Incentive Plan (incorporated by reference to</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Exhibit 10.3 to Schlumberger’s Quarterly Report on Form 10-Q for the quarter ended June 30, 2015) (+)</w:t>
        </w:r>
      </w:hyperlink>
    </w:p>
    <w:p>
      <w:pPr>
        <w:spacing w:after="0" w:line="87" w:lineRule="exact"/>
        <w:rPr>
          <w:sz w:val="20"/>
          <w:szCs w:val="20"/>
          <w:color w:val="auto"/>
        </w:rPr>
      </w:pPr>
    </w:p>
    <w:p>
      <w:pPr>
        <w:spacing w:after="0" w:line="265" w:lineRule="auto"/>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Schlumberger Discounted Stock Purchase Plan, as amended and restated effective as of January 19, 2017 (incorporated by reference to</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Appendix C to Schlumberger’s Definitive Proxy Statement on Schedule 14A filed on February 21, 2017) (+)</w:t>
        </w:r>
      </w:hyperlink>
    </w:p>
    <w:p>
      <w:pPr>
        <w:spacing w:after="0" w:line="87" w:lineRule="exact"/>
        <w:rPr>
          <w:sz w:val="20"/>
          <w:szCs w:val="20"/>
          <w:color w:val="auto"/>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Schlumberger 2017 Omnibus Stock Incentive Plan, as Amended and Restated as of July 19, 2017 (*) (+)</w:t>
        </w:r>
      </w:hyperlink>
    </w:p>
    <w:p>
      <w:pPr>
        <w:spacing w:after="0" w:line="125" w:lineRule="exact"/>
        <w:rPr>
          <w:sz w:val="20"/>
          <w:szCs w:val="20"/>
          <w:color w:val="auto"/>
        </w:rPr>
      </w:pPr>
    </w:p>
    <w:p>
      <w:pPr>
        <w:ind w:right="20"/>
        <w:spacing w:after="0" w:line="265" w:lineRule="auto"/>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Form of Incentive Stock Option Agreement under 2017 Schlumberger Omnibus Stock Incentive Plan (incorporated by reference to Exhibit</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10.6 to Schlumberger’s Quarterly Report on Form 10-Q for the quarter ended March 31, 2017) (+)</w:t>
        </w:r>
      </w:hyperlink>
    </w:p>
    <w:p>
      <w:pPr>
        <w:spacing w:after="0" w:line="87" w:lineRule="exact"/>
        <w:rPr>
          <w:sz w:val="20"/>
          <w:szCs w:val="20"/>
          <w:color w:val="auto"/>
        </w:rPr>
      </w:pPr>
    </w:p>
    <w:p>
      <w:pPr>
        <w:ind w:right="20"/>
        <w:spacing w:after="0" w:line="265" w:lineRule="auto"/>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Form of Restricted Stock Unit Award Agreement under Schlumberger 2017 Omnibus Stock Incentive Plan (incorporated by reference to</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Exhibit 10.4 to Schlumberger’s Quarterly Report on Form 10-Q for the quarter ended March 31, 2017) (+)</w:t>
        </w:r>
      </w:hyperlink>
    </w:p>
    <w:p>
      <w:pPr>
        <w:spacing w:after="0" w:line="87" w:lineRule="exact"/>
        <w:rPr>
          <w:sz w:val="20"/>
          <w:szCs w:val="20"/>
          <w:color w:val="auto"/>
        </w:rPr>
      </w:pPr>
    </w:p>
    <w:p>
      <w:pPr>
        <w:spacing w:after="0" w:line="265"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Form of Non-Qualified Stock Option Agreement under Schlumberger 2017 Omnibus Stock Incentive Plan (incorporated by reference to</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Exhibit 10.5 to Schlumberger’s Quarterly Report on Form 10-Q for the quarter ended March 31, 2017) (+)</w:t>
        </w:r>
      </w:hyperlink>
    </w:p>
    <w:p>
      <w:pPr>
        <w:spacing w:after="0" w:line="87" w:lineRule="exact"/>
        <w:rPr>
          <w:sz w:val="20"/>
          <w:szCs w:val="20"/>
          <w:color w:val="auto"/>
        </w:rPr>
      </w:pPr>
    </w:p>
    <w:p>
      <w:pPr>
        <w:spacing w:after="0" w:line="295" w:lineRule="auto"/>
        <w:rPr>
          <w:rFonts w:ascii="Arial" w:cs="Arial" w:eastAsia="Arial" w:hAnsi="Arial"/>
          <w:sz w:val="17"/>
          <w:szCs w:val="17"/>
          <w:u w:val="single" w:color="auto"/>
          <w:color w:val="0000EE"/>
        </w:rPr>
      </w:pPr>
      <w:hyperlink r:id="rId130">
        <w:r>
          <w:rPr>
            <w:rFonts w:ascii="Arial" w:cs="Arial" w:eastAsia="Arial" w:hAnsi="Arial"/>
            <w:sz w:val="17"/>
            <w:szCs w:val="17"/>
            <w:u w:val="single" w:color="auto"/>
            <w:color w:val="0000EE"/>
          </w:rPr>
          <w:t>Form of 2017 Two-Year Performance Share Unit Award Agreement under Schlumberger 2013 Omnibus Stock Incentive Plan (incorporated by</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reference to Exhibit 10.1 to Schlumberger’s Quarterly Report on Form 10-Q for the quarter ended March 31, 2017) (+)</w:t>
        </w:r>
      </w:hyperlink>
    </w:p>
    <w:p>
      <w:pPr>
        <w:spacing w:after="0" w:line="157" w:lineRule="exact"/>
        <w:rPr>
          <w:sz w:val="20"/>
          <w:szCs w:val="20"/>
          <w:color w:val="auto"/>
        </w:rPr>
      </w:pPr>
    </w:p>
    <w:p>
      <w:pPr>
        <w:spacing w:after="0" w:line="295" w:lineRule="auto"/>
        <w:rPr>
          <w:rFonts w:ascii="Arial" w:cs="Arial" w:eastAsia="Arial" w:hAnsi="Arial"/>
          <w:sz w:val="17"/>
          <w:szCs w:val="17"/>
          <w:u w:val="single" w:color="auto"/>
          <w:color w:val="0000EE"/>
        </w:rPr>
      </w:pPr>
      <w:hyperlink r:id="rId131">
        <w:r>
          <w:rPr>
            <w:rFonts w:ascii="Arial" w:cs="Arial" w:eastAsia="Arial" w:hAnsi="Arial"/>
            <w:sz w:val="17"/>
            <w:szCs w:val="17"/>
            <w:u w:val="single" w:color="auto"/>
            <w:color w:val="0000EE"/>
          </w:rPr>
          <w:t>Form of 2017 Three-Year Performance Share Unit Award Agreement under Schlumberger 2013 Omnibus Stock Incentive Plan (incorporated</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by reference to Exhibit 10.2 to Schlumberger’s Quarterly Report on Form 10-Q for the quarter ended March 31, 2017) (+)</w:t>
        </w:r>
      </w:hyperlink>
    </w:p>
    <w:p>
      <w:pPr>
        <w:spacing w:after="0" w:line="157" w:lineRule="exact"/>
        <w:rPr>
          <w:sz w:val="20"/>
          <w:szCs w:val="20"/>
          <w:color w:val="auto"/>
        </w:rPr>
      </w:pPr>
    </w:p>
    <w:p>
      <w:pPr>
        <w:spacing w:after="0"/>
        <w:rPr>
          <w:rFonts w:ascii="Arial" w:cs="Arial" w:eastAsia="Arial" w:hAnsi="Arial"/>
          <w:sz w:val="15"/>
          <w:szCs w:val="15"/>
          <w:u w:val="single" w:color="auto"/>
          <w:color w:val="0000EE"/>
        </w:rPr>
      </w:pPr>
      <w:hyperlink w:anchor="page188">
        <w:r>
          <w:rPr>
            <w:rFonts w:ascii="Arial" w:cs="Arial" w:eastAsia="Arial" w:hAnsi="Arial"/>
            <w:sz w:val="15"/>
            <w:szCs w:val="15"/>
            <w:u w:val="single" w:color="auto"/>
            <w:color w:val="0000EE"/>
          </w:rPr>
          <w:t>Form of 2018 French Qualified Performance Share Unit Award Agreement under Schlumberger 2010 Omnibus Stock Incentive Plan (*) (+)</w:t>
        </w:r>
      </w:hyperlink>
    </w:p>
    <w:p>
      <w:pPr>
        <w:spacing w:after="0" w:line="252" w:lineRule="exact"/>
        <w:rPr>
          <w:sz w:val="20"/>
          <w:szCs w:val="20"/>
          <w:color w:val="auto"/>
        </w:rPr>
      </w:pPr>
    </w:p>
    <w:p>
      <w:pPr>
        <w:spacing w:after="0" w:line="265" w:lineRule="auto"/>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Addendum to Restricted Stock Unit Award Agreements, Performance Share Unit Agreements, Incentive Stock Option Agreements, and Non-</w:t>
        </w:r>
      </w:hyperlink>
      <w:hyperlink w:anchor="page207">
        <w:r>
          <w:rPr>
            <w:rFonts w:ascii="Arial" w:cs="Arial" w:eastAsia="Arial" w:hAnsi="Arial"/>
            <w:sz w:val="18"/>
            <w:szCs w:val="18"/>
            <w:u w:val="single" w:color="auto"/>
            <w:color w:val="0000EE"/>
          </w:rPr>
          <w:t>Qualified Stock Option Agreements Issued Prior to July 19, 2017 (*) (+)</w:t>
        </w:r>
      </w:hyperlink>
    </w:p>
    <w:p>
      <w:pPr>
        <w:spacing w:after="0" w:line="87" w:lineRule="exact"/>
        <w:rPr>
          <w:sz w:val="20"/>
          <w:szCs w:val="20"/>
          <w:color w:val="auto"/>
        </w:rPr>
      </w:pPr>
    </w:p>
    <w:p>
      <w:pPr>
        <w:ind w:right="20"/>
        <w:spacing w:after="0" w:line="265" w:lineRule="auto"/>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Form of Indemnification Agreement (incorporated by reference to Exhibit 10 to Schlumberger’s Current Report on Form 8-K filed on October</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21, 2013)</w:t>
        </w:r>
      </w:hyperlink>
    </w:p>
    <w:p>
      <w:pPr>
        <w:spacing w:after="0" w:line="87" w:lineRule="exact"/>
        <w:rPr>
          <w:sz w:val="20"/>
          <w:szCs w:val="20"/>
          <w:color w:val="auto"/>
        </w:rPr>
      </w:pPr>
    </w:p>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Subsidiaries (*)</w:t>
        </w:r>
      </w:hyperlink>
    </w:p>
    <w:p>
      <w:pPr>
        <w:spacing w:after="0" w:line="125" w:lineRule="exact"/>
        <w:rPr>
          <w:sz w:val="20"/>
          <w:szCs w:val="20"/>
          <w:color w:val="auto"/>
        </w:rPr>
      </w:pPr>
    </w:p>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Consent of Independent Registered Public Accounting Firm (*)</w:t>
        </w:r>
      </w:hyperlink>
    </w:p>
    <w:p>
      <w:pPr>
        <w:spacing w:after="0" w:line="85" w:lineRule="exact"/>
        <w:rPr>
          <w:sz w:val="20"/>
          <w:szCs w:val="20"/>
          <w:color w:val="auto"/>
        </w:rPr>
      </w:pPr>
    </w:p>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Powers of Attorney (*)</w:t>
        </w:r>
      </w:hyperlink>
    </w:p>
    <w:p>
      <w:pPr>
        <w:spacing w:after="0" w:line="85" w:lineRule="exact"/>
        <w:rPr>
          <w:sz w:val="20"/>
          <w:szCs w:val="20"/>
          <w:color w:val="auto"/>
        </w:rPr>
      </w:pPr>
    </w:p>
    <w:p>
      <w:pPr>
        <w:spacing w:after="0"/>
        <w:rPr>
          <w:rFonts w:ascii="Arial" w:cs="Arial" w:eastAsia="Arial" w:hAnsi="Arial"/>
          <w:sz w:val="15"/>
          <w:szCs w:val="15"/>
          <w:u w:val="single" w:color="auto"/>
          <w:color w:val="0000EE"/>
        </w:rPr>
      </w:pPr>
      <w:hyperlink w:anchor="page218">
        <w:r>
          <w:rPr>
            <w:rFonts w:ascii="Arial" w:cs="Arial" w:eastAsia="Arial" w:hAnsi="Arial"/>
            <w:sz w:val="15"/>
            <w:szCs w:val="15"/>
            <w:u w:val="single" w:color="auto"/>
            <w:color w:val="0000EE"/>
          </w:rPr>
          <w:t>Certification of Chief Executive Officer pursuant to Rule 13a-14(a) as adopted pursuant to Section 302 of the Sarbanes-Oxley Act of 2002 (*)</w:t>
        </w:r>
      </w:hyperlink>
    </w:p>
    <w:p>
      <w:pPr>
        <w:spacing w:after="0" w:line="120" w:lineRule="exact"/>
        <w:rPr>
          <w:sz w:val="20"/>
          <w:szCs w:val="20"/>
          <w:color w:val="auto"/>
        </w:rPr>
      </w:pPr>
    </w:p>
    <w:p>
      <w:pPr>
        <w:spacing w:after="0"/>
        <w:rPr>
          <w:rFonts w:ascii="Arial" w:cs="Arial" w:eastAsia="Arial" w:hAnsi="Arial"/>
          <w:sz w:val="15"/>
          <w:szCs w:val="15"/>
          <w:u w:val="single" w:color="auto"/>
          <w:color w:val="0000EE"/>
        </w:rPr>
      </w:pPr>
      <w:hyperlink w:anchor="page219">
        <w:r>
          <w:rPr>
            <w:rFonts w:ascii="Arial" w:cs="Arial" w:eastAsia="Arial" w:hAnsi="Arial"/>
            <w:sz w:val="15"/>
            <w:szCs w:val="15"/>
            <w:u w:val="single" w:color="auto"/>
            <w:color w:val="0000EE"/>
          </w:rPr>
          <w:t>Certification of Chief Financial Officer pursuant to Rule 13a-14(a) as adopted pursuant to Section 302 of the Sarbanes-Oxley Act of 2002 (*)</w:t>
        </w:r>
      </w:hyperlink>
    </w:p>
    <w:p>
      <w:pPr>
        <w:spacing w:after="0" w:line="120" w:lineRule="exact"/>
        <w:rPr>
          <w:sz w:val="20"/>
          <w:szCs w:val="20"/>
          <w:color w:val="auto"/>
        </w:rPr>
      </w:pPr>
    </w:p>
    <w:p>
      <w:pPr>
        <w:spacing w:after="0" w:line="265" w:lineRule="auto"/>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Certification of Chief Executive Officer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220">
        <w:r>
          <w:rPr>
            <w:rFonts w:ascii="Arial" w:cs="Arial" w:eastAsia="Arial" w:hAnsi="Arial"/>
            <w:sz w:val="18"/>
            <w:szCs w:val="18"/>
            <w:u w:val="single" w:color="auto"/>
            <w:color w:val="0000EE"/>
          </w:rPr>
          <w:t>2002 (*)</w:t>
        </w:r>
      </w:hyperlink>
    </w:p>
    <w:p>
      <w:pPr>
        <w:spacing w:after="0" w:line="18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74295</wp:posOffset>
            </wp:positionV>
            <wp:extent cx="729107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Exhibit</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10.17</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10.18</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10.19</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10.20</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10.21</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10.22</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10.23</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10.24</w:t>
      </w: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10.25</w:t>
      </w:r>
    </w:p>
    <w:p>
      <w:pPr>
        <w:spacing w:after="0" w:line="200" w:lineRule="exact"/>
        <w:rPr>
          <w:sz w:val="20"/>
          <w:szCs w:val="20"/>
          <w:color w:val="auto"/>
        </w:rPr>
      </w:pPr>
    </w:p>
    <w:p>
      <w:pPr>
        <w:spacing w:after="0" w:line="2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10.26</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10.27</w:t>
      </w:r>
    </w:p>
    <w:p>
      <w:pPr>
        <w:spacing w:after="0" w:line="3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10.28</w:t>
      </w:r>
    </w:p>
    <w:p>
      <w:pPr>
        <w:spacing w:after="0" w:line="37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21</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23</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ectPr>
          <w:pgSz w:w="11900" w:h="16838" w:orient="portrait"/>
          <w:cols w:equalWidth="0" w:num="2">
            <w:col w:w="10140" w:space="480"/>
            <w:col w:w="760"/>
          </w:cols>
          <w:pgMar w:left="260" w:top="329" w:right="259" w:bottom="1440" w:gutter="0" w:footer="0" w:header="0"/>
        </w:sectPr>
      </w:pPr>
    </w:p>
    <w:bookmarkStart w:id="70" w:name="page71"/>
    <w:bookmarkEnd w:id="70"/>
    <w:p>
      <w:pPr>
        <w:spacing w:after="0" w:line="276" w:lineRule="exact"/>
        <w:rPr>
          <w:sz w:val="20"/>
          <w:szCs w:val="20"/>
          <w:color w:val="auto"/>
        </w:rPr>
      </w:pPr>
    </w:p>
    <w:p>
      <w:pPr>
        <w:jc w:val="both"/>
        <w:ind w:left="20"/>
        <w:spacing w:after="0" w:line="265" w:lineRule="auto"/>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Certification of Chief Financial Officer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221">
        <w:r>
          <w:rPr>
            <w:rFonts w:ascii="Arial" w:cs="Arial" w:eastAsia="Arial" w:hAnsi="Arial"/>
            <w:sz w:val="18"/>
            <w:szCs w:val="18"/>
            <w:u w:val="single" w:color="auto"/>
            <w:color w:val="0000EE"/>
          </w:rPr>
          <w:t>2002 (*)</w:t>
        </w:r>
      </w:hyperlink>
    </w:p>
    <w:p>
      <w:pPr>
        <w:spacing w:after="0" w:line="47" w:lineRule="exact"/>
        <w:rPr>
          <w:sz w:val="20"/>
          <w:szCs w:val="20"/>
          <w:color w:val="auto"/>
        </w:rPr>
      </w:pPr>
    </w:p>
    <w:p>
      <w:pPr>
        <w:ind w:left="2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Mine Safety Disclosure (*)</w:t>
        </w:r>
      </w:hyperlink>
    </w:p>
    <w:p>
      <w:pPr>
        <w:spacing w:after="0" w:line="85" w:lineRule="exact"/>
        <w:rPr>
          <w:sz w:val="20"/>
          <w:szCs w:val="20"/>
          <w:color w:val="auto"/>
        </w:rPr>
      </w:pPr>
    </w:p>
    <w:p>
      <w:pPr>
        <w:jc w:val="both"/>
        <w:ind w:left="20"/>
        <w:spacing w:after="0" w:line="252" w:lineRule="auto"/>
        <w:rPr>
          <w:sz w:val="20"/>
          <w:szCs w:val="20"/>
          <w:color w:val="auto"/>
        </w:rPr>
      </w:pPr>
      <w:r>
        <w:rPr>
          <w:rFonts w:ascii="Arial" w:cs="Arial" w:eastAsia="Arial" w:hAnsi="Arial"/>
          <w:sz w:val="18"/>
          <w:szCs w:val="18"/>
          <w:color w:val="auto"/>
        </w:rPr>
        <w:t>The following materials from Schlumberger Limited’s Annual Report on Form 10-K for the year ended December 31, 2018,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 (*)</w:t>
      </w:r>
    </w:p>
    <w:p>
      <w:pPr>
        <w:spacing w:after="0" w:line="301" w:lineRule="exact"/>
        <w:rPr>
          <w:sz w:val="20"/>
          <w:szCs w:val="20"/>
          <w:color w:val="auto"/>
        </w:rPr>
      </w:pPr>
    </w:p>
    <w:p>
      <w:pPr>
        <w:ind w:left="240" w:hanging="221"/>
        <w:spacing w:after="0"/>
        <w:tabs>
          <w:tab w:leader="none" w:pos="2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Exhibits electronically filed with this Form 10-K. All other exhibits incorporated by reference.</w:t>
      </w:r>
    </w:p>
    <w:p>
      <w:pPr>
        <w:spacing w:after="0" w:line="19"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 Management contracts or compensatory plans or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Exhibit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32.2</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ectPr>
          <w:pgSz w:w="11900" w:h="16838" w:orient="portrait"/>
          <w:cols w:equalWidth="0" w:num="2">
            <w:col w:w="10160" w:space="480"/>
            <w:col w:w="760"/>
          </w:cols>
          <w:pgMar w:left="240" w:top="329"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40" w:val="left"/>
          <w:tab w:leader="none" w:pos="7220" w:val="left"/>
        </w:tabs>
        <w:rPr>
          <w:sz w:val="20"/>
          <w:szCs w:val="20"/>
          <w:color w:val="auto"/>
        </w:rPr>
      </w:pPr>
      <w:r>
        <w:rPr>
          <w:rFonts w:ascii="Arial" w:cs="Arial" w:eastAsia="Arial" w:hAnsi="Arial"/>
          <w:sz w:val="18"/>
          <w:szCs w:val="18"/>
          <w:color w:val="auto"/>
        </w:rPr>
        <w:t>Date:</w:t>
        <w:tab/>
        <w:t>January 23, 2019</w:t>
      </w:r>
      <w:r>
        <w:rPr>
          <w:sz w:val="20"/>
          <w:szCs w:val="20"/>
          <w:color w:val="auto"/>
        </w:rPr>
        <w:tab/>
      </w:r>
      <w:r>
        <w:rPr>
          <w:rFonts w:ascii="Arial" w:cs="Arial" w:eastAsia="Arial" w:hAnsi="Arial"/>
          <w:sz w:val="17"/>
          <w:szCs w:val="17"/>
          <w:color w:val="auto"/>
        </w:rPr>
        <w:t>S</w:t>
      </w:r>
      <w:r>
        <w:rPr>
          <w:rFonts w:ascii="Arial" w:cs="Arial" w:eastAsia="Arial" w:hAnsi="Arial"/>
          <w:sz w:val="12"/>
          <w:szCs w:val="12"/>
          <w:color w:val="auto"/>
        </w:rPr>
        <w:t>CHLUMBERGER</w:t>
      </w:r>
      <w:r>
        <w:rPr>
          <w:rFonts w:ascii="Arial" w:cs="Arial" w:eastAsia="Arial" w:hAnsi="Arial"/>
          <w:sz w:val="17"/>
          <w:szCs w:val="17"/>
          <w:color w:val="auto"/>
        </w:rPr>
        <w:t xml:space="preserve"> L</w:t>
      </w:r>
      <w:r>
        <w:rPr>
          <w:rFonts w:ascii="Arial" w:cs="Arial" w:eastAsia="Arial" w:hAnsi="Arial"/>
          <w:sz w:val="12"/>
          <w:szCs w:val="12"/>
          <w:color w:val="auto"/>
        </w:rPr>
        <w:t>IMITED</w:t>
      </w:r>
    </w:p>
    <w:p>
      <w:pPr>
        <w:spacing w:after="0" w:line="218" w:lineRule="exact"/>
        <w:rPr>
          <w:sz w:val="20"/>
          <w:szCs w:val="20"/>
          <w:color w:val="auto"/>
        </w:rPr>
      </w:pPr>
    </w:p>
    <w:p>
      <w:pPr>
        <w:jc w:val="center"/>
        <w:ind w:left="6740"/>
        <w:spacing w:after="0"/>
        <w:tabs>
          <w:tab w:leader="none" w:pos="22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H</w:t>
      </w:r>
      <w:r>
        <w:rPr>
          <w:rFonts w:ascii="Arial" w:cs="Arial" w:eastAsia="Arial" w:hAnsi="Arial"/>
          <w:sz w:val="13"/>
          <w:szCs w:val="13"/>
          <w:color w:val="auto"/>
        </w:rPr>
        <w:t>OWARD</w:t>
      </w:r>
      <w:r>
        <w:rPr>
          <w:rFonts w:ascii="Arial" w:cs="Arial" w:eastAsia="Arial" w:hAnsi="Arial"/>
          <w:sz w:val="18"/>
          <w:szCs w:val="18"/>
          <w:color w:val="auto"/>
        </w:rPr>
        <w:t xml:space="preserve"> G</w:t>
      </w:r>
      <w:r>
        <w:rPr>
          <w:rFonts w:ascii="Arial" w:cs="Arial" w:eastAsia="Arial" w:hAnsi="Arial"/>
          <w:sz w:val="13"/>
          <w:szCs w:val="13"/>
          <w:color w:val="auto"/>
        </w:rPr>
        <w:t>UILD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-96520</wp:posOffset>
            </wp:positionV>
            <wp:extent cx="26549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2654935" cy="8255"/>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4"/>
          <w:szCs w:val="14"/>
          <w:b w:val="1"/>
          <w:bCs w:val="1"/>
          <w:color w:val="auto"/>
        </w:rPr>
        <w:t>Chief Accounting Officer</w:t>
      </w:r>
    </w:p>
    <w:p>
      <w:pPr>
        <w:spacing w:after="0" w:line="23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000" w:type="dxa"/>
            <w:vAlign w:val="bottom"/>
          </w:tcPr>
          <w:p>
            <w:pPr>
              <w:ind w:left="2880"/>
              <w:spacing w:after="0"/>
              <w:rPr>
                <w:sz w:val="20"/>
                <w:szCs w:val="20"/>
                <w:color w:val="auto"/>
              </w:rPr>
            </w:pPr>
            <w:r>
              <w:rPr>
                <w:rFonts w:ascii="Arial" w:cs="Arial" w:eastAsia="Arial" w:hAnsi="Arial"/>
                <w:sz w:val="14"/>
                <w:szCs w:val="14"/>
                <w:b w:val="1"/>
                <w:bCs w:val="1"/>
                <w:color w:val="auto"/>
              </w:rPr>
              <w:t>Title</w:t>
            </w:r>
          </w:p>
        </w:tc>
      </w:tr>
      <w:tr>
        <w:trPr>
          <w:trHeight w:val="408"/>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Chairman and Chief Executive Officer</w:t>
            </w:r>
          </w:p>
        </w:tc>
      </w:tr>
      <w:tr>
        <w:trPr>
          <w:trHeight w:val="218"/>
        </w:trPr>
        <w:tc>
          <w:tcPr>
            <w:tcW w:w="5580" w:type="dxa"/>
            <w:vAlign w:val="bottom"/>
          </w:tcPr>
          <w:p>
            <w:pPr>
              <w:jc w:val="center"/>
              <w:spacing w:after="0"/>
              <w:rPr>
                <w:sz w:val="20"/>
                <w:szCs w:val="20"/>
                <w:color w:val="auto"/>
              </w:rPr>
            </w:pPr>
            <w:r>
              <w:rPr>
                <w:rFonts w:ascii="Arial" w:cs="Arial" w:eastAsia="Arial" w:hAnsi="Arial"/>
                <w:sz w:val="18"/>
                <w:szCs w:val="18"/>
                <w:color w:val="auto"/>
                <w:w w:val="88"/>
              </w:rPr>
              <w:t>Paal Kibsgaard</w:t>
            </w:r>
          </w:p>
        </w:tc>
        <w:tc>
          <w:tcPr>
            <w:tcW w:w="4000" w:type="dxa"/>
            <w:vAlign w:val="bottom"/>
          </w:tcPr>
          <w:p>
            <w:pPr>
              <w:ind w:left="240"/>
              <w:spacing w:after="0" w:line="204" w:lineRule="exact"/>
              <w:rPr>
                <w:sz w:val="20"/>
                <w:szCs w:val="20"/>
                <w:color w:val="auto"/>
              </w:rPr>
            </w:pPr>
            <w:r>
              <w:rPr>
                <w:rFonts w:ascii="Arial" w:cs="Arial" w:eastAsia="Arial" w:hAnsi="Arial"/>
                <w:sz w:val="18"/>
                <w:szCs w:val="18"/>
                <w:color w:val="auto"/>
              </w:rPr>
              <w:t>(Principal Executive Officer)</w:t>
            </w:r>
          </w:p>
        </w:tc>
      </w:tr>
      <w:tr>
        <w:trPr>
          <w:trHeight w:val="412"/>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3"/>
                <w:szCs w:val="13"/>
                <w:color w:val="auto"/>
                <w:w w:val="96"/>
              </w:rPr>
              <w:t>S</w:t>
            </w:r>
            <w:r>
              <w:rPr>
                <w:rFonts w:ascii="Arial" w:cs="Arial" w:eastAsia="Arial" w:hAnsi="Arial"/>
                <w:sz w:val="18"/>
                <w:szCs w:val="18"/>
                <w:color w:val="auto"/>
                <w:w w:val="96"/>
              </w:rPr>
              <w:t>/ S</w:t>
            </w:r>
            <w:r>
              <w:rPr>
                <w:rFonts w:ascii="Arial" w:cs="Arial" w:eastAsia="Arial" w:hAnsi="Arial"/>
                <w:sz w:val="13"/>
                <w:szCs w:val="13"/>
                <w:color w:val="auto"/>
                <w:w w:val="96"/>
              </w:rPr>
              <w:t>IMON</w:t>
            </w:r>
            <w:r>
              <w:rPr>
                <w:rFonts w:ascii="Arial" w:cs="Arial" w:eastAsia="Arial" w:hAnsi="Arial"/>
                <w:sz w:val="18"/>
                <w:szCs w:val="18"/>
                <w:color w:val="auto"/>
                <w:w w:val="96"/>
              </w:rPr>
              <w:t xml:space="preserve"> A</w:t>
            </w:r>
            <w:r>
              <w:rPr>
                <w:rFonts w:ascii="Arial" w:cs="Arial" w:eastAsia="Arial" w:hAnsi="Arial"/>
                <w:sz w:val="13"/>
                <w:szCs w:val="13"/>
                <w:color w:val="auto"/>
                <w:w w:val="96"/>
              </w:rPr>
              <w:t>YAT</w:t>
            </w:r>
          </w:p>
        </w:tc>
        <w:tc>
          <w:tcPr>
            <w:tcW w:w="4000" w:type="dxa"/>
            <w:vAlign w:val="bottom"/>
          </w:tcPr>
          <w:p>
            <w:pPr>
              <w:ind w:left="240"/>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218"/>
        </w:trPr>
        <w:tc>
          <w:tcPr>
            <w:tcW w:w="5580" w:type="dxa"/>
            <w:vAlign w:val="bottom"/>
          </w:tcPr>
          <w:p>
            <w:pPr>
              <w:jc w:val="center"/>
              <w:spacing w:after="0"/>
              <w:rPr>
                <w:sz w:val="20"/>
                <w:szCs w:val="20"/>
                <w:color w:val="auto"/>
              </w:rPr>
            </w:pPr>
            <w:r>
              <w:rPr>
                <w:rFonts w:ascii="Arial" w:cs="Arial" w:eastAsia="Arial" w:hAnsi="Arial"/>
                <w:sz w:val="18"/>
                <w:szCs w:val="18"/>
                <w:color w:val="auto"/>
                <w:w w:val="91"/>
              </w:rPr>
              <w:t>Simon Ayat</w:t>
            </w:r>
          </w:p>
        </w:tc>
        <w:tc>
          <w:tcPr>
            <w:tcW w:w="4000" w:type="dxa"/>
            <w:vAlign w:val="bottom"/>
          </w:tcPr>
          <w:p>
            <w:pPr>
              <w:ind w:left="240"/>
              <w:spacing w:after="0" w:line="204" w:lineRule="exact"/>
              <w:rPr>
                <w:sz w:val="20"/>
                <w:szCs w:val="20"/>
                <w:color w:val="auto"/>
              </w:rPr>
            </w:pPr>
            <w:r>
              <w:rPr>
                <w:rFonts w:ascii="Arial" w:cs="Arial" w:eastAsia="Arial" w:hAnsi="Arial"/>
                <w:sz w:val="18"/>
                <w:szCs w:val="18"/>
                <w:color w:val="auto"/>
              </w:rPr>
              <w:t>(Principal Financial Officer)</w:t>
            </w:r>
          </w:p>
        </w:tc>
      </w:tr>
      <w:tr>
        <w:trPr>
          <w:trHeight w:val="412"/>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3"/>
                <w:szCs w:val="13"/>
                <w:color w:val="auto"/>
                <w:w w:val="97"/>
              </w:rPr>
              <w:t>S</w:t>
            </w:r>
            <w:r>
              <w:rPr>
                <w:rFonts w:ascii="Arial" w:cs="Arial" w:eastAsia="Arial" w:hAnsi="Arial"/>
                <w:sz w:val="18"/>
                <w:szCs w:val="18"/>
                <w:color w:val="auto"/>
                <w:w w:val="97"/>
              </w:rPr>
              <w:t>/ H</w:t>
            </w:r>
            <w:r>
              <w:rPr>
                <w:rFonts w:ascii="Arial" w:cs="Arial" w:eastAsia="Arial" w:hAnsi="Arial"/>
                <w:sz w:val="13"/>
                <w:szCs w:val="13"/>
                <w:color w:val="auto"/>
                <w:w w:val="97"/>
              </w:rPr>
              <w:t>OWARD</w:t>
            </w:r>
            <w:r>
              <w:rPr>
                <w:rFonts w:ascii="Arial" w:cs="Arial" w:eastAsia="Arial" w:hAnsi="Arial"/>
                <w:sz w:val="18"/>
                <w:szCs w:val="18"/>
                <w:color w:val="auto"/>
                <w:w w:val="97"/>
              </w:rPr>
              <w:t xml:space="preserve"> G</w:t>
            </w:r>
            <w:r>
              <w:rPr>
                <w:rFonts w:ascii="Arial" w:cs="Arial" w:eastAsia="Arial" w:hAnsi="Arial"/>
                <w:sz w:val="13"/>
                <w:szCs w:val="13"/>
                <w:color w:val="auto"/>
                <w:w w:val="97"/>
              </w:rPr>
              <w:t>UILD</w:t>
            </w:r>
          </w:p>
        </w:tc>
        <w:tc>
          <w:tcPr>
            <w:tcW w:w="4000" w:type="dxa"/>
            <w:vAlign w:val="bottom"/>
          </w:tcPr>
          <w:p>
            <w:pPr>
              <w:ind w:left="240"/>
              <w:spacing w:after="0"/>
              <w:rPr>
                <w:sz w:val="20"/>
                <w:szCs w:val="20"/>
                <w:color w:val="auto"/>
              </w:rPr>
            </w:pPr>
            <w:r>
              <w:rPr>
                <w:rFonts w:ascii="Arial" w:cs="Arial" w:eastAsia="Arial" w:hAnsi="Arial"/>
                <w:sz w:val="18"/>
                <w:szCs w:val="18"/>
                <w:color w:val="auto"/>
              </w:rPr>
              <w:t>Chief Accounting Officer</w:t>
            </w:r>
          </w:p>
        </w:tc>
      </w:tr>
      <w:tr>
        <w:trPr>
          <w:trHeight w:val="218"/>
        </w:trPr>
        <w:tc>
          <w:tcPr>
            <w:tcW w:w="5580" w:type="dxa"/>
            <w:vAlign w:val="bottom"/>
          </w:tcPr>
          <w:p>
            <w:pPr>
              <w:jc w:val="center"/>
              <w:spacing w:after="0"/>
              <w:rPr>
                <w:sz w:val="20"/>
                <w:szCs w:val="20"/>
                <w:color w:val="auto"/>
              </w:rPr>
            </w:pPr>
            <w:r>
              <w:rPr>
                <w:rFonts w:ascii="Arial" w:cs="Arial" w:eastAsia="Arial" w:hAnsi="Arial"/>
                <w:sz w:val="18"/>
                <w:szCs w:val="18"/>
                <w:color w:val="auto"/>
                <w:w w:val="93"/>
              </w:rPr>
              <w:t>Howard Guild</w:t>
            </w:r>
          </w:p>
        </w:tc>
        <w:tc>
          <w:tcPr>
            <w:tcW w:w="4000" w:type="dxa"/>
            <w:vAlign w:val="bottom"/>
          </w:tcPr>
          <w:p>
            <w:pPr>
              <w:ind w:left="240"/>
              <w:spacing w:after="0" w:line="204" w:lineRule="exact"/>
              <w:rPr>
                <w:sz w:val="20"/>
                <w:szCs w:val="20"/>
                <w:color w:val="auto"/>
              </w:rPr>
            </w:pPr>
            <w:r>
              <w:rPr>
                <w:rFonts w:ascii="Arial" w:cs="Arial" w:eastAsia="Arial" w:hAnsi="Arial"/>
                <w:sz w:val="18"/>
                <w:szCs w:val="18"/>
                <w:color w:val="auto"/>
              </w:rPr>
              <w:t>(Principal Accounting Officer)</w:t>
            </w: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89"/>
              </w:rPr>
              <w:t>Peter L.S. Currie</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93"/>
              </w:rPr>
              <w:t>Miguel Galuccio</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88"/>
              </w:rPr>
              <w:t>V. Maureen Kempston Darkes</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93"/>
              </w:rPr>
              <w:t>Nikolay Kudryavtsev</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91"/>
              </w:rPr>
              <w:t>Michael E. Marks</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91"/>
              </w:rPr>
              <w:t>Tatiana Mitrova</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94"/>
              </w:rPr>
              <w:t>Indra K. Nooyi</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89"/>
              </w:rPr>
              <w:t>Lubna S. Olayan</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88"/>
              </w:rPr>
              <w:t>Mark G. Papa</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91"/>
              </w:rPr>
              <w:t>Leo Rafael Reif</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89"/>
              </w:rPr>
              <w:t>Henri Seydoux</w:t>
            </w:r>
          </w:p>
        </w:tc>
        <w:tc>
          <w:tcPr>
            <w:tcW w:w="4000" w:type="dxa"/>
            <w:vAlign w:val="bottom"/>
          </w:tcPr>
          <w:p>
            <w:pPr>
              <w:spacing w:after="0"/>
              <w:rPr>
                <w:sz w:val="18"/>
                <w:szCs w:val="18"/>
                <w:color w:val="auto"/>
              </w:rPr>
            </w:pPr>
          </w:p>
        </w:tc>
      </w:tr>
      <w:tr>
        <w:trPr>
          <w:trHeight w:val="41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w:t>
            </w:r>
            <w:r>
              <w:rPr>
                <w:rFonts w:ascii="Arial" w:cs="Arial" w:eastAsia="Arial" w:hAnsi="Arial"/>
                <w:sz w:val="13"/>
                <w:szCs w:val="13"/>
                <w:color w:val="auto"/>
                <w:w w:val="96"/>
              </w:rPr>
              <w:t>LEXANDER</w:t>
            </w:r>
            <w:r>
              <w:rPr>
                <w:rFonts w:ascii="Arial" w:cs="Arial" w:eastAsia="Arial" w:hAnsi="Arial"/>
                <w:sz w:val="18"/>
                <w:szCs w:val="18"/>
                <w:color w:val="auto"/>
                <w:w w:val="96"/>
              </w:rPr>
              <w:t xml:space="preserve"> C. J</w:t>
            </w:r>
            <w:r>
              <w:rPr>
                <w:rFonts w:ascii="Arial" w:cs="Arial" w:eastAsia="Arial" w:hAnsi="Arial"/>
                <w:sz w:val="13"/>
                <w:szCs w:val="13"/>
                <w:color w:val="auto"/>
                <w:w w:val="96"/>
              </w:rPr>
              <w:t>UDEN</w:t>
            </w:r>
          </w:p>
        </w:tc>
        <w:tc>
          <w:tcPr>
            <w:tcW w:w="4000" w:type="dxa"/>
            <w:vAlign w:val="bottom"/>
          </w:tcPr>
          <w:p>
            <w:pPr>
              <w:ind w:left="240"/>
              <w:spacing w:after="0"/>
              <w:rPr>
                <w:sz w:val="20"/>
                <w:szCs w:val="20"/>
                <w:color w:val="auto"/>
              </w:rPr>
            </w:pPr>
            <w:r>
              <w:rPr>
                <w:rFonts w:ascii="Arial" w:cs="Arial" w:eastAsia="Arial" w:hAnsi="Arial"/>
                <w:sz w:val="18"/>
                <w:szCs w:val="18"/>
                <w:color w:val="auto"/>
              </w:rPr>
              <w:t>January 23, 2019</w:t>
            </w:r>
          </w:p>
        </w:tc>
      </w:tr>
      <w:tr>
        <w:trPr>
          <w:trHeight w:val="217"/>
        </w:trPr>
        <w:tc>
          <w:tcPr>
            <w:tcW w:w="5580" w:type="dxa"/>
            <w:vAlign w:val="bottom"/>
          </w:tcPr>
          <w:p>
            <w:pPr>
              <w:jc w:val="center"/>
              <w:spacing w:after="0"/>
              <w:rPr>
                <w:sz w:val="20"/>
                <w:szCs w:val="20"/>
                <w:color w:val="auto"/>
              </w:rPr>
            </w:pPr>
            <w:r>
              <w:rPr>
                <w:rFonts w:ascii="Arial" w:cs="Arial" w:eastAsia="Arial" w:hAnsi="Arial"/>
                <w:sz w:val="18"/>
                <w:szCs w:val="18"/>
                <w:color w:val="auto"/>
                <w:w w:val="91"/>
              </w:rPr>
              <w:t>*By Alexander C. Juden Attorney-in-Fact</w:t>
            </w:r>
          </w:p>
        </w:tc>
        <w:tc>
          <w:tcPr>
            <w:tcW w:w="4000" w:type="dxa"/>
            <w:vAlign w:val="bottom"/>
          </w:tcPr>
          <w:p>
            <w:pPr>
              <w:spacing w:after="0"/>
              <w:rPr>
                <w:sz w:val="18"/>
                <w:szCs w:val="18"/>
                <w:color w:val="auto"/>
              </w:rPr>
            </w:pPr>
          </w:p>
        </w:tc>
      </w:tr>
      <w:tr>
        <w:trPr>
          <w:trHeight w:val="426"/>
        </w:trPr>
        <w:tc>
          <w:tcPr>
            <w:tcW w:w="558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20"/>
          </w:cols>
          <w:pgMar w:left="240" w:top="121" w:right="239" w:bottom="1440" w:gutter="0" w:footer="0" w:header="0"/>
        </w:sectPr>
      </w:pPr>
    </w:p>
    <w:bookmarkStart w:id="72" w:name="page73"/>
    <w:bookmarkEnd w:id="72"/>
    <w:p>
      <w:pPr>
        <w:ind w:left="10320"/>
        <w:spacing w:after="0"/>
        <w:rPr>
          <w:sz w:val="20"/>
          <w:szCs w:val="20"/>
          <w:color w:val="auto"/>
        </w:rPr>
      </w:pPr>
      <w:r>
        <w:rPr>
          <w:rFonts w:ascii="Arial" w:cs="Arial" w:eastAsia="Arial" w:hAnsi="Arial"/>
          <w:sz w:val="20"/>
          <w:szCs w:val="20"/>
          <w:b w:val="1"/>
          <w:bCs w:val="1"/>
          <w:color w:val="auto"/>
        </w:rPr>
        <w:t>Exhibit 10.1</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SCHLUMBERGER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SUPPLEMENTARY BENEFIT PLAN</w:t>
      </w:r>
    </w:p>
    <w:p>
      <w:pPr>
        <w:spacing w:after="0" w:line="192" w:lineRule="exact"/>
        <w:rPr>
          <w:sz w:val="20"/>
          <w:szCs w:val="20"/>
          <w:color w:val="auto"/>
        </w:rPr>
      </w:pPr>
    </w:p>
    <w:p>
      <w:pPr>
        <w:jc w:val="center"/>
        <w:ind w:right="20"/>
        <w:spacing w:after="0" w:line="453" w:lineRule="auto"/>
        <w:rPr>
          <w:sz w:val="20"/>
          <w:szCs w:val="20"/>
          <w:color w:val="auto"/>
        </w:rPr>
      </w:pPr>
      <w:r>
        <w:rPr>
          <w:rFonts w:ascii="Arial" w:cs="Arial" w:eastAsia="Arial" w:hAnsi="Arial"/>
          <w:sz w:val="21"/>
          <w:szCs w:val="21"/>
          <w:color w:val="auto"/>
        </w:rPr>
        <w:t>(As Amended and Restated Effective January 1, 2018 and conformed to include amendments through January 1, 2019) INDEX</w:t>
      </w:r>
    </w:p>
    <w:tbl>
      <w:tblPr>
        <w:tblLayout w:type="fixed"/>
        <w:tblInd w:w="0" w:type="dxa"/>
        <w:tblCellMar>
          <w:top w:w="0" w:type="dxa"/>
          <w:left w:w="0" w:type="dxa"/>
          <w:bottom w:w="0" w:type="dxa"/>
          <w:right w:w="0" w:type="dxa"/>
        </w:tblCellMar>
      </w:tblPr>
      <w:tr>
        <w:trPr>
          <w:trHeight w:val="212"/>
        </w:trPr>
        <w:tc>
          <w:tcPr>
            <w:tcW w:w="9440" w:type="dxa"/>
            <w:vAlign w:val="bottom"/>
            <w:gridSpan w:val="2"/>
          </w:tcPr>
          <w:p>
            <w:pPr>
              <w:spacing w:after="0"/>
              <w:rPr>
                <w:sz w:val="20"/>
                <w:szCs w:val="20"/>
                <w:color w:val="auto"/>
              </w:rPr>
            </w:pPr>
            <w:r>
              <w:rPr>
                <w:rFonts w:ascii="Arial" w:cs="Arial" w:eastAsia="Arial" w:hAnsi="Arial"/>
                <w:sz w:val="18"/>
                <w:szCs w:val="18"/>
                <w:color w:val="auto"/>
              </w:rPr>
              <w:t>ARTICLE I DEFINITIONS AND CONSTRUCTION</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2</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1.1</w:t>
            </w:r>
          </w:p>
        </w:tc>
        <w:tc>
          <w:tcPr>
            <w:tcW w:w="888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2</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1.2</w:t>
            </w:r>
          </w:p>
        </w:tc>
        <w:tc>
          <w:tcPr>
            <w:tcW w:w="8880" w:type="dxa"/>
            <w:vAlign w:val="bottom"/>
          </w:tcPr>
          <w:p>
            <w:pPr>
              <w:ind w:left="340"/>
              <w:spacing w:after="0"/>
              <w:rPr>
                <w:sz w:val="20"/>
                <w:szCs w:val="20"/>
                <w:color w:val="auto"/>
              </w:rPr>
            </w:pPr>
            <w:r>
              <w:rPr>
                <w:rFonts w:ascii="Arial" w:cs="Arial" w:eastAsia="Arial" w:hAnsi="Arial"/>
                <w:sz w:val="18"/>
                <w:szCs w:val="18"/>
                <w:color w:val="auto"/>
              </w:rPr>
              <w:t>Gender and Number</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5</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1.3</w:t>
            </w:r>
          </w:p>
        </w:tc>
        <w:tc>
          <w:tcPr>
            <w:tcW w:w="888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5</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1.4</w:t>
            </w:r>
          </w:p>
        </w:tc>
        <w:tc>
          <w:tcPr>
            <w:tcW w:w="8880" w:type="dxa"/>
            <w:vAlign w:val="bottom"/>
          </w:tcPr>
          <w:p>
            <w:pPr>
              <w:ind w:left="340"/>
              <w:spacing w:after="0"/>
              <w:rPr>
                <w:sz w:val="20"/>
                <w:szCs w:val="20"/>
                <w:color w:val="auto"/>
              </w:rPr>
            </w:pPr>
            <w:r>
              <w:rPr>
                <w:rFonts w:ascii="Arial" w:cs="Arial" w:eastAsia="Arial" w:hAnsi="Arial"/>
                <w:sz w:val="18"/>
                <w:szCs w:val="18"/>
                <w:color w:val="auto"/>
              </w:rPr>
              <w:t>Applicable Law</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5</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1.5</w:t>
            </w:r>
          </w:p>
        </w:tc>
        <w:tc>
          <w:tcPr>
            <w:tcW w:w="8880" w:type="dxa"/>
            <w:vAlign w:val="bottom"/>
          </w:tcPr>
          <w:p>
            <w:pPr>
              <w:ind w:left="340"/>
              <w:spacing w:after="0"/>
              <w:rPr>
                <w:sz w:val="20"/>
                <w:szCs w:val="20"/>
                <w:color w:val="auto"/>
              </w:rPr>
            </w:pPr>
            <w:r>
              <w:rPr>
                <w:rFonts w:ascii="Arial" w:cs="Arial" w:eastAsia="Arial" w:hAnsi="Arial"/>
                <w:sz w:val="18"/>
                <w:szCs w:val="18"/>
                <w:color w:val="auto"/>
              </w:rPr>
              <w:t>Plan Not an Employment Contract</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5</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1.6</w:t>
            </w:r>
          </w:p>
        </w:tc>
        <w:tc>
          <w:tcPr>
            <w:tcW w:w="8880" w:type="dxa"/>
            <w:vAlign w:val="bottom"/>
          </w:tcPr>
          <w:p>
            <w:pPr>
              <w:ind w:left="340"/>
              <w:spacing w:after="0"/>
              <w:rPr>
                <w:sz w:val="20"/>
                <w:szCs w:val="20"/>
                <w:color w:val="auto"/>
              </w:rPr>
            </w:pPr>
            <w:r>
              <w:rPr>
                <w:rFonts w:ascii="Arial" w:cs="Arial" w:eastAsia="Arial" w:hAnsi="Arial"/>
                <w:sz w:val="18"/>
                <w:szCs w:val="18"/>
                <w:color w:val="auto"/>
              </w:rPr>
              <w:t>Source of Payment</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5</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1.7</w:t>
            </w:r>
          </w:p>
        </w:tc>
        <w:tc>
          <w:tcPr>
            <w:tcW w:w="8880" w:type="dxa"/>
            <w:vAlign w:val="bottom"/>
          </w:tcPr>
          <w:p>
            <w:pPr>
              <w:ind w:left="340"/>
              <w:spacing w:after="0"/>
              <w:rPr>
                <w:sz w:val="20"/>
                <w:szCs w:val="20"/>
                <w:color w:val="auto"/>
              </w:rPr>
            </w:pPr>
            <w:r>
              <w:rPr>
                <w:rFonts w:ascii="Arial" w:cs="Arial" w:eastAsia="Arial" w:hAnsi="Arial"/>
                <w:sz w:val="18"/>
                <w:szCs w:val="18"/>
                <w:color w:val="auto"/>
              </w:rPr>
              <w:t>Tax Withholding</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5</w:t>
            </w:r>
          </w:p>
        </w:tc>
      </w:tr>
      <w:tr>
        <w:trPr>
          <w:trHeight w:val="425"/>
        </w:trPr>
        <w:tc>
          <w:tcPr>
            <w:tcW w:w="9440" w:type="dxa"/>
            <w:vAlign w:val="bottom"/>
            <w:gridSpan w:val="2"/>
          </w:tcPr>
          <w:p>
            <w:pPr>
              <w:spacing w:after="0"/>
              <w:rPr>
                <w:sz w:val="20"/>
                <w:szCs w:val="20"/>
                <w:color w:val="auto"/>
              </w:rPr>
            </w:pPr>
            <w:r>
              <w:rPr>
                <w:rFonts w:ascii="Arial" w:cs="Arial" w:eastAsia="Arial" w:hAnsi="Arial"/>
                <w:sz w:val="18"/>
                <w:szCs w:val="18"/>
                <w:color w:val="auto"/>
              </w:rPr>
              <w:t>ARTICLE II PARTICIPATION</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6</w:t>
            </w:r>
          </w:p>
        </w:tc>
      </w:tr>
      <w:tr>
        <w:trPr>
          <w:trHeight w:val="413"/>
        </w:trPr>
        <w:tc>
          <w:tcPr>
            <w:tcW w:w="9440" w:type="dxa"/>
            <w:vAlign w:val="bottom"/>
            <w:gridSpan w:val="2"/>
          </w:tcPr>
          <w:p>
            <w:pPr>
              <w:spacing w:after="0"/>
              <w:rPr>
                <w:sz w:val="20"/>
                <w:szCs w:val="20"/>
                <w:color w:val="auto"/>
              </w:rPr>
            </w:pPr>
            <w:r>
              <w:rPr>
                <w:rFonts w:ascii="Arial" w:cs="Arial" w:eastAsia="Arial" w:hAnsi="Arial"/>
                <w:sz w:val="18"/>
                <w:szCs w:val="18"/>
                <w:color w:val="auto"/>
              </w:rPr>
              <w:t>ARTICLE III PROGRAM A: RESTORATION OF BENEFITS REDUCED BY CODE SECTION 401(</w:t>
            </w:r>
            <w:r>
              <w:rPr>
                <w:rFonts w:ascii="Arial" w:cs="Arial" w:eastAsia="Arial" w:hAnsi="Arial"/>
                <w:sz w:val="18"/>
                <w:szCs w:val="18"/>
                <w:color w:val="auto"/>
              </w:rPr>
              <w:t>а</w:t>
            </w:r>
            <w:r>
              <w:rPr>
                <w:rFonts w:ascii="Arial" w:cs="Arial" w:eastAsia="Arial" w:hAnsi="Arial"/>
                <w:sz w:val="18"/>
                <w:szCs w:val="18"/>
                <w:color w:val="auto"/>
              </w:rPr>
              <w:t>)(17)</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6</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8880" w:type="dxa"/>
            <w:vAlign w:val="bottom"/>
          </w:tcPr>
          <w:p>
            <w:pPr>
              <w:ind w:left="340"/>
              <w:spacing w:after="0"/>
              <w:rPr>
                <w:sz w:val="20"/>
                <w:szCs w:val="20"/>
                <w:color w:val="auto"/>
              </w:rPr>
            </w:pPr>
            <w:r>
              <w:rPr>
                <w:rFonts w:ascii="Arial" w:cs="Arial" w:eastAsia="Arial" w:hAnsi="Arial"/>
                <w:sz w:val="18"/>
                <w:szCs w:val="18"/>
                <w:color w:val="auto"/>
              </w:rPr>
              <w:t>Purpose</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6</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8880" w:type="dxa"/>
            <w:vAlign w:val="bottom"/>
          </w:tcPr>
          <w:p>
            <w:pPr>
              <w:ind w:left="340"/>
              <w:spacing w:after="0"/>
              <w:rPr>
                <w:sz w:val="20"/>
                <w:szCs w:val="20"/>
                <w:color w:val="auto"/>
              </w:rPr>
            </w:pPr>
            <w:r>
              <w:rPr>
                <w:rFonts w:ascii="Arial" w:cs="Arial" w:eastAsia="Arial" w:hAnsi="Arial"/>
                <w:sz w:val="18"/>
                <w:szCs w:val="18"/>
                <w:color w:val="auto"/>
              </w:rPr>
              <w:t>Eligibility</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6</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3.3</w:t>
            </w:r>
          </w:p>
        </w:tc>
        <w:tc>
          <w:tcPr>
            <w:tcW w:w="8880" w:type="dxa"/>
            <w:vAlign w:val="bottom"/>
          </w:tcPr>
          <w:p>
            <w:pPr>
              <w:ind w:left="340"/>
              <w:spacing w:after="0"/>
              <w:rPr>
                <w:sz w:val="20"/>
                <w:szCs w:val="20"/>
                <w:color w:val="auto"/>
              </w:rPr>
            </w:pPr>
            <w:r>
              <w:rPr>
                <w:rFonts w:ascii="Arial" w:cs="Arial" w:eastAsia="Arial" w:hAnsi="Arial"/>
                <w:sz w:val="18"/>
                <w:szCs w:val="18"/>
                <w:color w:val="auto"/>
              </w:rPr>
              <w:t>Calculation of Restoration Benefit</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6</w:t>
            </w:r>
          </w:p>
        </w:tc>
      </w:tr>
      <w:tr>
        <w:trPr>
          <w:trHeight w:val="413"/>
        </w:trPr>
        <w:tc>
          <w:tcPr>
            <w:tcW w:w="9440" w:type="dxa"/>
            <w:vAlign w:val="bottom"/>
            <w:gridSpan w:val="2"/>
          </w:tcPr>
          <w:p>
            <w:pPr>
              <w:spacing w:after="0"/>
              <w:rPr>
                <w:sz w:val="20"/>
                <w:szCs w:val="20"/>
                <w:color w:val="auto"/>
              </w:rPr>
            </w:pPr>
            <w:r>
              <w:rPr>
                <w:rFonts w:ascii="Arial" w:cs="Arial" w:eastAsia="Arial" w:hAnsi="Arial"/>
                <w:sz w:val="18"/>
                <w:szCs w:val="18"/>
                <w:color w:val="auto"/>
              </w:rPr>
              <w:t xml:space="preserve">ARTICLE IV PROGRAM </w:t>
            </w:r>
            <w:r>
              <w:rPr>
                <w:rFonts w:ascii="Arial" w:cs="Arial" w:eastAsia="Arial" w:hAnsi="Arial"/>
                <w:sz w:val="18"/>
                <w:szCs w:val="18"/>
                <w:color w:val="auto"/>
              </w:rPr>
              <w:t>В</w:t>
            </w:r>
            <w:r>
              <w:rPr>
                <w:rFonts w:ascii="Arial" w:cs="Arial" w:eastAsia="Arial" w:hAnsi="Arial"/>
                <w:sz w:val="18"/>
                <w:szCs w:val="18"/>
                <w:color w:val="auto"/>
              </w:rPr>
              <w:t>: RESTORATION OF BENEFITS REDUCED BY CODE SECTION 415</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8</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4.1</w:t>
            </w:r>
          </w:p>
        </w:tc>
        <w:tc>
          <w:tcPr>
            <w:tcW w:w="8880" w:type="dxa"/>
            <w:vAlign w:val="bottom"/>
          </w:tcPr>
          <w:p>
            <w:pPr>
              <w:ind w:left="340"/>
              <w:spacing w:after="0"/>
              <w:rPr>
                <w:sz w:val="20"/>
                <w:szCs w:val="20"/>
                <w:color w:val="auto"/>
              </w:rPr>
            </w:pPr>
            <w:r>
              <w:rPr>
                <w:rFonts w:ascii="Arial" w:cs="Arial" w:eastAsia="Arial" w:hAnsi="Arial"/>
                <w:sz w:val="18"/>
                <w:szCs w:val="18"/>
                <w:color w:val="auto"/>
              </w:rPr>
              <w:t>Purpose</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8</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8880" w:type="dxa"/>
            <w:vAlign w:val="bottom"/>
          </w:tcPr>
          <w:p>
            <w:pPr>
              <w:ind w:left="340"/>
              <w:spacing w:after="0"/>
              <w:rPr>
                <w:sz w:val="20"/>
                <w:szCs w:val="20"/>
                <w:color w:val="auto"/>
              </w:rPr>
            </w:pPr>
            <w:r>
              <w:rPr>
                <w:rFonts w:ascii="Arial" w:cs="Arial" w:eastAsia="Arial" w:hAnsi="Arial"/>
                <w:sz w:val="18"/>
                <w:szCs w:val="18"/>
                <w:color w:val="auto"/>
              </w:rPr>
              <w:t>Eligibility</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8</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8880" w:type="dxa"/>
            <w:vAlign w:val="bottom"/>
          </w:tcPr>
          <w:p>
            <w:pPr>
              <w:ind w:left="340"/>
              <w:spacing w:after="0"/>
              <w:rPr>
                <w:sz w:val="20"/>
                <w:szCs w:val="20"/>
                <w:color w:val="auto"/>
              </w:rPr>
            </w:pPr>
            <w:r>
              <w:rPr>
                <w:rFonts w:ascii="Arial" w:cs="Arial" w:eastAsia="Arial" w:hAnsi="Arial"/>
                <w:sz w:val="18"/>
                <w:szCs w:val="18"/>
                <w:color w:val="auto"/>
              </w:rPr>
              <w:t>Calculation of Restoration Benefit</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8</w:t>
            </w:r>
          </w:p>
        </w:tc>
      </w:tr>
      <w:tr>
        <w:trPr>
          <w:trHeight w:val="413"/>
        </w:trPr>
        <w:tc>
          <w:tcPr>
            <w:tcW w:w="9440" w:type="dxa"/>
            <w:vAlign w:val="bottom"/>
            <w:gridSpan w:val="2"/>
          </w:tcPr>
          <w:p>
            <w:pPr>
              <w:spacing w:after="0"/>
              <w:rPr>
                <w:sz w:val="20"/>
                <w:szCs w:val="20"/>
                <w:color w:val="auto"/>
              </w:rPr>
            </w:pPr>
            <w:r>
              <w:rPr>
                <w:rFonts w:ascii="Arial" w:cs="Arial" w:eastAsia="Arial" w:hAnsi="Arial"/>
                <w:sz w:val="18"/>
                <w:szCs w:val="18"/>
                <w:color w:val="auto"/>
              </w:rPr>
              <w:t>ARTICLE V VESTING AND FORM OF PAYMENT</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9</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5.1</w:t>
            </w:r>
          </w:p>
        </w:tc>
        <w:tc>
          <w:tcPr>
            <w:tcW w:w="8880" w:type="dxa"/>
            <w:vAlign w:val="bottom"/>
          </w:tcPr>
          <w:p>
            <w:pPr>
              <w:ind w:left="340"/>
              <w:spacing w:after="0"/>
              <w:rPr>
                <w:sz w:val="20"/>
                <w:szCs w:val="20"/>
                <w:color w:val="auto"/>
              </w:rPr>
            </w:pPr>
            <w:r>
              <w:rPr>
                <w:rFonts w:ascii="Arial" w:cs="Arial" w:eastAsia="Arial" w:hAnsi="Arial"/>
                <w:sz w:val="18"/>
                <w:szCs w:val="18"/>
                <w:color w:val="auto"/>
              </w:rPr>
              <w:t>Vesting</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9</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5.2</w:t>
            </w:r>
          </w:p>
        </w:tc>
        <w:tc>
          <w:tcPr>
            <w:tcW w:w="8880" w:type="dxa"/>
            <w:vAlign w:val="bottom"/>
          </w:tcPr>
          <w:p>
            <w:pPr>
              <w:ind w:left="340"/>
              <w:spacing w:after="0"/>
              <w:rPr>
                <w:sz w:val="20"/>
                <w:szCs w:val="20"/>
                <w:color w:val="auto"/>
              </w:rPr>
            </w:pPr>
            <w:r>
              <w:rPr>
                <w:rFonts w:ascii="Arial" w:cs="Arial" w:eastAsia="Arial" w:hAnsi="Arial"/>
                <w:sz w:val="18"/>
                <w:szCs w:val="18"/>
                <w:color w:val="auto"/>
              </w:rPr>
              <w:t>Defined Contribution Plan Benefits</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10</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5.3</w:t>
            </w:r>
          </w:p>
        </w:tc>
        <w:tc>
          <w:tcPr>
            <w:tcW w:w="8880" w:type="dxa"/>
            <w:vAlign w:val="bottom"/>
          </w:tcPr>
          <w:p>
            <w:pPr>
              <w:ind w:left="340"/>
              <w:spacing w:after="0"/>
              <w:rPr>
                <w:sz w:val="20"/>
                <w:szCs w:val="20"/>
                <w:color w:val="auto"/>
              </w:rPr>
            </w:pPr>
            <w:r>
              <w:rPr>
                <w:rFonts w:ascii="Arial" w:cs="Arial" w:eastAsia="Arial" w:hAnsi="Arial"/>
                <w:sz w:val="18"/>
                <w:szCs w:val="18"/>
                <w:color w:val="auto"/>
              </w:rPr>
              <w:t>Defined Benefit Plan Benefits</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11</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5.4</w:t>
            </w:r>
          </w:p>
        </w:tc>
        <w:tc>
          <w:tcPr>
            <w:tcW w:w="8880" w:type="dxa"/>
            <w:vAlign w:val="bottom"/>
          </w:tcPr>
          <w:p>
            <w:pPr>
              <w:ind w:left="340"/>
              <w:spacing w:after="0"/>
              <w:rPr>
                <w:sz w:val="20"/>
                <w:szCs w:val="20"/>
                <w:color w:val="auto"/>
              </w:rPr>
            </w:pPr>
            <w:r>
              <w:rPr>
                <w:rFonts w:ascii="Arial" w:cs="Arial" w:eastAsia="Arial" w:hAnsi="Arial"/>
                <w:sz w:val="18"/>
                <w:szCs w:val="18"/>
                <w:color w:val="auto"/>
              </w:rPr>
              <w:t>Non-Duplication of Benefits</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11</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5.5</w:t>
            </w:r>
          </w:p>
        </w:tc>
        <w:tc>
          <w:tcPr>
            <w:tcW w:w="8880" w:type="dxa"/>
            <w:vAlign w:val="bottom"/>
          </w:tcPr>
          <w:p>
            <w:pPr>
              <w:ind w:left="340"/>
              <w:spacing w:after="0"/>
              <w:rPr>
                <w:sz w:val="20"/>
                <w:szCs w:val="20"/>
                <w:color w:val="auto"/>
              </w:rPr>
            </w:pPr>
            <w:r>
              <w:rPr>
                <w:rFonts w:ascii="Arial" w:cs="Arial" w:eastAsia="Arial" w:hAnsi="Arial"/>
                <w:sz w:val="18"/>
                <w:szCs w:val="18"/>
                <w:color w:val="auto"/>
              </w:rPr>
              <w:t>STC Plan Benefits</w:t>
            </w:r>
          </w:p>
        </w:tc>
        <w:tc>
          <w:tcPr>
            <w:tcW w:w="2000" w:type="dxa"/>
            <w:vAlign w:val="bottom"/>
          </w:tcPr>
          <w:p>
            <w:pPr>
              <w:jc w:val="center"/>
              <w:ind w:left="1432"/>
              <w:spacing w:after="0"/>
              <w:rPr>
                <w:sz w:val="20"/>
                <w:szCs w:val="20"/>
                <w:color w:val="auto"/>
              </w:rPr>
            </w:pPr>
            <w:r>
              <w:rPr>
                <w:rFonts w:ascii="Arial" w:cs="Arial" w:eastAsia="Arial" w:hAnsi="Arial"/>
                <w:sz w:val="18"/>
                <w:szCs w:val="18"/>
                <w:color w:val="auto"/>
                <w:w w:val="79"/>
              </w:rPr>
              <w:t>11</w:t>
            </w:r>
          </w:p>
        </w:tc>
      </w:tr>
      <w:tr>
        <w:trPr>
          <w:trHeight w:val="413"/>
        </w:trPr>
        <w:tc>
          <w:tcPr>
            <w:tcW w:w="9440" w:type="dxa"/>
            <w:vAlign w:val="bottom"/>
            <w:gridSpan w:val="2"/>
          </w:tcPr>
          <w:p>
            <w:pPr>
              <w:spacing w:after="0"/>
              <w:rPr>
                <w:sz w:val="20"/>
                <w:szCs w:val="20"/>
                <w:color w:val="auto"/>
              </w:rPr>
            </w:pPr>
            <w:r>
              <w:rPr>
                <w:rFonts w:ascii="Arial" w:cs="Arial" w:eastAsia="Arial" w:hAnsi="Arial"/>
                <w:sz w:val="18"/>
                <w:szCs w:val="18"/>
                <w:color w:val="auto"/>
              </w:rPr>
              <w:t>ARTICLE VI ADMINISTRATION</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12</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6.1</w:t>
            </w:r>
          </w:p>
        </w:tc>
        <w:tc>
          <w:tcPr>
            <w:tcW w:w="8880" w:type="dxa"/>
            <w:vAlign w:val="bottom"/>
          </w:tcPr>
          <w:p>
            <w:pPr>
              <w:ind w:left="340"/>
              <w:spacing w:after="0"/>
              <w:rPr>
                <w:sz w:val="20"/>
                <w:szCs w:val="20"/>
                <w:color w:val="auto"/>
              </w:rPr>
            </w:pPr>
            <w:r>
              <w:rPr>
                <w:rFonts w:ascii="Arial" w:cs="Arial" w:eastAsia="Arial" w:hAnsi="Arial"/>
                <w:sz w:val="18"/>
                <w:szCs w:val="18"/>
                <w:color w:val="auto"/>
              </w:rPr>
              <w:t>Administration</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12</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6.2</w:t>
            </w:r>
          </w:p>
        </w:tc>
        <w:tc>
          <w:tcPr>
            <w:tcW w:w="8880" w:type="dxa"/>
            <w:vAlign w:val="bottom"/>
          </w:tcPr>
          <w:p>
            <w:pPr>
              <w:ind w:left="340"/>
              <w:spacing w:after="0"/>
              <w:rPr>
                <w:sz w:val="20"/>
                <w:szCs w:val="20"/>
                <w:color w:val="auto"/>
              </w:rPr>
            </w:pPr>
            <w:r>
              <w:rPr>
                <w:rFonts w:ascii="Arial" w:cs="Arial" w:eastAsia="Arial" w:hAnsi="Arial"/>
                <w:sz w:val="18"/>
                <w:szCs w:val="18"/>
                <w:color w:val="auto"/>
              </w:rPr>
              <w:t>Expenses</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12</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6.3</w:t>
            </w:r>
          </w:p>
        </w:tc>
        <w:tc>
          <w:tcPr>
            <w:tcW w:w="8880" w:type="dxa"/>
            <w:vAlign w:val="bottom"/>
          </w:tcPr>
          <w:p>
            <w:pPr>
              <w:ind w:left="340"/>
              <w:spacing w:after="0"/>
              <w:rPr>
                <w:sz w:val="20"/>
                <w:szCs w:val="20"/>
                <w:color w:val="auto"/>
              </w:rPr>
            </w:pPr>
            <w:r>
              <w:rPr>
                <w:rFonts w:ascii="Arial" w:cs="Arial" w:eastAsia="Arial" w:hAnsi="Arial"/>
                <w:sz w:val="18"/>
                <w:szCs w:val="18"/>
                <w:color w:val="auto"/>
              </w:rPr>
              <w:t>Indemnification</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12</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6.4</w:t>
            </w:r>
          </w:p>
        </w:tc>
        <w:tc>
          <w:tcPr>
            <w:tcW w:w="8880" w:type="dxa"/>
            <w:vAlign w:val="bottom"/>
          </w:tcPr>
          <w:p>
            <w:pPr>
              <w:ind w:left="340"/>
              <w:spacing w:after="0"/>
              <w:rPr>
                <w:sz w:val="20"/>
                <w:szCs w:val="20"/>
                <w:color w:val="auto"/>
              </w:rPr>
            </w:pPr>
            <w:r>
              <w:rPr>
                <w:rFonts w:ascii="Arial" w:cs="Arial" w:eastAsia="Arial" w:hAnsi="Arial"/>
                <w:sz w:val="18"/>
                <w:szCs w:val="18"/>
                <w:color w:val="auto"/>
              </w:rPr>
              <w:t>409</w:t>
            </w:r>
            <w:r>
              <w:rPr>
                <w:rFonts w:ascii="Arial" w:cs="Arial" w:eastAsia="Arial" w:hAnsi="Arial"/>
                <w:sz w:val="18"/>
                <w:szCs w:val="18"/>
                <w:color w:val="auto"/>
              </w:rPr>
              <w:t>А</w:t>
            </w:r>
            <w:r>
              <w:rPr>
                <w:rFonts w:ascii="Arial" w:cs="Arial" w:eastAsia="Arial" w:hAnsi="Arial"/>
                <w:sz w:val="18"/>
                <w:szCs w:val="18"/>
                <w:color w:val="auto"/>
              </w:rPr>
              <w:t xml:space="preserve"> Compliance</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12</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6.5</w:t>
            </w:r>
          </w:p>
        </w:tc>
        <w:tc>
          <w:tcPr>
            <w:tcW w:w="8880" w:type="dxa"/>
            <w:vAlign w:val="bottom"/>
          </w:tcPr>
          <w:p>
            <w:pPr>
              <w:ind w:left="340"/>
              <w:spacing w:after="0"/>
              <w:rPr>
                <w:sz w:val="20"/>
                <w:szCs w:val="20"/>
                <w:color w:val="auto"/>
              </w:rPr>
            </w:pPr>
            <w:r>
              <w:rPr>
                <w:rFonts w:ascii="Arial" w:cs="Arial" w:eastAsia="Arial" w:hAnsi="Arial"/>
                <w:sz w:val="18"/>
                <w:szCs w:val="18"/>
                <w:color w:val="auto"/>
              </w:rPr>
              <w:t>Specified Employees</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12</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6.6</w:t>
            </w:r>
          </w:p>
        </w:tc>
        <w:tc>
          <w:tcPr>
            <w:tcW w:w="8880" w:type="dxa"/>
            <w:vAlign w:val="bottom"/>
          </w:tcPr>
          <w:p>
            <w:pPr>
              <w:ind w:left="340"/>
              <w:spacing w:after="0"/>
              <w:rPr>
                <w:sz w:val="20"/>
                <w:szCs w:val="20"/>
                <w:color w:val="auto"/>
              </w:rPr>
            </w:pPr>
            <w:r>
              <w:rPr>
                <w:rFonts w:ascii="Arial" w:cs="Arial" w:eastAsia="Arial" w:hAnsi="Arial"/>
                <w:sz w:val="18"/>
                <w:szCs w:val="18"/>
                <w:color w:val="auto"/>
              </w:rPr>
              <w:t>Non-Alienation of Benefits</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13</w:t>
            </w:r>
          </w:p>
        </w:tc>
      </w:tr>
      <w:tr>
        <w:trPr>
          <w:trHeight w:val="413"/>
        </w:trPr>
        <w:tc>
          <w:tcPr>
            <w:tcW w:w="9440" w:type="dxa"/>
            <w:vAlign w:val="bottom"/>
            <w:gridSpan w:val="2"/>
          </w:tcPr>
          <w:p>
            <w:pPr>
              <w:spacing w:after="0"/>
              <w:rPr>
                <w:sz w:val="20"/>
                <w:szCs w:val="20"/>
                <w:color w:val="auto"/>
              </w:rPr>
            </w:pPr>
            <w:r>
              <w:rPr>
                <w:rFonts w:ascii="Arial" w:cs="Arial" w:eastAsia="Arial" w:hAnsi="Arial"/>
                <w:sz w:val="18"/>
                <w:szCs w:val="18"/>
                <w:color w:val="auto"/>
              </w:rPr>
              <w:t>ARTICLE VII MERGER, AMENDMENT AND TERMINATION</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13</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7.1</w:t>
            </w:r>
          </w:p>
        </w:tc>
        <w:tc>
          <w:tcPr>
            <w:tcW w:w="8880" w:type="dxa"/>
            <w:vAlign w:val="bottom"/>
          </w:tcPr>
          <w:p>
            <w:pPr>
              <w:ind w:left="340"/>
              <w:spacing w:after="0"/>
              <w:rPr>
                <w:sz w:val="20"/>
                <w:szCs w:val="20"/>
                <w:color w:val="auto"/>
              </w:rPr>
            </w:pPr>
            <w:r>
              <w:rPr>
                <w:rFonts w:ascii="Arial" w:cs="Arial" w:eastAsia="Arial" w:hAnsi="Arial"/>
                <w:sz w:val="18"/>
                <w:szCs w:val="18"/>
                <w:color w:val="auto"/>
              </w:rPr>
              <w:t>Merger, Consolidation or Acquisition</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13</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7.2</w:t>
            </w:r>
          </w:p>
        </w:tc>
        <w:tc>
          <w:tcPr>
            <w:tcW w:w="8880" w:type="dxa"/>
            <w:vAlign w:val="bottom"/>
          </w:tcPr>
          <w:p>
            <w:pPr>
              <w:ind w:left="340"/>
              <w:spacing w:after="0"/>
              <w:rPr>
                <w:sz w:val="20"/>
                <w:szCs w:val="20"/>
                <w:color w:val="auto"/>
              </w:rPr>
            </w:pPr>
            <w:r>
              <w:rPr>
                <w:rFonts w:ascii="Arial" w:cs="Arial" w:eastAsia="Arial" w:hAnsi="Arial"/>
                <w:sz w:val="18"/>
                <w:szCs w:val="18"/>
                <w:color w:val="auto"/>
              </w:rPr>
              <w:t>Amendment and Termination</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13</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7.3</w:t>
            </w:r>
          </w:p>
        </w:tc>
        <w:tc>
          <w:tcPr>
            <w:tcW w:w="8880" w:type="dxa"/>
            <w:vAlign w:val="bottom"/>
          </w:tcPr>
          <w:p>
            <w:pPr>
              <w:ind w:left="340"/>
              <w:spacing w:after="0"/>
              <w:rPr>
                <w:sz w:val="20"/>
                <w:szCs w:val="20"/>
                <w:color w:val="auto"/>
              </w:rPr>
            </w:pPr>
            <w:r>
              <w:rPr>
                <w:rFonts w:ascii="Arial" w:cs="Arial" w:eastAsia="Arial" w:hAnsi="Arial"/>
                <w:sz w:val="18"/>
                <w:szCs w:val="18"/>
                <w:color w:val="auto"/>
              </w:rPr>
              <w:t>Participating Affiliates</w:t>
            </w:r>
          </w:p>
        </w:tc>
        <w:tc>
          <w:tcPr>
            <w:tcW w:w="2000" w:type="dxa"/>
            <w:vAlign w:val="bottom"/>
          </w:tcPr>
          <w:p>
            <w:pPr>
              <w:jc w:val="center"/>
              <w:ind w:left="1452"/>
              <w:spacing w:after="0"/>
              <w:rPr>
                <w:sz w:val="20"/>
                <w:szCs w:val="20"/>
                <w:color w:val="auto"/>
              </w:rPr>
            </w:pPr>
            <w:r>
              <w:rPr>
                <w:rFonts w:ascii="Arial" w:cs="Arial" w:eastAsia="Arial" w:hAnsi="Arial"/>
                <w:sz w:val="18"/>
                <w:szCs w:val="18"/>
                <w:color w:val="auto"/>
                <w:w w:val="89"/>
              </w:rPr>
              <w:t>13</w:t>
            </w:r>
          </w:p>
        </w:tc>
      </w:tr>
      <w:tr>
        <w:trPr>
          <w:trHeight w:val="685"/>
        </w:trPr>
        <w:tc>
          <w:tcPr>
            <w:tcW w:w="56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73" w:name="page74"/>
    <w:bookmarkEnd w:id="73"/>
    <w:p>
      <w:pPr>
        <w:jc w:val="center"/>
        <w:spacing w:after="0"/>
        <w:rPr>
          <w:sz w:val="20"/>
          <w:szCs w:val="20"/>
          <w:color w:val="auto"/>
        </w:rPr>
      </w:pPr>
      <w:r>
        <w:rPr>
          <w:rFonts w:ascii="Arial" w:cs="Arial" w:eastAsia="Arial" w:hAnsi="Arial"/>
          <w:sz w:val="21"/>
          <w:szCs w:val="21"/>
          <w:b w:val="1"/>
          <w:bCs w:val="1"/>
          <w:color w:val="auto"/>
        </w:rPr>
        <w:t>PREAMBLE</w:t>
      </w:r>
    </w:p>
    <w:p>
      <w:pPr>
        <w:spacing w:after="0" w:line="216" w:lineRule="exact"/>
        <w:rPr>
          <w:sz w:val="20"/>
          <w:szCs w:val="20"/>
          <w:color w:val="auto"/>
        </w:rPr>
      </w:pPr>
    </w:p>
    <w:p>
      <w:pPr>
        <w:jc w:val="both"/>
        <w:ind w:firstLine="1756"/>
        <w:spacing w:after="0" w:line="266" w:lineRule="auto"/>
        <w:rPr>
          <w:sz w:val="20"/>
          <w:szCs w:val="20"/>
          <w:color w:val="auto"/>
        </w:rPr>
      </w:pPr>
      <w:r>
        <w:rPr>
          <w:rFonts w:ascii="Arial" w:cs="Arial" w:eastAsia="Arial" w:hAnsi="Arial"/>
          <w:sz w:val="19"/>
          <w:szCs w:val="19"/>
          <w:color w:val="auto"/>
        </w:rPr>
        <w:t>Schlumberger Limited, a Curacao corporation (the “Company”), established an unfunded deferred compensation plan known as the Schlumberger Limited Supplementary Benefit Plan, effective as of January 1, 1981, and thereafter amended and restated such plan effective January 1, 1990. The amended and restated plan, as amended by the First Amendment thereto, is referred to herein as the “1990 Plan.” The purpose of the 1990 Plan was to restore to eligible key employees of the Company and its participating subsidiaries and affiliated companies the amount of benefits, which they are unable to receive under the Qualified Plans as a result of the Code Section 401(</w:t>
      </w:r>
      <w:r>
        <w:rPr>
          <w:rFonts w:ascii="Arial" w:cs="Arial" w:eastAsia="Arial" w:hAnsi="Arial"/>
          <w:sz w:val="19"/>
          <w:szCs w:val="19"/>
          <w:color w:val="auto"/>
        </w:rPr>
        <w:t>а</w:t>
      </w:r>
      <w:r>
        <w:rPr>
          <w:rFonts w:ascii="Arial" w:cs="Arial" w:eastAsia="Arial" w:hAnsi="Arial"/>
          <w:sz w:val="19"/>
          <w:szCs w:val="19"/>
          <w:color w:val="auto"/>
        </w:rPr>
        <w:t>)(17) Limitations, which limit the annual compensation that may be taken into account in computing benefits under the Qualified Plans, and by the Code Section 415 Limitations, which limit benefits and contributions under the Qualified Plans. Effective as of January 1, 1995, the Company amended and restated the 1990 Plan to (i) reflect the withdrawal of Schlumberger Technology Corporation and its subsidiaries as employers under the 1990 Plan, (ii) reflect that all STC Plan Benefits (as herein defined) will be paid pursuant to the Schlumberger Technology Corporation Supplementary Benefit Plan, as established effective as of January 1, 1995, and (iii) incorporate the First Amendment to the 1990 Plan (the “1995 Plan”). The Plan has been operated in compliance with Section 409</w:t>
      </w:r>
      <w:r>
        <w:rPr>
          <w:rFonts w:ascii="Arial" w:cs="Arial" w:eastAsia="Arial" w:hAnsi="Arial"/>
          <w:sz w:val="19"/>
          <w:szCs w:val="19"/>
          <w:color w:val="auto"/>
        </w:rPr>
        <w:t>А</w:t>
      </w:r>
      <w:r>
        <w:rPr>
          <w:rFonts w:ascii="Arial" w:cs="Arial" w:eastAsia="Arial" w:hAnsi="Arial"/>
          <w:sz w:val="19"/>
          <w:szCs w:val="19"/>
          <w:color w:val="auto"/>
        </w:rPr>
        <w:t xml:space="preserve"> of the Internal Revenue Code and applicable U.S. Treasury authorities (“Section 409</w:t>
      </w:r>
      <w:r>
        <w:rPr>
          <w:rFonts w:ascii="Arial" w:cs="Arial" w:eastAsia="Arial" w:hAnsi="Arial"/>
          <w:sz w:val="19"/>
          <w:szCs w:val="19"/>
          <w:color w:val="auto"/>
        </w:rPr>
        <w:t>А</w:t>
      </w:r>
      <w:r>
        <w:rPr>
          <w:rFonts w:ascii="Arial" w:cs="Arial" w:eastAsia="Arial" w:hAnsi="Arial"/>
          <w:sz w:val="19"/>
          <w:szCs w:val="19"/>
          <w:color w:val="auto"/>
        </w:rPr>
        <w:t>”) and was amended and restated, effective January 1, 2008, to establish documentary compliance with Section 409</w:t>
      </w:r>
      <w:r>
        <w:rPr>
          <w:rFonts w:ascii="Arial" w:cs="Arial" w:eastAsia="Arial" w:hAnsi="Arial"/>
          <w:sz w:val="19"/>
          <w:szCs w:val="19"/>
          <w:color w:val="auto"/>
        </w:rPr>
        <w:t>А</w:t>
      </w:r>
      <w:r>
        <w:rPr>
          <w:rFonts w:ascii="Arial" w:cs="Arial" w:eastAsia="Arial" w:hAnsi="Arial"/>
          <w:sz w:val="19"/>
          <w:szCs w:val="19"/>
          <w:color w:val="auto"/>
        </w:rPr>
        <w:t xml:space="preserve"> (the “2008 Plan”). Effective as of January 1, 2014, the Company amended and restated the 2008 Plan to incorporate all prior amendments thereto and to make certain conforming changes to the Plan (the “Prior Plan”).</w:t>
      </w:r>
    </w:p>
    <w:p>
      <w:pPr>
        <w:spacing w:after="0" w:line="164" w:lineRule="exact"/>
        <w:rPr>
          <w:sz w:val="20"/>
          <w:szCs w:val="20"/>
          <w:color w:val="auto"/>
        </w:rPr>
      </w:pPr>
    </w:p>
    <w:p>
      <w:pPr>
        <w:jc w:val="both"/>
        <w:ind w:firstLine="1756"/>
        <w:spacing w:after="0" w:line="252" w:lineRule="auto"/>
        <w:rPr>
          <w:sz w:val="20"/>
          <w:szCs w:val="20"/>
          <w:color w:val="auto"/>
        </w:rPr>
      </w:pPr>
      <w:r>
        <w:rPr>
          <w:rFonts w:ascii="Arial" w:cs="Arial" w:eastAsia="Arial" w:hAnsi="Arial"/>
          <w:sz w:val="21"/>
          <w:szCs w:val="21"/>
          <w:color w:val="auto"/>
        </w:rPr>
        <w:t>The Plan has been further amended and restated from time to time, and effective January 1, 2018, was restated to amend the Plan with respect to the qualifying plans underlying the Plan’s restoration benefits, as well as to make certain other conforming changes.</w:t>
      </w:r>
    </w:p>
    <w:p>
      <w:pPr>
        <w:spacing w:after="0" w:line="169"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0"/>
          <w:szCs w:val="20"/>
          <w:color w:val="auto"/>
        </w:rPr>
        <w:t xml:space="preserve">Program A of the Plan, set forth in Article III below, is intended to qualify for the exemptions provided under Title I of ERISA for plans that are not tax-qualified and that are maintained primarily to provide deferred compensation for a select group of management or highly compensated employees. Program </w:t>
      </w:r>
      <w:r>
        <w:rPr>
          <w:rFonts w:ascii="Arial" w:cs="Arial" w:eastAsia="Arial" w:hAnsi="Arial"/>
          <w:sz w:val="20"/>
          <w:szCs w:val="20"/>
          <w:color w:val="auto"/>
        </w:rPr>
        <w:t>В</w:t>
      </w:r>
      <w:r>
        <w:rPr>
          <w:rFonts w:ascii="Arial" w:cs="Arial" w:eastAsia="Arial" w:hAnsi="Arial"/>
          <w:sz w:val="20"/>
          <w:szCs w:val="20"/>
          <w:color w:val="auto"/>
        </w:rPr>
        <w:t xml:space="preserve"> of the Plan, set forth in Article IV below, is intended to qualify for the exemptions provided under Title I of ERISA for plans that are excess benefit plans.</w:t>
      </w:r>
    </w:p>
    <w:p>
      <w:pPr>
        <w:spacing w:after="0" w:line="160" w:lineRule="exact"/>
        <w:rPr>
          <w:sz w:val="20"/>
          <w:szCs w:val="20"/>
          <w:color w:val="auto"/>
        </w:rPr>
      </w:pPr>
    </w:p>
    <w:p>
      <w:pPr>
        <w:jc w:val="both"/>
        <w:ind w:firstLine="1756"/>
        <w:spacing w:after="0" w:line="267" w:lineRule="auto"/>
        <w:rPr>
          <w:sz w:val="20"/>
          <w:szCs w:val="20"/>
          <w:color w:val="auto"/>
        </w:rPr>
      </w:pPr>
      <w:r>
        <w:rPr>
          <w:rFonts w:ascii="Arial" w:cs="Arial" w:eastAsia="Arial" w:hAnsi="Arial"/>
          <w:sz w:val="21"/>
          <w:szCs w:val="21"/>
          <w:color w:val="auto"/>
        </w:rPr>
        <w:t>NOW, THEREFORE, Schlumberger Limited hereby amends and restates the Prior Plan, effective as of January 1, 2018, to read as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 AND CONSTRUCTION</w:t>
      </w:r>
    </w:p>
    <w:p>
      <w:pPr>
        <w:spacing w:after="0" w:line="192"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Definitions.</w:t>
      </w:r>
      <w:r>
        <w:rPr>
          <w:rFonts w:ascii="Arial" w:cs="Arial" w:eastAsia="Arial" w:hAnsi="Arial"/>
          <w:sz w:val="21"/>
          <w:szCs w:val="21"/>
          <w:color w:val="auto"/>
        </w:rPr>
        <w:t xml:space="preserve"> Except as otherwise indicated, the terms used in this Plan shall have the same meaning as they have under the applicable Qualified Plans. For purposes of this Plan, the following definitions shall apply:</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Active Service</w:t>
      </w:r>
      <w:r>
        <w:rPr>
          <w:rFonts w:ascii="Arial" w:cs="Arial" w:eastAsia="Arial" w:hAnsi="Arial"/>
          <w:sz w:val="21"/>
          <w:szCs w:val="21"/>
          <w:color w:val="auto"/>
        </w:rPr>
        <w:t>” shall have the meaning ascribed to it in the Qualified Defined Benefit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4" w:name="page75"/>
    <w:bookmarkEnd w:id="74"/>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Actuarial Equivalent</w:t>
      </w:r>
      <w:r>
        <w:rPr>
          <w:rFonts w:ascii="Arial" w:cs="Arial" w:eastAsia="Arial" w:hAnsi="Arial"/>
          <w:sz w:val="21"/>
          <w:szCs w:val="21"/>
          <w:color w:val="auto"/>
        </w:rPr>
        <w:t>” shall have the meaning ascribed to it in the Qualified Defined Benefit Plans.</w:t>
      </w:r>
    </w:p>
    <w:p>
      <w:pPr>
        <w:spacing w:after="0" w:line="21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Committee</w:t>
      </w:r>
      <w:r>
        <w:rPr>
          <w:rFonts w:ascii="Arial" w:cs="Arial" w:eastAsia="Arial" w:hAnsi="Arial"/>
          <w:sz w:val="20"/>
          <w:szCs w:val="20"/>
          <w:color w:val="auto"/>
        </w:rPr>
        <w:t>” shall mean the Administrative Committee of the Schlumberger Limited Pension</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86"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mean any corporation in which the shares owned or controlled directly or indirectly by Schlumberger Limited shall represent 50% or more of the voting power of the issued and outstanding capital stock of such corporation. In addition to the above, the term “Affiliate” shall include any corporation or other trade or business which, together with Schlumberger Limited, is “under common control” within the meaning of Code Section 414(b) or (</w:t>
      </w:r>
      <w:r>
        <w:rPr>
          <w:rFonts w:ascii="Arial" w:cs="Arial" w:eastAsia="Arial" w:hAnsi="Arial"/>
          <w:sz w:val="20"/>
          <w:szCs w:val="20"/>
          <w:color w:val="auto"/>
        </w:rPr>
        <w:t>с</w:t>
      </w:r>
      <w:r>
        <w:rPr>
          <w:rFonts w:ascii="Arial" w:cs="Arial" w:eastAsia="Arial" w:hAnsi="Arial"/>
          <w:sz w:val="20"/>
          <w:szCs w:val="20"/>
          <w:color w:val="auto"/>
        </w:rPr>
        <w:t>) as defined in Code Section 1563(</w:t>
      </w:r>
      <w:r>
        <w:rPr>
          <w:rFonts w:ascii="Arial" w:cs="Arial" w:eastAsia="Arial" w:hAnsi="Arial"/>
          <w:sz w:val="20"/>
          <w:szCs w:val="20"/>
          <w:color w:val="auto"/>
        </w:rPr>
        <w:t>а</w:t>
      </w:r>
      <w:r>
        <w:rPr>
          <w:rFonts w:ascii="Arial" w:cs="Arial" w:eastAsia="Arial" w:hAnsi="Arial"/>
          <w:sz w:val="20"/>
          <w:szCs w:val="20"/>
          <w:color w:val="auto"/>
        </w:rPr>
        <w:t>)(1) and modified by Code Section 415(h). Notwithstanding the foregoing, the term “Affiliate” shall not include Schlumberger Technology Corporation, a Texas corporation, or any subsidiary of Schlumberger Technology Corporation.</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 of Directors</w:t>
      </w:r>
      <w:r>
        <w:rPr>
          <w:rFonts w:ascii="Arial" w:cs="Arial" w:eastAsia="Arial" w:hAnsi="Arial"/>
          <w:sz w:val="21"/>
          <w:szCs w:val="21"/>
          <w:color w:val="auto"/>
        </w:rPr>
        <w:t>” shall mean the Board of Directors of Schlumberger Limited.</w:t>
      </w:r>
    </w:p>
    <w:p>
      <w:pPr>
        <w:spacing w:after="0" w:line="210"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shall mean the Internal Revenue Code of 1986, as amended from time to time.</w:t>
      </w:r>
    </w:p>
    <w:p>
      <w:pPr>
        <w:spacing w:after="0" w:line="21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 Section 401(</w:t>
      </w:r>
      <w:r>
        <w:rPr>
          <w:rFonts w:ascii="Arial" w:cs="Arial" w:eastAsia="Arial" w:hAnsi="Arial"/>
          <w:sz w:val="20"/>
          <w:szCs w:val="20"/>
          <w:b w:val="1"/>
          <w:bCs w:val="1"/>
          <w:color w:val="auto"/>
        </w:rPr>
        <w:t>а</w:t>
      </w:r>
      <w:r>
        <w:rPr>
          <w:rFonts w:ascii="Arial" w:cs="Arial" w:eastAsia="Arial" w:hAnsi="Arial"/>
          <w:sz w:val="20"/>
          <w:szCs w:val="20"/>
          <w:b w:val="1"/>
          <w:bCs w:val="1"/>
          <w:color w:val="auto"/>
        </w:rPr>
        <w:t>)(17) Limitations</w:t>
      </w:r>
      <w:r>
        <w:rPr>
          <w:rFonts w:ascii="Arial" w:cs="Arial" w:eastAsia="Arial" w:hAnsi="Arial"/>
          <w:sz w:val="20"/>
          <w:szCs w:val="20"/>
          <w:color w:val="auto"/>
        </w:rPr>
        <w:t>” shall mean the limitations imposed by Code Section 401(</w:t>
      </w:r>
      <w:r>
        <w:rPr>
          <w:rFonts w:ascii="Arial" w:cs="Arial" w:eastAsia="Arial" w:hAnsi="Arial"/>
          <w:sz w:val="20"/>
          <w:szCs w:val="20"/>
          <w:color w:val="auto"/>
        </w:rPr>
        <w:t>а</w:t>
      </w:r>
      <w:r>
        <w:rPr>
          <w:rFonts w:ascii="Arial" w:cs="Arial" w:eastAsia="Arial" w:hAnsi="Arial"/>
          <w:sz w:val="20"/>
          <w:szCs w:val="20"/>
          <w:color w:val="auto"/>
        </w:rPr>
        <w:t>)(17).</w:t>
      </w:r>
    </w:p>
    <w:p>
      <w:pPr>
        <w:spacing w:after="0" w:line="221"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 Section 415 Limitations</w:t>
      </w:r>
      <w:r>
        <w:rPr>
          <w:rFonts w:ascii="Arial" w:cs="Arial" w:eastAsia="Arial" w:hAnsi="Arial"/>
          <w:sz w:val="21"/>
          <w:szCs w:val="21"/>
          <w:color w:val="auto"/>
        </w:rPr>
        <w:t>” shall mean the limitations imposed by Code Section 415 without regard to Code Section 415(</w:t>
      </w:r>
      <w:r>
        <w:rPr>
          <w:rFonts w:ascii="Arial" w:cs="Arial" w:eastAsia="Arial" w:hAnsi="Arial"/>
          <w:sz w:val="21"/>
          <w:szCs w:val="21"/>
          <w:color w:val="auto"/>
        </w:rPr>
        <w:t>с</w:t>
      </w:r>
      <w:r>
        <w:rPr>
          <w:rFonts w:ascii="Arial" w:cs="Arial" w:eastAsia="Arial" w:hAnsi="Arial"/>
          <w:sz w:val="21"/>
          <w:szCs w:val="21"/>
          <w:color w:val="auto"/>
        </w:rPr>
        <w:t>)(1)(</w:t>
      </w:r>
      <w:r>
        <w:rPr>
          <w:rFonts w:ascii="Arial" w:cs="Arial" w:eastAsia="Arial" w:hAnsi="Arial"/>
          <w:sz w:val="21"/>
          <w:szCs w:val="21"/>
          <w:color w:val="auto"/>
        </w:rPr>
        <w:t>В</w:t>
      </w:r>
      <w:r>
        <w:rPr>
          <w:rFonts w:ascii="Arial" w:cs="Arial" w:eastAsia="Arial" w:hAnsi="Arial"/>
          <w:sz w:val="21"/>
          <w:szCs w:val="21"/>
          <w:color w:val="auto"/>
        </w:rPr>
        <w:t>).</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shall mean Schlumberger Limited, a Curacao corporation.</w:t>
      </w:r>
    </w:p>
    <w:p>
      <w:pPr>
        <w:spacing w:after="0" w:line="210" w:lineRule="exact"/>
        <w:rPr>
          <w:sz w:val="20"/>
          <w:szCs w:val="20"/>
          <w:color w:val="auto"/>
        </w:rPr>
      </w:pPr>
    </w:p>
    <w:p>
      <w:pPr>
        <w:jc w:val="both"/>
        <w:ind w:firstLine="1756"/>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w:t>
      </w:r>
      <w:r>
        <w:rPr>
          <w:rFonts w:ascii="Arial" w:cs="Arial" w:eastAsia="Arial" w:hAnsi="Arial"/>
          <w:sz w:val="21"/>
          <w:szCs w:val="21"/>
          <w:color w:val="auto"/>
        </w:rPr>
        <w:t>” shall mean any person who is employed by and carried on the payroll of an Employer and who meets the requirements for participation in a Qualified Defined Benefit Plan or Qualified Defined Contribution Plan maintained by an Employer.</w:t>
      </w:r>
    </w:p>
    <w:p>
      <w:pPr>
        <w:spacing w:after="0" w:line="159"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Employer</w:t>
      </w:r>
      <w:r>
        <w:rPr>
          <w:rFonts w:ascii="Arial" w:cs="Arial" w:eastAsia="Arial" w:hAnsi="Arial"/>
          <w:sz w:val="21"/>
          <w:szCs w:val="21"/>
          <w:color w:val="auto"/>
        </w:rPr>
        <w:t>” shall mean the Company and any Affiliate which meets the definition of an Employer in the applicable Qualified Plan.</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shall mean the Employee Retirement Income Security Act of 1974, as amended from time to time.</w:t>
      </w:r>
    </w:p>
    <w:p>
      <w:pPr>
        <w:spacing w:after="0" w:line="221"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shall mean a participant in a Qualified Defined Contribution Plan or a Qualified Defined Benefit Plan of the Company or any Affiliate.</w:t>
      </w:r>
    </w:p>
    <w:p>
      <w:pPr>
        <w:spacing w:after="0" w:line="143"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1990 Plan</w:t>
      </w:r>
      <w:r>
        <w:rPr>
          <w:rFonts w:ascii="Arial" w:cs="Arial" w:eastAsia="Arial" w:hAnsi="Arial"/>
          <w:sz w:val="21"/>
          <w:szCs w:val="21"/>
          <w:color w:val="auto"/>
        </w:rPr>
        <w:t>” shall mean the Schlumberger Limited Supplementary Benefit Plan, effective as of January 1, 1981, and thereafter amended and restated effective January 1, 1990.</w:t>
      </w:r>
    </w:p>
    <w:p>
      <w:pPr>
        <w:spacing w:after="0" w:line="143"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1995 Plan</w:t>
      </w:r>
      <w:r>
        <w:rPr>
          <w:rFonts w:ascii="Arial" w:cs="Arial" w:eastAsia="Arial" w:hAnsi="Arial"/>
          <w:sz w:val="21"/>
          <w:szCs w:val="21"/>
          <w:color w:val="auto"/>
        </w:rPr>
        <w:t>” shall mean the Schlumberger Limited Supplementary Benefit Plan, effective as of January 1, 1995, as thereafter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5" w:name="page76"/>
    <w:bookmarkEnd w:id="75"/>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2008 Plan</w:t>
      </w:r>
      <w:r>
        <w:rPr>
          <w:rFonts w:ascii="Arial" w:cs="Arial" w:eastAsia="Arial" w:hAnsi="Arial"/>
          <w:sz w:val="21"/>
          <w:szCs w:val="21"/>
          <w:color w:val="auto"/>
        </w:rPr>
        <w:t>” shall mean the Schlumberger Limited Supplementary Benefit Plan, effective as of January 1, 2008, as thereafter amended.</w:t>
      </w:r>
    </w:p>
    <w:p>
      <w:pPr>
        <w:spacing w:after="0" w:line="143"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Plan</w:t>
      </w:r>
      <w:r>
        <w:rPr>
          <w:rFonts w:ascii="Arial" w:cs="Arial" w:eastAsia="Arial" w:hAnsi="Arial"/>
          <w:sz w:val="21"/>
          <w:szCs w:val="21"/>
          <w:color w:val="auto"/>
        </w:rPr>
        <w:t>” shall mean the Schlumberger Limited Supplementary Benefit Plan, as amended and restated effective January 1, 2018 and set forth herein, and as amended from time to time.</w:t>
      </w:r>
    </w:p>
    <w:p>
      <w:pPr>
        <w:spacing w:after="0" w:line="143"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Prior Plan</w:t>
      </w:r>
      <w:r>
        <w:rPr>
          <w:rFonts w:ascii="Arial" w:cs="Arial" w:eastAsia="Arial" w:hAnsi="Arial"/>
          <w:sz w:val="21"/>
          <w:szCs w:val="21"/>
          <w:color w:val="auto"/>
        </w:rPr>
        <w:t>” shall mean the Schlumberger Limited Supplementary Benefit Plan, effective as of January 1, 2014, as thereafter amended.</w:t>
      </w:r>
    </w:p>
    <w:p>
      <w:pPr>
        <w:spacing w:after="0" w:line="143"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Defined Benefit Plans</w:t>
      </w:r>
      <w:r>
        <w:rPr>
          <w:rFonts w:ascii="Arial" w:cs="Arial" w:eastAsia="Arial" w:hAnsi="Arial"/>
          <w:sz w:val="21"/>
          <w:szCs w:val="21"/>
          <w:color w:val="auto"/>
        </w:rPr>
        <w:t>” shall mean the Schlumberger Pension Plan for US Taxpayers Employed Abroad and prior to October 15, 2016, the Schlumberger Limited Pension Plan .</w:t>
      </w:r>
    </w:p>
    <w:p>
      <w:pPr>
        <w:spacing w:after="0" w:line="143"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Qualified Defined Contribution Plans</w:t>
      </w:r>
      <w:r>
        <w:rPr>
          <w:rFonts w:ascii="Arial" w:cs="Arial" w:eastAsia="Arial" w:hAnsi="Arial"/>
          <w:sz w:val="20"/>
          <w:szCs w:val="20"/>
          <w:color w:val="auto"/>
        </w:rPr>
        <w:t>” shall mean the Schlumberger Limited Savings and Profit Sharing Plan or the Schlumberger Savings and Profit Sharing Plan for US Taxpayers Employed Abroad, as applicable; provided, however, that the term “Qualified Defined Contribution Plan” shall only include the portion of (i) the Schlumberger Limited Savings and Profit Sharing Plan that provides for discretionary employer contributions and (ii) the Schlumberger Savings and Profit Sharing Plan for US Taxpayers Employed Abroad that provides for discretionary employer contributions and the basic contribution and shall not include any portion of either such plan that is subject to Code Section 401(k) or 401(m).</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Qualified Plans</w:t>
      </w:r>
      <w:r>
        <w:rPr>
          <w:rFonts w:ascii="Arial" w:cs="Arial" w:eastAsia="Arial" w:hAnsi="Arial"/>
          <w:sz w:val="20"/>
          <w:szCs w:val="20"/>
          <w:color w:val="auto"/>
        </w:rPr>
        <w:t>” shall mean the Qualified Defined Contribution Plans and Qualified Defined Benefit Plans.</w:t>
      </w:r>
    </w:p>
    <w:p>
      <w:pPr>
        <w:spacing w:after="0" w:line="221"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Spouse</w:t>
      </w:r>
      <w:r>
        <w:rPr>
          <w:rFonts w:ascii="Arial" w:cs="Arial" w:eastAsia="Arial" w:hAnsi="Arial"/>
          <w:sz w:val="21"/>
          <w:szCs w:val="21"/>
          <w:color w:val="auto"/>
        </w:rPr>
        <w:t>” shall mean the person, if any, legally married pursuant to the laws of the State or country in which such marriage was performed to a Participant at the latest of (i) the time of the Participant’s death prior to retirement, (ii) the time of the Participant’s retirement, or (iii) the time the Participant’s benefits are to commence; provided, however, that this definition of “Spouse” shall include a same sex Spouse effective no earlier than (a) September 16, 2013, or (b) if prior to September 16, 2013, such Participant and same sex Spouse resided in a State or the District of Columbia that legally recognized their marriage, June 26, 2013 (or such later date as the Participant and his or her Spouse became residents of such State or the District of Columbia but in no event later than September 16, 2013).</w:t>
      </w:r>
    </w:p>
    <w:p>
      <w:pPr>
        <w:spacing w:after="0" w:line="173"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STC Plan</w:t>
      </w:r>
      <w:r>
        <w:rPr>
          <w:rFonts w:ascii="Arial" w:cs="Arial" w:eastAsia="Arial" w:hAnsi="Arial"/>
          <w:sz w:val="21"/>
          <w:szCs w:val="21"/>
          <w:color w:val="auto"/>
        </w:rPr>
        <w:t>” shall mean the Schlumberger Technology Corporation Supplementary Benefit Plan, as amended and restated effective January 1, 2014 and as thereafter amended from time to time.</w:t>
      </w:r>
    </w:p>
    <w:p>
      <w:pPr>
        <w:spacing w:after="0" w:line="143" w:lineRule="exact"/>
        <w:rPr>
          <w:sz w:val="20"/>
          <w:szCs w:val="20"/>
          <w:color w:val="auto"/>
        </w:rPr>
      </w:pPr>
    </w:p>
    <w:p>
      <w:pPr>
        <w:jc w:val="both"/>
        <w:ind w:firstLine="175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STC Plan Benefit</w:t>
      </w:r>
      <w:r>
        <w:rPr>
          <w:rFonts w:ascii="Arial" w:cs="Arial" w:eastAsia="Arial" w:hAnsi="Arial"/>
          <w:sz w:val="21"/>
          <w:szCs w:val="21"/>
          <w:color w:val="auto"/>
        </w:rPr>
        <w:t>” shall mean any benefit accrued pursuant to Section 3.3 or 4.3 of the 1990 Plan and unpaid as of January 1, 1995, to the extent calculated with reference to any Qualified Plan thereunder sponsored or contributed to by Schlumberger Technology Corporation or any subsidiary thereof and any benefit accrued under the STC Plan and unpaid as of December 31, 2017, to the extent calculated with reference to any Qualified Plan 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76" w:name="page77"/>
    <w:bookmarkEnd w:id="76"/>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Termination of Employment</w:t>
      </w:r>
      <w:r>
        <w:rPr>
          <w:rFonts w:ascii="Arial" w:cs="Arial" w:eastAsia="Arial" w:hAnsi="Arial"/>
          <w:sz w:val="21"/>
          <w:szCs w:val="21"/>
          <w:color w:val="auto"/>
        </w:rPr>
        <w:t>” shall mean “separation from service,” as defined in Section 1.409</w:t>
      </w:r>
      <w:r>
        <w:rPr>
          <w:rFonts w:ascii="Arial" w:cs="Arial" w:eastAsia="Arial" w:hAnsi="Arial"/>
          <w:sz w:val="21"/>
          <w:szCs w:val="21"/>
          <w:color w:val="auto"/>
        </w:rPr>
        <w:t>А</w:t>
      </w:r>
      <w:r>
        <w:rPr>
          <w:rFonts w:ascii="Arial" w:cs="Arial" w:eastAsia="Arial" w:hAnsi="Arial"/>
          <w:sz w:val="21"/>
          <w:szCs w:val="21"/>
          <w:color w:val="auto"/>
        </w:rPr>
        <w:t>-1(h) of the U.S. Treasury regulations, with an Employer for any reason other than a transfer between Employers.</w:t>
      </w:r>
    </w:p>
    <w:p>
      <w:pPr>
        <w:spacing w:after="0" w:line="200" w:lineRule="exact"/>
        <w:rPr>
          <w:sz w:val="20"/>
          <w:szCs w:val="20"/>
          <w:color w:val="auto"/>
        </w:rPr>
      </w:pPr>
    </w:p>
    <w:p>
      <w:pPr>
        <w:spacing w:after="0" w:line="400" w:lineRule="exact"/>
        <w:rPr>
          <w:sz w:val="20"/>
          <w:szCs w:val="20"/>
          <w:color w:val="auto"/>
        </w:rPr>
      </w:pPr>
    </w:p>
    <w:p>
      <w:pPr>
        <w:jc w:val="both"/>
        <w:ind w:firstLine="878"/>
        <w:spacing w:after="0" w:line="292"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Gender and Number.</w:t>
      </w:r>
      <w:r>
        <w:rPr>
          <w:rFonts w:ascii="Arial" w:cs="Arial" w:eastAsia="Arial" w:hAnsi="Arial"/>
          <w:sz w:val="20"/>
          <w:szCs w:val="20"/>
          <w:color w:val="auto"/>
        </w:rPr>
        <w:t xml:space="preserve"> Except when otherwise indicated by the context, any masculine pronoun when used in the Plan shall refer to either male or female Participants, and the definition of any term in the singular shall also include the plural.</w:t>
      </w:r>
    </w:p>
    <w:p>
      <w:pPr>
        <w:spacing w:after="0" w:line="131"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In the event any provision of the Plan shall be held invalid or illegal for any reason, any illegality or invalidity shall not affect the remaining parts of the Plan, but the Plan shall be construed and enforced as if the illegal or invalid provision had never been inserted, and the Company shall have the privilege and opportunity to correct and remedy questions of illegality or invalidity by amendment as provided in the Plan.</w:t>
      </w:r>
    </w:p>
    <w:p>
      <w:pPr>
        <w:spacing w:after="0" w:line="174"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Applicable Law.</w:t>
      </w:r>
      <w:r>
        <w:rPr>
          <w:rFonts w:ascii="Arial" w:cs="Arial" w:eastAsia="Arial" w:hAnsi="Arial"/>
          <w:sz w:val="21"/>
          <w:szCs w:val="21"/>
          <w:color w:val="auto"/>
        </w:rPr>
        <w:t xml:space="preserve"> To the extent not preempted by ERISA, this Plan shall be governed and construed in accordance with the laws of the State of Texas.</w:t>
      </w:r>
    </w:p>
    <w:p>
      <w:pPr>
        <w:spacing w:after="0" w:line="15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Plan Not an Employment Contract.</w:t>
      </w:r>
      <w:r>
        <w:rPr>
          <w:rFonts w:ascii="Arial" w:cs="Arial" w:eastAsia="Arial" w:hAnsi="Arial"/>
          <w:sz w:val="21"/>
          <w:szCs w:val="21"/>
          <w:color w:val="auto"/>
        </w:rPr>
        <w:t xml:space="preserve"> The Plan is not an employment contract. The receipt of benefits under the Plan does not give to any person the right to be continued in employment by the Company or an Affiliate, and all Employees remain subject to change of salary, transfer, change of job, discipline, layoff, discharge (with or without cause), or any other change of employment status.</w:t>
      </w:r>
    </w:p>
    <w:p>
      <w:pPr>
        <w:spacing w:after="0" w:line="17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Source of Payment.</w:t>
      </w:r>
      <w:r>
        <w:rPr>
          <w:rFonts w:ascii="Arial" w:cs="Arial" w:eastAsia="Arial" w:hAnsi="Arial"/>
          <w:sz w:val="20"/>
          <w:szCs w:val="20"/>
          <w:color w:val="auto"/>
        </w:rPr>
        <w:t xml:space="preserve"> The benefits described in this Plan are contractual obligations and liabilities of the applicable Employer to pay compensation for services in accordance with the terms hereof. All amounts paid under this Plan shall be paid in cash from the general assets of the applicable Employer. Benefits shall be reflected on the accounting records of the Employers, but shall not be construed to create, or require the creation of, a trust, custodial or escrow account. No special or separate fund need be established and no segregation of assets need be made to assure the payment of such benefits. No Participant shall have any right, title, or interest whatever in or to any investment reserves, accounts, funds or assets that the Company or the Employers may purchase, establish, or accumulate to aid in providing the benefits described in this Plan. Nothing contained in this Plan, and no action taken pursuant to its provisions, shall create or be construed to create a trust or a fiduciary relationship of any kind between an Employer or the Company and a Participant or any other person. Neither a Participant nor the beneficiary of a Participant shall acquire any interest hereunder greater than that of an unsecured creditor.</w:t>
      </w:r>
    </w:p>
    <w:p>
      <w:pPr>
        <w:spacing w:after="0" w:line="168"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u w:val="single" w:color="auto"/>
          <w:color w:val="auto"/>
        </w:rPr>
        <w:t>Tax Withholding.</w:t>
      </w:r>
      <w:r>
        <w:rPr>
          <w:rFonts w:ascii="Arial" w:cs="Arial" w:eastAsia="Arial" w:hAnsi="Arial"/>
          <w:sz w:val="21"/>
          <w:szCs w:val="21"/>
          <w:color w:val="auto"/>
        </w:rPr>
        <w:t xml:space="preserve"> The Employer may withhold from a payment any federal, state, or local taxes required by law to be withheld with respect to such payment and such sums as the Employer may reasonably estimate as necessary to cover any taxes for which the Employer may be liable and which may be assessed with regard to such payment.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1"/>
          <w:szCs w:val="21"/>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PARTICIPATION</w:t>
      </w:r>
    </w:p>
    <w:p>
      <w:pPr>
        <w:spacing w:after="0" w:line="192" w:lineRule="exact"/>
        <w:rPr>
          <w:sz w:val="20"/>
          <w:szCs w:val="20"/>
          <w:color w:val="auto"/>
        </w:rPr>
      </w:pPr>
    </w:p>
    <w:p>
      <w:pPr>
        <w:jc w:val="both"/>
        <w:ind w:firstLine="1756"/>
        <w:spacing w:after="0" w:line="252" w:lineRule="auto"/>
        <w:rPr>
          <w:sz w:val="20"/>
          <w:szCs w:val="20"/>
          <w:color w:val="auto"/>
        </w:rPr>
      </w:pPr>
      <w:r>
        <w:rPr>
          <w:rFonts w:ascii="Arial" w:cs="Arial" w:eastAsia="Arial" w:hAnsi="Arial"/>
          <w:sz w:val="20"/>
          <w:szCs w:val="20"/>
          <w:color w:val="auto"/>
        </w:rPr>
        <w:t xml:space="preserve">A Participant entitled to benefits under the Prior Plan shall receive such benefits, together with any benefits accrued hereunder from and after January 1, 2018, pursuant to the provisions of this Plan; provided that any STC Plan Benefit accrued under the Plan prior to January 1, 2018, will be paid under the STC Plan in accordance with Section 5.5 of the Plan. An Employee who becomes eligible for participation in Program A of this Plan (as described in Section 3.2) from and after January 1, 2018, shall become a Participant in Program </w:t>
      </w:r>
      <w:r>
        <w:rPr>
          <w:rFonts w:ascii="Arial" w:cs="Arial" w:eastAsia="Arial" w:hAnsi="Arial"/>
          <w:sz w:val="20"/>
          <w:szCs w:val="20"/>
          <w:color w:val="auto"/>
        </w:rPr>
        <w:t>А</w:t>
      </w:r>
      <w:r>
        <w:rPr>
          <w:rFonts w:ascii="Arial" w:cs="Arial" w:eastAsia="Arial" w:hAnsi="Arial"/>
          <w:sz w:val="20"/>
          <w:szCs w:val="20"/>
          <w:color w:val="auto"/>
        </w:rPr>
        <w:t xml:space="preserve"> of this Plan if, as of or after such date, the benefits he would otherwise receive as a result of his participation in one or more of the Qualified Plans are reduced as a result of the Code Section 401(</w:t>
      </w:r>
      <w:r>
        <w:rPr>
          <w:rFonts w:ascii="Arial" w:cs="Arial" w:eastAsia="Arial" w:hAnsi="Arial"/>
          <w:sz w:val="20"/>
          <w:szCs w:val="20"/>
          <w:color w:val="auto"/>
        </w:rPr>
        <w:t>а</w:t>
      </w:r>
      <w:r>
        <w:rPr>
          <w:rFonts w:ascii="Arial" w:cs="Arial" w:eastAsia="Arial" w:hAnsi="Arial"/>
          <w:sz w:val="20"/>
          <w:szCs w:val="20"/>
          <w:color w:val="auto"/>
        </w:rPr>
        <w:t xml:space="preserve">)(17) Limitations. An Employee who becomes eligible for participation in Program </w:t>
      </w:r>
      <w:r>
        <w:rPr>
          <w:rFonts w:ascii="Arial" w:cs="Arial" w:eastAsia="Arial" w:hAnsi="Arial"/>
          <w:sz w:val="20"/>
          <w:szCs w:val="20"/>
          <w:color w:val="auto"/>
        </w:rPr>
        <w:t>В</w:t>
      </w:r>
      <w:r>
        <w:rPr>
          <w:rFonts w:ascii="Arial" w:cs="Arial" w:eastAsia="Arial" w:hAnsi="Arial"/>
          <w:sz w:val="20"/>
          <w:szCs w:val="20"/>
          <w:color w:val="auto"/>
        </w:rPr>
        <w:t xml:space="preserve"> of this Plan (as described in Section 4.2) from and after January 1, 2018 shall become a Participant in Program </w:t>
      </w:r>
      <w:r>
        <w:rPr>
          <w:rFonts w:ascii="Arial" w:cs="Arial" w:eastAsia="Arial" w:hAnsi="Arial"/>
          <w:sz w:val="20"/>
          <w:szCs w:val="20"/>
          <w:color w:val="auto"/>
        </w:rPr>
        <w:t>В</w:t>
      </w:r>
      <w:r>
        <w:rPr>
          <w:rFonts w:ascii="Arial" w:cs="Arial" w:eastAsia="Arial" w:hAnsi="Arial"/>
          <w:sz w:val="20"/>
          <w:szCs w:val="20"/>
          <w:color w:val="auto"/>
        </w:rPr>
        <w:t xml:space="preserve"> of this Plan if, as of or after such date, the benefits he would otherwise receive as </w:t>
      </w:r>
      <w:r>
        <w:rPr>
          <w:rFonts w:ascii="Arial" w:cs="Arial" w:eastAsia="Arial" w:hAnsi="Arial"/>
          <w:sz w:val="20"/>
          <w:szCs w:val="20"/>
          <w:color w:val="auto"/>
        </w:rPr>
        <w:t>а</w:t>
      </w:r>
      <w:r>
        <w:rPr>
          <w:rFonts w:ascii="Arial" w:cs="Arial" w:eastAsia="Arial" w:hAnsi="Arial"/>
          <w:sz w:val="20"/>
          <w:szCs w:val="20"/>
          <w:color w:val="auto"/>
        </w:rPr>
        <w:t xml:space="preserve"> result of his participation in one or more of the Qualified Plans are reduced as a result of the Code Section 415 Limitations. An Employee who becomes eligible for participation in both Program A and </w:t>
      </w:r>
      <w:r>
        <w:rPr>
          <w:rFonts w:ascii="Arial" w:cs="Arial" w:eastAsia="Arial" w:hAnsi="Arial"/>
          <w:sz w:val="20"/>
          <w:szCs w:val="20"/>
          <w:color w:val="auto"/>
        </w:rPr>
        <w:t>В</w:t>
      </w:r>
      <w:r>
        <w:rPr>
          <w:rFonts w:ascii="Arial" w:cs="Arial" w:eastAsia="Arial" w:hAnsi="Arial"/>
          <w:sz w:val="20"/>
          <w:szCs w:val="20"/>
          <w:color w:val="auto"/>
        </w:rPr>
        <w:t xml:space="preserve"> of this Plan from and after January 1, 2018, and whose Qualified Plan benefits have been reduced by both the Code Section 401(</w:t>
      </w:r>
      <w:r>
        <w:rPr>
          <w:rFonts w:ascii="Arial" w:cs="Arial" w:eastAsia="Arial" w:hAnsi="Arial"/>
          <w:sz w:val="20"/>
          <w:szCs w:val="20"/>
          <w:color w:val="auto"/>
        </w:rPr>
        <w:t>а</w:t>
      </w:r>
      <w:r>
        <w:rPr>
          <w:rFonts w:ascii="Arial" w:cs="Arial" w:eastAsia="Arial" w:hAnsi="Arial"/>
          <w:sz w:val="20"/>
          <w:szCs w:val="20"/>
          <w:color w:val="auto"/>
        </w:rPr>
        <w:t xml:space="preserve">)(17) Limitations and the Code Section 415 Limitations shall participate in both Program A and </w:t>
      </w:r>
      <w:r>
        <w:rPr>
          <w:rFonts w:ascii="Arial" w:cs="Arial" w:eastAsia="Arial" w:hAnsi="Arial"/>
          <w:sz w:val="20"/>
          <w:szCs w:val="20"/>
          <w:color w:val="auto"/>
        </w:rPr>
        <w:t>В</w:t>
      </w:r>
      <w:r>
        <w:rPr>
          <w:rFonts w:ascii="Arial" w:cs="Arial" w:eastAsia="Arial" w:hAnsi="Arial"/>
          <w:sz w:val="20"/>
          <w:szCs w:val="20"/>
          <w:color w:val="auto"/>
        </w:rPr>
        <w:t>; provided, however, that nothing in this Plan shall entitle him to receive an amount that exceeds the total benefits that would have been his due under the Qualified Plans in the absence of the Code Section 401(</w:t>
      </w:r>
      <w:r>
        <w:rPr>
          <w:rFonts w:ascii="Arial" w:cs="Arial" w:eastAsia="Arial" w:hAnsi="Arial"/>
          <w:sz w:val="20"/>
          <w:szCs w:val="20"/>
          <w:color w:val="auto"/>
        </w:rPr>
        <w:t>а</w:t>
      </w:r>
      <w:r>
        <w:rPr>
          <w:rFonts w:ascii="Arial" w:cs="Arial" w:eastAsia="Arial" w:hAnsi="Arial"/>
          <w:sz w:val="20"/>
          <w:szCs w:val="20"/>
          <w:color w:val="auto"/>
        </w:rPr>
        <w:t>)(17) Limitations and the Code Section 415 Limitations.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PROGRAM A: RESTORATION OF</w:t>
      </w:r>
    </w:p>
    <w:p>
      <w:pPr>
        <w:jc w:val="center"/>
        <w:spacing w:after="0"/>
        <w:rPr>
          <w:sz w:val="20"/>
          <w:szCs w:val="20"/>
          <w:color w:val="auto"/>
        </w:rPr>
      </w:pPr>
      <w:r>
        <w:rPr>
          <w:rFonts w:ascii="Arial" w:cs="Arial" w:eastAsia="Arial" w:hAnsi="Arial"/>
          <w:sz w:val="21"/>
          <w:szCs w:val="21"/>
          <w:b w:val="1"/>
          <w:bCs w:val="1"/>
          <w:color w:val="auto"/>
        </w:rPr>
        <w:t>BENEFITS REDUCED BY CODE SECTION 401(</w:t>
      </w:r>
      <w:r>
        <w:rPr>
          <w:rFonts w:ascii="Arial" w:cs="Arial" w:eastAsia="Arial" w:hAnsi="Arial"/>
          <w:sz w:val="21"/>
          <w:szCs w:val="21"/>
          <w:b w:val="1"/>
          <w:bCs w:val="1"/>
          <w:color w:val="auto"/>
        </w:rPr>
        <w:t>а</w:t>
      </w:r>
      <w:r>
        <w:rPr>
          <w:rFonts w:ascii="Arial" w:cs="Arial" w:eastAsia="Arial" w:hAnsi="Arial"/>
          <w:sz w:val="21"/>
          <w:szCs w:val="21"/>
          <w:b w:val="1"/>
          <w:bCs w:val="1"/>
          <w:color w:val="auto"/>
        </w:rPr>
        <w:t>)(17)</w:t>
      </w:r>
    </w:p>
    <w:p>
      <w:pPr>
        <w:spacing w:after="0" w:line="192"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Purpose.</w:t>
      </w:r>
      <w:r>
        <w:rPr>
          <w:rFonts w:ascii="Arial" w:cs="Arial" w:eastAsia="Arial" w:hAnsi="Arial"/>
          <w:sz w:val="21"/>
          <w:szCs w:val="21"/>
          <w:color w:val="auto"/>
        </w:rPr>
        <w:t xml:space="preserve"> Code Section 401(</w:t>
      </w:r>
      <w:r>
        <w:rPr>
          <w:rFonts w:ascii="Arial" w:cs="Arial" w:eastAsia="Arial" w:hAnsi="Arial"/>
          <w:sz w:val="21"/>
          <w:szCs w:val="21"/>
          <w:color w:val="auto"/>
        </w:rPr>
        <w:t>а</w:t>
      </w:r>
      <w:r>
        <w:rPr>
          <w:rFonts w:ascii="Arial" w:cs="Arial" w:eastAsia="Arial" w:hAnsi="Arial"/>
          <w:sz w:val="21"/>
          <w:szCs w:val="21"/>
          <w:color w:val="auto"/>
        </w:rPr>
        <w:t>)(17) limits the amount of compensation that may be taken into account under the Qualified Plans. The purpose of Program A is to restore to Participants in the Qualified Plans any benefits that would have been available to them under the Qualified Plans had the Code Section 401(a)(17) Limitations not been imposed.</w:t>
      </w:r>
    </w:p>
    <w:p>
      <w:pPr>
        <w:spacing w:after="0" w:line="169"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Eligibility.</w:t>
      </w:r>
      <w:r>
        <w:rPr>
          <w:rFonts w:ascii="Arial" w:cs="Arial" w:eastAsia="Arial" w:hAnsi="Arial"/>
          <w:sz w:val="21"/>
          <w:szCs w:val="21"/>
          <w:color w:val="auto"/>
        </w:rPr>
        <w:t xml:space="preserve"> In order to participate in Program A of this Plan, an individual must (a) be a Participant in one of the Qualified Plans and (b) have experienced a reduction in the benefits he would have received from the Qualified Plan in which he is a Participant as </w:t>
      </w:r>
      <w:r>
        <w:rPr>
          <w:rFonts w:ascii="Arial" w:cs="Arial" w:eastAsia="Arial" w:hAnsi="Arial"/>
          <w:sz w:val="21"/>
          <w:szCs w:val="21"/>
          <w:color w:val="auto"/>
        </w:rPr>
        <w:t>а</w:t>
      </w:r>
      <w:r>
        <w:rPr>
          <w:rFonts w:ascii="Arial" w:cs="Arial" w:eastAsia="Arial" w:hAnsi="Arial"/>
          <w:sz w:val="21"/>
          <w:szCs w:val="21"/>
          <w:color w:val="auto"/>
        </w:rPr>
        <w:t xml:space="preserve"> result of the Code Section 401(</w:t>
      </w:r>
      <w:r>
        <w:rPr>
          <w:rFonts w:ascii="Arial" w:cs="Arial" w:eastAsia="Arial" w:hAnsi="Arial"/>
          <w:sz w:val="21"/>
          <w:szCs w:val="21"/>
          <w:color w:val="auto"/>
        </w:rPr>
        <w:t>а</w:t>
      </w:r>
      <w:r>
        <w:rPr>
          <w:rFonts w:ascii="Arial" w:cs="Arial" w:eastAsia="Arial" w:hAnsi="Arial"/>
          <w:sz w:val="21"/>
          <w:szCs w:val="21"/>
          <w:color w:val="auto"/>
        </w:rPr>
        <w:t>)(17) Limitations on the amount of annual compensation that may be included in the calculation of benefits. In addition, this Program is intended solely for the participation of a select group of management or highly compensated employees, as those terms are set forth in Section 201(2) of ERISA.</w:t>
      </w:r>
    </w:p>
    <w:p>
      <w:pPr>
        <w:spacing w:after="0" w:line="180"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Calculation of Restoration Benefit.</w:t>
      </w:r>
      <w:r>
        <w:rPr>
          <w:rFonts w:ascii="Arial" w:cs="Arial" w:eastAsia="Arial" w:hAnsi="Arial"/>
          <w:sz w:val="21"/>
          <w:szCs w:val="21"/>
          <w:color w:val="auto"/>
        </w:rPr>
        <w:t xml:space="preserve"> The amount of restoration benefits payable to a Participant in Program </w:t>
      </w:r>
      <w:r>
        <w:rPr>
          <w:rFonts w:ascii="Arial" w:cs="Arial" w:eastAsia="Arial" w:hAnsi="Arial"/>
          <w:sz w:val="21"/>
          <w:szCs w:val="21"/>
          <w:color w:val="auto"/>
        </w:rPr>
        <w:t>А</w:t>
      </w:r>
      <w:r>
        <w:rPr>
          <w:rFonts w:ascii="Arial" w:cs="Arial" w:eastAsia="Arial" w:hAnsi="Arial"/>
          <w:sz w:val="21"/>
          <w:szCs w:val="21"/>
          <w:color w:val="auto"/>
        </w:rPr>
        <w:t xml:space="preserve"> of this Plan with reference to each Qualified Defined Benefit Plan under which the Participant may claim benefits will be calculated in the manner described in Subsection (a). The amount of benefits payable to a Participant in Program </w:t>
      </w:r>
      <w:r>
        <w:rPr>
          <w:rFonts w:ascii="Arial" w:cs="Arial" w:eastAsia="Arial" w:hAnsi="Arial"/>
          <w:sz w:val="21"/>
          <w:szCs w:val="21"/>
          <w:color w:val="auto"/>
        </w:rPr>
        <w:t>А</w:t>
      </w:r>
      <w:r>
        <w:rPr>
          <w:rFonts w:ascii="Arial" w:cs="Arial" w:eastAsia="Arial" w:hAnsi="Arial"/>
          <w:sz w:val="21"/>
          <w:szCs w:val="21"/>
          <w:color w:val="auto"/>
        </w:rPr>
        <w:t xml:space="preserve"> of this Plan with reference to each Qualified Defined Contribution Plan under which the Participant may claim benefits will be calculated in the manner described in Subsection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8" w:name="page79"/>
    <w:bookmarkEnd w:id="78"/>
    <w:p>
      <w:pPr>
        <w:jc w:val="both"/>
        <w:ind w:firstLine="814"/>
        <w:spacing w:after="0" w:line="267" w:lineRule="auto"/>
        <w:tabs>
          <w:tab w:leader="none" w:pos="1683"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Restoration of Amounts Under Qualified Defined Benefit Plans</w:t>
      </w:r>
      <w:r>
        <w:rPr>
          <w:rFonts w:ascii="Arial" w:cs="Arial" w:eastAsia="Arial" w:hAnsi="Arial"/>
          <w:sz w:val="19"/>
          <w:szCs w:val="19"/>
          <w:color w:val="auto"/>
        </w:rPr>
        <w:t xml:space="preserve">: As of Participant’s Termination of Employment the Company will calculate </w:t>
      </w:r>
      <w:r>
        <w:rPr>
          <w:rFonts w:ascii="Arial" w:cs="Arial" w:eastAsia="Arial" w:hAnsi="Arial"/>
          <w:sz w:val="19"/>
          <w:szCs w:val="19"/>
          <w:color w:val="auto"/>
        </w:rPr>
        <w:t>а</w:t>
      </w:r>
      <w:r>
        <w:rPr>
          <w:rFonts w:ascii="Arial" w:cs="Arial" w:eastAsia="Arial" w:hAnsi="Arial"/>
          <w:sz w:val="19"/>
          <w:szCs w:val="19"/>
          <w:color w:val="auto"/>
        </w:rPr>
        <w:t xml:space="preserve"> benefit in an amount equal to the excess of (i) over (ii), where (i) is equal to the amount of the defined benefit which would have been payable under the Qualified Defined Benefit Plan but for the Code Section 401(a)(17) Limitations as of Participant’s Termination of Employment and (ii) is equal to the amount of the benefit actually payable under the Qualified Defined Benefit Plan as of Participant’s Termination of Employment, which excess is hereinafter referred to as the “Defined Benefit Restoration Benefit.” The Participant shall become vested in his or her Defined Benefit Restoration Benefit upon Participant’s attainment of age 50 with five years of credited Active Service. The Company shall pay a vested Defined Benefit Restoration Benefit to the Participant, or, if applicable, to his surviving Spouse, upon Participant’s Termination of Employment. If Participant experiences </w:t>
      </w:r>
      <w:r>
        <w:rPr>
          <w:rFonts w:ascii="Arial" w:cs="Arial" w:eastAsia="Arial" w:hAnsi="Arial"/>
          <w:sz w:val="19"/>
          <w:szCs w:val="19"/>
          <w:color w:val="auto"/>
        </w:rPr>
        <w:t>а</w:t>
      </w:r>
      <w:r>
        <w:rPr>
          <w:rFonts w:ascii="Arial" w:cs="Arial" w:eastAsia="Arial" w:hAnsi="Arial"/>
          <w:sz w:val="19"/>
          <w:szCs w:val="19"/>
          <w:color w:val="auto"/>
        </w:rPr>
        <w:t xml:space="preserve"> Termination of Employment prior to satisfying the vesting conditions described in this Section 3.3(a), Participant’s Defined Benefit Restoration Benefit shall be forfeited. The Defined Benefit Restoration Benefit shall become payable as provided in Section 5.3 hereof. Effective January 1, 2018, no additional Defined Benefit Restoration Benefits will accrue.</w:t>
      </w:r>
    </w:p>
    <w:p>
      <w:pPr>
        <w:spacing w:after="0" w:line="162" w:lineRule="exact"/>
        <w:rPr>
          <w:rFonts w:ascii="Arial" w:cs="Arial" w:eastAsia="Arial" w:hAnsi="Arial"/>
          <w:sz w:val="19"/>
          <w:szCs w:val="19"/>
          <w:color w:val="auto"/>
        </w:rPr>
      </w:pPr>
    </w:p>
    <w:p>
      <w:pPr>
        <w:jc w:val="both"/>
        <w:ind w:firstLine="814"/>
        <w:spacing w:after="0" w:line="266" w:lineRule="auto"/>
        <w:tabs>
          <w:tab w:leader="none" w:pos="169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Restoration of Amounts Under Qualified Defined Contribution Plans</w:t>
      </w:r>
      <w:r>
        <w:rPr>
          <w:rFonts w:ascii="Arial" w:cs="Arial" w:eastAsia="Arial" w:hAnsi="Arial"/>
          <w:sz w:val="19"/>
          <w:szCs w:val="19"/>
          <w:color w:val="auto"/>
        </w:rPr>
        <w:t xml:space="preserve">: </w:t>
      </w:r>
      <w:r>
        <w:rPr>
          <w:rFonts w:ascii="Arial" w:cs="Arial" w:eastAsia="Arial" w:hAnsi="Arial"/>
          <w:sz w:val="19"/>
          <w:szCs w:val="19"/>
          <w:color w:val="auto"/>
        </w:rPr>
        <w:t>А</w:t>
      </w:r>
      <w:r>
        <w:rPr>
          <w:rFonts w:ascii="Arial" w:cs="Arial" w:eastAsia="Arial" w:hAnsi="Arial"/>
          <w:sz w:val="19"/>
          <w:szCs w:val="19"/>
          <w:color w:val="auto"/>
        </w:rPr>
        <w:t xml:space="preserve"> benefit, hereinafter referred to as the “Defined Contribution Restoration Benefit,” will be payable to Participants in Program </w:t>
      </w:r>
      <w:r>
        <w:rPr>
          <w:rFonts w:ascii="Arial" w:cs="Arial" w:eastAsia="Arial" w:hAnsi="Arial"/>
          <w:sz w:val="19"/>
          <w:szCs w:val="19"/>
          <w:color w:val="auto"/>
        </w:rPr>
        <w:t>А</w:t>
      </w:r>
      <w:r>
        <w:rPr>
          <w:rFonts w:ascii="Arial" w:cs="Arial" w:eastAsia="Arial" w:hAnsi="Arial"/>
          <w:sz w:val="19"/>
          <w:szCs w:val="19"/>
          <w:color w:val="auto"/>
        </w:rPr>
        <w:t xml:space="preserve"> whose discretionary Employer profit-sharing contribution or basic contribution under a Qualified Defined Contribution Plan was reduced as a result of the Code Section 401(</w:t>
      </w:r>
      <w:r>
        <w:rPr>
          <w:rFonts w:ascii="Arial" w:cs="Arial" w:eastAsia="Arial" w:hAnsi="Arial"/>
          <w:sz w:val="19"/>
          <w:szCs w:val="19"/>
          <w:color w:val="auto"/>
        </w:rPr>
        <w:t>а</w:t>
      </w:r>
      <w:r>
        <w:rPr>
          <w:rFonts w:ascii="Arial" w:cs="Arial" w:eastAsia="Arial" w:hAnsi="Arial"/>
          <w:sz w:val="19"/>
          <w:szCs w:val="19"/>
          <w:color w:val="auto"/>
        </w:rPr>
        <w:t xml:space="preserve">)(17) Limitations. With respect to any Plan Year, the Defined Contribution Restoration Benefit shall be equal to the excess, if any, of (i) over (ii) where (i) is equal to the amount of the discretionary Employer profit-sharing contribution and basic contribution the Employer would have made under the Qualified Defined Contribution Plan for </w:t>
      </w:r>
      <w:r>
        <w:rPr>
          <w:rFonts w:ascii="Arial" w:cs="Arial" w:eastAsia="Arial" w:hAnsi="Arial"/>
          <w:sz w:val="19"/>
          <w:szCs w:val="19"/>
          <w:color w:val="auto"/>
        </w:rPr>
        <w:t>а</w:t>
      </w:r>
      <w:r>
        <w:rPr>
          <w:rFonts w:ascii="Arial" w:cs="Arial" w:eastAsia="Arial" w:hAnsi="Arial"/>
          <w:sz w:val="19"/>
          <w:szCs w:val="19"/>
          <w:color w:val="auto"/>
        </w:rPr>
        <w:t xml:space="preserve"> Plan Year on behalf of the Participant, based on the Participant’s compensation for that Plan Year without regard to the Code Section 401(a)(17) Limitations, and (ii) is equal to the amount of the discretionary Employer profit-sharing contribution and basic contribution that the Employer actually paid into the Qualified Defined Contribution Plan on behalf of the Participant for such Plan Year. For a Participant who also participates in the Schlumberger Limited Savings and Profit Sharing Plan, a Participant’s Defined Contribution Restoration Benefit shall become fully vested upon Participant’s completion of four years of Active Service (as that term is defined in the Qualified Defined Contribution Plan) or, if earlier, upon Participant’s death. For a Participant who also participates in the Schlumberger Savings and Profit Sharing Plan for US Taxpayers Employed Abroad, a Participant’s Defined Contribution Restoration Benefit shall be fully vested at all times.</w:t>
      </w:r>
    </w:p>
    <w:p>
      <w:pPr>
        <w:spacing w:after="0" w:line="167" w:lineRule="exact"/>
        <w:rPr>
          <w:sz w:val="20"/>
          <w:szCs w:val="20"/>
          <w:color w:val="auto"/>
        </w:rPr>
      </w:pPr>
    </w:p>
    <w:p>
      <w:pPr>
        <w:jc w:val="both"/>
        <w:ind w:firstLine="1621"/>
        <w:spacing w:after="0" w:line="257" w:lineRule="auto"/>
        <w:rPr>
          <w:sz w:val="20"/>
          <w:szCs w:val="20"/>
          <w:color w:val="auto"/>
        </w:rPr>
      </w:pPr>
      <w:r>
        <w:rPr>
          <w:rFonts w:ascii="Arial" w:cs="Arial" w:eastAsia="Arial" w:hAnsi="Arial"/>
          <w:sz w:val="20"/>
          <w:szCs w:val="20"/>
          <w:color w:val="auto"/>
        </w:rPr>
        <w:t>The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Any investment elections made pursuant to the Qualified Defined Contribution Plan shall also apply to the Defined Contribution Restoration Benefit and shall be effective at the same time that such election is applicable to the Participant’s Account under the Qualified Defined Contribution Plan. The Administrative Committee shall develop such procedures as it</w:t>
      </w:r>
    </w:p>
    <w:p>
      <w:pPr>
        <w:spacing w:after="0" w:line="17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66040</wp:posOffset>
            </wp:positionV>
            <wp:extent cx="729107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540"/>
          </w:cols>
          <w:pgMar w:left="1120" w:top="330" w:right="239" w:bottom="1440" w:gutter="0" w:footer="0" w:header="0"/>
        </w:sectPr>
      </w:pPr>
    </w:p>
    <w:bookmarkStart w:id="79" w:name="page80"/>
    <w:bookmarkEnd w:id="79"/>
    <w:p>
      <w:pPr>
        <w:jc w:val="both"/>
        <w:ind w:left="880"/>
        <w:spacing w:after="0" w:line="242" w:lineRule="auto"/>
        <w:rPr>
          <w:sz w:val="20"/>
          <w:szCs w:val="20"/>
          <w:color w:val="auto"/>
        </w:rPr>
      </w:pPr>
      <w:r>
        <w:rPr>
          <w:rFonts w:ascii="Arial" w:cs="Arial" w:eastAsia="Arial" w:hAnsi="Arial"/>
          <w:sz w:val="21"/>
          <w:szCs w:val="21"/>
          <w:color w:val="auto"/>
        </w:rPr>
        <w:t>deems necessary for purposes of valuing the Defined Contribution Restoration Benefits and maintaining records thereof. The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Defined Contribution Restoration Benefit shall become payable as provided in Section 5.2 hereof. Effective January 1, 2018, no additional Defined Contribution Restoration Benefits will accrue with respect to the Schlumberger Technology Corporation Savings and Profit Sharing Plan for US Taxpayers Employed Abroad.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xml:space="preserve">PROGRAM </w:t>
      </w:r>
      <w:r>
        <w:rPr>
          <w:rFonts w:ascii="Arial" w:cs="Arial" w:eastAsia="Arial" w:hAnsi="Arial"/>
          <w:sz w:val="21"/>
          <w:szCs w:val="21"/>
          <w:b w:val="1"/>
          <w:bCs w:val="1"/>
          <w:color w:val="auto"/>
        </w:rPr>
        <w:t>В</w:t>
      </w:r>
      <w:r>
        <w:rPr>
          <w:rFonts w:ascii="Arial" w:cs="Arial" w:eastAsia="Arial" w:hAnsi="Arial"/>
          <w:sz w:val="21"/>
          <w:szCs w:val="21"/>
          <w:b w:val="1"/>
          <w:bCs w:val="1"/>
          <w:color w:val="auto"/>
        </w:rPr>
        <w:t>: RESTORATION OF</w:t>
      </w:r>
    </w:p>
    <w:p>
      <w:pPr>
        <w:jc w:val="center"/>
        <w:spacing w:after="0"/>
        <w:rPr>
          <w:sz w:val="20"/>
          <w:szCs w:val="20"/>
          <w:color w:val="auto"/>
        </w:rPr>
      </w:pPr>
      <w:r>
        <w:rPr>
          <w:rFonts w:ascii="Arial" w:cs="Arial" w:eastAsia="Arial" w:hAnsi="Arial"/>
          <w:sz w:val="21"/>
          <w:szCs w:val="21"/>
          <w:b w:val="1"/>
          <w:bCs w:val="1"/>
          <w:color w:val="auto"/>
        </w:rPr>
        <w:t>BENEFITS REDUCED BY CODE SECTION 415</w:t>
      </w:r>
    </w:p>
    <w:p>
      <w:pPr>
        <w:spacing w:after="0" w:line="192"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Purpose.</w:t>
      </w:r>
      <w:r>
        <w:rPr>
          <w:rFonts w:ascii="Arial" w:cs="Arial" w:eastAsia="Arial" w:hAnsi="Arial"/>
          <w:sz w:val="21"/>
          <w:szCs w:val="21"/>
          <w:color w:val="auto"/>
        </w:rPr>
        <w:t xml:space="preserve"> Code Section 415 limits the amount of benefits available under a defined benefit plan and the amount of contributions permissible under a defined contribution plan. The purpose of Program B is to restore to Participants any Qualified Plan benefits that have been reduced as a result of the Code Section 415 Limitations.</w:t>
      </w:r>
    </w:p>
    <w:p>
      <w:pPr>
        <w:spacing w:after="0" w:line="169"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Eligibility.</w:t>
      </w:r>
      <w:r>
        <w:rPr>
          <w:rFonts w:ascii="Arial" w:cs="Arial" w:eastAsia="Arial" w:hAnsi="Arial"/>
          <w:sz w:val="21"/>
          <w:szCs w:val="21"/>
          <w:color w:val="auto"/>
        </w:rPr>
        <w:t xml:space="preserve"> An employee is eligible to participate in Program </w:t>
      </w:r>
      <w:r>
        <w:rPr>
          <w:rFonts w:ascii="Arial" w:cs="Arial" w:eastAsia="Arial" w:hAnsi="Arial"/>
          <w:sz w:val="21"/>
          <w:szCs w:val="21"/>
          <w:color w:val="auto"/>
        </w:rPr>
        <w:t>В</w:t>
      </w:r>
      <w:r>
        <w:rPr>
          <w:rFonts w:ascii="Arial" w:cs="Arial" w:eastAsia="Arial" w:hAnsi="Arial"/>
          <w:sz w:val="21"/>
          <w:szCs w:val="21"/>
          <w:color w:val="auto"/>
        </w:rPr>
        <w:t xml:space="preserve"> of this Plan if he (a) is a Participant in one of the Qualified Plans and (b) has experienced a reduction in the amount of benefits he would have received from the Qualified Plan in which he is a Participant as a result of the Code Section 415 Limitations.</w:t>
      </w:r>
    </w:p>
    <w:p>
      <w:pPr>
        <w:spacing w:after="0" w:line="169"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Calculation of Restoration Benefit.</w:t>
      </w:r>
      <w:r>
        <w:rPr>
          <w:rFonts w:ascii="Arial" w:cs="Arial" w:eastAsia="Arial" w:hAnsi="Arial"/>
          <w:sz w:val="21"/>
          <w:szCs w:val="21"/>
          <w:color w:val="auto"/>
        </w:rPr>
        <w:t xml:space="preserve"> The amount of restoration benefits payable to </w:t>
      </w:r>
      <w:r>
        <w:rPr>
          <w:rFonts w:ascii="Arial" w:cs="Arial" w:eastAsia="Arial" w:hAnsi="Arial"/>
          <w:sz w:val="21"/>
          <w:szCs w:val="21"/>
          <w:color w:val="auto"/>
        </w:rPr>
        <w:t>а</w:t>
      </w:r>
      <w:r>
        <w:rPr>
          <w:rFonts w:ascii="Arial" w:cs="Arial" w:eastAsia="Arial" w:hAnsi="Arial"/>
          <w:sz w:val="21"/>
          <w:szCs w:val="21"/>
          <w:color w:val="auto"/>
        </w:rPr>
        <w:t xml:space="preserve"> Participant in Program </w:t>
      </w:r>
      <w:r>
        <w:rPr>
          <w:rFonts w:ascii="Arial" w:cs="Arial" w:eastAsia="Arial" w:hAnsi="Arial"/>
          <w:sz w:val="21"/>
          <w:szCs w:val="21"/>
          <w:color w:val="auto"/>
        </w:rPr>
        <w:t>В</w:t>
      </w:r>
      <w:r>
        <w:rPr>
          <w:rFonts w:ascii="Arial" w:cs="Arial" w:eastAsia="Arial" w:hAnsi="Arial"/>
          <w:sz w:val="21"/>
          <w:szCs w:val="21"/>
          <w:color w:val="auto"/>
        </w:rPr>
        <w:t xml:space="preserve"> of this Plan with reference to each Qualified Defined Benefit Plan under which the Participant may claim benefits will be calculated in the manner described in Subsection (a). The amount of benefits payable to a Participant in Program </w:t>
      </w:r>
      <w:r>
        <w:rPr>
          <w:rFonts w:ascii="Arial" w:cs="Arial" w:eastAsia="Arial" w:hAnsi="Arial"/>
          <w:sz w:val="21"/>
          <w:szCs w:val="21"/>
          <w:color w:val="auto"/>
        </w:rPr>
        <w:t>В</w:t>
      </w:r>
      <w:r>
        <w:rPr>
          <w:rFonts w:ascii="Arial" w:cs="Arial" w:eastAsia="Arial" w:hAnsi="Arial"/>
          <w:sz w:val="21"/>
          <w:szCs w:val="21"/>
          <w:color w:val="auto"/>
        </w:rPr>
        <w:t xml:space="preserve"> of this Plan with reference to each Qualified Defined Contribution Plan under which the Participant may claim benefits will be calculated in the manner described in Subsection (b).</w:t>
      </w:r>
    </w:p>
    <w:p>
      <w:pPr>
        <w:spacing w:after="0" w:line="180" w:lineRule="exact"/>
        <w:rPr>
          <w:sz w:val="20"/>
          <w:szCs w:val="20"/>
          <w:color w:val="auto"/>
        </w:rPr>
      </w:pPr>
    </w:p>
    <w:p>
      <w:pPr>
        <w:jc w:val="both"/>
        <w:ind w:left="880" w:firstLine="814"/>
        <w:spacing w:after="0" w:line="267" w:lineRule="auto"/>
        <w:tabs>
          <w:tab w:leader="none" w:pos="256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Restoration of Amounts Under Qualified Defined Benefit Plans</w:t>
      </w:r>
      <w:r>
        <w:rPr>
          <w:rFonts w:ascii="Arial" w:cs="Arial" w:eastAsia="Arial" w:hAnsi="Arial"/>
          <w:sz w:val="19"/>
          <w:szCs w:val="19"/>
          <w:color w:val="auto"/>
        </w:rPr>
        <w:t xml:space="preserve">: When a Participant has a Termination of Employment, the Company will calculate a benefit equal to the excess of (i) over (ii), where (i) is equal to the amount of the defined benefit that would have been payable under the Qualified Defined Benefit Plan without regard to the Code Section 415 Limitations as of Participant’s Termination of Employment and (ii) is equal to the amount of benefit actually payable under the Qualified Defined Benefit Plan as of Participant’s Termination of Employment, which excess is hereinafter referred to as the “Section 415 Defined Benefit Restoration Benefit.” The Company shall pay a Section 415 Defined Benefit Restoration Benefit to the Participant or, if applicable, to Participant’s surviving Spouse. The Participant shall become vested in his Section 415 Defined Benefit Restoration Benefit upon Participant’s attainment of age 50 with five years of credited Active Service. If Participant experiences </w:t>
      </w:r>
      <w:r>
        <w:rPr>
          <w:rFonts w:ascii="Arial" w:cs="Arial" w:eastAsia="Arial" w:hAnsi="Arial"/>
          <w:sz w:val="19"/>
          <w:szCs w:val="19"/>
          <w:color w:val="auto"/>
        </w:rPr>
        <w:t>а</w:t>
      </w:r>
      <w:r>
        <w:rPr>
          <w:rFonts w:ascii="Arial" w:cs="Arial" w:eastAsia="Arial" w:hAnsi="Arial"/>
          <w:sz w:val="19"/>
          <w:szCs w:val="19"/>
          <w:color w:val="auto"/>
        </w:rPr>
        <w:t xml:space="preserve"> Termination of Employment prior to satisfying the vesting conditions described in this Section 4.3(a), Participant’s Section 415 Defined Benefit Restoration Benefit shall be forfeited. The Section 415 Defined Benefit Restoration Benefit shall become payable as provided in Section 5.3 hereof. Effective January 1, 2018, no additional Section 415 Defined Benefit Restoration Benefits will accrue.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0" w:name="page81"/>
    <w:bookmarkEnd w:id="80"/>
    <w:p>
      <w:pPr>
        <w:jc w:val="both"/>
        <w:ind w:left="880" w:firstLine="814"/>
        <w:spacing w:after="0" w:line="252" w:lineRule="auto"/>
        <w:tabs>
          <w:tab w:leader="none" w:pos="2575"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Restoration of Amounts Under Qualified Defined Contribution Plans</w:t>
      </w:r>
      <w:r>
        <w:rPr>
          <w:rFonts w:ascii="Arial" w:cs="Arial" w:eastAsia="Arial" w:hAnsi="Arial"/>
          <w:sz w:val="20"/>
          <w:szCs w:val="20"/>
          <w:color w:val="auto"/>
        </w:rPr>
        <w:t xml:space="preserve">: </w:t>
      </w:r>
      <w:r>
        <w:rPr>
          <w:rFonts w:ascii="Arial" w:cs="Arial" w:eastAsia="Arial" w:hAnsi="Arial"/>
          <w:sz w:val="20"/>
          <w:szCs w:val="20"/>
          <w:color w:val="auto"/>
        </w:rPr>
        <w:t>А</w:t>
      </w:r>
      <w:r>
        <w:rPr>
          <w:rFonts w:ascii="Arial" w:cs="Arial" w:eastAsia="Arial" w:hAnsi="Arial"/>
          <w:sz w:val="20"/>
          <w:szCs w:val="20"/>
          <w:color w:val="auto"/>
        </w:rPr>
        <w:t xml:space="preserve"> benefit, hereinafter referred to as the “Section 415 Defined Contribution Restoration Benefit,” will be payable to Participants in Program B whose Qualified Defined Contribution Plan benefits were reduced as a result of the Code Section 415 Limitations. With respect to any Plan Year, the Section 415 Defined Contribution Restoration Benefit shall be payable in an amount equal to the excess, if any, of (i) over (ii), where (i) is equal to the amount of the discretionary Employer profit-sharing contribution and basic contribution the Employer would have made under the Qualified Defined Contribution Plan for </w:t>
      </w:r>
      <w:r>
        <w:rPr>
          <w:rFonts w:ascii="Arial" w:cs="Arial" w:eastAsia="Arial" w:hAnsi="Arial"/>
          <w:sz w:val="20"/>
          <w:szCs w:val="20"/>
          <w:color w:val="auto"/>
        </w:rPr>
        <w:t>а</w:t>
      </w:r>
      <w:r>
        <w:rPr>
          <w:rFonts w:ascii="Arial" w:cs="Arial" w:eastAsia="Arial" w:hAnsi="Arial"/>
          <w:sz w:val="20"/>
          <w:szCs w:val="20"/>
          <w:color w:val="auto"/>
        </w:rPr>
        <w:t xml:space="preserve"> Plan Year without regard to the Code Section 415 Limitations and (ii) is equal to the amount of the discretionary Employer profit-sharing contribution and basic contribution that the Employer actually paid into the Qualified Defined Contribution Plan on behalf of the Participant for such Plan Year. For a Participant who also participates in the Schlumberger Limited Savings and Profit Sharing Plan, a Participant’s Section 415 Defined Contribution Restoration Benefit shall become fully vested upon Participant’s completion of four years of Active Service (as that term is defined in the Qualified Defined Contribution Plan) or, if earlier, upon Participant’s death. For a Participant who also participates in the Schlumberger Savings and Profit Sharing Plan for US Taxpayers Employed Abroad, a Participant’s Section 415 Defined Contribution Restoration Benefit shall be fully vested at all times.</w:t>
      </w:r>
    </w:p>
    <w:p>
      <w:pPr>
        <w:spacing w:after="0" w:line="177" w:lineRule="exact"/>
        <w:rPr>
          <w:sz w:val="20"/>
          <w:szCs w:val="20"/>
          <w:color w:val="auto"/>
        </w:rPr>
      </w:pPr>
    </w:p>
    <w:p>
      <w:pPr>
        <w:jc w:val="both"/>
        <w:ind w:left="880" w:firstLine="1621"/>
        <w:spacing w:after="0" w:line="267" w:lineRule="auto"/>
        <w:rPr>
          <w:sz w:val="20"/>
          <w:szCs w:val="20"/>
          <w:color w:val="auto"/>
        </w:rPr>
      </w:pPr>
      <w:r>
        <w:rPr>
          <w:rFonts w:ascii="Arial" w:cs="Arial" w:eastAsia="Arial" w:hAnsi="Arial"/>
          <w:sz w:val="19"/>
          <w:szCs w:val="19"/>
          <w:color w:val="auto"/>
        </w:rPr>
        <w:t>The Section 415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Any investment elections made pursuant to the Qualified Defined Contribution Plan shall also apply to the Section 415 Defined Contribution Restoration Benefit and shall be effective at the same time that such election is applicable to the Participant’s Account under the Qualified Defined Contribution Plan. The Administrative Committee shall develop such procedures as it deems necessary for purposes of valuing the Section 415 Defined Contribution Restoration Benefits and maintaining records thereof. The Section 415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Section 415 Defined Contribution Restoration Benefit shall become payable as provided in Section 5.2 hereof. Effective January 1, 2018, no additional Section 415 Defined Contribution Restoration Benefits will accrue with respect to the Schlumberger Technology Corporation Savings and Profit Sharing Plan for US Taxpayers Employed Abroad.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VESTING AND FORM OF PAYMENT</w:t>
      </w:r>
    </w:p>
    <w:p>
      <w:pPr>
        <w:spacing w:after="0" w:line="192"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w:t>
      </w:r>
      <w:r>
        <w:rPr>
          <w:rFonts w:ascii="Arial" w:cs="Arial" w:eastAsia="Arial" w:hAnsi="Arial"/>
          <w:sz w:val="20"/>
          <w:szCs w:val="20"/>
          <w:color w:val="auto"/>
        </w:rPr>
        <w:t>А</w:t>
      </w:r>
      <w:r>
        <w:rPr>
          <w:rFonts w:ascii="Arial" w:cs="Arial" w:eastAsia="Arial" w:hAnsi="Arial"/>
          <w:sz w:val="20"/>
          <w:szCs w:val="20"/>
          <w:color w:val="auto"/>
        </w:rPr>
        <w:t xml:space="preserve"> Participant shall become vested in the benefits payable in accordance with Sections 3.3 and 4.3 hereof. Notwithstanding the foregoing, a Participant (and his survivor or Beneficiary) shall have no right to a benefit under this Plan if the Administrative Committee determines that the Participant engaged in a dishonest act injurious to the finances or reputation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1" w:name="page82"/>
    <w:bookmarkEnd w:id="81"/>
    <w:p>
      <w:pPr>
        <w:jc w:val="both"/>
        <w:spacing w:after="0" w:line="252" w:lineRule="auto"/>
        <w:rPr>
          <w:sz w:val="20"/>
          <w:szCs w:val="20"/>
          <w:color w:val="auto"/>
        </w:rPr>
      </w:pPr>
      <w:r>
        <w:rPr>
          <w:rFonts w:ascii="Arial" w:cs="Arial" w:eastAsia="Arial" w:hAnsi="Arial"/>
          <w:sz w:val="21"/>
          <w:szCs w:val="21"/>
          <w:color w:val="auto"/>
        </w:rPr>
        <w:t xml:space="preserve">of the Company or any of its Affiliates or that the Participant has violated the Patent and Confidential Information Agreement between the Participant and the Company or any of its Affiliates or any other confidential arrangement involving the Company or any of its Affiliates to which he is </w:t>
      </w:r>
      <w:r>
        <w:rPr>
          <w:rFonts w:ascii="Arial" w:cs="Arial" w:eastAsia="Arial" w:hAnsi="Arial"/>
          <w:sz w:val="21"/>
          <w:szCs w:val="21"/>
          <w:color w:val="auto"/>
        </w:rPr>
        <w:t>а</w:t>
      </w:r>
      <w:r>
        <w:rPr>
          <w:rFonts w:ascii="Arial" w:cs="Arial" w:eastAsia="Arial" w:hAnsi="Arial"/>
          <w:sz w:val="21"/>
          <w:szCs w:val="21"/>
          <w:color w:val="auto"/>
        </w:rPr>
        <w:t xml:space="preserve"> party or by which he is bound.</w:t>
      </w:r>
    </w:p>
    <w:p>
      <w:pPr>
        <w:spacing w:after="0" w:line="169"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Defined Contribution Plan Benefits.</w:t>
      </w:r>
      <w:r>
        <w:rPr>
          <w:rFonts w:ascii="Arial" w:cs="Arial" w:eastAsia="Arial" w:hAnsi="Arial"/>
          <w:sz w:val="21"/>
          <w:szCs w:val="21"/>
          <w:color w:val="auto"/>
        </w:rPr>
        <w:t xml:space="preserve"> The Defined Contribution Restoration Benefit and the Section 415 Defined Contribution Restoration Benefit (the "Defined Contribution Benefits") shall be payable in the form of (i) a lump sum or (ii) at the Participant's election, in five or ten annual installment payments.</w:t>
      </w:r>
    </w:p>
    <w:p>
      <w:pPr>
        <w:spacing w:after="0" w:line="169" w:lineRule="exact"/>
        <w:rPr>
          <w:sz w:val="20"/>
          <w:szCs w:val="20"/>
          <w:color w:val="auto"/>
        </w:rPr>
      </w:pPr>
    </w:p>
    <w:p>
      <w:pPr>
        <w:jc w:val="both"/>
        <w:ind w:left="880" w:firstLine="814"/>
        <w:spacing w:after="0" w:line="241" w:lineRule="auto"/>
        <w:tabs>
          <w:tab w:leader="none" w:pos="2563"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Lump Sum Payment</w:t>
      </w:r>
      <w:r>
        <w:rPr>
          <w:rFonts w:ascii="Arial" w:cs="Arial" w:eastAsia="Arial" w:hAnsi="Arial"/>
          <w:sz w:val="21"/>
          <w:szCs w:val="21"/>
          <w:color w:val="auto"/>
        </w:rPr>
        <w:t>. Subject to Section 6.5, a lump-sum payment shall be made during the first calendar quarter of the Plan Year following the Participant's Termination of Employment. In the event of the death of the Participant prior to full payment of his Defined Contribution Benefits, any such unpaid benefits shall be paid in a lump sum to the person or persons who are designated as the Participant's Beneficiaries under the applicable Qualified Defined Contribution Plan (with the valid consent of the Participant's Spouse where required under the Qualified Defined Contribution Plan). Any such Defined Contribution Benefits which are paid as a result of the death of the Participant shall be paid in a lump sum during the first calendar quarter of the Plan Year following the Plan Year in which the Participant's death occurs.</w:t>
      </w:r>
    </w:p>
    <w:p>
      <w:pPr>
        <w:spacing w:after="0" w:line="183" w:lineRule="exact"/>
        <w:rPr>
          <w:rFonts w:ascii="Arial" w:cs="Arial" w:eastAsia="Arial" w:hAnsi="Arial"/>
          <w:sz w:val="21"/>
          <w:szCs w:val="21"/>
          <w:color w:val="auto"/>
        </w:rPr>
      </w:pPr>
    </w:p>
    <w:p>
      <w:pPr>
        <w:jc w:val="both"/>
        <w:ind w:left="880" w:firstLine="814"/>
        <w:spacing w:after="0"/>
        <w:tabs>
          <w:tab w:leader="none" w:pos="2575"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Installment Payments</w:t>
      </w:r>
      <w:r>
        <w:rPr>
          <w:rFonts w:ascii="Arial" w:cs="Arial" w:eastAsia="Arial" w:hAnsi="Arial"/>
          <w:sz w:val="21"/>
          <w:szCs w:val="21"/>
          <w:color w:val="auto"/>
        </w:rPr>
        <w:t xml:space="preserve">. Subject to the rules established by the Administrative Committee, the Participant may file a distribution election, directing his Defined Contribution Benefits to be distributed in annual installment payments over five or ten years. Such distribution election must be made on the form supplied by the Administrative Committee for that purpose. With respect to Defined Contribution Benefits earned prior to January 1, 2016, the Participant may elect to have his Defined Contribution Benefits distributed in annual installments;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any such election shall not take effect until at least 12 months after the election was made and the first annual installment shall not be payable prior to the date five years following the first day of the Plan Year following Participant's Termination of Employment. With respect to Defined Contribution Benefits earned on or after January 1, 2016, the Participant may elect to have his Defined Contribution Benefits distributed in annual installments and subject to Section 6.5, the first annual installment shall be payable during the first calendar quarter of the Plan Year following the Participant's Termination of Employment.</w:t>
      </w:r>
    </w:p>
    <w:p>
      <w:pPr>
        <w:spacing w:after="0" w:line="184" w:lineRule="exact"/>
        <w:rPr>
          <w:rFonts w:ascii="Arial" w:cs="Arial" w:eastAsia="Arial" w:hAnsi="Arial"/>
          <w:sz w:val="21"/>
          <w:szCs w:val="21"/>
          <w:color w:val="auto"/>
        </w:rPr>
      </w:pPr>
    </w:p>
    <w:p>
      <w:pPr>
        <w:jc w:val="both"/>
        <w:ind w:left="880" w:firstLine="814"/>
        <w:spacing w:after="0" w:line="241" w:lineRule="auto"/>
        <w:tabs>
          <w:tab w:leader="none" w:pos="2563"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Change of Form or Timing of Benefit Payments</w:t>
      </w:r>
      <w:r>
        <w:rPr>
          <w:rFonts w:ascii="Arial" w:cs="Arial" w:eastAsia="Arial" w:hAnsi="Arial"/>
          <w:sz w:val="21"/>
          <w:szCs w:val="21"/>
          <w:color w:val="auto"/>
        </w:rPr>
        <w:t xml:space="preserve">. A Participant may file a subsequent distribution election for his Defined Contribution Benefits no later than 12 months prior to the date that he or she would have otherwise received (or would have commenced to receive) distribution of his Defined Contribution Benefits, to change the timing and form of payment of the distribution to a time and form available under the Plan;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payment, or first payment in the case of an installment payment, under the subsequent distribution election shall be deferred to a date that is at least five years after the date the Participant would have received his distribution of Defined Contribution Benefits under his prior election. Such subsequent distribution election is subject to the rules established by the Administrative Committee and must be made on the form supplied by the Administrative Committee for that purpose.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2" w:name="page83"/>
    <w:bookmarkEnd w:id="82"/>
    <w:p>
      <w:pPr>
        <w:ind w:left="880"/>
        <w:spacing w:after="0" w:line="267" w:lineRule="auto"/>
        <w:rPr>
          <w:sz w:val="20"/>
          <w:szCs w:val="20"/>
          <w:color w:val="auto"/>
        </w:rPr>
      </w:pPr>
      <w:r>
        <w:rPr>
          <w:rFonts w:ascii="Arial" w:cs="Arial" w:eastAsia="Arial" w:hAnsi="Arial"/>
          <w:sz w:val="21"/>
          <w:szCs w:val="21"/>
          <w:color w:val="auto"/>
        </w:rPr>
        <w:t>requirement in this Section 5.2(c) that the first payment with respect to which any election thereunder applies must be deferred for at least five years shall not apply to a payment involving the Participant's death.</w:t>
      </w:r>
    </w:p>
    <w:p>
      <w:pPr>
        <w:spacing w:after="0" w:line="153"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Defined Benefit Plan Benefits.</w:t>
      </w:r>
      <w:r>
        <w:rPr>
          <w:rFonts w:ascii="Arial" w:cs="Arial" w:eastAsia="Arial" w:hAnsi="Arial"/>
          <w:sz w:val="19"/>
          <w:szCs w:val="19"/>
          <w:color w:val="auto"/>
        </w:rPr>
        <w:t xml:space="preserve"> Subject to Section 6.5, the vested Defined Benefit Restoration Benefit and the vested Section 415 Defined Benefit Restoration Benefit (the “Defined Benefits”) shall be payable in the form of an annuity to commence on the first day of the month following the later of (i) the Participant’s Termination of Employment and (ii) the earliest of</w:t>
      </w:r>
    </w:p>
    <w:p>
      <w:pPr>
        <w:jc w:val="both"/>
        <w:ind w:firstLine="6"/>
        <w:spacing w:after="0" w:line="266" w:lineRule="auto"/>
        <w:tabs>
          <w:tab w:leader="none" w:pos="353" w:val="left"/>
        </w:tabs>
        <w:numPr>
          <w:ilvl w:val="0"/>
          <w:numId w:val="64"/>
        </w:numPr>
        <w:rPr>
          <w:rFonts w:ascii="Arial" w:cs="Arial" w:eastAsia="Arial" w:hAnsi="Arial"/>
          <w:sz w:val="19"/>
          <w:szCs w:val="19"/>
          <w:color w:val="auto"/>
        </w:rPr>
      </w:pPr>
      <w:r>
        <w:rPr>
          <w:rFonts w:ascii="Arial" w:cs="Arial" w:eastAsia="Arial" w:hAnsi="Arial"/>
          <w:sz w:val="19"/>
          <w:szCs w:val="19"/>
          <w:color w:val="auto"/>
        </w:rPr>
        <w:t>Participant’s attainment of age 55 (or, with respect to a Participant’s vested Defined Benefits that relate to benefits accrued under the Schlumberger Pension Plan for US Taxpayers Employed Abroad after December 31, 2009, age 60), (B) the Participant’s attainment of age 50 with 20 years of credited Active Service or (C) Participant’s death. If Participant is unmarried on the date of his Termination of Employment, the Defined Benefits shall be paid in the form of a single life annuity. If Participant is married on the date of his Termination of Employment, Participant’s benefit shall be paid in the form of one of the following Actuarially Equivalent annuity forms elected by Participant no later than his Termination of Employment: 50%, 75% or 100% joint and survivor annuity with Participant’s surviving Spouse. If a married Participant has not elected a form of joint and survivor annuity as of the date of his Termination of Employment, his benefit shall automatically be paid in the form of a 50% joint and survivor annuity with Participant’s surviving Spouse. In the event of the death of a Participant prior to commencement of his Defined Benefits or after commencement of such benefits, but prior to final satisfaction of all such amounts under this Plan, the Defined Benefits shall be paid to Participant’s surviving Spouse, if applicable, in accordance with the form of joint and survivor annuity benefits elected by the Participant.</w:t>
      </w:r>
    </w:p>
    <w:p>
      <w:pPr>
        <w:spacing w:after="0" w:line="159"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Non-Duplication of Benefits.</w:t>
      </w:r>
      <w:r>
        <w:rPr>
          <w:rFonts w:ascii="Arial" w:cs="Arial" w:eastAsia="Arial" w:hAnsi="Arial"/>
          <w:sz w:val="21"/>
          <w:szCs w:val="21"/>
          <w:color w:val="auto"/>
        </w:rPr>
        <w:t xml:space="preserve"> The purpose of this Plan is to restore certain benefits which would otherwise be lost under the Qualified Plans. The benefits payable under this Plan shall be coordinated to ensure that benefit reductions attributable to the Code Section 401(a)(17) Limitations and the Code Section 415 Limitations are calculated to prevent duplication of benefits under this Plan. As pension payment amounts are adjusted annually under the Qualified Defined Benefit Plans to take into account cost of living adjustments prescribed by the Secretary of Treasury, the amount of the Section 415 Defined Benefit Restoration Benefit shall be adjusted annually to reflect such changes.</w:t>
      </w:r>
    </w:p>
    <w:p>
      <w:pPr>
        <w:spacing w:after="0" w:line="179"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STC Plan Benefits.</w:t>
      </w:r>
      <w:r>
        <w:rPr>
          <w:rFonts w:ascii="Arial" w:cs="Arial" w:eastAsia="Arial" w:hAnsi="Arial"/>
          <w:sz w:val="20"/>
          <w:szCs w:val="20"/>
          <w:color w:val="auto"/>
        </w:rPr>
        <w:t xml:space="preserve"> Notwithstanding any provisions of this Plan, the Prior Plan, the 2008 Plan, the 1990 Plan and the 1995 Plan to the contrary, all STC Plan Benefits otherwise payable pursuant thereto shall not be so paid, but shall be payable instead pursuant to the STC Plan. To the extent that any STC Plan Benefits are paid pursuant to this Plan, such benefits shall be deemed for all purposes to have been paid pursuant to the terms of the STC Plan. Notwithstanding any provision herein to the contrary, this Plan shall be administered to prevent duplication of any benefits paid under the STC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1"/>
          <w:szCs w:val="21"/>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ADMINISTRATION</w:t>
      </w:r>
    </w:p>
    <w:p>
      <w:pPr>
        <w:spacing w:after="0" w:line="192" w:lineRule="exact"/>
        <w:rPr>
          <w:sz w:val="20"/>
          <w:szCs w:val="20"/>
          <w:color w:val="auto"/>
        </w:rPr>
      </w:pPr>
    </w:p>
    <w:p>
      <w:pPr>
        <w:jc w:val="both"/>
        <w:ind w:firstLine="878"/>
        <w:spacing w:after="0"/>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Administration.</w:t>
      </w:r>
      <w:r>
        <w:rPr>
          <w:rFonts w:ascii="Arial" w:cs="Arial" w:eastAsia="Arial" w:hAnsi="Arial"/>
          <w:sz w:val="21"/>
          <w:szCs w:val="21"/>
          <w:color w:val="auto"/>
        </w:rPr>
        <w:t xml:space="preserve"> The Plan shall be administered, construed and interpreted by the Administrative Committee. The determinations by the Administrative Committee as to any disputed questions arising under the Plan, including questions concerning the Employees who are eligible to be Participants in the Plan and the amounts of their benefits under the Plan, and the construction and interpretation by the Administrative Committee of any provision of the Plan, shall be final, conclusive and binding upon all persons including Participants, their Beneficiaries and survivors, the Company, its stockholders and Employees, and the Employers. A member of the Administrative Committee who is also a Participant in the Plan must abstain from voting on any matter relating specifically to his own benefits under the Plan. The Administrative Committee shall have the authority to amend the Plan to comply with any legislative change, including any regulations promulgated pursuant to a legislative change, or to make discretionary changes, provided that such amendment does not result in any significant increase in cost of maintaining the Plan or change the underlying benefits of the Plan.</w:t>
      </w:r>
    </w:p>
    <w:p>
      <w:pPr>
        <w:spacing w:after="0" w:line="18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1"/>
          <w:szCs w:val="21"/>
          <w:color w:val="auto"/>
        </w:rPr>
        <w:t>6.2</w:t>
      </w:r>
      <w:r>
        <w:rPr>
          <w:sz w:val="20"/>
          <w:szCs w:val="20"/>
          <w:color w:val="auto"/>
        </w:rPr>
        <w:tab/>
      </w:r>
      <w:r>
        <w:rPr>
          <w:rFonts w:ascii="Arial" w:cs="Arial" w:eastAsia="Arial" w:hAnsi="Arial"/>
          <w:sz w:val="19"/>
          <w:szCs w:val="19"/>
          <w:u w:val="single" w:color="auto"/>
          <w:color w:val="auto"/>
        </w:rPr>
        <w:t xml:space="preserve">Expenses. </w:t>
      </w:r>
      <w:r>
        <w:rPr>
          <w:rFonts w:ascii="Arial" w:cs="Arial" w:eastAsia="Arial" w:hAnsi="Arial"/>
          <w:sz w:val="19"/>
          <w:szCs w:val="19"/>
          <w:color w:val="auto"/>
        </w:rPr>
        <w:t>The expenses of administering the Plan shall be borne by the Company.</w:t>
      </w:r>
    </w:p>
    <w:p>
      <w:pPr>
        <w:spacing w:after="0" w:line="210"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Indemnification.</w:t>
      </w:r>
      <w:r>
        <w:rPr>
          <w:rFonts w:ascii="Arial" w:cs="Arial" w:eastAsia="Arial" w:hAnsi="Arial"/>
          <w:sz w:val="21"/>
          <w:szCs w:val="21"/>
          <w:color w:val="auto"/>
        </w:rPr>
        <w:t xml:space="preserve"> The members of the Administrative Committee and its agents shall be indemnified and held harmless by the Company against and from any and all loss, cost, liability, or expense that may be imposed upon or reasonably incurred by them in connection with or resulting from any claim, action, suit, or proceeding to which they may be a party or in which they may be involved by reason of any action taken or failure to act under this Plan and against and from any and all amounts paid by them in settlement (with the Company’s written approval) or paid by them in satisfaction of a judgment in any such action, suit, or proceeding. The foregoing provisions shall not be applicable to any person if the loss, cost, liability or expense is due to such person’s gross negligence or willful misconduct.</w:t>
      </w:r>
    </w:p>
    <w:p>
      <w:pPr>
        <w:spacing w:after="0" w:line="180"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409</w:t>
      </w:r>
      <w:r>
        <w:rPr>
          <w:rFonts w:ascii="Arial" w:cs="Arial" w:eastAsia="Arial" w:hAnsi="Arial"/>
          <w:sz w:val="19"/>
          <w:szCs w:val="19"/>
          <w:u w:val="single" w:color="auto"/>
          <w:color w:val="auto"/>
        </w:rPr>
        <w:t>А</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Compliance.</w:t>
      </w:r>
      <w:r>
        <w:rPr>
          <w:rFonts w:ascii="Arial" w:cs="Arial" w:eastAsia="Arial" w:hAnsi="Arial"/>
          <w:sz w:val="19"/>
          <w:szCs w:val="19"/>
          <w:color w:val="auto"/>
        </w:rPr>
        <w:t xml:space="preserve"> It is intended that the provisions of this Plan satisfy the requirements of Section 409</w:t>
      </w:r>
      <w:r>
        <w:rPr>
          <w:rFonts w:ascii="Arial" w:cs="Arial" w:eastAsia="Arial" w:hAnsi="Arial"/>
          <w:sz w:val="19"/>
          <w:szCs w:val="19"/>
          <w:color w:val="auto"/>
        </w:rPr>
        <w:t>А</w:t>
      </w:r>
      <w:r>
        <w:rPr>
          <w:rFonts w:ascii="Arial" w:cs="Arial" w:eastAsia="Arial" w:hAnsi="Arial"/>
          <w:sz w:val="19"/>
          <w:szCs w:val="19"/>
          <w:color w:val="auto"/>
        </w:rPr>
        <w:t xml:space="preserve"> and that the Plan be construed and operated in a manner consistent with such requirements to the extent applicable. In accordance with Section 409</w:t>
      </w:r>
      <w:r>
        <w:rPr>
          <w:rFonts w:ascii="Arial" w:cs="Arial" w:eastAsia="Arial" w:hAnsi="Arial"/>
          <w:sz w:val="19"/>
          <w:szCs w:val="19"/>
          <w:color w:val="auto"/>
        </w:rPr>
        <w:t>А</w:t>
      </w:r>
      <w:r>
        <w:rPr>
          <w:rFonts w:ascii="Arial" w:cs="Arial" w:eastAsia="Arial" w:hAnsi="Arial"/>
          <w:sz w:val="19"/>
          <w:szCs w:val="19"/>
          <w:color w:val="auto"/>
        </w:rPr>
        <w:t>, an entitlement to a series of payments under this Plan is to be treated as an entitlement to a series of separate payments. Notwithstanding any provision of this Plan to the contrary, participation in this Plan constitutes acknowledgement and agreement by each Participant that the Company and its employees, officers, directors and Affiliates shall not be liable for, and nothing provided or contained in this Plan will be construed to obligate or cause the Company and/or its employees, officers, directors and Affiliates to be liable for, any tax, interest or penalties imposed on a Participant related to or arising with respect to any violation of Section 409</w:t>
      </w:r>
      <w:r>
        <w:rPr>
          <w:rFonts w:ascii="Arial" w:cs="Arial" w:eastAsia="Arial" w:hAnsi="Arial"/>
          <w:sz w:val="19"/>
          <w:szCs w:val="19"/>
          <w:color w:val="auto"/>
        </w:rPr>
        <w:t>А</w:t>
      </w:r>
      <w:r>
        <w:rPr>
          <w:rFonts w:ascii="Arial" w:cs="Arial" w:eastAsia="Arial" w:hAnsi="Arial"/>
          <w:sz w:val="19"/>
          <w:szCs w:val="19"/>
          <w:color w:val="auto"/>
        </w:rPr>
        <w:t>.</w:t>
      </w:r>
    </w:p>
    <w:p>
      <w:pPr>
        <w:spacing w:after="0" w:line="152"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Specified Employees.</w:t>
      </w:r>
      <w:r>
        <w:rPr>
          <w:rFonts w:ascii="Arial" w:cs="Arial" w:eastAsia="Arial" w:hAnsi="Arial"/>
          <w:sz w:val="21"/>
          <w:szCs w:val="21"/>
          <w:color w:val="auto"/>
        </w:rPr>
        <w:t xml:space="preserve"> If the Participant is a “specified employee,” as such term is defined and determined below in this Section 6.5, any payments payable as a result of the Participant’s Termination of Employment (other than death) shall not be payable before the earlier of (i) the date that is six months after the Participant’s Termination of Employment, (ii) the date of the Participant’s death, or (iii) the date that otherwise complies with the requirements of Section 409</w:t>
      </w:r>
      <w:r>
        <w:rPr>
          <w:rFonts w:ascii="Arial" w:cs="Arial" w:eastAsia="Arial" w:hAnsi="Arial"/>
          <w:sz w:val="21"/>
          <w:szCs w:val="21"/>
          <w:color w:val="auto"/>
        </w:rPr>
        <w:t>А</w:t>
      </w:r>
      <w:r>
        <w:rPr>
          <w:rFonts w:ascii="Arial" w:cs="Arial" w:eastAsia="Arial" w:hAnsi="Arial"/>
          <w:sz w:val="21"/>
          <w:szCs w:val="21"/>
          <w:color w:val="auto"/>
        </w:rPr>
        <w:t>. A Participant shall be a “specified employee” for the twelve-month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4" w:name="page85"/>
    <w:bookmarkEnd w:id="84"/>
    <w:p>
      <w:pPr>
        <w:jc w:val="both"/>
        <w:spacing w:after="0" w:line="270" w:lineRule="auto"/>
        <w:rPr>
          <w:sz w:val="20"/>
          <w:szCs w:val="20"/>
          <w:color w:val="auto"/>
        </w:rPr>
      </w:pPr>
      <w:r>
        <w:rPr>
          <w:rFonts w:ascii="Arial" w:cs="Arial" w:eastAsia="Arial" w:hAnsi="Arial"/>
          <w:sz w:val="19"/>
          <w:szCs w:val="19"/>
          <w:color w:val="auto"/>
        </w:rPr>
        <w:t>beginning on April 1 of a year if the Participant is a “key employee” as defined in Section 416(i) of the Internal Revenue Code (without regard to Section 416(i)(5) and further described below) as of December 31 of the preceding year or using such dates as designated by the Administrative Committee in accordance with Section 409</w:t>
      </w:r>
      <w:r>
        <w:rPr>
          <w:rFonts w:ascii="Arial" w:cs="Arial" w:eastAsia="Arial" w:hAnsi="Arial"/>
          <w:sz w:val="19"/>
          <w:szCs w:val="19"/>
          <w:color w:val="auto"/>
        </w:rPr>
        <w:t>А</w:t>
      </w:r>
      <w:r>
        <w:rPr>
          <w:rFonts w:ascii="Arial" w:cs="Arial" w:eastAsia="Arial" w:hAnsi="Arial"/>
          <w:sz w:val="19"/>
          <w:szCs w:val="19"/>
          <w:color w:val="auto"/>
        </w:rPr>
        <w:t xml:space="preserve"> and in a manner that is consistent with respect to all of the Company’s nonqualified deferred compensation plans. For purposes of determining the identity of specified employees, the Administrative Committee may establish procedures as it deems appropriate in accordance with Section 409</w:t>
      </w:r>
      <w:r>
        <w:rPr>
          <w:rFonts w:ascii="Arial" w:cs="Arial" w:eastAsia="Arial" w:hAnsi="Arial"/>
          <w:sz w:val="19"/>
          <w:szCs w:val="19"/>
          <w:color w:val="auto"/>
        </w:rPr>
        <w:t>А</w:t>
      </w:r>
      <w:r>
        <w:rPr>
          <w:rFonts w:ascii="Arial" w:cs="Arial" w:eastAsia="Arial" w:hAnsi="Arial"/>
          <w:sz w:val="19"/>
          <w:szCs w:val="19"/>
          <w:color w:val="auto"/>
        </w:rPr>
        <w:t>. A “key employee” is an employee who is (1) one of the top 50 highly paid officers of the Company having an annual income greater than $175,000 in 2018 (with such amount annually adjusted in accordance with Code Section 415(d) for calendar years thereafter); (2) a 5-percent owner of the Company, or (3) is a 1-percent owner of the Company having an annual compensation from the employer of more than $150,000.</w:t>
      </w:r>
    </w:p>
    <w:p>
      <w:pPr>
        <w:spacing w:after="0" w:line="157"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Non-Alienation of Benefits.</w:t>
      </w:r>
      <w:r>
        <w:rPr>
          <w:rFonts w:ascii="Arial" w:cs="Arial" w:eastAsia="Arial" w:hAnsi="Arial"/>
          <w:sz w:val="20"/>
          <w:szCs w:val="20"/>
          <w:color w:val="auto"/>
        </w:rPr>
        <w:t xml:space="preserve"> Except by mutual agreement between the Company and the Participant, any benefit payable under this Plan shall not be subject in any manner to anticipation, alienation, sale, transfer, assignment, pledge, encumbrance, or charge, whether voluntary, involuntary, by operation of law or otherwise, and any attempt at such shall be void, and any such benefit shall not in any way be subject to the debts, contract, liabilities, engagements, or torts of the person who shall be entitled to such to such benefit, nor shall it be subject to attachment or legal process for or against such person.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MERGER, AMENDMENT AND TERMINATION</w:t>
      </w:r>
    </w:p>
    <w:p>
      <w:pPr>
        <w:spacing w:after="0" w:line="192"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Merger, Consolidation or Acquisition.</w:t>
      </w:r>
      <w:r>
        <w:rPr>
          <w:rFonts w:ascii="Arial" w:cs="Arial" w:eastAsia="Arial" w:hAnsi="Arial"/>
          <w:sz w:val="21"/>
          <w:szCs w:val="21"/>
          <w:color w:val="auto"/>
        </w:rPr>
        <w:t xml:space="preserve"> In the event of a merger, consolidation or acquisition where an Employer is not the surviving corporation, unless the successor or acquiring corporation shall elect to continue and carry on the Plan, this Plan shall terminate with respect to such Employer, and no additional benefits shall accrue for the Employees of such Employer. Unpaid vested benefits which have been accrued up to the date of the merger, consolidation or acquisition shall be paid as scheduled unless the successor or acquiring corporation elects to accelerate payment.</w:t>
      </w:r>
    </w:p>
    <w:p>
      <w:pPr>
        <w:spacing w:after="0" w:line="180"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xml:space="preserve"> The Board of Directors may amend, modify, or terminate the Plan in whole or in part at any time. In the event of a termination of the Plan pursuant to this Section, unpaid vested benefits shall continue to be an obligation of the Company or other applicable Employer and shall be paid as scheduled or at such other time as may be permitted upon a plan termination pursuant to Section 409</w:t>
      </w:r>
      <w:r>
        <w:rPr>
          <w:rFonts w:ascii="Arial" w:cs="Arial" w:eastAsia="Arial" w:hAnsi="Arial"/>
          <w:sz w:val="21"/>
          <w:szCs w:val="21"/>
          <w:color w:val="auto"/>
        </w:rPr>
        <w:t>А</w:t>
      </w:r>
      <w:r>
        <w:rPr>
          <w:rFonts w:ascii="Arial" w:cs="Arial" w:eastAsia="Arial" w:hAnsi="Arial"/>
          <w:sz w:val="21"/>
          <w:szCs w:val="21"/>
          <w:color w:val="auto"/>
        </w:rPr>
        <w:t>.</w:t>
      </w:r>
    </w:p>
    <w:p>
      <w:pPr>
        <w:spacing w:after="0" w:line="174"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Participating Affiliates.</w:t>
      </w:r>
      <w:r>
        <w:rPr>
          <w:rFonts w:ascii="Arial" w:cs="Arial" w:eastAsia="Arial" w:hAnsi="Arial"/>
          <w:sz w:val="19"/>
          <w:szCs w:val="19"/>
          <w:color w:val="auto"/>
        </w:rPr>
        <w:t xml:space="preserve"> Any Affiliate that meets the definition of a Participating Affiliate or an Employer under a Qualified Plan and that has any Employees whose benefits under such Qualified Plan are affected by the Code Section 401(</w:t>
      </w:r>
      <w:r>
        <w:rPr>
          <w:rFonts w:ascii="Arial" w:cs="Arial" w:eastAsia="Arial" w:hAnsi="Arial"/>
          <w:sz w:val="19"/>
          <w:szCs w:val="19"/>
          <w:color w:val="auto"/>
        </w:rPr>
        <w:t>а</w:t>
      </w:r>
      <w:r>
        <w:rPr>
          <w:rFonts w:ascii="Arial" w:cs="Arial" w:eastAsia="Arial" w:hAnsi="Arial"/>
          <w:sz w:val="19"/>
          <w:szCs w:val="19"/>
          <w:color w:val="auto"/>
        </w:rPr>
        <w:t>)(17) Limitations or the Code Section 415 Limitations shall be deemed to have adopted this Plan for the benefit of such eligible Employees. Such Affiliate shall be bound as an Employer by all the terms, provisions, conditions, and limitations of the Plan and shall compile and submit all information required by the Company with reference to its Employees who are eligible for participation in the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5" w:name="page86"/>
    <w:bookmarkEnd w:id="85"/>
    <w:p>
      <w:pPr>
        <w:jc w:val="both"/>
        <w:ind w:firstLine="1756"/>
        <w:spacing w:after="0" w:line="252" w:lineRule="auto"/>
        <w:rPr>
          <w:sz w:val="20"/>
          <w:szCs w:val="20"/>
          <w:color w:val="auto"/>
        </w:rPr>
      </w:pPr>
      <w:r>
        <w:rPr>
          <w:rFonts w:ascii="Arial" w:cs="Arial" w:eastAsia="Arial" w:hAnsi="Arial"/>
          <w:sz w:val="21"/>
          <w:szCs w:val="21"/>
          <w:color w:val="auto"/>
        </w:rPr>
        <w:t>IN WITNESS WHEREOF, the Company has caused this instrument to be executed by its duly authorized officers in a number of copies, each of which shall be deemed an original but all of which shall constitute one and the same instrument, this eleventh day of January, 2019 but effective as of the first day of January, 2018.</w:t>
      </w:r>
    </w:p>
    <w:p>
      <w:pPr>
        <w:spacing w:after="0" w:line="381"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SCHLUMBERGER LIMITED</w:t>
      </w:r>
    </w:p>
    <w:p>
      <w:pPr>
        <w:spacing w:after="0" w:line="210" w:lineRule="exact"/>
        <w:rPr>
          <w:sz w:val="20"/>
          <w:szCs w:val="20"/>
          <w:color w:val="auto"/>
        </w:rPr>
      </w:pPr>
    </w:p>
    <w:tbl>
      <w:tblPr>
        <w:tblLayout w:type="fixed"/>
        <w:tblInd w:w="5600" w:type="dxa"/>
        <w:tblCellMar>
          <w:top w:w="0" w:type="dxa"/>
          <w:left w:w="0" w:type="dxa"/>
          <w:bottom w:w="0" w:type="dxa"/>
          <w:right w:w="0" w:type="dxa"/>
        </w:tblCellMar>
      </w:tblPr>
      <w:tr>
        <w:trPr>
          <w:trHeight w:val="260"/>
        </w:trPr>
        <w:tc>
          <w:tcPr>
            <w:tcW w:w="1000" w:type="dxa"/>
            <w:vAlign w:val="bottom"/>
          </w:tcPr>
          <w:p>
            <w:pPr>
              <w:jc w:val="right"/>
              <w:ind w:right="603"/>
              <w:spacing w:after="0"/>
              <w:rPr>
                <w:sz w:val="20"/>
                <w:szCs w:val="20"/>
                <w:color w:val="auto"/>
              </w:rPr>
            </w:pPr>
            <w:r>
              <w:rPr>
                <w:rFonts w:ascii="Arial" w:cs="Arial" w:eastAsia="Arial" w:hAnsi="Arial"/>
                <w:sz w:val="21"/>
                <w:szCs w:val="21"/>
                <w:color w:val="auto"/>
                <w:w w:val="92"/>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Alexander C. Juden</w:t>
            </w:r>
          </w:p>
        </w:tc>
      </w:tr>
      <w:tr>
        <w:trPr>
          <w:trHeight w:val="211"/>
        </w:trPr>
        <w:tc>
          <w:tcPr>
            <w:tcW w:w="1000" w:type="dxa"/>
            <w:vAlign w:val="bottom"/>
          </w:tcPr>
          <w:p>
            <w:pPr>
              <w:spacing w:after="0"/>
              <w:rPr>
                <w:sz w:val="18"/>
                <w:szCs w:val="18"/>
                <w:color w:val="auto"/>
              </w:rPr>
            </w:pPr>
          </w:p>
        </w:tc>
        <w:tc>
          <w:tcPr>
            <w:tcW w:w="4820" w:type="dxa"/>
            <w:vAlign w:val="bottom"/>
          </w:tcPr>
          <w:p>
            <w:pPr>
              <w:spacing w:after="0" w:line="211" w:lineRule="exact"/>
              <w:rPr>
                <w:sz w:val="20"/>
                <w:szCs w:val="20"/>
                <w:color w:val="auto"/>
              </w:rPr>
            </w:pPr>
            <w:r>
              <w:rPr>
                <w:rFonts w:ascii="Arial" w:cs="Arial" w:eastAsia="Arial" w:hAnsi="Arial"/>
                <w:sz w:val="21"/>
                <w:szCs w:val="21"/>
                <w:color w:val="auto"/>
              </w:rPr>
              <w:t>Alexander C. Juden</w:t>
            </w:r>
          </w:p>
        </w:tc>
      </w:tr>
      <w:tr>
        <w:trPr>
          <w:trHeight w:val="271"/>
        </w:trPr>
        <w:tc>
          <w:tcPr>
            <w:tcW w:w="1000" w:type="dxa"/>
            <w:vAlign w:val="bottom"/>
          </w:tcPr>
          <w:p>
            <w:pPr>
              <w:spacing w:after="0"/>
              <w:rPr>
                <w:sz w:val="23"/>
                <w:szCs w:val="23"/>
                <w:color w:val="auto"/>
              </w:rPr>
            </w:pPr>
          </w:p>
        </w:tc>
        <w:tc>
          <w:tcPr>
            <w:tcW w:w="4820" w:type="dxa"/>
            <w:vAlign w:val="bottom"/>
          </w:tcPr>
          <w:p>
            <w:pPr>
              <w:spacing w:after="0"/>
              <w:rPr>
                <w:sz w:val="20"/>
                <w:szCs w:val="20"/>
                <w:color w:val="auto"/>
              </w:rPr>
            </w:pPr>
            <w:r>
              <w:rPr>
                <w:rFonts w:ascii="Arial" w:cs="Arial" w:eastAsia="Arial" w:hAnsi="Arial"/>
                <w:sz w:val="21"/>
                <w:szCs w:val="21"/>
                <w:color w:val="auto"/>
              </w:rPr>
              <w:t>Secretary and General Counsel</w:t>
            </w:r>
          </w:p>
        </w:tc>
      </w:tr>
      <w:tr>
        <w:trPr>
          <w:trHeight w:val="625"/>
        </w:trPr>
        <w:tc>
          <w:tcPr>
            <w:tcW w:w="1000" w:type="dxa"/>
            <w:vAlign w:val="bottom"/>
          </w:tcPr>
          <w:p>
            <w:pPr>
              <w:jc w:val="right"/>
              <w:ind w:right="703"/>
              <w:spacing w:after="0"/>
              <w:rPr>
                <w:sz w:val="20"/>
                <w:szCs w:val="20"/>
                <w:color w:val="auto"/>
              </w:rPr>
            </w:pPr>
            <w:r>
              <w:rPr>
                <w:rFonts w:ascii="Arial" w:cs="Arial" w:eastAsia="Arial" w:hAnsi="Arial"/>
                <w:sz w:val="18"/>
                <w:szCs w:val="18"/>
                <w:color w:val="auto"/>
                <w:w w:val="89"/>
              </w:rPr>
              <w:t>14</w:t>
            </w:r>
          </w:p>
        </w:tc>
        <w:tc>
          <w:tcPr>
            <w:tcW w:w="4820" w:type="dxa"/>
            <w:vAlign w:val="bottom"/>
          </w:tcPr>
          <w:p>
            <w:pPr>
              <w:spacing w:after="0"/>
              <w:rPr>
                <w:sz w:val="24"/>
                <w:szCs w:val="24"/>
                <w:color w:val="auto"/>
              </w:rPr>
            </w:pPr>
          </w:p>
        </w:tc>
      </w:tr>
    </w:tbl>
    <w:p>
      <w:pPr>
        <w:sectPr>
          <w:pgSz w:w="11900" w:h="16838" w:orient="portrait"/>
          <w:cols w:equalWidth="0" w:num="1">
            <w:col w:w="11420"/>
          </w:cols>
          <w:pgMar w:left="240" w:top="330" w:right="239" w:bottom="1440" w:gutter="0" w:footer="0" w:header="0"/>
        </w:sectPr>
      </w:pPr>
    </w:p>
    <w:bookmarkStart w:id="86" w:name="page87"/>
    <w:bookmarkEnd w:id="86"/>
    <w:p>
      <w:pPr>
        <w:jc w:val="right"/>
        <w:ind w:right="20"/>
        <w:spacing w:after="0"/>
        <w:rPr>
          <w:sz w:val="20"/>
          <w:szCs w:val="20"/>
          <w:color w:val="auto"/>
        </w:rPr>
      </w:pPr>
      <w:r>
        <w:rPr>
          <w:rFonts w:ascii="Arial" w:cs="Arial" w:eastAsia="Arial" w:hAnsi="Arial"/>
          <w:sz w:val="21"/>
          <w:szCs w:val="21"/>
          <w:b w:val="1"/>
          <w:bCs w:val="1"/>
          <w:color w:val="auto"/>
        </w:rPr>
        <w:t>Exhibit 10.2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60" w:type="dxa"/>
            <w:vAlign w:val="bottom"/>
          </w:tcPr>
          <w:p>
            <w:pPr>
              <w:spacing w:after="0"/>
              <w:rPr>
                <w:sz w:val="21"/>
                <w:szCs w:val="21"/>
                <w:color w:val="auto"/>
              </w:rPr>
            </w:pPr>
          </w:p>
        </w:tc>
        <w:tc>
          <w:tcPr>
            <w:tcW w:w="7920" w:type="dxa"/>
            <w:vAlign w:val="bottom"/>
          </w:tcPr>
          <w:p>
            <w:pPr>
              <w:jc w:val="center"/>
              <w:ind w:right="1314"/>
              <w:spacing w:after="0"/>
              <w:rPr>
                <w:sz w:val="20"/>
                <w:szCs w:val="20"/>
                <w:color w:val="auto"/>
              </w:rPr>
            </w:pPr>
            <w:r>
              <w:rPr>
                <w:rFonts w:ascii="Arial" w:cs="Arial" w:eastAsia="Arial" w:hAnsi="Arial"/>
                <w:sz w:val="21"/>
                <w:szCs w:val="21"/>
                <w:b w:val="1"/>
                <w:bCs w:val="1"/>
                <w:color w:val="auto"/>
              </w:rPr>
              <w:t>SCHLUMBERGER LIMITED</w:t>
            </w:r>
          </w:p>
        </w:tc>
        <w:tc>
          <w:tcPr>
            <w:tcW w:w="1040" w:type="dxa"/>
            <w:vAlign w:val="bottom"/>
          </w:tcPr>
          <w:p>
            <w:pPr>
              <w:spacing w:after="0"/>
              <w:rPr>
                <w:sz w:val="21"/>
                <w:szCs w:val="21"/>
                <w:color w:val="auto"/>
              </w:rPr>
            </w:pPr>
          </w:p>
        </w:tc>
      </w:tr>
      <w:tr>
        <w:trPr>
          <w:trHeight w:val="277"/>
        </w:trPr>
        <w:tc>
          <w:tcPr>
            <w:tcW w:w="2460" w:type="dxa"/>
            <w:vAlign w:val="bottom"/>
          </w:tcPr>
          <w:p>
            <w:pPr>
              <w:spacing w:after="0"/>
              <w:rPr>
                <w:sz w:val="24"/>
                <w:szCs w:val="24"/>
                <w:color w:val="auto"/>
              </w:rPr>
            </w:pPr>
          </w:p>
        </w:tc>
        <w:tc>
          <w:tcPr>
            <w:tcW w:w="7920" w:type="dxa"/>
            <w:vAlign w:val="bottom"/>
          </w:tcPr>
          <w:p>
            <w:pPr>
              <w:jc w:val="center"/>
              <w:ind w:right="1314"/>
              <w:spacing w:after="0"/>
              <w:rPr>
                <w:sz w:val="20"/>
                <w:szCs w:val="20"/>
                <w:color w:val="auto"/>
              </w:rPr>
            </w:pPr>
            <w:r>
              <w:rPr>
                <w:rFonts w:ascii="Arial" w:cs="Arial" w:eastAsia="Arial" w:hAnsi="Arial"/>
                <w:sz w:val="21"/>
                <w:szCs w:val="21"/>
                <w:b w:val="1"/>
                <w:bCs w:val="1"/>
                <w:color w:val="auto"/>
                <w:w w:val="99"/>
              </w:rPr>
              <w:t>RESTORATION SAVINGS PLAN</w:t>
            </w:r>
          </w:p>
        </w:tc>
        <w:tc>
          <w:tcPr>
            <w:tcW w:w="1040" w:type="dxa"/>
            <w:vAlign w:val="bottom"/>
          </w:tcPr>
          <w:p>
            <w:pPr>
              <w:spacing w:after="0"/>
              <w:rPr>
                <w:sz w:val="24"/>
                <w:szCs w:val="24"/>
                <w:color w:val="auto"/>
              </w:rPr>
            </w:pPr>
          </w:p>
        </w:tc>
      </w:tr>
      <w:tr>
        <w:trPr>
          <w:trHeight w:val="419"/>
        </w:trPr>
        <w:tc>
          <w:tcPr>
            <w:tcW w:w="2460" w:type="dxa"/>
            <w:vAlign w:val="bottom"/>
          </w:tcPr>
          <w:p>
            <w:pPr>
              <w:spacing w:after="0"/>
              <w:rPr>
                <w:sz w:val="24"/>
                <w:szCs w:val="24"/>
                <w:color w:val="auto"/>
              </w:rPr>
            </w:pPr>
          </w:p>
        </w:tc>
        <w:tc>
          <w:tcPr>
            <w:tcW w:w="7920" w:type="dxa"/>
            <w:vAlign w:val="bottom"/>
          </w:tcPr>
          <w:p>
            <w:pPr>
              <w:jc w:val="center"/>
              <w:ind w:right="1354"/>
              <w:spacing w:after="0"/>
              <w:rPr>
                <w:sz w:val="20"/>
                <w:szCs w:val="20"/>
                <w:color w:val="auto"/>
              </w:rPr>
            </w:pPr>
            <w:r>
              <w:rPr>
                <w:rFonts w:ascii="Arial" w:cs="Arial" w:eastAsia="Arial" w:hAnsi="Arial"/>
                <w:sz w:val="21"/>
                <w:szCs w:val="21"/>
                <w:color w:val="auto"/>
                <w:w w:val="90"/>
              </w:rPr>
              <w:t>(As established effective June 1, 1995 and</w:t>
            </w:r>
          </w:p>
        </w:tc>
        <w:tc>
          <w:tcPr>
            <w:tcW w:w="1040" w:type="dxa"/>
            <w:vAlign w:val="bottom"/>
          </w:tcPr>
          <w:p>
            <w:pPr>
              <w:spacing w:after="0"/>
              <w:rPr>
                <w:sz w:val="24"/>
                <w:szCs w:val="24"/>
                <w:color w:val="auto"/>
              </w:rPr>
            </w:pPr>
          </w:p>
        </w:tc>
      </w:tr>
      <w:tr>
        <w:trPr>
          <w:trHeight w:val="271"/>
        </w:trPr>
        <w:tc>
          <w:tcPr>
            <w:tcW w:w="2460" w:type="dxa"/>
            <w:vAlign w:val="bottom"/>
          </w:tcPr>
          <w:p>
            <w:pPr>
              <w:spacing w:after="0"/>
              <w:rPr>
                <w:sz w:val="23"/>
                <w:szCs w:val="23"/>
                <w:color w:val="auto"/>
              </w:rPr>
            </w:pPr>
          </w:p>
        </w:tc>
        <w:tc>
          <w:tcPr>
            <w:tcW w:w="7920" w:type="dxa"/>
            <w:vAlign w:val="bottom"/>
          </w:tcPr>
          <w:p>
            <w:pPr>
              <w:jc w:val="center"/>
              <w:ind w:right="1314"/>
              <w:spacing w:after="0"/>
              <w:rPr>
                <w:sz w:val="20"/>
                <w:szCs w:val="20"/>
                <w:color w:val="auto"/>
              </w:rPr>
            </w:pPr>
            <w:r>
              <w:rPr>
                <w:rFonts w:ascii="Arial" w:cs="Arial" w:eastAsia="Arial" w:hAnsi="Arial"/>
                <w:sz w:val="21"/>
                <w:szCs w:val="21"/>
                <w:color w:val="auto"/>
                <w:w w:val="91"/>
              </w:rPr>
              <w:t>conformed to include amendments through January 1, 2019)</w:t>
            </w:r>
          </w:p>
        </w:tc>
        <w:tc>
          <w:tcPr>
            <w:tcW w:w="1040" w:type="dxa"/>
            <w:vAlign w:val="bottom"/>
          </w:tcPr>
          <w:p>
            <w:pPr>
              <w:spacing w:after="0"/>
              <w:rPr>
                <w:sz w:val="23"/>
                <w:szCs w:val="23"/>
                <w:color w:val="auto"/>
              </w:rPr>
            </w:pPr>
          </w:p>
        </w:tc>
      </w:tr>
      <w:tr>
        <w:trPr>
          <w:trHeight w:val="451"/>
        </w:trPr>
        <w:tc>
          <w:tcPr>
            <w:tcW w:w="2460" w:type="dxa"/>
            <w:vAlign w:val="bottom"/>
          </w:tcPr>
          <w:p>
            <w:pPr>
              <w:spacing w:after="0"/>
              <w:rPr>
                <w:sz w:val="24"/>
                <w:szCs w:val="24"/>
                <w:color w:val="auto"/>
              </w:rPr>
            </w:pPr>
          </w:p>
        </w:tc>
        <w:tc>
          <w:tcPr>
            <w:tcW w:w="7920" w:type="dxa"/>
            <w:vAlign w:val="bottom"/>
          </w:tcPr>
          <w:p>
            <w:pPr>
              <w:jc w:val="center"/>
              <w:ind w:right="1294"/>
              <w:spacing w:after="0"/>
              <w:rPr>
                <w:sz w:val="20"/>
                <w:szCs w:val="20"/>
                <w:color w:val="auto"/>
              </w:rPr>
            </w:pPr>
            <w:r>
              <w:rPr>
                <w:rFonts w:ascii="Arial" w:cs="Arial" w:eastAsia="Arial" w:hAnsi="Arial"/>
                <w:sz w:val="21"/>
                <w:szCs w:val="21"/>
                <w:b w:val="1"/>
                <w:bCs w:val="1"/>
                <w:color w:val="auto"/>
              </w:rPr>
              <w:t>INDEX</w:t>
            </w:r>
          </w:p>
        </w:tc>
        <w:tc>
          <w:tcPr>
            <w:tcW w:w="1040" w:type="dxa"/>
            <w:vAlign w:val="bottom"/>
          </w:tcPr>
          <w:p>
            <w:pPr>
              <w:spacing w:after="0"/>
              <w:rPr>
                <w:sz w:val="24"/>
                <w:szCs w:val="24"/>
                <w:color w:val="auto"/>
              </w:rPr>
            </w:pPr>
          </w:p>
        </w:tc>
      </w:tr>
      <w:tr>
        <w:trPr>
          <w:trHeight w:val="451"/>
        </w:trPr>
        <w:tc>
          <w:tcPr>
            <w:tcW w:w="2460" w:type="dxa"/>
            <w:vAlign w:val="bottom"/>
          </w:tcPr>
          <w:p>
            <w:pPr>
              <w:spacing w:after="0"/>
              <w:rPr>
                <w:sz w:val="20"/>
                <w:szCs w:val="20"/>
                <w:color w:val="auto"/>
              </w:rPr>
            </w:pPr>
            <w:r>
              <w:rPr>
                <w:rFonts w:ascii="Arial" w:cs="Arial" w:eastAsia="Arial" w:hAnsi="Arial"/>
                <w:sz w:val="21"/>
                <w:szCs w:val="21"/>
                <w:color w:val="auto"/>
              </w:rPr>
              <w:t>ARTICLE I DEFINITIONS</w:t>
            </w:r>
          </w:p>
        </w:tc>
        <w:tc>
          <w:tcPr>
            <w:tcW w:w="79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58"/>
        </w:trPr>
        <w:tc>
          <w:tcPr>
            <w:tcW w:w="2460" w:type="dxa"/>
            <w:vAlign w:val="bottom"/>
          </w:tcPr>
          <w:p>
            <w:pPr>
              <w:spacing w:after="0"/>
              <w:rPr>
                <w:sz w:val="20"/>
                <w:szCs w:val="20"/>
                <w:color w:val="auto"/>
              </w:rPr>
            </w:pPr>
            <w:r>
              <w:rPr>
                <w:rFonts w:ascii="Arial" w:cs="Arial" w:eastAsia="Arial" w:hAnsi="Arial"/>
                <w:sz w:val="21"/>
                <w:szCs w:val="21"/>
                <w:color w:val="auto"/>
              </w:rPr>
              <w:t>ARTICLE II ELIGIBILITY</w:t>
            </w:r>
          </w:p>
        </w:tc>
        <w:tc>
          <w:tcPr>
            <w:tcW w:w="79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358"/>
        </w:trPr>
        <w:tc>
          <w:tcPr>
            <w:tcW w:w="10380" w:type="dxa"/>
            <w:vAlign w:val="bottom"/>
            <w:gridSpan w:val="2"/>
          </w:tcPr>
          <w:p>
            <w:pPr>
              <w:spacing w:after="0"/>
              <w:rPr>
                <w:sz w:val="20"/>
                <w:szCs w:val="20"/>
                <w:color w:val="auto"/>
              </w:rPr>
            </w:pPr>
            <w:r>
              <w:rPr>
                <w:rFonts w:ascii="Arial" w:cs="Arial" w:eastAsia="Arial" w:hAnsi="Arial"/>
                <w:sz w:val="21"/>
                <w:szCs w:val="21"/>
                <w:color w:val="auto"/>
              </w:rPr>
              <w:t>ARTICLE III PARTICIPATION</w:t>
            </w:r>
          </w:p>
        </w:tc>
        <w:tc>
          <w:tcPr>
            <w:tcW w:w="1040" w:type="dxa"/>
            <w:vAlign w:val="bottom"/>
          </w:tcPr>
          <w:p>
            <w:pPr>
              <w:jc w:val="right"/>
              <w:spacing w:after="0"/>
              <w:rPr>
                <w:sz w:val="20"/>
                <w:szCs w:val="20"/>
                <w:color w:val="auto"/>
              </w:rPr>
            </w:pPr>
            <w:r>
              <w:rPr>
                <w:rFonts w:ascii="Arial" w:cs="Arial" w:eastAsia="Arial" w:hAnsi="Arial"/>
                <w:sz w:val="21"/>
                <w:szCs w:val="21"/>
                <w:color w:val="auto"/>
              </w:rPr>
              <w:t>5</w:t>
            </w:r>
          </w:p>
        </w:tc>
      </w:tr>
      <w:tr>
        <w:trPr>
          <w:trHeight w:val="358"/>
        </w:trPr>
        <w:tc>
          <w:tcPr>
            <w:tcW w:w="10380" w:type="dxa"/>
            <w:vAlign w:val="bottom"/>
            <w:gridSpan w:val="2"/>
          </w:tcPr>
          <w:p>
            <w:pPr>
              <w:spacing w:after="0"/>
              <w:rPr>
                <w:sz w:val="20"/>
                <w:szCs w:val="20"/>
                <w:color w:val="auto"/>
              </w:rPr>
            </w:pPr>
            <w:r>
              <w:rPr>
                <w:rFonts w:ascii="Arial" w:cs="Arial" w:eastAsia="Arial" w:hAnsi="Arial"/>
                <w:sz w:val="21"/>
                <w:szCs w:val="21"/>
                <w:color w:val="auto"/>
              </w:rPr>
              <w:t>ARTICLE IV CONTRIBUTIONS</w:t>
            </w:r>
          </w:p>
        </w:tc>
        <w:tc>
          <w:tcPr>
            <w:tcW w:w="104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58"/>
        </w:trPr>
        <w:tc>
          <w:tcPr>
            <w:tcW w:w="10380" w:type="dxa"/>
            <w:vAlign w:val="bottom"/>
            <w:gridSpan w:val="2"/>
          </w:tcPr>
          <w:p>
            <w:pPr>
              <w:spacing w:after="0"/>
              <w:rPr>
                <w:sz w:val="20"/>
                <w:szCs w:val="20"/>
                <w:color w:val="auto"/>
              </w:rPr>
            </w:pPr>
            <w:r>
              <w:rPr>
                <w:rFonts w:ascii="Arial" w:cs="Arial" w:eastAsia="Arial" w:hAnsi="Arial"/>
                <w:sz w:val="21"/>
                <w:szCs w:val="21"/>
                <w:color w:val="auto"/>
              </w:rPr>
              <w:t>ARTICLE V ALLOCATION OF CONTRIBUTIONS AND INTEREST</w:t>
            </w:r>
          </w:p>
        </w:tc>
        <w:tc>
          <w:tcPr>
            <w:tcW w:w="104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358"/>
        </w:trPr>
        <w:tc>
          <w:tcPr>
            <w:tcW w:w="2460" w:type="dxa"/>
            <w:vAlign w:val="bottom"/>
          </w:tcPr>
          <w:p>
            <w:pPr>
              <w:spacing w:after="0"/>
              <w:rPr>
                <w:sz w:val="20"/>
                <w:szCs w:val="20"/>
                <w:color w:val="auto"/>
              </w:rPr>
            </w:pPr>
            <w:r>
              <w:rPr>
                <w:rFonts w:ascii="Arial" w:cs="Arial" w:eastAsia="Arial" w:hAnsi="Arial"/>
                <w:sz w:val="21"/>
                <w:szCs w:val="21"/>
                <w:color w:val="auto"/>
              </w:rPr>
              <w:t>ARTICLE VI VESTING</w:t>
            </w:r>
          </w:p>
        </w:tc>
        <w:tc>
          <w:tcPr>
            <w:tcW w:w="79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358"/>
        </w:trPr>
        <w:tc>
          <w:tcPr>
            <w:tcW w:w="10380" w:type="dxa"/>
            <w:vAlign w:val="bottom"/>
            <w:gridSpan w:val="2"/>
          </w:tcPr>
          <w:p>
            <w:pPr>
              <w:spacing w:after="0"/>
              <w:rPr>
                <w:sz w:val="20"/>
                <w:szCs w:val="20"/>
                <w:color w:val="auto"/>
              </w:rPr>
            </w:pPr>
            <w:r>
              <w:rPr>
                <w:rFonts w:ascii="Arial" w:cs="Arial" w:eastAsia="Arial" w:hAnsi="Arial"/>
                <w:sz w:val="21"/>
                <w:szCs w:val="21"/>
                <w:color w:val="auto"/>
              </w:rPr>
              <w:t>ARTICLE VII FORM AND TIMING OF PAYMENT</w:t>
            </w:r>
          </w:p>
        </w:tc>
        <w:tc>
          <w:tcPr>
            <w:tcW w:w="104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358"/>
        </w:trPr>
        <w:tc>
          <w:tcPr>
            <w:tcW w:w="10380" w:type="dxa"/>
            <w:vAlign w:val="bottom"/>
            <w:gridSpan w:val="2"/>
          </w:tcPr>
          <w:p>
            <w:pPr>
              <w:spacing w:after="0"/>
              <w:rPr>
                <w:sz w:val="20"/>
                <w:szCs w:val="20"/>
                <w:color w:val="auto"/>
              </w:rPr>
            </w:pPr>
            <w:r>
              <w:rPr>
                <w:rFonts w:ascii="Arial" w:cs="Arial" w:eastAsia="Arial" w:hAnsi="Arial"/>
                <w:sz w:val="21"/>
                <w:szCs w:val="21"/>
                <w:color w:val="auto"/>
              </w:rPr>
              <w:t>ARTICLE VIII MERGER, AMENDMENT AND TERMINATION</w:t>
            </w:r>
          </w:p>
        </w:tc>
        <w:tc>
          <w:tcPr>
            <w:tcW w:w="104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58"/>
        </w:trPr>
        <w:tc>
          <w:tcPr>
            <w:tcW w:w="10380" w:type="dxa"/>
            <w:vAlign w:val="bottom"/>
            <w:gridSpan w:val="2"/>
          </w:tcPr>
          <w:p>
            <w:pPr>
              <w:spacing w:after="0"/>
              <w:rPr>
                <w:sz w:val="20"/>
                <w:szCs w:val="20"/>
                <w:color w:val="auto"/>
              </w:rPr>
            </w:pPr>
            <w:r>
              <w:rPr>
                <w:rFonts w:ascii="Arial" w:cs="Arial" w:eastAsia="Arial" w:hAnsi="Arial"/>
                <w:sz w:val="21"/>
                <w:szCs w:val="21"/>
                <w:color w:val="auto"/>
              </w:rPr>
              <w:t>ARTICLE IX ADMINISTRATION</w:t>
            </w:r>
          </w:p>
        </w:tc>
        <w:tc>
          <w:tcPr>
            <w:tcW w:w="104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358"/>
        </w:trPr>
        <w:tc>
          <w:tcPr>
            <w:tcW w:w="10380" w:type="dxa"/>
            <w:vAlign w:val="bottom"/>
            <w:gridSpan w:val="2"/>
          </w:tcPr>
          <w:p>
            <w:pPr>
              <w:spacing w:after="0"/>
              <w:rPr>
                <w:sz w:val="20"/>
                <w:szCs w:val="20"/>
                <w:color w:val="auto"/>
              </w:rPr>
            </w:pPr>
            <w:r>
              <w:rPr>
                <w:rFonts w:ascii="Arial" w:cs="Arial" w:eastAsia="Arial" w:hAnsi="Arial"/>
                <w:sz w:val="21"/>
                <w:szCs w:val="21"/>
                <w:color w:val="auto"/>
              </w:rPr>
              <w:t>ARTICLE X MISCELLANEOUS</w:t>
            </w:r>
          </w:p>
        </w:tc>
        <w:tc>
          <w:tcPr>
            <w:tcW w:w="104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664"/>
        </w:trPr>
        <w:tc>
          <w:tcPr>
            <w:tcW w:w="2460" w:type="dxa"/>
            <w:vAlign w:val="bottom"/>
          </w:tcPr>
          <w:p>
            <w:pPr>
              <w:spacing w:after="0"/>
              <w:rPr>
                <w:sz w:val="24"/>
                <w:szCs w:val="24"/>
                <w:color w:val="auto"/>
              </w:rPr>
            </w:pPr>
          </w:p>
        </w:tc>
        <w:tc>
          <w:tcPr>
            <w:tcW w:w="7920" w:type="dxa"/>
            <w:vAlign w:val="bottom"/>
          </w:tcPr>
          <w:p>
            <w:pPr>
              <w:jc w:val="center"/>
              <w:ind w:right="1314"/>
              <w:spacing w:after="0"/>
              <w:rPr>
                <w:sz w:val="20"/>
                <w:szCs w:val="20"/>
                <w:color w:val="auto"/>
              </w:rPr>
            </w:pPr>
            <w:r>
              <w:rPr>
                <w:rFonts w:ascii="Arial" w:cs="Arial" w:eastAsia="Arial" w:hAnsi="Arial"/>
                <w:sz w:val="21"/>
                <w:szCs w:val="21"/>
                <w:b w:val="1"/>
                <w:bCs w:val="1"/>
                <w:color w:val="auto"/>
              </w:rPr>
              <w:t>ARTICLE I</w:t>
            </w:r>
          </w:p>
        </w:tc>
        <w:tc>
          <w:tcPr>
            <w:tcW w:w="1040" w:type="dxa"/>
            <w:vAlign w:val="bottom"/>
          </w:tcPr>
          <w:p>
            <w:pPr>
              <w:spacing w:after="0"/>
              <w:rPr>
                <w:sz w:val="24"/>
                <w:szCs w:val="24"/>
                <w:color w:val="auto"/>
              </w:rPr>
            </w:pPr>
          </w:p>
        </w:tc>
      </w:tr>
      <w:tr>
        <w:trPr>
          <w:trHeight w:val="478"/>
        </w:trPr>
        <w:tc>
          <w:tcPr>
            <w:tcW w:w="2460" w:type="dxa"/>
            <w:vAlign w:val="bottom"/>
          </w:tcPr>
          <w:p>
            <w:pPr>
              <w:spacing w:after="0"/>
              <w:rPr>
                <w:sz w:val="24"/>
                <w:szCs w:val="24"/>
                <w:color w:val="auto"/>
              </w:rPr>
            </w:pPr>
          </w:p>
        </w:tc>
        <w:tc>
          <w:tcPr>
            <w:tcW w:w="7920" w:type="dxa"/>
            <w:vAlign w:val="bottom"/>
          </w:tcPr>
          <w:p>
            <w:pPr>
              <w:jc w:val="center"/>
              <w:ind w:right="1294"/>
              <w:spacing w:after="0"/>
              <w:rPr>
                <w:sz w:val="20"/>
                <w:szCs w:val="20"/>
                <w:color w:val="auto"/>
              </w:rPr>
            </w:pPr>
            <w:r>
              <w:rPr>
                <w:rFonts w:ascii="Arial" w:cs="Arial" w:eastAsia="Arial" w:hAnsi="Arial"/>
                <w:sz w:val="21"/>
                <w:szCs w:val="21"/>
                <w:b w:val="1"/>
                <w:bCs w:val="1"/>
                <w:color w:val="auto"/>
              </w:rPr>
              <w:t>DEFINITIONS</w:t>
            </w:r>
          </w:p>
        </w:tc>
        <w:tc>
          <w:tcPr>
            <w:tcW w:w="1040" w:type="dxa"/>
            <w:vAlign w:val="bottom"/>
          </w:tcPr>
          <w:p>
            <w:pPr>
              <w:spacing w:after="0"/>
              <w:rPr>
                <w:sz w:val="24"/>
                <w:szCs w:val="24"/>
                <w:color w:val="auto"/>
              </w:rPr>
            </w:pPr>
          </w:p>
        </w:tc>
      </w:tr>
      <w:tr>
        <w:trPr>
          <w:trHeight w:val="419"/>
        </w:trPr>
        <w:tc>
          <w:tcPr>
            <w:tcW w:w="2460" w:type="dxa"/>
            <w:vAlign w:val="bottom"/>
          </w:tcPr>
          <w:p>
            <w:pPr>
              <w:ind w:left="880"/>
              <w:spacing w:after="0"/>
              <w:rPr>
                <w:sz w:val="20"/>
                <w:szCs w:val="20"/>
                <w:color w:val="auto"/>
              </w:rPr>
            </w:pPr>
            <w:r>
              <w:rPr>
                <w:rFonts w:ascii="Arial" w:cs="Arial" w:eastAsia="Arial" w:hAnsi="Arial"/>
                <w:sz w:val="21"/>
                <w:szCs w:val="21"/>
                <w:color w:val="auto"/>
              </w:rPr>
              <w:t>1.01</w:t>
            </w:r>
          </w:p>
        </w:tc>
        <w:tc>
          <w:tcPr>
            <w:tcW w:w="8960" w:type="dxa"/>
            <w:vAlign w:val="bottom"/>
            <w:gridSpan w:val="2"/>
          </w:tcPr>
          <w:p>
            <w:pPr>
              <w:jc w:val="right"/>
              <w:spacing w:after="0"/>
              <w:rPr>
                <w:sz w:val="20"/>
                <w:szCs w:val="20"/>
                <w:color w:val="auto"/>
              </w:rPr>
            </w:pPr>
            <w:r>
              <w:rPr>
                <w:rFonts w:ascii="Arial" w:cs="Arial" w:eastAsia="Arial" w:hAnsi="Arial"/>
                <w:sz w:val="21"/>
                <w:szCs w:val="21"/>
                <w:color w:val="auto"/>
                <w:w w:val="93"/>
              </w:rPr>
              <w:t>“Account” shall mean the account maintained on behalf of each Participant or Former Participant which</w:t>
            </w:r>
          </w:p>
        </w:tc>
      </w:tr>
      <w:tr>
        <w:trPr>
          <w:trHeight w:val="271"/>
        </w:trPr>
        <w:tc>
          <w:tcPr>
            <w:tcW w:w="10380" w:type="dxa"/>
            <w:vAlign w:val="bottom"/>
            <w:gridSpan w:val="2"/>
          </w:tcPr>
          <w:p>
            <w:pPr>
              <w:spacing w:after="0"/>
              <w:rPr>
                <w:sz w:val="20"/>
                <w:szCs w:val="20"/>
                <w:color w:val="auto"/>
              </w:rPr>
            </w:pPr>
            <w:r>
              <w:rPr>
                <w:rFonts w:ascii="Arial" w:cs="Arial" w:eastAsia="Arial" w:hAnsi="Arial"/>
                <w:sz w:val="21"/>
                <w:szCs w:val="21"/>
                <w:color w:val="auto"/>
              </w:rPr>
              <w:t>reflects the Participant’s or Former Participant’s Elective Deferrals, Matching Contributions, if any, and Interest.</w:t>
            </w:r>
          </w:p>
        </w:tc>
        <w:tc>
          <w:tcPr>
            <w:tcW w:w="1040" w:type="dxa"/>
            <w:vAlign w:val="bottom"/>
          </w:tcPr>
          <w:p>
            <w:pPr>
              <w:spacing w:after="0"/>
              <w:rPr>
                <w:sz w:val="23"/>
                <w:szCs w:val="23"/>
                <w:color w:val="auto"/>
              </w:rPr>
            </w:pPr>
          </w:p>
        </w:tc>
      </w:tr>
      <w:tr>
        <w:trPr>
          <w:trHeight w:val="419"/>
        </w:trPr>
        <w:tc>
          <w:tcPr>
            <w:tcW w:w="2460" w:type="dxa"/>
            <w:vAlign w:val="bottom"/>
          </w:tcPr>
          <w:p>
            <w:pPr>
              <w:ind w:left="880"/>
              <w:spacing w:after="0"/>
              <w:rPr>
                <w:sz w:val="20"/>
                <w:szCs w:val="20"/>
                <w:color w:val="auto"/>
              </w:rPr>
            </w:pPr>
            <w:r>
              <w:rPr>
                <w:rFonts w:ascii="Arial" w:cs="Arial" w:eastAsia="Arial" w:hAnsi="Arial"/>
                <w:sz w:val="21"/>
                <w:szCs w:val="21"/>
                <w:color w:val="auto"/>
              </w:rPr>
              <w:t>1.02</w:t>
            </w:r>
          </w:p>
        </w:tc>
        <w:tc>
          <w:tcPr>
            <w:tcW w:w="8960" w:type="dxa"/>
            <w:vAlign w:val="bottom"/>
            <w:gridSpan w:val="2"/>
          </w:tcPr>
          <w:p>
            <w:pPr>
              <w:jc w:val="right"/>
              <w:spacing w:after="0"/>
              <w:rPr>
                <w:sz w:val="20"/>
                <w:szCs w:val="20"/>
                <w:color w:val="auto"/>
              </w:rPr>
            </w:pPr>
            <w:r>
              <w:rPr>
                <w:rFonts w:ascii="Arial" w:cs="Arial" w:eastAsia="Arial" w:hAnsi="Arial"/>
                <w:sz w:val="21"/>
                <w:szCs w:val="21"/>
                <w:color w:val="auto"/>
                <w:w w:val="98"/>
              </w:rPr>
              <w:t>“Administrative Committee” shall mean the Administrative Committee of the Schlumberger Limited</w:t>
            </w:r>
          </w:p>
        </w:tc>
      </w:tr>
      <w:tr>
        <w:trPr>
          <w:trHeight w:val="271"/>
        </w:trPr>
        <w:tc>
          <w:tcPr>
            <w:tcW w:w="2460" w:type="dxa"/>
            <w:vAlign w:val="bottom"/>
          </w:tcPr>
          <w:p>
            <w:pPr>
              <w:spacing w:after="0"/>
              <w:rPr>
                <w:sz w:val="20"/>
                <w:szCs w:val="20"/>
                <w:color w:val="auto"/>
              </w:rPr>
            </w:pPr>
            <w:r>
              <w:rPr>
                <w:rFonts w:ascii="Arial" w:cs="Arial" w:eastAsia="Arial" w:hAnsi="Arial"/>
                <w:sz w:val="21"/>
                <w:szCs w:val="21"/>
                <w:color w:val="auto"/>
              </w:rPr>
              <w:t>Pension Plan.</w:t>
            </w:r>
          </w:p>
        </w:tc>
        <w:tc>
          <w:tcPr>
            <w:tcW w:w="79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37"/>
        </w:trPr>
        <w:tc>
          <w:tcPr>
            <w:tcW w:w="2460" w:type="dxa"/>
            <w:vAlign w:val="bottom"/>
          </w:tcPr>
          <w:p>
            <w:pPr>
              <w:ind w:left="880"/>
              <w:spacing w:after="0"/>
              <w:rPr>
                <w:sz w:val="20"/>
                <w:szCs w:val="20"/>
                <w:color w:val="auto"/>
              </w:rPr>
            </w:pPr>
            <w:r>
              <w:rPr>
                <w:rFonts w:ascii="Arial" w:cs="Arial" w:eastAsia="Arial" w:hAnsi="Arial"/>
                <w:sz w:val="21"/>
                <w:szCs w:val="21"/>
                <w:color w:val="auto"/>
              </w:rPr>
              <w:t>1.03</w:t>
            </w:r>
          </w:p>
        </w:tc>
        <w:tc>
          <w:tcPr>
            <w:tcW w:w="8960" w:type="dxa"/>
            <w:vAlign w:val="bottom"/>
            <w:gridSpan w:val="2"/>
          </w:tcPr>
          <w:p>
            <w:pPr>
              <w:jc w:val="right"/>
              <w:spacing w:after="0"/>
              <w:rPr>
                <w:sz w:val="20"/>
                <w:szCs w:val="20"/>
                <w:color w:val="auto"/>
              </w:rPr>
            </w:pPr>
            <w:r>
              <w:rPr>
                <w:rFonts w:ascii="Arial" w:cs="Arial" w:eastAsia="Arial" w:hAnsi="Arial"/>
                <w:sz w:val="21"/>
                <w:szCs w:val="21"/>
                <w:color w:val="auto"/>
                <w:w w:val="96"/>
              </w:rPr>
              <w:t>“Affiliate” shall mean any corporation in which the shares owned or controlled directly or indirectly by</w:t>
            </w:r>
          </w:p>
        </w:tc>
      </w:tr>
    </w:tbl>
    <w:p>
      <w:pPr>
        <w:jc w:val="both"/>
        <w:ind w:right="20"/>
        <w:spacing w:after="0" w:line="241" w:lineRule="auto"/>
        <w:rPr>
          <w:sz w:val="20"/>
          <w:szCs w:val="20"/>
          <w:color w:val="auto"/>
        </w:rPr>
      </w:pPr>
      <w:r>
        <w:rPr>
          <w:rFonts w:ascii="Arial" w:cs="Arial" w:eastAsia="Arial" w:hAnsi="Arial"/>
          <w:sz w:val="21"/>
          <w:szCs w:val="21"/>
          <w:color w:val="auto"/>
        </w:rPr>
        <w:t>Schlumberger Limited shall represent eighty percent (80%) or more of the voting power of the issued and outstanding capital stock of such corporation. Affiliate shall also include any corporation or other trade or business which, together with Schlumberger Limited, is “under common control” as determined in accordance with Section 414(b) or (c) of the Code, as may be modified by Section 415(h) of the Code.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1.04</w:t>
            </w:r>
          </w:p>
        </w:tc>
        <w:tc>
          <w:tcPr>
            <w:tcW w:w="9540" w:type="dxa"/>
            <w:vAlign w:val="bottom"/>
          </w:tcPr>
          <w:p>
            <w:pPr>
              <w:jc w:val="right"/>
              <w:ind w:right="914"/>
              <w:spacing w:after="0"/>
              <w:rPr>
                <w:sz w:val="20"/>
                <w:szCs w:val="20"/>
                <w:color w:val="auto"/>
              </w:rPr>
            </w:pPr>
            <w:r>
              <w:rPr>
                <w:rFonts w:ascii="Arial" w:cs="Arial" w:eastAsia="Arial" w:hAnsi="Arial"/>
                <w:sz w:val="21"/>
                <w:szCs w:val="21"/>
                <w:color w:val="auto"/>
                <w:w w:val="98"/>
              </w:rPr>
              <w:t>“Base Compensation” shall mean Compensation, excluding any bonus or incentive payment.</w:t>
            </w:r>
          </w:p>
        </w:tc>
      </w:tr>
      <w:tr>
        <w:trPr>
          <w:trHeight w:val="451"/>
        </w:trPr>
        <w:tc>
          <w:tcPr>
            <w:tcW w:w="1900" w:type="dxa"/>
            <w:vAlign w:val="bottom"/>
          </w:tcPr>
          <w:p>
            <w:pPr>
              <w:spacing w:after="0"/>
              <w:rPr>
                <w:sz w:val="24"/>
                <w:szCs w:val="24"/>
                <w:color w:val="auto"/>
              </w:rPr>
            </w:pPr>
          </w:p>
        </w:tc>
        <w:tc>
          <w:tcPr>
            <w:tcW w:w="9540" w:type="dxa"/>
            <w:vAlign w:val="bottom"/>
          </w:tcPr>
          <w:p>
            <w:pPr>
              <w:jc w:val="right"/>
              <w:ind w:right="5574"/>
              <w:spacing w:after="0"/>
              <w:rPr>
                <w:sz w:val="20"/>
                <w:szCs w:val="20"/>
                <w:color w:val="auto"/>
              </w:rPr>
            </w:pPr>
            <w:r>
              <w:rPr>
                <w:rFonts w:ascii="Arial" w:cs="Arial" w:eastAsia="Arial" w:hAnsi="Arial"/>
                <w:sz w:val="21"/>
                <w:szCs w:val="21"/>
                <w:color w:val="auto"/>
              </w:rPr>
              <w:t>1</w:t>
            </w:r>
          </w:p>
        </w:tc>
      </w:tr>
      <w:tr>
        <w:trPr>
          <w:trHeight w:val="102"/>
        </w:trPr>
        <w:tc>
          <w:tcPr>
            <w:tcW w:w="1900" w:type="dxa"/>
            <w:vAlign w:val="bottom"/>
            <w:tcBorders>
              <w:bottom w:val="single" w:sz="8" w:color="9A9A9A"/>
            </w:tcBorders>
          </w:tcPr>
          <w:p>
            <w:pPr>
              <w:spacing w:after="0"/>
              <w:rPr>
                <w:sz w:val="8"/>
                <w:szCs w:val="8"/>
                <w:color w:val="auto"/>
              </w:rPr>
            </w:pPr>
          </w:p>
        </w:tc>
        <w:tc>
          <w:tcPr>
            <w:tcW w:w="95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41"/>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1.05</w:t>
            </w:r>
          </w:p>
        </w:tc>
        <w:tc>
          <w:tcPr>
            <w:tcW w:w="9520" w:type="dxa"/>
            <w:vAlign w:val="bottom"/>
          </w:tcPr>
          <w:p>
            <w:pPr>
              <w:ind w:left="640"/>
              <w:spacing w:after="0"/>
              <w:rPr>
                <w:sz w:val="20"/>
                <w:szCs w:val="20"/>
                <w:color w:val="auto"/>
              </w:rPr>
            </w:pPr>
            <w:r>
              <w:rPr>
                <w:rFonts w:ascii="Arial" w:cs="Arial" w:eastAsia="Arial" w:hAnsi="Arial"/>
                <w:sz w:val="21"/>
                <w:szCs w:val="21"/>
                <w:color w:val="auto"/>
                <w:w w:val="93"/>
              </w:rPr>
              <w:t>“Beneficiary” shall mean the individual designated by a Participant or Former Participant in accordance</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rPr>
              <w:t>with Section 3.3 who is entitled to benefits under the Plan in the event of a Participant’s or Former Participant’s death.</w:t>
            </w:r>
          </w:p>
        </w:tc>
      </w:tr>
      <w:tr>
        <w:trPr>
          <w:trHeight w:val="451"/>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1.06</w:t>
            </w:r>
          </w:p>
        </w:tc>
        <w:tc>
          <w:tcPr>
            <w:tcW w:w="9520" w:type="dxa"/>
            <w:vAlign w:val="bottom"/>
          </w:tcPr>
          <w:p>
            <w:pPr>
              <w:ind w:left="640"/>
              <w:spacing w:after="0"/>
              <w:rPr>
                <w:sz w:val="20"/>
                <w:szCs w:val="20"/>
                <w:color w:val="auto"/>
              </w:rPr>
            </w:pPr>
            <w:r>
              <w:rPr>
                <w:rFonts w:ascii="Arial" w:cs="Arial" w:eastAsia="Arial" w:hAnsi="Arial"/>
                <w:sz w:val="21"/>
                <w:szCs w:val="21"/>
                <w:color w:val="auto"/>
              </w:rPr>
              <w:t>“Board of Directors” shall mean the Board of Directors of Schlumberger Limited.</w:t>
            </w:r>
          </w:p>
        </w:tc>
      </w:tr>
      <w:tr>
        <w:trPr>
          <w:trHeight w:val="419"/>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1.07</w:t>
            </w:r>
          </w:p>
        </w:tc>
        <w:tc>
          <w:tcPr>
            <w:tcW w:w="9520" w:type="dxa"/>
            <w:vAlign w:val="bottom"/>
          </w:tcPr>
          <w:p>
            <w:pPr>
              <w:ind w:left="640"/>
              <w:spacing w:after="0"/>
              <w:rPr>
                <w:sz w:val="20"/>
                <w:szCs w:val="20"/>
                <w:color w:val="auto"/>
              </w:rPr>
            </w:pPr>
            <w:r>
              <w:rPr>
                <w:rFonts w:ascii="Arial" w:cs="Arial" w:eastAsia="Arial" w:hAnsi="Arial"/>
                <w:sz w:val="21"/>
                <w:szCs w:val="21"/>
                <w:color w:val="auto"/>
                <w:w w:val="97"/>
              </w:rPr>
              <w:t>“Change in Control” and “409</w:t>
            </w:r>
            <w:r>
              <w:rPr>
                <w:rFonts w:ascii="Arial" w:cs="Arial" w:eastAsia="Arial" w:hAnsi="Arial"/>
                <w:sz w:val="21"/>
                <w:szCs w:val="21"/>
                <w:color w:val="auto"/>
                <w:w w:val="97"/>
              </w:rPr>
              <w:t>А</w:t>
            </w:r>
            <w:r>
              <w:rPr>
                <w:rFonts w:ascii="Arial" w:cs="Arial" w:eastAsia="Arial" w:hAnsi="Arial"/>
                <w:sz w:val="21"/>
                <w:szCs w:val="21"/>
                <w:color w:val="auto"/>
                <w:w w:val="97"/>
              </w:rPr>
              <w:t xml:space="preserve"> Change in Control” shall have the meaning ascribed to it in Section</w:t>
            </w:r>
          </w:p>
        </w:tc>
      </w:tr>
      <w:tr>
        <w:trPr>
          <w:trHeight w:val="271"/>
        </w:trPr>
        <w:tc>
          <w:tcPr>
            <w:tcW w:w="1900" w:type="dxa"/>
            <w:vAlign w:val="bottom"/>
          </w:tcPr>
          <w:p>
            <w:pPr>
              <w:spacing w:after="0"/>
              <w:rPr>
                <w:sz w:val="20"/>
                <w:szCs w:val="20"/>
                <w:color w:val="auto"/>
              </w:rPr>
            </w:pPr>
            <w:r>
              <w:rPr>
                <w:rFonts w:ascii="Arial" w:cs="Arial" w:eastAsia="Arial" w:hAnsi="Arial"/>
                <w:sz w:val="21"/>
                <w:szCs w:val="21"/>
                <w:color w:val="auto"/>
              </w:rPr>
              <w:t>8.01.</w:t>
            </w:r>
          </w:p>
        </w:tc>
        <w:tc>
          <w:tcPr>
            <w:tcW w:w="9520" w:type="dxa"/>
            <w:vAlign w:val="bottom"/>
          </w:tcPr>
          <w:p>
            <w:pPr>
              <w:spacing w:after="0"/>
              <w:rPr>
                <w:sz w:val="23"/>
                <w:szCs w:val="23"/>
                <w:color w:val="auto"/>
              </w:rPr>
            </w:pPr>
          </w:p>
        </w:tc>
      </w:tr>
      <w:tr>
        <w:trPr>
          <w:trHeight w:val="451"/>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1.08</w:t>
            </w:r>
          </w:p>
        </w:tc>
        <w:tc>
          <w:tcPr>
            <w:tcW w:w="9520" w:type="dxa"/>
            <w:vAlign w:val="bottom"/>
          </w:tcPr>
          <w:p>
            <w:pPr>
              <w:ind w:left="640"/>
              <w:spacing w:after="0"/>
              <w:rPr>
                <w:sz w:val="20"/>
                <w:szCs w:val="20"/>
                <w:color w:val="auto"/>
              </w:rPr>
            </w:pPr>
            <w:r>
              <w:rPr>
                <w:rFonts w:ascii="Arial" w:cs="Arial" w:eastAsia="Arial" w:hAnsi="Arial"/>
                <w:sz w:val="21"/>
                <w:szCs w:val="21"/>
                <w:color w:val="auto"/>
              </w:rPr>
              <w:t>“Code” shall mean the Internal Revenue Code of 1986, as may be amended.</w:t>
            </w:r>
          </w:p>
        </w:tc>
      </w:tr>
      <w:tr>
        <w:trPr>
          <w:trHeight w:val="437"/>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1.09</w:t>
            </w:r>
          </w:p>
        </w:tc>
        <w:tc>
          <w:tcPr>
            <w:tcW w:w="9520" w:type="dxa"/>
            <w:vAlign w:val="bottom"/>
          </w:tcPr>
          <w:p>
            <w:pPr>
              <w:ind w:left="640"/>
              <w:spacing w:after="0"/>
              <w:rPr>
                <w:sz w:val="20"/>
                <w:szCs w:val="20"/>
                <w:color w:val="auto"/>
              </w:rPr>
            </w:pPr>
            <w:r>
              <w:rPr>
                <w:rFonts w:ascii="Arial" w:cs="Arial" w:eastAsia="Arial" w:hAnsi="Arial"/>
                <w:sz w:val="21"/>
                <w:szCs w:val="21"/>
                <w:color w:val="auto"/>
                <w:w w:val="92"/>
              </w:rPr>
              <w:t>“Compensation” shall mean the aggregate amount of compensation paid by the Employer or an Affiliate</w:t>
            </w:r>
          </w:p>
        </w:tc>
      </w:tr>
    </w:tbl>
    <w:p>
      <w:pPr>
        <w:jc w:val="both"/>
        <w:spacing w:after="0" w:line="249" w:lineRule="auto"/>
        <w:rPr>
          <w:sz w:val="20"/>
          <w:szCs w:val="20"/>
          <w:color w:val="auto"/>
        </w:rPr>
      </w:pPr>
      <w:r>
        <w:rPr>
          <w:rFonts w:ascii="Arial" w:cs="Arial" w:eastAsia="Arial" w:hAnsi="Arial"/>
          <w:sz w:val="21"/>
          <w:szCs w:val="21"/>
          <w:color w:val="auto"/>
        </w:rPr>
        <w:t>to an Employee during a calendar year, including normal salary, wages, overtime compensation, commissions, bonuses and salary deferral amounts under Section 401(k) of the Code, if any, and excluding:</w:t>
      </w:r>
    </w:p>
    <w:p>
      <w:pPr>
        <w:spacing w:after="0" w:line="171" w:lineRule="exact"/>
        <w:rPr>
          <w:sz w:val="20"/>
          <w:szCs w:val="20"/>
          <w:color w:val="auto"/>
        </w:rPr>
      </w:pPr>
    </w:p>
    <w:p>
      <w:pPr>
        <w:ind w:left="2060" w:hanging="1178"/>
        <w:spacing w:after="0"/>
        <w:tabs>
          <w:tab w:leader="none" w:pos="2060" w:val="left"/>
        </w:tabs>
        <w:numPr>
          <w:ilvl w:val="0"/>
          <w:numId w:val="65"/>
        </w:numPr>
        <w:rPr>
          <w:rFonts w:ascii="Arial" w:cs="Arial" w:eastAsia="Arial" w:hAnsi="Arial"/>
          <w:sz w:val="21"/>
          <w:szCs w:val="21"/>
          <w:color w:val="auto"/>
        </w:rPr>
      </w:pPr>
      <w:r>
        <w:rPr>
          <w:rFonts w:ascii="Arial" w:cs="Arial" w:eastAsia="Arial" w:hAnsi="Arial"/>
          <w:sz w:val="21"/>
          <w:szCs w:val="21"/>
          <w:color w:val="auto"/>
        </w:rPr>
        <w:t>compensation for employment during any period in which an individual is not an Employee;</w:t>
      </w:r>
    </w:p>
    <w:p>
      <w:pPr>
        <w:spacing w:after="0" w:line="209" w:lineRule="exact"/>
        <w:rPr>
          <w:rFonts w:ascii="Arial" w:cs="Arial" w:eastAsia="Arial" w:hAnsi="Arial"/>
          <w:sz w:val="21"/>
          <w:szCs w:val="21"/>
          <w:color w:val="auto"/>
        </w:rPr>
      </w:pPr>
    </w:p>
    <w:p>
      <w:pPr>
        <w:jc w:val="both"/>
        <w:ind w:left="2060" w:hanging="1178"/>
        <w:spacing w:after="0" w:line="252" w:lineRule="auto"/>
        <w:tabs>
          <w:tab w:leader="none" w:pos="2060" w:val="left"/>
        </w:tabs>
        <w:numPr>
          <w:ilvl w:val="0"/>
          <w:numId w:val="65"/>
        </w:numPr>
        <w:rPr>
          <w:rFonts w:ascii="Arial" w:cs="Arial" w:eastAsia="Arial" w:hAnsi="Arial"/>
          <w:sz w:val="21"/>
          <w:szCs w:val="21"/>
          <w:color w:val="auto"/>
        </w:rPr>
      </w:pPr>
      <w:r>
        <w:rPr>
          <w:rFonts w:ascii="Arial" w:cs="Arial" w:eastAsia="Arial" w:hAnsi="Arial"/>
          <w:sz w:val="21"/>
          <w:szCs w:val="21"/>
          <w:color w:val="auto"/>
        </w:rPr>
        <w:t>any special payment of compensation, including but not limited to, income arising pursuant to the exercise of a stock option, field meal allowance, early retirement payments, severance payments, pay in lieu of vacation, tuition reimbursement, moving allowances;</w:t>
      </w:r>
    </w:p>
    <w:p>
      <w:pPr>
        <w:spacing w:after="0" w:line="168" w:lineRule="exact"/>
        <w:rPr>
          <w:rFonts w:ascii="Arial" w:cs="Arial" w:eastAsia="Arial" w:hAnsi="Arial"/>
          <w:sz w:val="21"/>
          <w:szCs w:val="21"/>
          <w:color w:val="auto"/>
        </w:rPr>
      </w:pPr>
    </w:p>
    <w:p>
      <w:pPr>
        <w:ind w:left="2060" w:hanging="1178"/>
        <w:spacing w:after="0" w:line="267" w:lineRule="auto"/>
        <w:tabs>
          <w:tab w:leader="none" w:pos="2060" w:val="left"/>
        </w:tabs>
        <w:numPr>
          <w:ilvl w:val="0"/>
          <w:numId w:val="65"/>
        </w:numPr>
        <w:rPr>
          <w:rFonts w:ascii="Arial" w:cs="Arial" w:eastAsia="Arial" w:hAnsi="Arial"/>
          <w:sz w:val="21"/>
          <w:szCs w:val="21"/>
          <w:color w:val="auto"/>
        </w:rPr>
      </w:pPr>
      <w:r>
        <w:rPr>
          <w:rFonts w:ascii="Arial" w:cs="Arial" w:eastAsia="Arial" w:hAnsi="Arial"/>
          <w:sz w:val="21"/>
          <w:szCs w:val="21"/>
          <w:color w:val="auto"/>
        </w:rPr>
        <w:t>payment by the Employer on behalf of the Participant to this or any other qualified or non-qualified pension, profit sharing, savings or other employee benefit plan.</w:t>
      </w:r>
    </w:p>
    <w:p>
      <w:pPr>
        <w:spacing w:after="0" w:line="153"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1.10 “Disability” or “Disabled” means (A) the Participant is unable to engage in any substantial gainful activity by reason of any medically determinable physical or mental impairment that can be expected to result in death or can be expected to last for a continuous period of not less than 12 months or (B) 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 or any Affiliate.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ind w:left="880"/>
              <w:spacing w:after="0"/>
              <w:rPr>
                <w:sz w:val="20"/>
                <w:szCs w:val="20"/>
                <w:color w:val="auto"/>
              </w:rPr>
            </w:pPr>
            <w:r>
              <w:rPr>
                <w:rFonts w:ascii="Arial" w:cs="Arial" w:eastAsia="Arial" w:hAnsi="Arial"/>
                <w:sz w:val="21"/>
                <w:szCs w:val="21"/>
                <w:color w:val="auto"/>
              </w:rPr>
              <w:t>1.11</w:t>
            </w:r>
          </w:p>
        </w:tc>
        <w:tc>
          <w:tcPr>
            <w:tcW w:w="9540" w:type="dxa"/>
            <w:vAlign w:val="bottom"/>
          </w:tcPr>
          <w:p>
            <w:pPr>
              <w:jc w:val="right"/>
              <w:spacing w:after="0"/>
              <w:rPr>
                <w:sz w:val="20"/>
                <w:szCs w:val="20"/>
                <w:color w:val="auto"/>
              </w:rPr>
            </w:pPr>
            <w:r>
              <w:rPr>
                <w:rFonts w:ascii="Arial" w:cs="Arial" w:eastAsia="Arial" w:hAnsi="Arial"/>
                <w:sz w:val="21"/>
                <w:szCs w:val="21"/>
                <w:color w:val="auto"/>
              </w:rPr>
              <w:t>“Elective Deferrals” shall mean the amount of Excess Compensation an Eligible Employee elects to</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rPr>
              <w:t>defer in accordance with Section 4.01 of the Plan.</w:t>
            </w:r>
          </w:p>
        </w:tc>
      </w:tr>
      <w:tr>
        <w:trPr>
          <w:trHeight w:val="419"/>
        </w:trPr>
        <w:tc>
          <w:tcPr>
            <w:tcW w:w="1880" w:type="dxa"/>
            <w:vAlign w:val="bottom"/>
          </w:tcPr>
          <w:p>
            <w:pPr>
              <w:ind w:left="880"/>
              <w:spacing w:after="0"/>
              <w:rPr>
                <w:sz w:val="20"/>
                <w:szCs w:val="20"/>
                <w:color w:val="auto"/>
              </w:rPr>
            </w:pPr>
            <w:r>
              <w:rPr>
                <w:rFonts w:ascii="Arial" w:cs="Arial" w:eastAsia="Arial" w:hAnsi="Arial"/>
                <w:sz w:val="21"/>
                <w:szCs w:val="21"/>
                <w:color w:val="auto"/>
              </w:rPr>
              <w:t>1.12</w:t>
            </w:r>
          </w:p>
        </w:tc>
        <w:tc>
          <w:tcPr>
            <w:tcW w:w="9540" w:type="dxa"/>
            <w:vAlign w:val="bottom"/>
          </w:tcPr>
          <w:p>
            <w:pPr>
              <w:jc w:val="right"/>
              <w:spacing w:after="0"/>
              <w:rPr>
                <w:sz w:val="20"/>
                <w:szCs w:val="20"/>
                <w:color w:val="auto"/>
              </w:rPr>
            </w:pPr>
            <w:r>
              <w:rPr>
                <w:rFonts w:ascii="Arial" w:cs="Arial" w:eastAsia="Arial" w:hAnsi="Arial"/>
                <w:sz w:val="21"/>
                <w:szCs w:val="21"/>
                <w:color w:val="auto"/>
              </w:rPr>
              <w:t>Eligible Employee” shall mean an Employee who is on a U.S. based payroll or is seconded by an</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rPr>
              <w:t>Employer to a foreign country and is on the payroll of Schlumberger Resources, Inc.</w:t>
            </w:r>
          </w:p>
        </w:tc>
      </w:tr>
      <w:tr>
        <w:trPr>
          <w:trHeight w:val="437"/>
        </w:trPr>
        <w:tc>
          <w:tcPr>
            <w:tcW w:w="1880" w:type="dxa"/>
            <w:vAlign w:val="bottom"/>
          </w:tcPr>
          <w:p>
            <w:pPr>
              <w:ind w:left="880"/>
              <w:spacing w:after="0"/>
              <w:rPr>
                <w:sz w:val="20"/>
                <w:szCs w:val="20"/>
                <w:color w:val="auto"/>
              </w:rPr>
            </w:pPr>
            <w:r>
              <w:rPr>
                <w:rFonts w:ascii="Arial" w:cs="Arial" w:eastAsia="Arial" w:hAnsi="Arial"/>
                <w:sz w:val="21"/>
                <w:szCs w:val="21"/>
                <w:color w:val="auto"/>
              </w:rPr>
              <w:t>1.13</w:t>
            </w:r>
          </w:p>
        </w:tc>
        <w:tc>
          <w:tcPr>
            <w:tcW w:w="9540" w:type="dxa"/>
            <w:vAlign w:val="bottom"/>
          </w:tcPr>
          <w:p>
            <w:pPr>
              <w:jc w:val="right"/>
              <w:spacing w:after="0"/>
              <w:rPr>
                <w:sz w:val="20"/>
                <w:szCs w:val="20"/>
                <w:color w:val="auto"/>
              </w:rPr>
            </w:pPr>
            <w:r>
              <w:rPr>
                <w:rFonts w:ascii="Arial" w:cs="Arial" w:eastAsia="Arial" w:hAnsi="Arial"/>
                <w:sz w:val="21"/>
                <w:szCs w:val="21"/>
                <w:color w:val="auto"/>
              </w:rPr>
              <w:t>“Employee” shall mean an employee of the Employer who is employed by and carried on the payroll of</w:t>
            </w:r>
          </w:p>
        </w:tc>
      </w:tr>
    </w:tbl>
    <w:p>
      <w:pPr>
        <w:jc w:val="both"/>
        <w:spacing w:after="0" w:line="249" w:lineRule="auto"/>
        <w:rPr>
          <w:sz w:val="20"/>
          <w:szCs w:val="20"/>
          <w:color w:val="auto"/>
        </w:rPr>
      </w:pPr>
      <w:r>
        <w:rPr>
          <w:rFonts w:ascii="Arial" w:cs="Arial" w:eastAsia="Arial" w:hAnsi="Arial"/>
          <w:sz w:val="21"/>
          <w:szCs w:val="21"/>
          <w:color w:val="auto"/>
        </w:rPr>
        <w:t>the Employer and who is eligible to participate in (i) the Schlumberger Limited Savings and Profit Sharing Plan or (ii) the Schlumberger Savings and Profit Sharing Plan for US Taxpayers Employed Abroad.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41"/>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1.14</w:t>
            </w:r>
          </w:p>
        </w:tc>
        <w:tc>
          <w:tcPr>
            <w:tcW w:w="9520" w:type="dxa"/>
            <w:vAlign w:val="bottom"/>
          </w:tcPr>
          <w:p>
            <w:pPr>
              <w:ind w:left="640"/>
              <w:spacing w:after="0"/>
              <w:rPr>
                <w:sz w:val="20"/>
                <w:szCs w:val="20"/>
                <w:color w:val="auto"/>
              </w:rPr>
            </w:pPr>
            <w:r>
              <w:rPr>
                <w:rFonts w:ascii="Arial" w:cs="Arial" w:eastAsia="Arial" w:hAnsi="Arial"/>
                <w:sz w:val="21"/>
                <w:szCs w:val="21"/>
                <w:color w:val="auto"/>
                <w:w w:val="99"/>
              </w:rPr>
              <w:t>“Employer” shall mean Schlumberger Limited and any Affiliate who has adopted the Plan for the</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rPr>
              <w:t>benefit of its Eligible Employees.</w:t>
            </w:r>
          </w:p>
        </w:tc>
      </w:tr>
      <w:tr>
        <w:trPr>
          <w:trHeight w:val="451"/>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1.15</w:t>
            </w:r>
          </w:p>
        </w:tc>
        <w:tc>
          <w:tcPr>
            <w:tcW w:w="9520" w:type="dxa"/>
            <w:vAlign w:val="bottom"/>
          </w:tcPr>
          <w:p>
            <w:pPr>
              <w:ind w:left="640"/>
              <w:spacing w:after="0"/>
              <w:rPr>
                <w:sz w:val="20"/>
                <w:szCs w:val="20"/>
                <w:color w:val="auto"/>
              </w:rPr>
            </w:pPr>
            <w:r>
              <w:rPr>
                <w:rFonts w:ascii="Arial" w:cs="Arial" w:eastAsia="Arial" w:hAnsi="Arial"/>
                <w:sz w:val="21"/>
                <w:szCs w:val="21"/>
                <w:color w:val="auto"/>
              </w:rPr>
              <w:t>“Enrollment Period” shall mean the 30-day period beginning each June 1.</w:t>
            </w:r>
          </w:p>
        </w:tc>
      </w:tr>
      <w:tr>
        <w:trPr>
          <w:trHeight w:val="419"/>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1.16</w:t>
            </w:r>
          </w:p>
        </w:tc>
        <w:tc>
          <w:tcPr>
            <w:tcW w:w="9520" w:type="dxa"/>
            <w:vAlign w:val="bottom"/>
          </w:tcPr>
          <w:p>
            <w:pPr>
              <w:ind w:left="640"/>
              <w:spacing w:after="0"/>
              <w:rPr>
                <w:sz w:val="20"/>
                <w:szCs w:val="20"/>
                <w:color w:val="auto"/>
              </w:rPr>
            </w:pPr>
            <w:r>
              <w:rPr>
                <w:rFonts w:ascii="Arial" w:cs="Arial" w:eastAsia="Arial" w:hAnsi="Arial"/>
                <w:sz w:val="21"/>
                <w:szCs w:val="21"/>
                <w:color w:val="auto"/>
                <w:w w:val="91"/>
              </w:rPr>
              <w:t>“Excess Compensation” shall mean the amount of Compensation paid to an Employee during a calendar</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rPr>
              <w:t>year in excess of $260,000, as such amount may be adjusted in accordance with Section 401(a)(17) of the Code.</w:t>
            </w:r>
          </w:p>
        </w:tc>
      </w:tr>
      <w:tr>
        <w:trPr>
          <w:trHeight w:val="419"/>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1.17</w:t>
            </w:r>
          </w:p>
        </w:tc>
        <w:tc>
          <w:tcPr>
            <w:tcW w:w="9520" w:type="dxa"/>
            <w:vAlign w:val="bottom"/>
          </w:tcPr>
          <w:p>
            <w:pPr>
              <w:ind w:left="640"/>
              <w:spacing w:after="0"/>
              <w:rPr>
                <w:sz w:val="20"/>
                <w:szCs w:val="20"/>
                <w:color w:val="auto"/>
              </w:rPr>
            </w:pPr>
            <w:r>
              <w:rPr>
                <w:rFonts w:ascii="Arial" w:cs="Arial" w:eastAsia="Arial" w:hAnsi="Arial"/>
                <w:sz w:val="21"/>
                <w:szCs w:val="21"/>
                <w:color w:val="auto"/>
                <w:w w:val="96"/>
              </w:rPr>
              <w:t>“Former Participant” means an Employee of the Employer or an Affiliate who was a Participant and</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rPr>
              <w:t>continues to have an Account under the Plan.</w:t>
            </w:r>
          </w:p>
        </w:tc>
      </w:tr>
      <w:tr>
        <w:trPr>
          <w:trHeight w:val="437"/>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1.18</w:t>
            </w:r>
          </w:p>
        </w:tc>
        <w:tc>
          <w:tcPr>
            <w:tcW w:w="9520" w:type="dxa"/>
            <w:vAlign w:val="bottom"/>
          </w:tcPr>
          <w:p>
            <w:pPr>
              <w:ind w:left="640"/>
              <w:spacing w:after="0"/>
              <w:rPr>
                <w:sz w:val="20"/>
                <w:szCs w:val="20"/>
                <w:color w:val="auto"/>
              </w:rPr>
            </w:pPr>
            <w:r>
              <w:rPr>
                <w:rFonts w:ascii="Arial" w:cs="Arial" w:eastAsia="Arial" w:hAnsi="Arial"/>
                <w:sz w:val="21"/>
                <w:szCs w:val="21"/>
                <w:color w:val="auto"/>
                <w:w w:val="96"/>
              </w:rPr>
              <w:t>“Interest” shall mean the amount of interest allocated to a Participant’s Account. Such amount shall</w:t>
            </w:r>
          </w:p>
        </w:tc>
      </w:tr>
    </w:tbl>
    <w:p>
      <w:pPr>
        <w:jc w:val="both"/>
        <w:spacing w:after="0" w:line="249" w:lineRule="auto"/>
        <w:rPr>
          <w:sz w:val="20"/>
          <w:szCs w:val="20"/>
          <w:color w:val="auto"/>
        </w:rPr>
      </w:pPr>
      <w:r>
        <w:rPr>
          <w:rFonts w:ascii="Arial" w:cs="Arial" w:eastAsia="Arial" w:hAnsi="Arial"/>
          <w:sz w:val="21"/>
          <w:szCs w:val="21"/>
          <w:color w:val="auto"/>
        </w:rPr>
        <w:t>mirror the interest earnings of the relevant fund(s) under the Schlumberger Master Profit Sharing Trust, as chosen by the Participant pursuant to Section 4.03A.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ind w:left="880"/>
              <w:spacing w:after="0"/>
              <w:rPr>
                <w:sz w:val="20"/>
                <w:szCs w:val="20"/>
                <w:color w:val="auto"/>
              </w:rPr>
            </w:pPr>
            <w:r>
              <w:rPr>
                <w:rFonts w:ascii="Arial" w:cs="Arial" w:eastAsia="Arial" w:hAnsi="Arial"/>
                <w:sz w:val="21"/>
                <w:szCs w:val="21"/>
                <w:color w:val="auto"/>
              </w:rPr>
              <w:t>1.19</w:t>
            </w:r>
          </w:p>
        </w:tc>
        <w:tc>
          <w:tcPr>
            <w:tcW w:w="9460" w:type="dxa"/>
            <w:vAlign w:val="bottom"/>
          </w:tcPr>
          <w:p>
            <w:pPr>
              <w:ind w:left="580"/>
              <w:spacing w:after="0"/>
              <w:rPr>
                <w:sz w:val="20"/>
                <w:szCs w:val="20"/>
                <w:color w:val="auto"/>
              </w:rPr>
            </w:pPr>
            <w:r>
              <w:rPr>
                <w:rFonts w:ascii="Arial" w:cs="Arial" w:eastAsia="Arial" w:hAnsi="Arial"/>
                <w:sz w:val="21"/>
                <w:szCs w:val="21"/>
                <w:color w:val="auto"/>
              </w:rPr>
              <w:t>“Matching Contribution” shall mean the amount contributed by the Employer in accordance with</w:t>
            </w:r>
          </w:p>
        </w:tc>
      </w:tr>
      <w:tr>
        <w:trPr>
          <w:trHeight w:val="271"/>
        </w:trPr>
        <w:tc>
          <w:tcPr>
            <w:tcW w:w="1960" w:type="dxa"/>
            <w:vAlign w:val="bottom"/>
          </w:tcPr>
          <w:p>
            <w:pPr>
              <w:spacing w:after="0"/>
              <w:rPr>
                <w:sz w:val="20"/>
                <w:szCs w:val="20"/>
                <w:color w:val="auto"/>
              </w:rPr>
            </w:pPr>
            <w:r>
              <w:rPr>
                <w:rFonts w:ascii="Arial" w:cs="Arial" w:eastAsia="Arial" w:hAnsi="Arial"/>
                <w:sz w:val="21"/>
                <w:szCs w:val="21"/>
                <w:color w:val="auto"/>
              </w:rPr>
              <w:t>Section 4.02.</w:t>
            </w:r>
          </w:p>
        </w:tc>
        <w:tc>
          <w:tcPr>
            <w:tcW w:w="9460" w:type="dxa"/>
            <w:vAlign w:val="bottom"/>
          </w:tcPr>
          <w:p>
            <w:pPr>
              <w:spacing w:after="0"/>
              <w:rPr>
                <w:sz w:val="23"/>
                <w:szCs w:val="23"/>
                <w:color w:val="auto"/>
              </w:rPr>
            </w:pPr>
          </w:p>
        </w:tc>
      </w:tr>
      <w:tr>
        <w:trPr>
          <w:trHeight w:val="419"/>
        </w:trPr>
        <w:tc>
          <w:tcPr>
            <w:tcW w:w="1960" w:type="dxa"/>
            <w:vAlign w:val="bottom"/>
          </w:tcPr>
          <w:p>
            <w:pPr>
              <w:ind w:left="880"/>
              <w:spacing w:after="0"/>
              <w:rPr>
                <w:sz w:val="20"/>
                <w:szCs w:val="20"/>
                <w:color w:val="auto"/>
              </w:rPr>
            </w:pPr>
            <w:r>
              <w:rPr>
                <w:rFonts w:ascii="Arial" w:cs="Arial" w:eastAsia="Arial" w:hAnsi="Arial"/>
                <w:sz w:val="21"/>
                <w:szCs w:val="21"/>
                <w:color w:val="auto"/>
              </w:rPr>
              <w:t>1.19A</w:t>
            </w:r>
          </w:p>
        </w:tc>
        <w:tc>
          <w:tcPr>
            <w:tcW w:w="9460" w:type="dxa"/>
            <w:vAlign w:val="bottom"/>
          </w:tcPr>
          <w:p>
            <w:pPr>
              <w:ind w:left="580"/>
              <w:spacing w:after="0"/>
              <w:rPr>
                <w:sz w:val="20"/>
                <w:szCs w:val="20"/>
                <w:color w:val="auto"/>
              </w:rPr>
            </w:pPr>
            <w:r>
              <w:rPr>
                <w:rFonts w:ascii="Arial" w:cs="Arial" w:eastAsia="Arial" w:hAnsi="Arial"/>
                <w:sz w:val="21"/>
                <w:szCs w:val="21"/>
                <w:color w:val="auto"/>
                <w:w w:val="95"/>
              </w:rPr>
              <w:t>“Non-Elective Contributions” shall mean the amount contributed by the Employer in accordance with</w:t>
            </w:r>
          </w:p>
        </w:tc>
      </w:tr>
      <w:tr>
        <w:trPr>
          <w:trHeight w:val="271"/>
        </w:trPr>
        <w:tc>
          <w:tcPr>
            <w:tcW w:w="1960" w:type="dxa"/>
            <w:vAlign w:val="bottom"/>
          </w:tcPr>
          <w:p>
            <w:pPr>
              <w:spacing w:after="0"/>
              <w:rPr>
                <w:sz w:val="20"/>
                <w:szCs w:val="20"/>
                <w:color w:val="auto"/>
              </w:rPr>
            </w:pPr>
            <w:r>
              <w:rPr>
                <w:rFonts w:ascii="Arial" w:cs="Arial" w:eastAsia="Arial" w:hAnsi="Arial"/>
                <w:sz w:val="21"/>
                <w:szCs w:val="21"/>
                <w:color w:val="auto"/>
              </w:rPr>
              <w:t>Section 4.03.</w:t>
            </w:r>
          </w:p>
        </w:tc>
        <w:tc>
          <w:tcPr>
            <w:tcW w:w="9460" w:type="dxa"/>
            <w:vAlign w:val="bottom"/>
          </w:tcPr>
          <w:p>
            <w:pPr>
              <w:spacing w:after="0"/>
              <w:rPr>
                <w:sz w:val="23"/>
                <w:szCs w:val="23"/>
                <w:color w:val="auto"/>
              </w:rPr>
            </w:pPr>
          </w:p>
        </w:tc>
      </w:tr>
      <w:tr>
        <w:trPr>
          <w:trHeight w:val="419"/>
        </w:trPr>
        <w:tc>
          <w:tcPr>
            <w:tcW w:w="1960" w:type="dxa"/>
            <w:vAlign w:val="bottom"/>
          </w:tcPr>
          <w:p>
            <w:pPr>
              <w:ind w:left="880"/>
              <w:spacing w:after="0"/>
              <w:rPr>
                <w:sz w:val="20"/>
                <w:szCs w:val="20"/>
                <w:color w:val="auto"/>
              </w:rPr>
            </w:pPr>
            <w:r>
              <w:rPr>
                <w:rFonts w:ascii="Arial" w:cs="Arial" w:eastAsia="Arial" w:hAnsi="Arial"/>
                <w:sz w:val="21"/>
                <w:szCs w:val="21"/>
                <w:color w:val="auto"/>
              </w:rPr>
              <w:t>1.20</w:t>
            </w:r>
          </w:p>
        </w:tc>
        <w:tc>
          <w:tcPr>
            <w:tcW w:w="9460" w:type="dxa"/>
            <w:vAlign w:val="bottom"/>
          </w:tcPr>
          <w:p>
            <w:pPr>
              <w:ind w:left="580"/>
              <w:spacing w:after="0"/>
              <w:rPr>
                <w:sz w:val="20"/>
                <w:szCs w:val="20"/>
                <w:color w:val="auto"/>
              </w:rPr>
            </w:pPr>
            <w:r>
              <w:rPr>
                <w:rFonts w:ascii="Arial" w:cs="Arial" w:eastAsia="Arial" w:hAnsi="Arial"/>
                <w:sz w:val="21"/>
                <w:szCs w:val="21"/>
                <w:color w:val="auto"/>
                <w:w w:val="95"/>
              </w:rPr>
              <w:t>“Participant” shall mean an Eligible Employee who meets the eligibility requirements of Section 2.02</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w w:val="99"/>
              </w:rPr>
              <w:t>and has commenced, but not terminated, participation in the Plan in accordance with the provisions of Article III of the Plan.</w:t>
            </w:r>
          </w:p>
        </w:tc>
      </w:tr>
      <w:tr>
        <w:trPr>
          <w:trHeight w:val="419"/>
        </w:trPr>
        <w:tc>
          <w:tcPr>
            <w:tcW w:w="1960" w:type="dxa"/>
            <w:vAlign w:val="bottom"/>
          </w:tcPr>
          <w:p>
            <w:pPr>
              <w:ind w:left="880"/>
              <w:spacing w:after="0"/>
              <w:rPr>
                <w:sz w:val="20"/>
                <w:szCs w:val="20"/>
                <w:color w:val="auto"/>
              </w:rPr>
            </w:pPr>
            <w:r>
              <w:rPr>
                <w:rFonts w:ascii="Arial" w:cs="Arial" w:eastAsia="Arial" w:hAnsi="Arial"/>
                <w:sz w:val="21"/>
                <w:szCs w:val="21"/>
                <w:color w:val="auto"/>
              </w:rPr>
              <w:t>1.21</w:t>
            </w:r>
          </w:p>
        </w:tc>
        <w:tc>
          <w:tcPr>
            <w:tcW w:w="9460" w:type="dxa"/>
            <w:vAlign w:val="bottom"/>
          </w:tcPr>
          <w:p>
            <w:pPr>
              <w:ind w:left="580"/>
              <w:spacing w:after="0"/>
              <w:rPr>
                <w:sz w:val="20"/>
                <w:szCs w:val="20"/>
                <w:color w:val="auto"/>
              </w:rPr>
            </w:pPr>
            <w:r>
              <w:rPr>
                <w:rFonts w:ascii="Arial" w:cs="Arial" w:eastAsia="Arial" w:hAnsi="Arial"/>
                <w:sz w:val="21"/>
                <w:szCs w:val="21"/>
                <w:color w:val="auto"/>
                <w:w w:val="91"/>
              </w:rPr>
              <w:t>“Plan” shall mean the Schlumberger Limited Restoration Savings Plan as set forth herein and as may be</w:t>
            </w:r>
          </w:p>
        </w:tc>
      </w:tr>
      <w:tr>
        <w:trPr>
          <w:trHeight w:val="271"/>
        </w:trPr>
        <w:tc>
          <w:tcPr>
            <w:tcW w:w="1960" w:type="dxa"/>
            <w:vAlign w:val="bottom"/>
          </w:tcPr>
          <w:p>
            <w:pPr>
              <w:spacing w:after="0"/>
              <w:rPr>
                <w:sz w:val="20"/>
                <w:szCs w:val="20"/>
                <w:color w:val="auto"/>
              </w:rPr>
            </w:pPr>
            <w:r>
              <w:rPr>
                <w:rFonts w:ascii="Arial" w:cs="Arial" w:eastAsia="Arial" w:hAnsi="Arial"/>
                <w:sz w:val="21"/>
                <w:szCs w:val="21"/>
                <w:color w:val="auto"/>
              </w:rPr>
              <w:t>amended.</w:t>
            </w:r>
          </w:p>
        </w:tc>
        <w:tc>
          <w:tcPr>
            <w:tcW w:w="9460" w:type="dxa"/>
            <w:vAlign w:val="bottom"/>
          </w:tcPr>
          <w:p>
            <w:pPr>
              <w:spacing w:after="0"/>
              <w:rPr>
                <w:sz w:val="23"/>
                <w:szCs w:val="23"/>
                <w:color w:val="auto"/>
              </w:rPr>
            </w:pPr>
          </w:p>
        </w:tc>
      </w:tr>
      <w:tr>
        <w:trPr>
          <w:trHeight w:val="451"/>
        </w:trPr>
        <w:tc>
          <w:tcPr>
            <w:tcW w:w="1960" w:type="dxa"/>
            <w:vAlign w:val="bottom"/>
          </w:tcPr>
          <w:p>
            <w:pPr>
              <w:ind w:left="880"/>
              <w:spacing w:after="0"/>
              <w:rPr>
                <w:sz w:val="20"/>
                <w:szCs w:val="20"/>
                <w:color w:val="auto"/>
              </w:rPr>
            </w:pPr>
            <w:r>
              <w:rPr>
                <w:rFonts w:ascii="Arial" w:cs="Arial" w:eastAsia="Arial" w:hAnsi="Arial"/>
                <w:sz w:val="21"/>
                <w:szCs w:val="21"/>
                <w:color w:val="auto"/>
              </w:rPr>
              <w:t>1.22</w:t>
            </w:r>
          </w:p>
        </w:tc>
        <w:tc>
          <w:tcPr>
            <w:tcW w:w="9460" w:type="dxa"/>
            <w:vAlign w:val="bottom"/>
          </w:tcPr>
          <w:p>
            <w:pPr>
              <w:ind w:left="580"/>
              <w:spacing w:after="0"/>
              <w:rPr>
                <w:sz w:val="20"/>
                <w:szCs w:val="20"/>
                <w:color w:val="auto"/>
              </w:rPr>
            </w:pPr>
            <w:r>
              <w:rPr>
                <w:rFonts w:ascii="Arial" w:cs="Arial" w:eastAsia="Arial" w:hAnsi="Arial"/>
                <w:sz w:val="21"/>
                <w:szCs w:val="21"/>
                <w:color w:val="auto"/>
              </w:rPr>
              <w:t>“Plan Year” shall mean the calendar year.</w:t>
            </w:r>
          </w:p>
        </w:tc>
      </w:tr>
      <w:tr>
        <w:trPr>
          <w:trHeight w:val="419"/>
        </w:trPr>
        <w:tc>
          <w:tcPr>
            <w:tcW w:w="1960" w:type="dxa"/>
            <w:vAlign w:val="bottom"/>
          </w:tcPr>
          <w:p>
            <w:pPr>
              <w:ind w:left="880"/>
              <w:spacing w:after="0"/>
              <w:rPr>
                <w:sz w:val="20"/>
                <w:szCs w:val="20"/>
                <w:color w:val="auto"/>
              </w:rPr>
            </w:pPr>
            <w:r>
              <w:rPr>
                <w:rFonts w:ascii="Arial" w:cs="Arial" w:eastAsia="Arial" w:hAnsi="Arial"/>
                <w:sz w:val="21"/>
                <w:szCs w:val="21"/>
                <w:color w:val="auto"/>
              </w:rPr>
              <w:t>1.23</w:t>
            </w:r>
          </w:p>
        </w:tc>
        <w:tc>
          <w:tcPr>
            <w:tcW w:w="9460" w:type="dxa"/>
            <w:vAlign w:val="bottom"/>
          </w:tcPr>
          <w:p>
            <w:pPr>
              <w:ind w:left="580"/>
              <w:spacing w:after="0"/>
              <w:rPr>
                <w:sz w:val="20"/>
                <w:szCs w:val="20"/>
                <w:color w:val="auto"/>
              </w:rPr>
            </w:pPr>
            <w:r>
              <w:rPr>
                <w:rFonts w:ascii="Arial" w:cs="Arial" w:eastAsia="Arial" w:hAnsi="Arial"/>
                <w:sz w:val="21"/>
                <w:szCs w:val="21"/>
                <w:color w:val="auto"/>
                <w:w w:val="99"/>
              </w:rPr>
              <w:t>“Qualified  Defined  Benefit  Plans”  shall  mean  the  Schlumberger  Limited  Pension  Plan,  the</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w w:val="96"/>
              </w:rPr>
              <w:t>Schlumberger Technology Corporation Pension Plan and the Schlumberger Pension Plan for US Taxpayers Employed Abroad.</w:t>
            </w:r>
          </w:p>
        </w:tc>
      </w:tr>
      <w:tr>
        <w:trPr>
          <w:trHeight w:val="437"/>
        </w:trPr>
        <w:tc>
          <w:tcPr>
            <w:tcW w:w="1960" w:type="dxa"/>
            <w:vAlign w:val="bottom"/>
          </w:tcPr>
          <w:p>
            <w:pPr>
              <w:ind w:left="880"/>
              <w:spacing w:after="0"/>
              <w:rPr>
                <w:sz w:val="20"/>
                <w:szCs w:val="20"/>
                <w:color w:val="auto"/>
              </w:rPr>
            </w:pPr>
            <w:r>
              <w:rPr>
                <w:rFonts w:ascii="Arial" w:cs="Arial" w:eastAsia="Arial" w:hAnsi="Arial"/>
                <w:sz w:val="21"/>
                <w:szCs w:val="21"/>
                <w:color w:val="auto"/>
              </w:rPr>
              <w:t>1.24</w:t>
            </w:r>
          </w:p>
        </w:tc>
        <w:tc>
          <w:tcPr>
            <w:tcW w:w="9460" w:type="dxa"/>
            <w:vAlign w:val="bottom"/>
          </w:tcPr>
          <w:p>
            <w:pPr>
              <w:ind w:left="580"/>
              <w:spacing w:after="0"/>
              <w:rPr>
                <w:sz w:val="20"/>
                <w:szCs w:val="20"/>
                <w:color w:val="auto"/>
              </w:rPr>
            </w:pPr>
            <w:r>
              <w:rPr>
                <w:rFonts w:ascii="Arial" w:cs="Arial" w:eastAsia="Arial" w:hAnsi="Arial"/>
                <w:sz w:val="21"/>
                <w:szCs w:val="21"/>
                <w:color w:val="auto"/>
                <w:w w:val="94"/>
              </w:rPr>
              <w:t>“Spouse” shall mean the person, if any, legally married pursuant to the laws of the State or country in</w:t>
            </w:r>
          </w:p>
        </w:tc>
      </w:tr>
    </w:tbl>
    <w:p>
      <w:pPr>
        <w:jc w:val="both"/>
        <w:spacing w:after="0" w:line="239" w:lineRule="auto"/>
        <w:rPr>
          <w:sz w:val="20"/>
          <w:szCs w:val="20"/>
          <w:color w:val="auto"/>
        </w:rPr>
      </w:pPr>
      <w:r>
        <w:rPr>
          <w:rFonts w:ascii="Arial" w:cs="Arial" w:eastAsia="Arial" w:hAnsi="Arial"/>
          <w:sz w:val="21"/>
          <w:szCs w:val="21"/>
          <w:color w:val="auto"/>
        </w:rPr>
        <w:t>which such marriage was performed to a Participant at the latest of (i) the time of the Participant’s death prior to retirement, (ii) the time of the Participant’s retirement, or (iii) the time the Participant’s benefits are to commence; provided, however, that this definition of “Spouse” shall include a same sex Spouse effective no earlier than (a) September 16, 2013, or (b) if prior to September 16, 2013, such Participant and same sex Spouse resided in a State or the District of Columbia that legally recognized their marriage, June 26, 2013 (or such later date as the Participant and his or her Spouse became residents of such State or the District of Columbia but in no event later than September 16, 2013).</w:t>
      </w:r>
    </w:p>
    <w:p>
      <w:pPr>
        <w:spacing w:after="0" w:line="185"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21"/>
          <w:szCs w:val="21"/>
          <w:color w:val="auto"/>
        </w:rPr>
        <w:t>1.25 “Termination of Employment” shall mean “separation from service,” as defined in Section 1.409A-1(h) of the U.S. Treasury regulations, with an Employer for any reason other than a transfer between Employers.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41"/>
        </w:trPr>
        <w:tc>
          <w:tcPr>
            <w:tcW w:w="1960" w:type="dxa"/>
            <w:vAlign w:val="bottom"/>
          </w:tcPr>
          <w:p>
            <w:pPr>
              <w:ind w:left="880"/>
              <w:spacing w:after="0"/>
              <w:rPr>
                <w:sz w:val="20"/>
                <w:szCs w:val="20"/>
                <w:color w:val="auto"/>
              </w:rPr>
            </w:pPr>
            <w:r>
              <w:rPr>
                <w:rFonts w:ascii="Arial" w:cs="Arial" w:eastAsia="Arial" w:hAnsi="Arial"/>
                <w:sz w:val="21"/>
                <w:szCs w:val="21"/>
                <w:color w:val="auto"/>
              </w:rPr>
              <w:t>1.25A</w:t>
            </w:r>
          </w:p>
        </w:tc>
        <w:tc>
          <w:tcPr>
            <w:tcW w:w="9460" w:type="dxa"/>
            <w:vAlign w:val="bottom"/>
          </w:tcPr>
          <w:p>
            <w:pPr>
              <w:ind w:left="580"/>
              <w:spacing w:after="0"/>
              <w:rPr>
                <w:sz w:val="20"/>
                <w:szCs w:val="20"/>
                <w:color w:val="auto"/>
              </w:rPr>
            </w:pPr>
            <w:r>
              <w:rPr>
                <w:rFonts w:ascii="Arial" w:cs="Arial" w:eastAsia="Arial" w:hAnsi="Arial"/>
                <w:sz w:val="21"/>
                <w:szCs w:val="21"/>
                <w:color w:val="auto"/>
                <w:w w:val="91"/>
              </w:rPr>
              <w:t>“Transfer Date” shall mean the date a Transfer Employee meets the requirements to become an Eligible</w:t>
            </w:r>
          </w:p>
        </w:tc>
      </w:tr>
      <w:tr>
        <w:trPr>
          <w:trHeight w:val="271"/>
        </w:trPr>
        <w:tc>
          <w:tcPr>
            <w:tcW w:w="1960" w:type="dxa"/>
            <w:vAlign w:val="bottom"/>
          </w:tcPr>
          <w:p>
            <w:pPr>
              <w:spacing w:after="0"/>
              <w:rPr>
                <w:sz w:val="20"/>
                <w:szCs w:val="20"/>
                <w:color w:val="auto"/>
              </w:rPr>
            </w:pPr>
            <w:r>
              <w:rPr>
                <w:rFonts w:ascii="Arial" w:cs="Arial" w:eastAsia="Arial" w:hAnsi="Arial"/>
                <w:sz w:val="21"/>
                <w:szCs w:val="21"/>
                <w:color w:val="auto"/>
              </w:rPr>
              <w:t>Employee.</w:t>
            </w:r>
          </w:p>
        </w:tc>
        <w:tc>
          <w:tcPr>
            <w:tcW w:w="9460" w:type="dxa"/>
            <w:vAlign w:val="bottom"/>
          </w:tcPr>
          <w:p>
            <w:pPr>
              <w:spacing w:after="0"/>
              <w:rPr>
                <w:sz w:val="23"/>
                <w:szCs w:val="23"/>
                <w:color w:val="auto"/>
              </w:rPr>
            </w:pPr>
          </w:p>
        </w:tc>
      </w:tr>
      <w:tr>
        <w:trPr>
          <w:trHeight w:val="419"/>
        </w:trPr>
        <w:tc>
          <w:tcPr>
            <w:tcW w:w="1960" w:type="dxa"/>
            <w:vAlign w:val="bottom"/>
          </w:tcPr>
          <w:p>
            <w:pPr>
              <w:ind w:left="880"/>
              <w:spacing w:after="0"/>
              <w:rPr>
                <w:sz w:val="20"/>
                <w:szCs w:val="20"/>
                <w:color w:val="auto"/>
              </w:rPr>
            </w:pPr>
            <w:r>
              <w:rPr>
                <w:rFonts w:ascii="Arial" w:cs="Arial" w:eastAsia="Arial" w:hAnsi="Arial"/>
                <w:sz w:val="21"/>
                <w:szCs w:val="21"/>
                <w:color w:val="auto"/>
              </w:rPr>
              <w:t>1.25B</w:t>
            </w:r>
          </w:p>
        </w:tc>
        <w:tc>
          <w:tcPr>
            <w:tcW w:w="9460" w:type="dxa"/>
            <w:vAlign w:val="bottom"/>
          </w:tcPr>
          <w:p>
            <w:pPr>
              <w:ind w:left="580"/>
              <w:spacing w:after="0"/>
              <w:rPr>
                <w:sz w:val="20"/>
                <w:szCs w:val="20"/>
                <w:color w:val="auto"/>
              </w:rPr>
            </w:pPr>
            <w:r>
              <w:rPr>
                <w:rFonts w:ascii="Arial" w:cs="Arial" w:eastAsia="Arial" w:hAnsi="Arial"/>
                <w:sz w:val="21"/>
                <w:szCs w:val="21"/>
                <w:color w:val="auto"/>
                <w:w w:val="92"/>
              </w:rPr>
              <w:t>“Transfer Employee” shall means an individual who is an employee compensated on a non-U.S. payroll</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rPr>
              <w:t>of an Employer or an Affiliate and transfers into a position that qualifies him or her as an Eligible Employee.</w:t>
            </w:r>
          </w:p>
        </w:tc>
      </w:tr>
      <w:tr>
        <w:trPr>
          <w:trHeight w:val="451"/>
        </w:trPr>
        <w:tc>
          <w:tcPr>
            <w:tcW w:w="1960" w:type="dxa"/>
            <w:vAlign w:val="bottom"/>
          </w:tcPr>
          <w:p>
            <w:pPr>
              <w:ind w:left="880"/>
              <w:spacing w:after="0"/>
              <w:rPr>
                <w:sz w:val="20"/>
                <w:szCs w:val="20"/>
                <w:color w:val="auto"/>
              </w:rPr>
            </w:pPr>
            <w:r>
              <w:rPr>
                <w:rFonts w:ascii="Arial" w:cs="Arial" w:eastAsia="Arial" w:hAnsi="Arial"/>
                <w:sz w:val="21"/>
                <w:szCs w:val="21"/>
                <w:color w:val="auto"/>
              </w:rPr>
              <w:t>1.26</w:t>
            </w:r>
          </w:p>
        </w:tc>
        <w:tc>
          <w:tcPr>
            <w:tcW w:w="9460" w:type="dxa"/>
            <w:vAlign w:val="bottom"/>
          </w:tcPr>
          <w:p>
            <w:pPr>
              <w:ind w:left="580"/>
              <w:spacing w:after="0"/>
              <w:rPr>
                <w:sz w:val="20"/>
                <w:szCs w:val="20"/>
                <w:color w:val="auto"/>
              </w:rPr>
            </w:pPr>
            <w:r>
              <w:rPr>
                <w:rFonts w:ascii="Arial" w:cs="Arial" w:eastAsia="Arial" w:hAnsi="Arial"/>
                <w:sz w:val="21"/>
                <w:szCs w:val="21"/>
                <w:color w:val="auto"/>
              </w:rPr>
              <w:t>“Trust” shall mean the Schlumberger Executive Deferred Compensation Trust, a grantor trust.</w:t>
            </w:r>
          </w:p>
        </w:tc>
      </w:tr>
      <w:tr>
        <w:trPr>
          <w:trHeight w:val="451"/>
        </w:trPr>
        <w:tc>
          <w:tcPr>
            <w:tcW w:w="1960" w:type="dxa"/>
            <w:vAlign w:val="bottom"/>
          </w:tcPr>
          <w:p>
            <w:pPr>
              <w:ind w:left="880"/>
              <w:spacing w:after="0"/>
              <w:rPr>
                <w:sz w:val="20"/>
                <w:szCs w:val="20"/>
                <w:color w:val="auto"/>
              </w:rPr>
            </w:pPr>
            <w:r>
              <w:rPr>
                <w:rFonts w:ascii="Arial" w:cs="Arial" w:eastAsia="Arial" w:hAnsi="Arial"/>
                <w:sz w:val="21"/>
                <w:szCs w:val="21"/>
                <w:color w:val="auto"/>
              </w:rPr>
              <w:t>1.27</w:t>
            </w:r>
          </w:p>
        </w:tc>
        <w:tc>
          <w:tcPr>
            <w:tcW w:w="9460" w:type="dxa"/>
            <w:vAlign w:val="bottom"/>
          </w:tcPr>
          <w:p>
            <w:pPr>
              <w:ind w:left="580"/>
              <w:spacing w:after="0"/>
              <w:rPr>
                <w:sz w:val="20"/>
                <w:szCs w:val="20"/>
                <w:color w:val="auto"/>
              </w:rPr>
            </w:pPr>
            <w:r>
              <w:rPr>
                <w:rFonts w:ascii="Arial" w:cs="Arial" w:eastAsia="Arial" w:hAnsi="Arial"/>
                <w:sz w:val="21"/>
                <w:szCs w:val="21"/>
                <w:color w:val="auto"/>
              </w:rPr>
              <w:t>“Vested” shall mean non-forfeitable.</w:t>
            </w:r>
          </w:p>
        </w:tc>
      </w:tr>
    </w:tbl>
    <w:p>
      <w:pPr>
        <w:spacing w:after="0" w:line="180" w:lineRule="exact"/>
        <w:rPr>
          <w:sz w:val="20"/>
          <w:szCs w:val="20"/>
          <w:color w:val="auto"/>
        </w:rPr>
      </w:pPr>
    </w:p>
    <w:p>
      <w:pPr>
        <w:jc w:val="both"/>
        <w:ind w:firstLine="2012"/>
        <w:spacing w:after="0" w:line="320" w:lineRule="auto"/>
        <w:rPr>
          <w:sz w:val="20"/>
          <w:szCs w:val="20"/>
          <w:color w:val="auto"/>
        </w:rPr>
      </w:pPr>
      <w:r>
        <w:rPr>
          <w:rFonts w:ascii="Arial" w:cs="Arial" w:eastAsia="Arial" w:hAnsi="Arial"/>
          <w:sz w:val="19"/>
          <w:szCs w:val="19"/>
          <w:color w:val="auto"/>
        </w:rPr>
        <w:t>Unless the context of the document dearly provides otherwise, all masculine pronouns when used in the Plan shall be deemed to include the feminine gender and any feminine pronouns shall be deemed to include the masculine gender.</w:t>
      </w:r>
    </w:p>
    <w:p>
      <w:pPr>
        <w:spacing w:after="0" w:line="102" w:lineRule="exact"/>
        <w:rPr>
          <w:sz w:val="20"/>
          <w:szCs w:val="20"/>
          <w:color w:val="auto"/>
        </w:rPr>
      </w:pPr>
    </w:p>
    <w:tbl>
      <w:tblPr>
        <w:tblLayout w:type="fixed"/>
        <w:tblInd w:w="880" w:type="dxa"/>
        <w:tblCellMar>
          <w:top w:w="0" w:type="dxa"/>
          <w:left w:w="0" w:type="dxa"/>
          <w:bottom w:w="0" w:type="dxa"/>
          <w:right w:w="0" w:type="dxa"/>
        </w:tblCellMar>
      </w:tblPr>
      <w:tr>
        <w:trPr>
          <w:trHeight w:val="277"/>
        </w:trPr>
        <w:tc>
          <w:tcPr>
            <w:tcW w:w="1020" w:type="dxa"/>
            <w:vAlign w:val="bottom"/>
          </w:tcPr>
          <w:p>
            <w:pPr>
              <w:spacing w:after="0"/>
              <w:rPr>
                <w:sz w:val="24"/>
                <w:szCs w:val="24"/>
                <w:color w:val="auto"/>
              </w:rPr>
            </w:pPr>
          </w:p>
        </w:tc>
        <w:tc>
          <w:tcPr>
            <w:tcW w:w="9520" w:type="dxa"/>
            <w:vAlign w:val="bottom"/>
          </w:tcPr>
          <w:p>
            <w:pPr>
              <w:jc w:val="center"/>
              <w:ind w:right="1794"/>
              <w:spacing w:after="0"/>
              <w:rPr>
                <w:sz w:val="20"/>
                <w:szCs w:val="20"/>
                <w:color w:val="auto"/>
              </w:rPr>
            </w:pPr>
            <w:r>
              <w:rPr>
                <w:rFonts w:ascii="Arial" w:cs="Arial" w:eastAsia="Arial" w:hAnsi="Arial"/>
                <w:sz w:val="21"/>
                <w:szCs w:val="21"/>
                <w:b w:val="1"/>
                <w:bCs w:val="1"/>
                <w:color w:val="auto"/>
              </w:rPr>
              <w:t>ARTICLE II</w:t>
            </w:r>
          </w:p>
        </w:tc>
      </w:tr>
      <w:tr>
        <w:trPr>
          <w:trHeight w:val="478"/>
        </w:trPr>
        <w:tc>
          <w:tcPr>
            <w:tcW w:w="1020" w:type="dxa"/>
            <w:vAlign w:val="bottom"/>
          </w:tcPr>
          <w:p>
            <w:pPr>
              <w:spacing w:after="0"/>
              <w:rPr>
                <w:sz w:val="24"/>
                <w:szCs w:val="24"/>
                <w:color w:val="auto"/>
              </w:rPr>
            </w:pPr>
          </w:p>
        </w:tc>
        <w:tc>
          <w:tcPr>
            <w:tcW w:w="9520" w:type="dxa"/>
            <w:vAlign w:val="bottom"/>
          </w:tcPr>
          <w:p>
            <w:pPr>
              <w:jc w:val="center"/>
              <w:ind w:right="1774"/>
              <w:spacing w:after="0"/>
              <w:rPr>
                <w:sz w:val="20"/>
                <w:szCs w:val="20"/>
                <w:color w:val="auto"/>
              </w:rPr>
            </w:pPr>
            <w:r>
              <w:rPr>
                <w:rFonts w:ascii="Arial" w:cs="Arial" w:eastAsia="Arial" w:hAnsi="Arial"/>
                <w:sz w:val="21"/>
                <w:szCs w:val="21"/>
                <w:b w:val="1"/>
                <w:bCs w:val="1"/>
                <w:color w:val="auto"/>
              </w:rPr>
              <w:t>ELIGIBILITY</w:t>
            </w:r>
          </w:p>
        </w:tc>
      </w:tr>
      <w:tr>
        <w:trPr>
          <w:trHeight w:val="437"/>
        </w:trPr>
        <w:tc>
          <w:tcPr>
            <w:tcW w:w="1020" w:type="dxa"/>
            <w:vAlign w:val="bottom"/>
          </w:tcPr>
          <w:p>
            <w:pPr>
              <w:jc w:val="right"/>
              <w:ind w:right="534"/>
              <w:spacing w:after="0"/>
              <w:rPr>
                <w:sz w:val="20"/>
                <w:szCs w:val="20"/>
                <w:color w:val="auto"/>
              </w:rPr>
            </w:pPr>
            <w:r>
              <w:rPr>
                <w:rFonts w:ascii="Arial" w:cs="Arial" w:eastAsia="Arial" w:hAnsi="Arial"/>
                <w:sz w:val="21"/>
                <w:szCs w:val="21"/>
                <w:color w:val="auto"/>
                <w:w w:val="87"/>
              </w:rPr>
              <w:t>2.01</w:t>
            </w:r>
          </w:p>
        </w:tc>
        <w:tc>
          <w:tcPr>
            <w:tcW w:w="9520" w:type="dxa"/>
            <w:vAlign w:val="bottom"/>
          </w:tcPr>
          <w:p>
            <w:pPr>
              <w:ind w:left="640"/>
              <w:spacing w:after="0"/>
              <w:rPr>
                <w:sz w:val="20"/>
                <w:szCs w:val="20"/>
                <w:color w:val="auto"/>
              </w:rPr>
            </w:pPr>
            <w:r>
              <w:rPr>
                <w:rFonts w:ascii="Arial" w:cs="Arial" w:eastAsia="Arial" w:hAnsi="Arial"/>
                <w:sz w:val="21"/>
                <w:szCs w:val="21"/>
                <w:b w:val="1"/>
                <w:bCs w:val="1"/>
                <w:color w:val="auto"/>
                <w:w w:val="92"/>
              </w:rPr>
              <w:t>Employer Determination</w:t>
            </w:r>
            <w:r>
              <w:rPr>
                <w:rFonts w:ascii="Arial" w:cs="Arial" w:eastAsia="Arial" w:hAnsi="Arial"/>
                <w:sz w:val="21"/>
                <w:szCs w:val="21"/>
                <w:color w:val="auto"/>
                <w:w w:val="92"/>
              </w:rPr>
              <w:t>. Each year, prior to the last day of the Enrollment Period, the Employer shall</w:t>
            </w:r>
          </w:p>
        </w:tc>
      </w:tr>
    </w:tbl>
    <w:p>
      <w:pPr>
        <w:jc w:val="both"/>
        <w:spacing w:after="0" w:line="241" w:lineRule="auto"/>
        <w:rPr>
          <w:sz w:val="20"/>
          <w:szCs w:val="20"/>
          <w:color w:val="auto"/>
        </w:rPr>
      </w:pPr>
      <w:r>
        <w:rPr>
          <w:rFonts w:ascii="Arial" w:cs="Arial" w:eastAsia="Arial" w:hAnsi="Arial"/>
          <w:sz w:val="21"/>
          <w:szCs w:val="21"/>
          <w:color w:val="auto"/>
        </w:rPr>
        <w:t>determine those Eligible Employees who may participate in the Plan during the subsequent Plan Year. Such determination shall be made in accordance with the requirements set forth in Section 2.02. The Employer may also designate Employees who are newly hired or are transferred to the Employer (each, an “Initial Eligibility Event”) as Eligible Employees regardless of the timing of such Initial Eligibility Event.</w:t>
      </w:r>
    </w:p>
    <w:p>
      <w:pPr>
        <w:spacing w:after="0" w:line="174"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b w:val="1"/>
          <w:bCs w:val="1"/>
          <w:color w:val="auto"/>
        </w:rPr>
        <w:t>Eligibility Requirements</w:t>
      </w:r>
      <w:r>
        <w:rPr>
          <w:rFonts w:ascii="Arial" w:cs="Arial" w:eastAsia="Arial" w:hAnsi="Arial"/>
          <w:sz w:val="21"/>
          <w:szCs w:val="21"/>
          <w:color w:val="auto"/>
        </w:rPr>
        <w:t>. An Eligible Employee may participate in the Plan if such Eligible Employee is projected to have Excess Compensation in the subsequent Plan Year. In determining whether an Eligible Employee is projected to have Excess Compensation, the Employer shall look to the Eligible Employee’s Base Compensation for the then current calendar year and the maximum projected bonus potential payable in the first quarter of the subsequent Plan Year based on the Employee’s current grade and salary level. If the sum of the Eligible Employee’s Base Compensation and the maximum projected bonus potential exceeds the limitation set forth in Section 401(a)(17) of the Code, the Employee is eligible to participate in the Plan during the subsequent Plan Year.</w:t>
      </w:r>
    </w:p>
    <w:p>
      <w:pPr>
        <w:spacing w:after="0" w:line="179" w:lineRule="exact"/>
        <w:rPr>
          <w:sz w:val="20"/>
          <w:szCs w:val="20"/>
          <w:color w:val="auto"/>
        </w:rPr>
      </w:pPr>
    </w:p>
    <w:p>
      <w:pPr>
        <w:jc w:val="both"/>
        <w:ind w:firstLine="2012"/>
        <w:spacing w:after="0" w:line="247" w:lineRule="auto"/>
        <w:rPr>
          <w:sz w:val="20"/>
          <w:szCs w:val="20"/>
          <w:color w:val="auto"/>
        </w:rPr>
      </w:pPr>
      <w:r>
        <w:rPr>
          <w:rFonts w:ascii="Arial" w:cs="Arial" w:eastAsia="Arial" w:hAnsi="Arial"/>
          <w:sz w:val="21"/>
          <w:szCs w:val="21"/>
          <w:color w:val="auto"/>
        </w:rPr>
        <w:t>Subject to Section 4.01, an Employee initially designated as an Eligible Employee during a Plan Year who is projected to have Excess Compensation during such Plan Year may elect to defer Base Compensation that is also Excess Compensation. Such election shall remain in effect until the first day of the Plan Year following the end of the next Enrollment Period to occur after the Employee’s designation as an Eligible Employee.</w:t>
      </w:r>
    </w:p>
    <w:p>
      <w:pPr>
        <w:spacing w:after="0" w:line="174" w:lineRule="exact"/>
        <w:rPr>
          <w:sz w:val="20"/>
          <w:szCs w:val="20"/>
          <w:color w:val="auto"/>
        </w:rPr>
      </w:pPr>
    </w:p>
    <w:p>
      <w:pPr>
        <w:jc w:val="both"/>
        <w:ind w:firstLine="2012"/>
        <w:spacing w:after="0" w:line="252" w:lineRule="auto"/>
        <w:rPr>
          <w:sz w:val="20"/>
          <w:szCs w:val="20"/>
          <w:color w:val="auto"/>
        </w:rPr>
      </w:pPr>
      <w:r>
        <w:rPr>
          <w:rFonts w:ascii="Arial" w:cs="Arial" w:eastAsia="Arial" w:hAnsi="Arial"/>
          <w:sz w:val="21"/>
          <w:szCs w:val="21"/>
          <w:color w:val="auto"/>
        </w:rPr>
        <w:t>The Plan is intended to qualify for the exemptions provided under Title I of the Employee Retirement Income Security Act of 1974 for plans that are not tax-qualified and that are maintained primarily to provide deferred compensation for a select group of management or highly compensated employees.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0" w:name="page91"/>
    <w:bookmarkEnd w:id="90"/>
    <w:tbl>
      <w:tblPr>
        <w:tblLayout w:type="fixed"/>
        <w:tblInd w:w="880" w:type="dxa"/>
        <w:tblCellMar>
          <w:top w:w="0" w:type="dxa"/>
          <w:left w:w="0" w:type="dxa"/>
          <w:bottom w:w="0" w:type="dxa"/>
          <w:right w:w="0" w:type="dxa"/>
        </w:tblCellMar>
      </w:tblPr>
      <w:tr>
        <w:trPr>
          <w:trHeight w:val="277"/>
        </w:trPr>
        <w:tc>
          <w:tcPr>
            <w:tcW w:w="1020" w:type="dxa"/>
            <w:vAlign w:val="bottom"/>
          </w:tcPr>
          <w:p>
            <w:pPr>
              <w:spacing w:after="0"/>
              <w:rPr>
                <w:sz w:val="24"/>
                <w:szCs w:val="24"/>
                <w:color w:val="auto"/>
              </w:rPr>
            </w:pPr>
          </w:p>
        </w:tc>
        <w:tc>
          <w:tcPr>
            <w:tcW w:w="9520" w:type="dxa"/>
            <w:vAlign w:val="bottom"/>
          </w:tcPr>
          <w:p>
            <w:pPr>
              <w:jc w:val="center"/>
              <w:ind w:right="1794"/>
              <w:spacing w:after="0"/>
              <w:rPr>
                <w:sz w:val="20"/>
                <w:szCs w:val="20"/>
                <w:color w:val="auto"/>
              </w:rPr>
            </w:pPr>
            <w:r>
              <w:rPr>
                <w:rFonts w:ascii="Arial" w:cs="Arial" w:eastAsia="Arial" w:hAnsi="Arial"/>
                <w:sz w:val="21"/>
                <w:szCs w:val="21"/>
                <w:b w:val="1"/>
                <w:bCs w:val="1"/>
                <w:color w:val="auto"/>
              </w:rPr>
              <w:t>ARTICLE III</w:t>
            </w:r>
          </w:p>
        </w:tc>
      </w:tr>
      <w:tr>
        <w:trPr>
          <w:trHeight w:val="478"/>
        </w:trPr>
        <w:tc>
          <w:tcPr>
            <w:tcW w:w="1020" w:type="dxa"/>
            <w:vAlign w:val="bottom"/>
          </w:tcPr>
          <w:p>
            <w:pPr>
              <w:spacing w:after="0"/>
              <w:rPr>
                <w:sz w:val="24"/>
                <w:szCs w:val="24"/>
                <w:color w:val="auto"/>
              </w:rPr>
            </w:pPr>
          </w:p>
        </w:tc>
        <w:tc>
          <w:tcPr>
            <w:tcW w:w="9520" w:type="dxa"/>
            <w:vAlign w:val="bottom"/>
          </w:tcPr>
          <w:p>
            <w:pPr>
              <w:jc w:val="center"/>
              <w:ind w:right="1794"/>
              <w:spacing w:after="0"/>
              <w:rPr>
                <w:sz w:val="20"/>
                <w:szCs w:val="20"/>
                <w:color w:val="auto"/>
              </w:rPr>
            </w:pPr>
            <w:r>
              <w:rPr>
                <w:rFonts w:ascii="Arial" w:cs="Arial" w:eastAsia="Arial" w:hAnsi="Arial"/>
                <w:sz w:val="21"/>
                <w:szCs w:val="21"/>
                <w:b w:val="1"/>
                <w:bCs w:val="1"/>
                <w:color w:val="auto"/>
              </w:rPr>
              <w:t>PARTICIPATION</w:t>
            </w:r>
          </w:p>
        </w:tc>
      </w:tr>
      <w:tr>
        <w:trPr>
          <w:trHeight w:val="437"/>
        </w:trPr>
        <w:tc>
          <w:tcPr>
            <w:tcW w:w="1020" w:type="dxa"/>
            <w:vAlign w:val="bottom"/>
          </w:tcPr>
          <w:p>
            <w:pPr>
              <w:jc w:val="right"/>
              <w:ind w:right="534"/>
              <w:spacing w:after="0"/>
              <w:rPr>
                <w:sz w:val="20"/>
                <w:szCs w:val="20"/>
                <w:color w:val="auto"/>
              </w:rPr>
            </w:pPr>
            <w:r>
              <w:rPr>
                <w:rFonts w:ascii="Arial" w:cs="Arial" w:eastAsia="Arial" w:hAnsi="Arial"/>
                <w:sz w:val="21"/>
                <w:szCs w:val="21"/>
                <w:color w:val="auto"/>
                <w:w w:val="87"/>
              </w:rPr>
              <w:t>3.01</w:t>
            </w:r>
          </w:p>
        </w:tc>
        <w:tc>
          <w:tcPr>
            <w:tcW w:w="9520" w:type="dxa"/>
            <w:vAlign w:val="bottom"/>
          </w:tcPr>
          <w:p>
            <w:pPr>
              <w:ind w:left="640"/>
              <w:spacing w:after="0"/>
              <w:rPr>
                <w:sz w:val="20"/>
                <w:szCs w:val="20"/>
                <w:color w:val="auto"/>
              </w:rPr>
            </w:pPr>
            <w:r>
              <w:rPr>
                <w:rFonts w:ascii="Arial" w:cs="Arial" w:eastAsia="Arial" w:hAnsi="Arial"/>
                <w:sz w:val="21"/>
                <w:szCs w:val="21"/>
                <w:b w:val="1"/>
                <w:bCs w:val="1"/>
                <w:color w:val="auto"/>
                <w:w w:val="94"/>
              </w:rPr>
              <w:t>Commencement of Participation</w:t>
            </w:r>
            <w:r>
              <w:rPr>
                <w:rFonts w:ascii="Arial" w:cs="Arial" w:eastAsia="Arial" w:hAnsi="Arial"/>
                <w:sz w:val="21"/>
                <w:szCs w:val="21"/>
                <w:color w:val="auto"/>
                <w:w w:val="94"/>
              </w:rPr>
              <w:t>. During each Enrollment Period, an Eligible Employee who meets</w:t>
            </w:r>
          </w:p>
        </w:tc>
      </w:tr>
    </w:tbl>
    <w:p>
      <w:pPr>
        <w:jc w:val="both"/>
        <w:spacing w:after="0" w:line="249" w:lineRule="auto"/>
        <w:rPr>
          <w:sz w:val="20"/>
          <w:szCs w:val="20"/>
          <w:color w:val="auto"/>
        </w:rPr>
      </w:pPr>
      <w:r>
        <w:rPr>
          <w:rFonts w:ascii="Arial" w:cs="Arial" w:eastAsia="Arial" w:hAnsi="Arial"/>
          <w:sz w:val="21"/>
          <w:szCs w:val="21"/>
          <w:color w:val="auto"/>
        </w:rPr>
        <w:t>the requirements of Section 2.02 may elect to participate in the Plan by completing the necessary deferral election requirements during the Enrollment Period.</w:t>
      </w:r>
    </w:p>
    <w:p>
      <w:pPr>
        <w:spacing w:after="0" w:line="171" w:lineRule="exact"/>
        <w:rPr>
          <w:sz w:val="20"/>
          <w:szCs w:val="20"/>
          <w:color w:val="auto"/>
        </w:rPr>
      </w:pPr>
    </w:p>
    <w:p>
      <w:pPr>
        <w:jc w:val="both"/>
        <w:ind w:right="20" w:firstLine="2012"/>
        <w:spacing w:after="0" w:line="267" w:lineRule="auto"/>
        <w:rPr>
          <w:sz w:val="20"/>
          <w:szCs w:val="20"/>
          <w:color w:val="auto"/>
        </w:rPr>
      </w:pPr>
      <w:r>
        <w:rPr>
          <w:rFonts w:ascii="Arial" w:cs="Arial" w:eastAsia="Arial" w:hAnsi="Arial"/>
          <w:sz w:val="21"/>
          <w:szCs w:val="21"/>
          <w:color w:val="auto"/>
        </w:rPr>
        <w:t>In order to become effective, an Eligible Employee’s deferral election must be completed on or before the last day of the Enrollment Period. No elections shall be accepted after the Enrollment Period ends.</w:t>
      </w:r>
    </w:p>
    <w:p>
      <w:pPr>
        <w:spacing w:after="0" w:line="153" w:lineRule="exact"/>
        <w:rPr>
          <w:sz w:val="20"/>
          <w:szCs w:val="20"/>
          <w:color w:val="auto"/>
        </w:rPr>
      </w:pPr>
    </w:p>
    <w:p>
      <w:pPr>
        <w:jc w:val="both"/>
        <w:ind w:firstLine="2012"/>
        <w:spacing w:after="0" w:line="267" w:lineRule="auto"/>
        <w:rPr>
          <w:sz w:val="20"/>
          <w:szCs w:val="20"/>
          <w:color w:val="auto"/>
        </w:rPr>
      </w:pPr>
      <w:r>
        <w:rPr>
          <w:rFonts w:ascii="Arial" w:cs="Arial" w:eastAsia="Arial" w:hAnsi="Arial"/>
          <w:sz w:val="21"/>
          <w:szCs w:val="21"/>
          <w:color w:val="auto"/>
        </w:rPr>
        <w:t>An Eligible Employee who elects to participate within an Enrollment Period shall become a Participant on the first day of the next following Plan Year.</w:t>
      </w:r>
    </w:p>
    <w:p>
      <w:pPr>
        <w:spacing w:after="0" w:line="153" w:lineRule="exact"/>
        <w:rPr>
          <w:sz w:val="20"/>
          <w:szCs w:val="20"/>
          <w:color w:val="auto"/>
        </w:rPr>
      </w:pPr>
    </w:p>
    <w:p>
      <w:pPr>
        <w:jc w:val="both"/>
        <w:ind w:firstLine="2012"/>
        <w:spacing w:after="0" w:line="291" w:lineRule="auto"/>
        <w:rPr>
          <w:sz w:val="20"/>
          <w:szCs w:val="20"/>
          <w:color w:val="auto"/>
        </w:rPr>
      </w:pPr>
      <w:r>
        <w:rPr>
          <w:rFonts w:ascii="Arial" w:cs="Arial" w:eastAsia="Arial" w:hAnsi="Arial"/>
          <w:sz w:val="19"/>
          <w:szCs w:val="19"/>
          <w:color w:val="auto"/>
        </w:rPr>
        <w:t>Notwithstanding the above, and subject to Section 4.01, an Employee initially designated as an Eligible Employee during a Plan Year may make a deferral election within 30 days following the date such Employee is initially designated as an Eligible Employee. Such election shall remain in effect until the first day of the Plan Year following the next Enrollment Period.</w:t>
      </w:r>
    </w:p>
    <w:p>
      <w:pPr>
        <w:spacing w:after="0" w:line="134" w:lineRule="exact"/>
        <w:rPr>
          <w:sz w:val="20"/>
          <w:szCs w:val="20"/>
          <w:color w:val="auto"/>
        </w:rPr>
      </w:pPr>
    </w:p>
    <w:p>
      <w:pPr>
        <w:jc w:val="both"/>
        <w:ind w:firstLine="2012"/>
        <w:spacing w:after="0" w:line="267" w:lineRule="auto"/>
        <w:rPr>
          <w:sz w:val="20"/>
          <w:szCs w:val="20"/>
          <w:color w:val="auto"/>
        </w:rPr>
      </w:pPr>
      <w:r>
        <w:rPr>
          <w:rFonts w:ascii="Arial" w:cs="Arial" w:eastAsia="Arial" w:hAnsi="Arial"/>
          <w:sz w:val="21"/>
          <w:szCs w:val="21"/>
          <w:color w:val="auto"/>
        </w:rPr>
        <w:t>Notwithstanding the foregoing, and subject to Section 4.03, Transfer Employees may commence participation in the Plan in the year in which the Transfer Date occurs regardless of any election to defer Compensation.</w:t>
      </w:r>
    </w:p>
    <w:p>
      <w:pPr>
        <w:spacing w:after="0" w:line="147"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3.02 </w:t>
      </w:r>
      <w:r>
        <w:rPr>
          <w:rFonts w:ascii="Arial" w:cs="Arial" w:eastAsia="Arial" w:hAnsi="Arial"/>
          <w:sz w:val="21"/>
          <w:szCs w:val="21"/>
          <w:b w:val="1"/>
          <w:bCs w:val="1"/>
          <w:color w:val="auto"/>
        </w:rPr>
        <w:t>Cessation of Participation</w:t>
      </w:r>
      <w:r>
        <w:rPr>
          <w:rFonts w:ascii="Arial" w:cs="Arial" w:eastAsia="Arial" w:hAnsi="Arial"/>
          <w:sz w:val="21"/>
          <w:szCs w:val="21"/>
          <w:color w:val="auto"/>
        </w:rPr>
        <w:t>. A Participant shall cease to be a Participant as of the earliest of (i) the date on which the Plan terminates in a manner consistent with Section 409A; (ii) the date on which the Participant is no longer an Eligible Employee; (iii) the first day of any Plan Year in which the Participant fails to meet the eligibility requirements of Section 2.02; or (iv) the first day of any Plan Year in which the Participant does not elect to participate or fails to enroll within the applicable Enrollment Period.</w:t>
      </w:r>
    </w:p>
    <w:p>
      <w:pPr>
        <w:spacing w:after="0" w:line="175" w:lineRule="exact"/>
        <w:rPr>
          <w:sz w:val="20"/>
          <w:szCs w:val="20"/>
          <w:color w:val="auto"/>
        </w:rPr>
      </w:pPr>
    </w:p>
    <w:p>
      <w:pPr>
        <w:jc w:val="both"/>
        <w:ind w:firstLine="2012"/>
        <w:spacing w:after="0" w:line="267" w:lineRule="auto"/>
        <w:rPr>
          <w:sz w:val="20"/>
          <w:szCs w:val="20"/>
          <w:color w:val="auto"/>
        </w:rPr>
      </w:pPr>
      <w:r>
        <w:rPr>
          <w:rFonts w:ascii="Arial" w:cs="Arial" w:eastAsia="Arial" w:hAnsi="Arial"/>
          <w:sz w:val="21"/>
          <w:szCs w:val="21"/>
          <w:color w:val="auto"/>
        </w:rPr>
        <w:t>A Participant who ceases to be a Participant in accordance with (ii), (iii) or (iv) of the preceding paragraph shall become a Former Participant if such Participant retains an Account under the Plan.</w:t>
      </w:r>
    </w:p>
    <w:p>
      <w:pPr>
        <w:spacing w:after="0" w:line="147"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1"/>
          <w:szCs w:val="21"/>
          <w:color w:val="auto"/>
        </w:rPr>
        <w:t xml:space="preserve">3.03 </w:t>
      </w:r>
      <w:r>
        <w:rPr>
          <w:rFonts w:ascii="Arial" w:cs="Arial" w:eastAsia="Arial" w:hAnsi="Arial"/>
          <w:sz w:val="21"/>
          <w:szCs w:val="21"/>
          <w:b w:val="1"/>
          <w:bCs w:val="1"/>
          <w:color w:val="auto"/>
        </w:rPr>
        <w:t>Beneficiary Designation</w:t>
      </w:r>
      <w:r>
        <w:rPr>
          <w:rFonts w:ascii="Arial" w:cs="Arial" w:eastAsia="Arial" w:hAnsi="Arial"/>
          <w:sz w:val="21"/>
          <w:szCs w:val="21"/>
          <w:color w:val="auto"/>
        </w:rPr>
        <w:t>. Subject to the requirements of this Section 3.03, a Participant or Former Participant may designate, in writing, a Beneficiary who is entitled to receive the benefits hereunder in the event of the Participant’s or Former Participant’s death.</w:t>
      </w:r>
    </w:p>
    <w:p>
      <w:pPr>
        <w:spacing w:after="0" w:line="165" w:lineRule="exact"/>
        <w:rPr>
          <w:sz w:val="20"/>
          <w:szCs w:val="20"/>
          <w:color w:val="auto"/>
        </w:rPr>
      </w:pPr>
    </w:p>
    <w:p>
      <w:pPr>
        <w:jc w:val="both"/>
        <w:ind w:firstLine="2012"/>
        <w:spacing w:after="0" w:line="243" w:lineRule="auto"/>
        <w:rPr>
          <w:sz w:val="20"/>
          <w:szCs w:val="20"/>
          <w:color w:val="auto"/>
        </w:rPr>
      </w:pPr>
      <w:r>
        <w:rPr>
          <w:rFonts w:ascii="Arial" w:cs="Arial" w:eastAsia="Arial" w:hAnsi="Arial"/>
          <w:sz w:val="21"/>
          <w:szCs w:val="21"/>
          <w:color w:val="auto"/>
        </w:rPr>
        <w:t>The Beneficiary of a Participant or Former Participant who is married is automatically the Participant’s or Former Participant’s Spouse. A married Participant or Former Participant may designate a Beneficiary other than the Spouse only if such Spouse consents, in writing, to such designation. In order to be effective, such spousal consent must (i) acknowledge the effect of waiving the benefit such Spouse is otherwise entitled to receive; (ii) consent to the designated Beneficiary; (iii) acknowledge that the Beneficiary designation is not valid unless the Spouse agrees to such designation and (iv) be witnessed by a notary public or authorized Plan representative.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1" w:name="page92"/>
    <w:bookmarkEnd w:id="91"/>
    <w:p>
      <w:pPr>
        <w:ind w:left="2020"/>
        <w:spacing w:after="0"/>
        <w:rPr>
          <w:sz w:val="20"/>
          <w:szCs w:val="20"/>
          <w:color w:val="auto"/>
        </w:rPr>
      </w:pPr>
      <w:r>
        <w:rPr>
          <w:rFonts w:ascii="Arial" w:cs="Arial" w:eastAsia="Arial" w:hAnsi="Arial"/>
          <w:sz w:val="19"/>
          <w:szCs w:val="19"/>
          <w:color w:val="auto"/>
        </w:rPr>
        <w:t>A Participant or Former Participant who is not married may designate any individual or person as Beneficiary.</w:t>
      </w:r>
    </w:p>
    <w:p>
      <w:pPr>
        <w:spacing w:after="0" w:line="233" w:lineRule="exact"/>
        <w:rPr>
          <w:sz w:val="20"/>
          <w:szCs w:val="20"/>
          <w:color w:val="auto"/>
        </w:rPr>
      </w:pPr>
    </w:p>
    <w:p>
      <w:pPr>
        <w:jc w:val="both"/>
        <w:ind w:firstLine="2012"/>
        <w:spacing w:after="0" w:line="267" w:lineRule="auto"/>
        <w:rPr>
          <w:sz w:val="20"/>
          <w:szCs w:val="20"/>
          <w:color w:val="auto"/>
        </w:rPr>
      </w:pPr>
      <w:r>
        <w:rPr>
          <w:rFonts w:ascii="Arial" w:cs="Arial" w:eastAsia="Arial" w:hAnsi="Arial"/>
          <w:sz w:val="21"/>
          <w:szCs w:val="21"/>
          <w:color w:val="auto"/>
        </w:rPr>
        <w:t>A Beneficiary designation shall only become effective upon receipt by the Employer. Any Beneficiary designation filed with the Employer shall supersede any prior designation on file upon receipt by the Employer.</w:t>
      </w:r>
    </w:p>
    <w:p>
      <w:pPr>
        <w:spacing w:after="0" w:line="153" w:lineRule="exact"/>
        <w:rPr>
          <w:sz w:val="20"/>
          <w:szCs w:val="20"/>
          <w:color w:val="auto"/>
        </w:rPr>
      </w:pPr>
    </w:p>
    <w:p>
      <w:pPr>
        <w:jc w:val="both"/>
        <w:ind w:firstLine="2012"/>
        <w:spacing w:after="0" w:line="272" w:lineRule="auto"/>
        <w:rPr>
          <w:sz w:val="20"/>
          <w:szCs w:val="20"/>
          <w:color w:val="auto"/>
        </w:rPr>
      </w:pPr>
      <w:r>
        <w:rPr>
          <w:rFonts w:ascii="Arial" w:cs="Arial" w:eastAsia="Arial" w:hAnsi="Arial"/>
          <w:sz w:val="19"/>
          <w:szCs w:val="19"/>
          <w:color w:val="auto"/>
        </w:rPr>
        <w:t>In the absence of any Beneficiary designation, payments upon the death of the Participant or Former Participant shall be made to the first named Beneficiary or class of Beneficiaries, of the following successive Beneficiaries who survive the Participant or Former Participant: (i) the surviving Spouse, if any; (ii) one share to each child of the Participant or Former Participant, whether or not the child is then living, except that the share of a deceased child of the Participant or Former Participant shall be divided, per stirpes, among the then living descendants of such deceased child; (iii) father and mother, equally, or to the survivor; (iv) surviving brothers and sisters, equally; (v) a duly appointed executor or administrator of the Participant’s or Former Participant’s estate. For purposes of this paragraph, “child” “children” or “descendants” shall include legally adopted children.</w:t>
      </w:r>
    </w:p>
    <w:p>
      <w:pPr>
        <w:spacing w:after="0" w:line="146" w:lineRule="exact"/>
        <w:rPr>
          <w:sz w:val="20"/>
          <w:szCs w:val="20"/>
          <w:color w:val="auto"/>
        </w:rPr>
      </w:pPr>
    </w:p>
    <w:tbl>
      <w:tblPr>
        <w:tblLayout w:type="fixed"/>
        <w:tblInd w:w="880" w:type="dxa"/>
        <w:tblCellMar>
          <w:top w:w="0" w:type="dxa"/>
          <w:left w:w="0" w:type="dxa"/>
          <w:bottom w:w="0" w:type="dxa"/>
          <w:right w:w="0" w:type="dxa"/>
        </w:tblCellMar>
      </w:tblPr>
      <w:tr>
        <w:trPr>
          <w:trHeight w:val="277"/>
        </w:trPr>
        <w:tc>
          <w:tcPr>
            <w:tcW w:w="1020" w:type="dxa"/>
            <w:vAlign w:val="bottom"/>
          </w:tcPr>
          <w:p>
            <w:pPr>
              <w:spacing w:after="0"/>
              <w:rPr>
                <w:sz w:val="24"/>
                <w:szCs w:val="24"/>
                <w:color w:val="auto"/>
              </w:rPr>
            </w:pPr>
          </w:p>
        </w:tc>
        <w:tc>
          <w:tcPr>
            <w:tcW w:w="9520" w:type="dxa"/>
            <w:vAlign w:val="bottom"/>
          </w:tcPr>
          <w:p>
            <w:pPr>
              <w:jc w:val="center"/>
              <w:ind w:right="1794"/>
              <w:spacing w:after="0"/>
              <w:rPr>
                <w:sz w:val="20"/>
                <w:szCs w:val="20"/>
                <w:color w:val="auto"/>
              </w:rPr>
            </w:pPr>
            <w:r>
              <w:rPr>
                <w:rFonts w:ascii="Arial" w:cs="Arial" w:eastAsia="Arial" w:hAnsi="Arial"/>
                <w:sz w:val="21"/>
                <w:szCs w:val="21"/>
                <w:b w:val="1"/>
                <w:bCs w:val="1"/>
                <w:color w:val="auto"/>
              </w:rPr>
              <w:t>ARTICLE IV</w:t>
            </w:r>
          </w:p>
        </w:tc>
      </w:tr>
      <w:tr>
        <w:trPr>
          <w:trHeight w:val="478"/>
        </w:trPr>
        <w:tc>
          <w:tcPr>
            <w:tcW w:w="1020" w:type="dxa"/>
            <w:vAlign w:val="bottom"/>
          </w:tcPr>
          <w:p>
            <w:pPr>
              <w:spacing w:after="0"/>
              <w:rPr>
                <w:sz w:val="24"/>
                <w:szCs w:val="24"/>
                <w:color w:val="auto"/>
              </w:rPr>
            </w:pPr>
          </w:p>
        </w:tc>
        <w:tc>
          <w:tcPr>
            <w:tcW w:w="9520" w:type="dxa"/>
            <w:vAlign w:val="bottom"/>
          </w:tcPr>
          <w:p>
            <w:pPr>
              <w:jc w:val="center"/>
              <w:ind w:right="1774"/>
              <w:spacing w:after="0"/>
              <w:rPr>
                <w:sz w:val="20"/>
                <w:szCs w:val="20"/>
                <w:color w:val="auto"/>
              </w:rPr>
            </w:pPr>
            <w:r>
              <w:rPr>
                <w:rFonts w:ascii="Arial" w:cs="Arial" w:eastAsia="Arial" w:hAnsi="Arial"/>
                <w:sz w:val="21"/>
                <w:szCs w:val="21"/>
                <w:b w:val="1"/>
                <w:bCs w:val="1"/>
                <w:color w:val="auto"/>
              </w:rPr>
              <w:t>CONTRIBUTIONS</w:t>
            </w:r>
          </w:p>
        </w:tc>
      </w:tr>
      <w:tr>
        <w:trPr>
          <w:trHeight w:val="437"/>
        </w:trPr>
        <w:tc>
          <w:tcPr>
            <w:tcW w:w="1020" w:type="dxa"/>
            <w:vAlign w:val="bottom"/>
          </w:tcPr>
          <w:p>
            <w:pPr>
              <w:jc w:val="right"/>
              <w:ind w:right="534"/>
              <w:spacing w:after="0"/>
              <w:rPr>
                <w:sz w:val="20"/>
                <w:szCs w:val="20"/>
                <w:color w:val="auto"/>
              </w:rPr>
            </w:pPr>
            <w:r>
              <w:rPr>
                <w:rFonts w:ascii="Arial" w:cs="Arial" w:eastAsia="Arial" w:hAnsi="Arial"/>
                <w:sz w:val="21"/>
                <w:szCs w:val="21"/>
                <w:color w:val="auto"/>
                <w:w w:val="87"/>
              </w:rPr>
              <w:t>4.01</w:t>
            </w:r>
          </w:p>
        </w:tc>
        <w:tc>
          <w:tcPr>
            <w:tcW w:w="9520" w:type="dxa"/>
            <w:vAlign w:val="bottom"/>
          </w:tcPr>
          <w:p>
            <w:pPr>
              <w:ind w:left="640"/>
              <w:spacing w:after="0"/>
              <w:rPr>
                <w:sz w:val="20"/>
                <w:szCs w:val="20"/>
                <w:color w:val="auto"/>
              </w:rPr>
            </w:pPr>
            <w:r>
              <w:rPr>
                <w:rFonts w:ascii="Arial" w:cs="Arial" w:eastAsia="Arial" w:hAnsi="Arial"/>
                <w:sz w:val="21"/>
                <w:szCs w:val="21"/>
                <w:b w:val="1"/>
                <w:bCs w:val="1"/>
                <w:color w:val="auto"/>
                <w:w w:val="94"/>
              </w:rPr>
              <w:t>Elective Deferral Amounts</w:t>
            </w:r>
            <w:r>
              <w:rPr>
                <w:rFonts w:ascii="Arial" w:cs="Arial" w:eastAsia="Arial" w:hAnsi="Arial"/>
                <w:sz w:val="21"/>
                <w:szCs w:val="21"/>
                <w:color w:val="auto"/>
                <w:w w:val="94"/>
              </w:rPr>
              <w:t>. Effective for Elective Deferrals occurring after the June 2012 Enrollment</w:t>
            </w:r>
          </w:p>
        </w:tc>
      </w:tr>
    </w:tbl>
    <w:p>
      <w:pPr>
        <w:jc w:val="both"/>
        <w:spacing w:after="0" w:line="249" w:lineRule="auto"/>
        <w:rPr>
          <w:sz w:val="20"/>
          <w:szCs w:val="20"/>
          <w:color w:val="auto"/>
        </w:rPr>
      </w:pPr>
      <w:r>
        <w:rPr>
          <w:rFonts w:ascii="Arial" w:cs="Arial" w:eastAsia="Arial" w:hAnsi="Arial"/>
          <w:sz w:val="21"/>
          <w:szCs w:val="21"/>
          <w:color w:val="auto"/>
        </w:rPr>
        <w:t>Period, an Eligible Employee may irrevocably elect to defer, in any whole percentage, an amount from 1% to 50% of such Eligible Employee’s Excess Compensation.</w:t>
      </w:r>
    </w:p>
    <w:p>
      <w:pPr>
        <w:spacing w:after="0" w:line="171" w:lineRule="exact"/>
        <w:rPr>
          <w:sz w:val="20"/>
          <w:szCs w:val="20"/>
          <w:color w:val="auto"/>
        </w:rPr>
      </w:pPr>
    </w:p>
    <w:p>
      <w:pPr>
        <w:jc w:val="both"/>
        <w:ind w:firstLine="2012"/>
        <w:spacing w:after="0" w:line="270" w:lineRule="auto"/>
        <w:rPr>
          <w:sz w:val="20"/>
          <w:szCs w:val="20"/>
          <w:color w:val="auto"/>
        </w:rPr>
      </w:pPr>
      <w:r>
        <w:rPr>
          <w:rFonts w:ascii="Arial" w:cs="Arial" w:eastAsia="Arial" w:hAnsi="Arial"/>
          <w:sz w:val="20"/>
          <w:szCs w:val="20"/>
          <w:color w:val="auto"/>
        </w:rPr>
        <w:t>A Participant’s Elective Deferral shall go into effect as of the first payroll period in which such Participant receives Excess Compensation and shall remain in effect throughout the Plan Year. A Participant may increase or decrease an Elective Deferral only during the Enrollment Period with respect to Elective Deferrals for the next following Plan Year.</w:t>
      </w:r>
    </w:p>
    <w:p>
      <w:pPr>
        <w:spacing w:after="0" w:line="153" w:lineRule="exact"/>
        <w:rPr>
          <w:sz w:val="20"/>
          <w:szCs w:val="20"/>
          <w:color w:val="auto"/>
        </w:rPr>
      </w:pPr>
    </w:p>
    <w:p>
      <w:pPr>
        <w:jc w:val="both"/>
        <w:ind w:firstLine="2012"/>
        <w:spacing w:after="0" w:line="267" w:lineRule="auto"/>
        <w:rPr>
          <w:sz w:val="20"/>
          <w:szCs w:val="20"/>
          <w:color w:val="auto"/>
        </w:rPr>
      </w:pPr>
      <w:r>
        <w:rPr>
          <w:rFonts w:ascii="Arial" w:cs="Arial" w:eastAsia="Arial" w:hAnsi="Arial"/>
          <w:sz w:val="21"/>
          <w:szCs w:val="21"/>
          <w:color w:val="auto"/>
        </w:rPr>
        <w:t>Elective Deferrals shall be paid to the Trust as soon as practicable following the payroll period in which such amount would have been payable to the Participant in cash, but for such Participant’s election to defer.</w:t>
      </w:r>
    </w:p>
    <w:p>
      <w:pPr>
        <w:spacing w:after="0" w:line="153" w:lineRule="exact"/>
        <w:rPr>
          <w:sz w:val="20"/>
          <w:szCs w:val="20"/>
          <w:color w:val="auto"/>
        </w:rPr>
      </w:pPr>
    </w:p>
    <w:p>
      <w:pPr>
        <w:jc w:val="both"/>
        <w:ind w:firstLine="2012"/>
        <w:spacing w:after="0" w:line="256" w:lineRule="auto"/>
        <w:rPr>
          <w:sz w:val="20"/>
          <w:szCs w:val="20"/>
          <w:color w:val="auto"/>
        </w:rPr>
      </w:pPr>
      <w:r>
        <w:rPr>
          <w:rFonts w:ascii="Arial" w:cs="Arial" w:eastAsia="Arial" w:hAnsi="Arial"/>
          <w:sz w:val="20"/>
          <w:szCs w:val="20"/>
          <w:color w:val="auto"/>
        </w:rPr>
        <w:t>An Employee who becomes an Eligible Employee on or prior to the last day of the Enrollment Period may also make an election to defer, up to the limits set forth above, Base Compensation that is also Excess Compensation for the remainder of the Plan Year. An Employee who becomes an Eligible Employee after the last day of the Enrollment Period may make an election to defer, up to the limits set forth above: (i) Base Compensation that is also Excess Compensation earned for the remainder of the Plan Year and (ii) Base Compensation that is also Excess Compensation earned in the next following Plan Year. For purposes of clarity, an Employee’s deferral election shall remain in effect until the first day of the Plan Year following the next Enrollment Period to occur after the Employee’s designation as an Eligible Employee.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2" w:name="page93"/>
    <w:bookmarkEnd w:id="92"/>
    <w:p>
      <w:pPr>
        <w:ind w:left="880"/>
        <w:spacing w:after="0"/>
        <w:tabs>
          <w:tab w:leader="none" w:pos="2520" w:val="left"/>
        </w:tabs>
        <w:rPr>
          <w:sz w:val="20"/>
          <w:szCs w:val="20"/>
          <w:color w:val="auto"/>
        </w:rPr>
      </w:pPr>
      <w:r>
        <w:rPr>
          <w:rFonts w:ascii="Arial" w:cs="Arial" w:eastAsia="Arial" w:hAnsi="Arial"/>
          <w:sz w:val="21"/>
          <w:szCs w:val="21"/>
          <w:color w:val="auto"/>
        </w:rPr>
        <w:t>4.02</w:t>
      </w:r>
      <w:r>
        <w:rPr>
          <w:sz w:val="20"/>
          <w:szCs w:val="20"/>
          <w:color w:val="auto"/>
        </w:rPr>
        <w:tab/>
      </w:r>
      <w:r>
        <w:rPr>
          <w:rFonts w:ascii="Arial" w:cs="Arial" w:eastAsia="Arial" w:hAnsi="Arial"/>
          <w:sz w:val="19"/>
          <w:szCs w:val="19"/>
          <w:b w:val="1"/>
          <w:bCs w:val="1"/>
          <w:color w:val="auto"/>
        </w:rPr>
        <w:t>Matching Contributions</w:t>
      </w:r>
      <w:r>
        <w:rPr>
          <w:rFonts w:ascii="Arial" w:cs="Arial" w:eastAsia="Arial" w:hAnsi="Arial"/>
          <w:sz w:val="19"/>
          <w:szCs w:val="19"/>
          <w:color w:val="auto"/>
        </w:rPr>
        <w:t>. Each year the Employer shall determine the Matching Contribution.</w:t>
      </w:r>
    </w:p>
    <w:p>
      <w:pPr>
        <w:spacing w:after="0" w:line="216" w:lineRule="exact"/>
        <w:rPr>
          <w:sz w:val="20"/>
          <w:szCs w:val="20"/>
          <w:color w:val="auto"/>
        </w:rPr>
      </w:pPr>
    </w:p>
    <w:p>
      <w:pPr>
        <w:jc w:val="both"/>
        <w:ind w:firstLine="2012"/>
        <w:spacing w:after="0" w:line="263" w:lineRule="auto"/>
        <w:rPr>
          <w:sz w:val="20"/>
          <w:szCs w:val="20"/>
          <w:color w:val="auto"/>
        </w:rPr>
      </w:pPr>
      <w:r>
        <w:rPr>
          <w:rFonts w:ascii="Arial" w:cs="Arial" w:eastAsia="Arial" w:hAnsi="Arial"/>
          <w:sz w:val="20"/>
          <w:szCs w:val="20"/>
          <w:color w:val="auto"/>
        </w:rPr>
        <w:t>Effective January 1, 2013, for Participants who were hired prior to October 1, 2004 and for Participants who did not elect to cease participation in the Qualified Defined Benefit Plans effective January 1, 2005, the Matching Contribution shall be equal to 50% of the first 6% of each participant’s Elective Deferrals made during the Plan Year. Such contributions shall be made by the Employer as soon as administratively practicable following each payroll period.</w:t>
      </w:r>
    </w:p>
    <w:p>
      <w:pPr>
        <w:spacing w:after="0" w:line="160" w:lineRule="exact"/>
        <w:rPr>
          <w:sz w:val="20"/>
          <w:szCs w:val="20"/>
          <w:color w:val="auto"/>
        </w:rPr>
      </w:pPr>
    </w:p>
    <w:p>
      <w:pPr>
        <w:jc w:val="both"/>
        <w:ind w:firstLine="2012"/>
        <w:spacing w:after="0" w:line="263" w:lineRule="auto"/>
        <w:rPr>
          <w:sz w:val="20"/>
          <w:szCs w:val="20"/>
          <w:color w:val="auto"/>
        </w:rPr>
      </w:pPr>
      <w:r>
        <w:rPr>
          <w:rFonts w:ascii="Arial" w:cs="Arial" w:eastAsia="Arial" w:hAnsi="Arial"/>
          <w:sz w:val="20"/>
          <w:szCs w:val="20"/>
          <w:color w:val="auto"/>
        </w:rPr>
        <w:t>Effective January 1, 2013, for Participants who were hired on or after October 1, 2004 and for Participants who elected to cease participation in the Qualified Defined Benefit Plans effective January 1, 2005, the Matching Contribution shall be equal to 100% of the first 6% of each participant’s Elective Deferrals made during the Plan Year. Such contributions shall be made by the Employer as soon as administratively practicable following each payroll period.</w:t>
      </w:r>
    </w:p>
    <w:p>
      <w:pPr>
        <w:spacing w:after="0" w:line="154"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4.03 </w:t>
      </w:r>
      <w:r>
        <w:rPr>
          <w:rFonts w:ascii="Arial" w:cs="Arial" w:eastAsia="Arial" w:hAnsi="Arial"/>
          <w:sz w:val="21"/>
          <w:szCs w:val="21"/>
          <w:b w:val="1"/>
          <w:bCs w:val="1"/>
          <w:color w:val="auto"/>
        </w:rPr>
        <w:t>Non-Elective Contributions.</w:t>
      </w:r>
      <w:r>
        <w:rPr>
          <w:rFonts w:ascii="Arial" w:cs="Arial" w:eastAsia="Arial" w:hAnsi="Arial"/>
          <w:sz w:val="21"/>
          <w:szCs w:val="21"/>
          <w:color w:val="auto"/>
        </w:rPr>
        <w:t xml:space="preserve"> Effective January 1, 2018, for Transfer Employees who are paid an annual incentive bonus from the U.S. payroll of an Employer after the Transfer Date and in the same calendar year as the Transfer Date, a Non-Elective Contribution shall be made equal to the Matching Contribution that would have been made had the Transfer Employee elected to defer 6% of the portion of such annual incentive bonus that would constitute Excess Compensation. Such contributions shall be made by the Employer as soon as administratively practicable following the payroll period in which the applicable annual incentive bonus is paid.</w:t>
      </w:r>
    </w:p>
    <w:p>
      <w:pPr>
        <w:spacing w:after="0" w:line="17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4.03A </w:t>
      </w:r>
      <w:r>
        <w:rPr>
          <w:rFonts w:ascii="Arial" w:cs="Arial" w:eastAsia="Arial" w:hAnsi="Arial"/>
          <w:sz w:val="20"/>
          <w:szCs w:val="20"/>
          <w:b w:val="1"/>
          <w:bCs w:val="1"/>
          <w:color w:val="auto"/>
        </w:rPr>
        <w:t>Interest Options</w:t>
      </w:r>
      <w:r>
        <w:rPr>
          <w:rFonts w:ascii="Arial" w:cs="Arial" w:eastAsia="Arial" w:hAnsi="Arial"/>
          <w:sz w:val="20"/>
          <w:szCs w:val="20"/>
          <w:color w:val="auto"/>
        </w:rPr>
        <w:t xml:space="preserve">. In accordance with procedures established by the Administrative Committee, each Participant may designate the specific fund(s) under the Schlumberger Master Profit Sharing Trust with respect to which his Account shall be deemed to be invested. The Participant may choose from the following funds, which are mirrored by investment funds that are actually maintained under the Schlumberger Master Profit Sharing Trust: the Short-term Fixed Income Fund; the Intermediate-term Fixed Income Fund; the US Equity Fund, and the Global Equity Fund. The Participant may designate, in 1% increments, the amount to be invested in each fund. If a Participant fails to make a proper designation, then his Account shall be deemed invested in the Short-term Fixed Income Fund. A Participant may change such designation with respect to future Matching Contributions and Elective Deferrals, as well as with respect to amounts already credited to his Account,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such change(s) are made in accordance with the procedures established by the Administrative Committee. The Administrative Committee shall determine from time to time each of the funds made available under this Plan and may change any such determinations at any time. Nothing herein shall obligate the Company to invest any part of its assets in any of the funds.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77"/>
        </w:trPr>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920" w:type="dxa"/>
            <w:vAlign w:val="bottom"/>
          </w:tcPr>
          <w:p>
            <w:pPr>
              <w:jc w:val="right"/>
              <w:ind w:right="5014"/>
              <w:spacing w:after="0"/>
              <w:rPr>
                <w:sz w:val="20"/>
                <w:szCs w:val="20"/>
                <w:color w:val="auto"/>
              </w:rPr>
            </w:pPr>
            <w:r>
              <w:rPr>
                <w:rFonts w:ascii="Arial" w:cs="Arial" w:eastAsia="Arial" w:hAnsi="Arial"/>
                <w:sz w:val="21"/>
                <w:szCs w:val="21"/>
                <w:b w:val="1"/>
                <w:bCs w:val="1"/>
                <w:color w:val="auto"/>
              </w:rPr>
              <w:t>ARTICLE V</w:t>
            </w:r>
          </w:p>
        </w:tc>
      </w:tr>
      <w:tr>
        <w:trPr>
          <w:trHeight w:val="478"/>
        </w:trPr>
        <w:tc>
          <w:tcPr>
            <w:tcW w:w="1900" w:type="dxa"/>
            <w:vAlign w:val="bottom"/>
          </w:tcPr>
          <w:p>
            <w:pPr>
              <w:spacing w:after="0"/>
              <w:rPr>
                <w:sz w:val="24"/>
                <w:szCs w:val="24"/>
                <w:color w:val="auto"/>
              </w:rPr>
            </w:pPr>
          </w:p>
        </w:tc>
        <w:tc>
          <w:tcPr>
            <w:tcW w:w="9520" w:type="dxa"/>
            <w:vAlign w:val="bottom"/>
            <w:gridSpan w:val="2"/>
          </w:tcPr>
          <w:p>
            <w:pPr>
              <w:jc w:val="right"/>
              <w:ind w:right="2954"/>
              <w:spacing w:after="0"/>
              <w:rPr>
                <w:sz w:val="20"/>
                <w:szCs w:val="20"/>
                <w:color w:val="auto"/>
              </w:rPr>
            </w:pPr>
            <w:r>
              <w:rPr>
                <w:rFonts w:ascii="Arial" w:cs="Arial" w:eastAsia="Arial" w:hAnsi="Arial"/>
                <w:sz w:val="21"/>
                <w:szCs w:val="21"/>
                <w:b w:val="1"/>
                <w:bCs w:val="1"/>
                <w:color w:val="auto"/>
              </w:rPr>
              <w:t>ALLOCATION OF CONTRIBUTIONS AND INTEREST</w:t>
            </w:r>
          </w:p>
        </w:tc>
      </w:tr>
      <w:tr>
        <w:trPr>
          <w:trHeight w:val="419"/>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5.01</w:t>
            </w:r>
          </w:p>
        </w:tc>
        <w:tc>
          <w:tcPr>
            <w:tcW w:w="1600" w:type="dxa"/>
            <w:vAlign w:val="bottom"/>
          </w:tcPr>
          <w:p>
            <w:pPr>
              <w:ind w:left="640"/>
              <w:spacing w:after="0"/>
              <w:rPr>
                <w:sz w:val="20"/>
                <w:szCs w:val="20"/>
                <w:color w:val="auto"/>
              </w:rPr>
            </w:pPr>
            <w:r>
              <w:rPr>
                <w:rFonts w:ascii="Arial" w:cs="Arial" w:eastAsia="Arial" w:hAnsi="Arial"/>
                <w:sz w:val="21"/>
                <w:szCs w:val="21"/>
                <w:b w:val="1"/>
                <w:bCs w:val="1"/>
                <w:color w:val="auto"/>
                <w:w w:val="92"/>
              </w:rPr>
              <w:t>Allocation</w:t>
            </w:r>
          </w:p>
        </w:tc>
        <w:tc>
          <w:tcPr>
            <w:tcW w:w="7920" w:type="dxa"/>
            <w:vAlign w:val="bottom"/>
          </w:tcPr>
          <w:p>
            <w:pPr>
              <w:jc w:val="right"/>
              <w:spacing w:after="0"/>
              <w:rPr>
                <w:sz w:val="20"/>
                <w:szCs w:val="20"/>
                <w:color w:val="auto"/>
              </w:rPr>
            </w:pPr>
            <w:r>
              <w:rPr>
                <w:rFonts w:ascii="Arial" w:cs="Arial" w:eastAsia="Arial" w:hAnsi="Arial"/>
                <w:sz w:val="21"/>
                <w:szCs w:val="21"/>
                <w:b w:val="1"/>
                <w:bCs w:val="1"/>
                <w:color w:val="auto"/>
                <w:w w:val="99"/>
              </w:rPr>
              <w:t>of Elective Deferrals</w:t>
            </w:r>
            <w:r>
              <w:rPr>
                <w:rFonts w:ascii="Arial" w:cs="Arial" w:eastAsia="Arial" w:hAnsi="Arial"/>
                <w:sz w:val="21"/>
                <w:szCs w:val="21"/>
                <w:color w:val="auto"/>
                <w:w w:val="99"/>
              </w:rPr>
              <w:t>. As of each pay period, the Employer shall allocate the Elective</w:t>
            </w:r>
          </w:p>
        </w:tc>
      </w:tr>
      <w:tr>
        <w:trPr>
          <w:trHeight w:val="271"/>
        </w:trPr>
        <w:tc>
          <w:tcPr>
            <w:tcW w:w="11420" w:type="dxa"/>
            <w:vAlign w:val="bottom"/>
            <w:gridSpan w:val="3"/>
          </w:tcPr>
          <w:p>
            <w:pPr>
              <w:jc w:val="right"/>
              <w:ind w:right="5694"/>
              <w:spacing w:after="0"/>
              <w:rPr>
                <w:sz w:val="20"/>
                <w:szCs w:val="20"/>
                <w:color w:val="auto"/>
              </w:rPr>
            </w:pPr>
            <w:r>
              <w:rPr>
                <w:rFonts w:ascii="Arial" w:cs="Arial" w:eastAsia="Arial" w:hAnsi="Arial"/>
                <w:sz w:val="21"/>
                <w:szCs w:val="21"/>
                <w:color w:val="auto"/>
                <w:w w:val="91"/>
              </w:rPr>
              <w:t>Deferrals made during such pay period to a Participant’s Account.</w:t>
            </w:r>
          </w:p>
        </w:tc>
      </w:tr>
      <w:tr>
        <w:trPr>
          <w:trHeight w:val="437"/>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5.02</w:t>
            </w:r>
          </w:p>
        </w:tc>
        <w:tc>
          <w:tcPr>
            <w:tcW w:w="1600" w:type="dxa"/>
            <w:vAlign w:val="bottom"/>
          </w:tcPr>
          <w:p>
            <w:pPr>
              <w:ind w:left="640"/>
              <w:spacing w:after="0"/>
              <w:rPr>
                <w:sz w:val="20"/>
                <w:szCs w:val="20"/>
                <w:color w:val="auto"/>
              </w:rPr>
            </w:pPr>
            <w:r>
              <w:rPr>
                <w:rFonts w:ascii="Arial" w:cs="Arial" w:eastAsia="Arial" w:hAnsi="Arial"/>
                <w:sz w:val="21"/>
                <w:szCs w:val="21"/>
                <w:b w:val="1"/>
                <w:bCs w:val="1"/>
                <w:color w:val="auto"/>
                <w:w w:val="92"/>
              </w:rPr>
              <w:t>Allocation</w:t>
            </w:r>
          </w:p>
        </w:tc>
        <w:tc>
          <w:tcPr>
            <w:tcW w:w="7920" w:type="dxa"/>
            <w:vAlign w:val="bottom"/>
          </w:tcPr>
          <w:p>
            <w:pPr>
              <w:jc w:val="right"/>
              <w:spacing w:after="0"/>
              <w:rPr>
                <w:sz w:val="20"/>
                <w:szCs w:val="20"/>
                <w:color w:val="auto"/>
              </w:rPr>
            </w:pPr>
            <w:r>
              <w:rPr>
                <w:rFonts w:ascii="Arial" w:cs="Arial" w:eastAsia="Arial" w:hAnsi="Arial"/>
                <w:sz w:val="21"/>
                <w:szCs w:val="21"/>
                <w:b w:val="1"/>
                <w:bCs w:val="1"/>
                <w:color w:val="auto"/>
              </w:rPr>
              <w:t>of Matching Contributions</w:t>
            </w:r>
            <w:r>
              <w:rPr>
                <w:rFonts w:ascii="Arial" w:cs="Arial" w:eastAsia="Arial" w:hAnsi="Arial"/>
                <w:sz w:val="21"/>
                <w:szCs w:val="21"/>
                <w:color w:val="auto"/>
              </w:rPr>
              <w:t>. As of each pay period, the Employer shall allocate the</w:t>
            </w:r>
          </w:p>
        </w:tc>
      </w:tr>
    </w:tbl>
    <w:p>
      <w:pPr>
        <w:jc w:val="both"/>
        <w:ind w:right="20"/>
        <w:spacing w:after="0" w:line="249" w:lineRule="auto"/>
        <w:rPr>
          <w:sz w:val="20"/>
          <w:szCs w:val="20"/>
          <w:color w:val="auto"/>
        </w:rPr>
      </w:pPr>
      <w:r>
        <w:rPr>
          <w:rFonts w:ascii="Arial" w:cs="Arial" w:eastAsia="Arial" w:hAnsi="Arial"/>
          <w:sz w:val="21"/>
          <w:szCs w:val="21"/>
          <w:color w:val="auto"/>
        </w:rPr>
        <w:t>Matching Contributions, if any, among the Accounts of Participants or Former Participants who made Elective Deferrals during the such pay period.</w:t>
      </w:r>
    </w:p>
    <w:p>
      <w:pPr>
        <w:spacing w:after="0" w:line="165" w:lineRule="exact"/>
        <w:rPr>
          <w:sz w:val="20"/>
          <w:szCs w:val="20"/>
          <w:color w:val="auto"/>
        </w:rPr>
      </w:pPr>
    </w:p>
    <w:p>
      <w:pPr>
        <w:jc w:val="both"/>
        <w:ind w:right="20" w:firstLine="878"/>
        <w:spacing w:after="0" w:line="298" w:lineRule="auto"/>
        <w:rPr>
          <w:sz w:val="20"/>
          <w:szCs w:val="20"/>
          <w:color w:val="auto"/>
        </w:rPr>
      </w:pPr>
      <w:r>
        <w:rPr>
          <w:rFonts w:ascii="Arial" w:cs="Arial" w:eastAsia="Arial" w:hAnsi="Arial"/>
          <w:sz w:val="20"/>
          <w:szCs w:val="20"/>
          <w:color w:val="auto"/>
        </w:rPr>
        <w:t xml:space="preserve">5.02A </w:t>
      </w:r>
      <w:r>
        <w:rPr>
          <w:rFonts w:ascii="Arial" w:cs="Arial" w:eastAsia="Arial" w:hAnsi="Arial"/>
          <w:sz w:val="20"/>
          <w:szCs w:val="20"/>
          <w:b w:val="1"/>
          <w:bCs w:val="1"/>
          <w:color w:val="auto"/>
        </w:rPr>
        <w:t>Allocation of Non-Elective Contributions.</w:t>
      </w:r>
      <w:r>
        <w:rPr>
          <w:rFonts w:ascii="Arial" w:cs="Arial" w:eastAsia="Arial" w:hAnsi="Arial"/>
          <w:sz w:val="20"/>
          <w:szCs w:val="20"/>
          <w:color w:val="auto"/>
        </w:rPr>
        <w:t xml:space="preserve"> As of the pay period to which the contributions relate, the Employer shall allocate the Non-Elective Contributions, if any, among the Accounts of Transfer Employees during such pay period.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5.03</w:t>
            </w:r>
          </w:p>
        </w:tc>
        <w:tc>
          <w:tcPr>
            <w:tcW w:w="9520" w:type="dxa"/>
            <w:vAlign w:val="bottom"/>
          </w:tcPr>
          <w:p>
            <w:pPr>
              <w:ind w:left="640"/>
              <w:spacing w:after="0"/>
              <w:rPr>
                <w:sz w:val="20"/>
                <w:szCs w:val="20"/>
                <w:color w:val="auto"/>
              </w:rPr>
            </w:pPr>
            <w:r>
              <w:rPr>
                <w:rFonts w:ascii="Arial" w:cs="Arial" w:eastAsia="Arial" w:hAnsi="Arial"/>
                <w:sz w:val="21"/>
                <w:szCs w:val="21"/>
                <w:b w:val="1"/>
                <w:bCs w:val="1"/>
                <w:color w:val="auto"/>
                <w:w w:val="91"/>
              </w:rPr>
              <w:t>Allocation of Interest</w:t>
            </w:r>
            <w:r>
              <w:rPr>
                <w:rFonts w:ascii="Arial" w:cs="Arial" w:eastAsia="Arial" w:hAnsi="Arial"/>
                <w:sz w:val="21"/>
                <w:szCs w:val="21"/>
                <w:color w:val="auto"/>
                <w:w w:val="91"/>
              </w:rPr>
              <w:t>. Interest shall be allocated to a Participant’s or Former Participant’s Account on a</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rPr>
              <w:t>daily basis. Such amount shall be allocated based on the amount then standing in such Account.</w:t>
            </w:r>
          </w:p>
        </w:tc>
      </w:tr>
      <w:tr>
        <w:trPr>
          <w:trHeight w:val="451"/>
        </w:trPr>
        <w:tc>
          <w:tcPr>
            <w:tcW w:w="1900" w:type="dxa"/>
            <w:vAlign w:val="bottom"/>
          </w:tcPr>
          <w:p>
            <w:pPr>
              <w:spacing w:after="0"/>
              <w:rPr>
                <w:sz w:val="24"/>
                <w:szCs w:val="24"/>
                <w:color w:val="auto"/>
              </w:rPr>
            </w:pPr>
          </w:p>
        </w:tc>
        <w:tc>
          <w:tcPr>
            <w:tcW w:w="9520" w:type="dxa"/>
            <w:vAlign w:val="bottom"/>
          </w:tcPr>
          <w:p>
            <w:pPr>
              <w:jc w:val="center"/>
              <w:ind w:right="1794"/>
              <w:spacing w:after="0"/>
              <w:rPr>
                <w:sz w:val="20"/>
                <w:szCs w:val="20"/>
                <w:color w:val="auto"/>
              </w:rPr>
            </w:pPr>
            <w:r>
              <w:rPr>
                <w:rFonts w:ascii="Arial" w:cs="Arial" w:eastAsia="Arial" w:hAnsi="Arial"/>
                <w:sz w:val="21"/>
                <w:szCs w:val="21"/>
                <w:b w:val="1"/>
                <w:bCs w:val="1"/>
                <w:color w:val="auto"/>
              </w:rPr>
              <w:t>ARTICLE VI</w:t>
            </w:r>
          </w:p>
        </w:tc>
      </w:tr>
      <w:tr>
        <w:trPr>
          <w:trHeight w:val="478"/>
        </w:trPr>
        <w:tc>
          <w:tcPr>
            <w:tcW w:w="1900" w:type="dxa"/>
            <w:vAlign w:val="bottom"/>
          </w:tcPr>
          <w:p>
            <w:pPr>
              <w:spacing w:after="0"/>
              <w:rPr>
                <w:sz w:val="24"/>
                <w:szCs w:val="24"/>
                <w:color w:val="auto"/>
              </w:rPr>
            </w:pPr>
          </w:p>
        </w:tc>
        <w:tc>
          <w:tcPr>
            <w:tcW w:w="9520" w:type="dxa"/>
            <w:vAlign w:val="bottom"/>
          </w:tcPr>
          <w:p>
            <w:pPr>
              <w:jc w:val="center"/>
              <w:ind w:right="1774"/>
              <w:spacing w:after="0"/>
              <w:rPr>
                <w:sz w:val="20"/>
                <w:szCs w:val="20"/>
                <w:color w:val="auto"/>
              </w:rPr>
            </w:pPr>
            <w:r>
              <w:rPr>
                <w:rFonts w:ascii="Arial" w:cs="Arial" w:eastAsia="Arial" w:hAnsi="Arial"/>
                <w:sz w:val="21"/>
                <w:szCs w:val="21"/>
                <w:b w:val="1"/>
                <w:bCs w:val="1"/>
                <w:color w:val="auto"/>
              </w:rPr>
              <w:t>VESTING</w:t>
            </w:r>
          </w:p>
        </w:tc>
      </w:tr>
      <w:tr>
        <w:trPr>
          <w:trHeight w:val="437"/>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6.01</w:t>
            </w:r>
          </w:p>
        </w:tc>
        <w:tc>
          <w:tcPr>
            <w:tcW w:w="9520" w:type="dxa"/>
            <w:vAlign w:val="bottom"/>
          </w:tcPr>
          <w:p>
            <w:pPr>
              <w:ind w:left="640"/>
              <w:spacing w:after="0"/>
              <w:rPr>
                <w:sz w:val="20"/>
                <w:szCs w:val="20"/>
                <w:color w:val="auto"/>
              </w:rPr>
            </w:pPr>
            <w:r>
              <w:rPr>
                <w:rFonts w:ascii="Arial" w:cs="Arial" w:eastAsia="Arial" w:hAnsi="Arial"/>
                <w:sz w:val="21"/>
                <w:szCs w:val="21"/>
                <w:b w:val="1"/>
                <w:bCs w:val="1"/>
                <w:color w:val="auto"/>
                <w:w w:val="95"/>
              </w:rPr>
              <w:t>Vesting</w:t>
            </w:r>
            <w:r>
              <w:rPr>
                <w:rFonts w:ascii="Arial" w:cs="Arial" w:eastAsia="Arial" w:hAnsi="Arial"/>
                <w:sz w:val="21"/>
                <w:szCs w:val="21"/>
                <w:color w:val="auto"/>
                <w:w w:val="95"/>
              </w:rPr>
              <w:t>.  Subject to the provisions of Section 6.02, a Participant, or Former Participant shall have a</w:t>
            </w:r>
          </w:p>
        </w:tc>
      </w:tr>
    </w:tbl>
    <w:p>
      <w:pPr>
        <w:spacing w:after="0"/>
        <w:rPr>
          <w:sz w:val="20"/>
          <w:szCs w:val="20"/>
          <w:color w:val="auto"/>
        </w:rPr>
      </w:pPr>
      <w:r>
        <w:rPr>
          <w:rFonts w:ascii="Arial" w:cs="Arial" w:eastAsia="Arial" w:hAnsi="Arial"/>
          <w:sz w:val="21"/>
          <w:szCs w:val="21"/>
          <w:color w:val="auto"/>
        </w:rPr>
        <w:t>Vested right to benefits in accordance with this Section 6.01:</w:t>
      </w:r>
    </w:p>
    <w:p>
      <w:pPr>
        <w:spacing w:after="0" w:line="192" w:lineRule="exact"/>
        <w:rPr>
          <w:sz w:val="20"/>
          <w:szCs w:val="20"/>
          <w:color w:val="auto"/>
        </w:rPr>
      </w:pPr>
    </w:p>
    <w:p>
      <w:pPr>
        <w:ind w:left="2060" w:right="20" w:hanging="1178"/>
        <w:spacing w:after="0" w:line="267" w:lineRule="auto"/>
        <w:tabs>
          <w:tab w:leader="none" w:pos="2060" w:val="left"/>
        </w:tabs>
        <w:numPr>
          <w:ilvl w:val="0"/>
          <w:numId w:val="66"/>
        </w:numPr>
        <w:rPr>
          <w:rFonts w:ascii="Arial" w:cs="Arial" w:eastAsia="Arial" w:hAnsi="Arial"/>
          <w:sz w:val="21"/>
          <w:szCs w:val="21"/>
          <w:color w:val="auto"/>
        </w:rPr>
      </w:pPr>
      <w:r>
        <w:rPr>
          <w:rFonts w:ascii="Arial" w:cs="Arial" w:eastAsia="Arial" w:hAnsi="Arial"/>
          <w:sz w:val="21"/>
          <w:szCs w:val="21"/>
          <w:color w:val="auto"/>
        </w:rPr>
        <w:t>A Participant or Former Participant shall be 100% Vested in their Elective Deferrals, plus any Interest thereon, at all times.</w:t>
      </w:r>
    </w:p>
    <w:p>
      <w:pPr>
        <w:spacing w:after="0" w:line="153" w:lineRule="exact"/>
        <w:rPr>
          <w:sz w:val="20"/>
          <w:szCs w:val="20"/>
          <w:color w:val="auto"/>
        </w:rPr>
      </w:pPr>
    </w:p>
    <w:p>
      <w:pPr>
        <w:jc w:val="both"/>
        <w:ind w:left="2020" w:right="20" w:hanging="1"/>
        <w:spacing w:after="0" w:line="270" w:lineRule="auto"/>
        <w:tabs>
          <w:tab w:leader="none" w:pos="22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Participant or Former Participant, who is also eligible to participate in Schlumberger Limited Savings and Profit Sharing Plan, shall have a Vested right to Matching Contributions allocated to such Participant’s or Former Participant’s Account, plus any Interest thereon, in accordance with the following schedule: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21"/>
                <w:szCs w:val="21"/>
                <w:b w:val="1"/>
                <w:bCs w:val="1"/>
                <w:color w:val="auto"/>
              </w:rPr>
              <w:t>Completed</w:t>
            </w:r>
          </w:p>
        </w:tc>
        <w:tc>
          <w:tcPr>
            <w:tcW w:w="2180" w:type="dxa"/>
            <w:vAlign w:val="bottom"/>
          </w:tcPr>
          <w:p>
            <w:pPr>
              <w:spacing w:after="0"/>
              <w:rPr>
                <w:sz w:val="20"/>
                <w:szCs w:val="20"/>
                <w:color w:val="auto"/>
              </w:rPr>
            </w:pPr>
          </w:p>
        </w:tc>
        <w:tc>
          <w:tcPr>
            <w:tcW w:w="3740" w:type="dxa"/>
            <w:vAlign w:val="bottom"/>
            <w:gridSpan w:val="2"/>
          </w:tcPr>
          <w:p>
            <w:pPr>
              <w:jc w:val="center"/>
              <w:ind w:right="2780"/>
              <w:spacing w:after="0"/>
              <w:rPr>
                <w:sz w:val="20"/>
                <w:szCs w:val="20"/>
                <w:color w:val="auto"/>
              </w:rPr>
            </w:pPr>
            <w:r>
              <w:rPr>
                <w:rFonts w:ascii="Arial" w:cs="Arial" w:eastAsia="Arial" w:hAnsi="Arial"/>
                <w:sz w:val="21"/>
                <w:szCs w:val="21"/>
                <w:b w:val="1"/>
                <w:bCs w:val="1"/>
                <w:color w:val="auto"/>
                <w:w w:val="87"/>
              </w:rPr>
              <w:t>Vested</w:t>
            </w:r>
          </w:p>
        </w:tc>
      </w:tr>
      <w:tr>
        <w:trPr>
          <w:trHeight w:val="227"/>
        </w:trPr>
        <w:tc>
          <w:tcPr>
            <w:tcW w:w="2300" w:type="dxa"/>
            <w:vAlign w:val="bottom"/>
          </w:tcPr>
          <w:p>
            <w:pPr>
              <w:spacing w:after="0"/>
              <w:rPr>
                <w:sz w:val="19"/>
                <w:szCs w:val="19"/>
                <w:color w:val="auto"/>
              </w:rPr>
            </w:pPr>
          </w:p>
        </w:tc>
        <w:tc>
          <w:tcPr>
            <w:tcW w:w="3220" w:type="dxa"/>
            <w:vAlign w:val="bottom"/>
            <w:gridSpan w:val="2"/>
          </w:tcPr>
          <w:p>
            <w:pPr>
              <w:spacing w:after="0" w:line="227" w:lineRule="exact"/>
              <w:rPr>
                <w:sz w:val="20"/>
                <w:szCs w:val="20"/>
                <w:color w:val="auto"/>
              </w:rPr>
            </w:pPr>
            <w:r>
              <w:rPr>
                <w:rFonts w:ascii="Arial" w:cs="Arial" w:eastAsia="Arial" w:hAnsi="Arial"/>
                <w:sz w:val="21"/>
                <w:szCs w:val="21"/>
                <w:b w:val="1"/>
                <w:bCs w:val="1"/>
                <w:color w:val="auto"/>
              </w:rPr>
              <w:t>Years of Service</w:t>
            </w:r>
          </w:p>
        </w:tc>
        <w:tc>
          <w:tcPr>
            <w:tcW w:w="2180" w:type="dxa"/>
            <w:vAlign w:val="bottom"/>
          </w:tcPr>
          <w:p>
            <w:pPr>
              <w:spacing w:after="0"/>
              <w:rPr>
                <w:sz w:val="19"/>
                <w:szCs w:val="19"/>
                <w:color w:val="auto"/>
              </w:rPr>
            </w:pPr>
          </w:p>
        </w:tc>
        <w:tc>
          <w:tcPr>
            <w:tcW w:w="3740" w:type="dxa"/>
            <w:vAlign w:val="bottom"/>
            <w:gridSpan w:val="2"/>
          </w:tcPr>
          <w:p>
            <w:pPr>
              <w:jc w:val="center"/>
              <w:ind w:right="2740"/>
              <w:spacing w:after="0" w:line="227" w:lineRule="exact"/>
              <w:rPr>
                <w:sz w:val="20"/>
                <w:szCs w:val="20"/>
                <w:color w:val="auto"/>
              </w:rPr>
            </w:pPr>
            <w:r>
              <w:rPr>
                <w:rFonts w:ascii="Arial" w:cs="Arial" w:eastAsia="Arial" w:hAnsi="Arial"/>
                <w:sz w:val="21"/>
                <w:szCs w:val="21"/>
                <w:b w:val="1"/>
                <w:bCs w:val="1"/>
                <w:color w:val="auto"/>
                <w:w w:val="88"/>
              </w:rPr>
              <w:t>Percentage</w:t>
            </w:r>
          </w:p>
        </w:tc>
      </w:tr>
      <w:tr>
        <w:trPr>
          <w:trHeight w:val="20"/>
        </w:trPr>
        <w:tc>
          <w:tcPr>
            <w:tcW w:w="2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76"/>
        </w:trPr>
        <w:tc>
          <w:tcPr>
            <w:tcW w:w="23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21"/>
                <w:szCs w:val="21"/>
                <w:color w:val="auto"/>
              </w:rPr>
              <w:t>Less than 2 years</w:t>
            </w:r>
          </w:p>
        </w:tc>
        <w:tc>
          <w:tcPr>
            <w:tcW w:w="3180" w:type="dxa"/>
            <w:vAlign w:val="bottom"/>
            <w:gridSpan w:val="2"/>
          </w:tcPr>
          <w:p>
            <w:pPr>
              <w:jc w:val="center"/>
              <w:ind w:left="2074"/>
              <w:spacing w:after="0"/>
              <w:rPr>
                <w:sz w:val="20"/>
                <w:szCs w:val="20"/>
                <w:color w:val="auto"/>
              </w:rPr>
            </w:pPr>
            <w:r>
              <w:rPr>
                <w:rFonts w:ascii="Arial" w:cs="Arial" w:eastAsia="Arial" w:hAnsi="Arial"/>
                <w:sz w:val="21"/>
                <w:szCs w:val="21"/>
                <w:color w:val="auto"/>
                <w:w w:val="92"/>
              </w:rPr>
              <w:t>0%</w:t>
            </w:r>
          </w:p>
        </w:tc>
        <w:tc>
          <w:tcPr>
            <w:tcW w:w="2740" w:type="dxa"/>
            <w:vAlign w:val="bottom"/>
          </w:tcPr>
          <w:p>
            <w:pPr>
              <w:spacing w:after="0"/>
              <w:rPr>
                <w:sz w:val="24"/>
                <w:szCs w:val="24"/>
                <w:color w:val="auto"/>
              </w:rPr>
            </w:pPr>
          </w:p>
        </w:tc>
      </w:tr>
      <w:tr>
        <w:trPr>
          <w:trHeight w:val="345"/>
        </w:trPr>
        <w:tc>
          <w:tcPr>
            <w:tcW w:w="23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21"/>
                <w:szCs w:val="21"/>
                <w:color w:val="auto"/>
                <w:w w:val="92"/>
              </w:rPr>
              <w:t>At least 2 years but less than 3 years</w:t>
            </w:r>
          </w:p>
        </w:tc>
        <w:tc>
          <w:tcPr>
            <w:tcW w:w="3180" w:type="dxa"/>
            <w:vAlign w:val="bottom"/>
            <w:gridSpan w:val="2"/>
          </w:tcPr>
          <w:p>
            <w:pPr>
              <w:jc w:val="center"/>
              <w:ind w:left="2074"/>
              <w:spacing w:after="0"/>
              <w:rPr>
                <w:sz w:val="20"/>
                <w:szCs w:val="20"/>
                <w:color w:val="auto"/>
              </w:rPr>
            </w:pPr>
            <w:r>
              <w:rPr>
                <w:rFonts w:ascii="Arial" w:cs="Arial" w:eastAsia="Arial" w:hAnsi="Arial"/>
                <w:sz w:val="21"/>
                <w:szCs w:val="21"/>
                <w:color w:val="auto"/>
                <w:w w:val="89"/>
              </w:rPr>
              <w:t>33.33%</w:t>
            </w:r>
          </w:p>
        </w:tc>
        <w:tc>
          <w:tcPr>
            <w:tcW w:w="2740" w:type="dxa"/>
            <w:vAlign w:val="bottom"/>
          </w:tcPr>
          <w:p>
            <w:pPr>
              <w:spacing w:after="0"/>
              <w:rPr>
                <w:sz w:val="24"/>
                <w:szCs w:val="24"/>
                <w:color w:val="auto"/>
              </w:rPr>
            </w:pPr>
          </w:p>
        </w:tc>
      </w:tr>
      <w:tr>
        <w:trPr>
          <w:trHeight w:val="345"/>
        </w:trPr>
        <w:tc>
          <w:tcPr>
            <w:tcW w:w="23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21"/>
                <w:szCs w:val="21"/>
                <w:color w:val="auto"/>
                <w:w w:val="92"/>
              </w:rPr>
              <w:t>At least 3 years but less than 4 years</w:t>
            </w:r>
          </w:p>
        </w:tc>
        <w:tc>
          <w:tcPr>
            <w:tcW w:w="3180" w:type="dxa"/>
            <w:vAlign w:val="bottom"/>
            <w:gridSpan w:val="2"/>
          </w:tcPr>
          <w:p>
            <w:pPr>
              <w:jc w:val="center"/>
              <w:ind w:left="2074"/>
              <w:spacing w:after="0"/>
              <w:rPr>
                <w:sz w:val="20"/>
                <w:szCs w:val="20"/>
                <w:color w:val="auto"/>
              </w:rPr>
            </w:pPr>
            <w:r>
              <w:rPr>
                <w:rFonts w:ascii="Arial" w:cs="Arial" w:eastAsia="Arial" w:hAnsi="Arial"/>
                <w:sz w:val="21"/>
                <w:szCs w:val="21"/>
                <w:color w:val="auto"/>
                <w:w w:val="89"/>
              </w:rPr>
              <w:t>66.67%</w:t>
            </w:r>
          </w:p>
        </w:tc>
        <w:tc>
          <w:tcPr>
            <w:tcW w:w="2740" w:type="dxa"/>
            <w:vAlign w:val="bottom"/>
          </w:tcPr>
          <w:p>
            <w:pPr>
              <w:spacing w:after="0"/>
              <w:rPr>
                <w:sz w:val="24"/>
                <w:szCs w:val="24"/>
                <w:color w:val="auto"/>
              </w:rPr>
            </w:pPr>
          </w:p>
        </w:tc>
      </w:tr>
      <w:tr>
        <w:trPr>
          <w:trHeight w:val="345"/>
        </w:trPr>
        <w:tc>
          <w:tcPr>
            <w:tcW w:w="23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21"/>
                <w:szCs w:val="21"/>
                <w:color w:val="auto"/>
              </w:rPr>
              <w:t>4 or more years</w:t>
            </w:r>
          </w:p>
        </w:tc>
        <w:tc>
          <w:tcPr>
            <w:tcW w:w="3180" w:type="dxa"/>
            <w:vAlign w:val="bottom"/>
            <w:gridSpan w:val="2"/>
          </w:tcPr>
          <w:p>
            <w:pPr>
              <w:jc w:val="center"/>
              <w:ind w:left="2074"/>
              <w:spacing w:after="0"/>
              <w:rPr>
                <w:sz w:val="20"/>
                <w:szCs w:val="20"/>
                <w:color w:val="auto"/>
              </w:rPr>
            </w:pPr>
            <w:r>
              <w:rPr>
                <w:rFonts w:ascii="Arial" w:cs="Arial" w:eastAsia="Arial" w:hAnsi="Arial"/>
                <w:sz w:val="21"/>
                <w:szCs w:val="21"/>
                <w:color w:val="auto"/>
                <w:w w:val="89"/>
              </w:rPr>
              <w:t>100%</w:t>
            </w:r>
          </w:p>
        </w:tc>
        <w:tc>
          <w:tcPr>
            <w:tcW w:w="2740" w:type="dxa"/>
            <w:vAlign w:val="bottom"/>
          </w:tcPr>
          <w:p>
            <w:pPr>
              <w:spacing w:after="0"/>
              <w:rPr>
                <w:sz w:val="24"/>
                <w:szCs w:val="24"/>
                <w:color w:val="auto"/>
              </w:rPr>
            </w:pPr>
          </w:p>
        </w:tc>
      </w:tr>
      <w:tr>
        <w:trPr>
          <w:trHeight w:val="558"/>
        </w:trPr>
        <w:tc>
          <w:tcPr>
            <w:tcW w:w="2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80" w:type="dxa"/>
            <w:vAlign w:val="bottom"/>
          </w:tcPr>
          <w:p>
            <w:pPr>
              <w:jc w:val="right"/>
              <w:ind w:right="1834"/>
              <w:spacing w:after="0"/>
              <w:rPr>
                <w:sz w:val="20"/>
                <w:szCs w:val="20"/>
                <w:color w:val="auto"/>
              </w:rPr>
            </w:pPr>
            <w:r>
              <w:rPr>
                <w:rFonts w:ascii="Arial" w:cs="Arial" w:eastAsia="Arial" w:hAnsi="Arial"/>
                <w:sz w:val="21"/>
                <w:szCs w:val="21"/>
                <w:color w:val="auto"/>
              </w:rPr>
              <w:t>8</w:t>
            </w: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02"/>
        </w:trPr>
        <w:tc>
          <w:tcPr>
            <w:tcW w:w="23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94" w:name="page95"/>
    <w:bookmarkEnd w:id="94"/>
    <w:p>
      <w:pPr>
        <w:jc w:val="both"/>
        <w:ind w:left="2020"/>
        <w:spacing w:after="0" w:line="247" w:lineRule="auto"/>
        <w:rPr>
          <w:sz w:val="20"/>
          <w:szCs w:val="20"/>
          <w:color w:val="auto"/>
        </w:rPr>
      </w:pPr>
      <w:r>
        <w:rPr>
          <w:rFonts w:ascii="Arial" w:cs="Arial" w:eastAsia="Arial" w:hAnsi="Arial"/>
          <w:sz w:val="21"/>
          <w:szCs w:val="21"/>
          <w:color w:val="auto"/>
        </w:rPr>
        <w:t>A Participant or Former Participant who is also eligible to receive a matching contribution in the Schlumberger Savings and Profit Sharing Plan for US Taxpayers Employed Abroad, shall have a Vested right to Matching Contributions allocated to such Participant’s or Former Participant’s Account, plus any Interest thereon, in accordance with the following schedule:</w:t>
      </w:r>
    </w:p>
    <w:p>
      <w:pPr>
        <w:spacing w:after="0" w:line="165"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5400" w:type="dxa"/>
            <w:vAlign w:val="bottom"/>
            <w:gridSpan w:val="2"/>
          </w:tcPr>
          <w:p>
            <w:pPr>
              <w:spacing w:after="0"/>
              <w:rPr>
                <w:sz w:val="20"/>
                <w:szCs w:val="20"/>
                <w:color w:val="auto"/>
              </w:rPr>
            </w:pPr>
            <w:r>
              <w:rPr>
                <w:rFonts w:ascii="Arial" w:cs="Arial" w:eastAsia="Arial" w:hAnsi="Arial"/>
                <w:sz w:val="21"/>
                <w:szCs w:val="21"/>
                <w:b w:val="1"/>
                <w:bCs w:val="1"/>
                <w:color w:val="auto"/>
              </w:rPr>
              <w:t>Completed</w:t>
            </w:r>
          </w:p>
        </w:tc>
        <w:tc>
          <w:tcPr>
            <w:tcW w:w="1000" w:type="dxa"/>
            <w:vAlign w:val="bottom"/>
          </w:tcPr>
          <w:p>
            <w:pPr>
              <w:jc w:val="center"/>
              <w:spacing w:after="0"/>
              <w:rPr>
                <w:sz w:val="20"/>
                <w:szCs w:val="20"/>
                <w:color w:val="auto"/>
              </w:rPr>
            </w:pPr>
            <w:r>
              <w:rPr>
                <w:rFonts w:ascii="Arial" w:cs="Arial" w:eastAsia="Arial" w:hAnsi="Arial"/>
                <w:sz w:val="21"/>
                <w:szCs w:val="21"/>
                <w:b w:val="1"/>
                <w:bCs w:val="1"/>
                <w:color w:val="auto"/>
                <w:w w:val="87"/>
              </w:rPr>
              <w:t>Vested</w:t>
            </w:r>
          </w:p>
        </w:tc>
      </w:tr>
      <w:tr>
        <w:trPr>
          <w:trHeight w:val="227"/>
        </w:trPr>
        <w:tc>
          <w:tcPr>
            <w:tcW w:w="5400" w:type="dxa"/>
            <w:vAlign w:val="bottom"/>
            <w:gridSpan w:val="2"/>
          </w:tcPr>
          <w:p>
            <w:pPr>
              <w:spacing w:after="0" w:line="227" w:lineRule="exact"/>
              <w:rPr>
                <w:sz w:val="20"/>
                <w:szCs w:val="20"/>
                <w:color w:val="auto"/>
              </w:rPr>
            </w:pPr>
            <w:r>
              <w:rPr>
                <w:rFonts w:ascii="Arial" w:cs="Arial" w:eastAsia="Arial" w:hAnsi="Arial"/>
                <w:sz w:val="21"/>
                <w:szCs w:val="21"/>
                <w:b w:val="1"/>
                <w:bCs w:val="1"/>
                <w:color w:val="auto"/>
              </w:rPr>
              <w:t>Years of Service</w:t>
            </w:r>
          </w:p>
        </w:tc>
        <w:tc>
          <w:tcPr>
            <w:tcW w:w="1000" w:type="dxa"/>
            <w:vAlign w:val="bottom"/>
          </w:tcPr>
          <w:p>
            <w:pPr>
              <w:jc w:val="center"/>
              <w:spacing w:after="0" w:line="227" w:lineRule="exact"/>
              <w:rPr>
                <w:sz w:val="20"/>
                <w:szCs w:val="20"/>
                <w:color w:val="auto"/>
              </w:rPr>
            </w:pPr>
            <w:r>
              <w:rPr>
                <w:rFonts w:ascii="Arial" w:cs="Arial" w:eastAsia="Arial" w:hAnsi="Arial"/>
                <w:sz w:val="21"/>
                <w:szCs w:val="21"/>
                <w:b w:val="1"/>
                <w:bCs w:val="1"/>
                <w:color w:val="auto"/>
                <w:w w:val="88"/>
              </w:rPr>
              <w:t>Percentage</w:t>
            </w:r>
          </w:p>
        </w:tc>
      </w:tr>
      <w:tr>
        <w:trPr>
          <w:trHeight w:val="20"/>
        </w:trPr>
        <w:tc>
          <w:tcPr>
            <w:tcW w:w="14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376"/>
        </w:trPr>
        <w:tc>
          <w:tcPr>
            <w:tcW w:w="5400" w:type="dxa"/>
            <w:vAlign w:val="bottom"/>
            <w:gridSpan w:val="2"/>
          </w:tcPr>
          <w:p>
            <w:pPr>
              <w:spacing w:after="0"/>
              <w:rPr>
                <w:sz w:val="20"/>
                <w:szCs w:val="20"/>
                <w:color w:val="auto"/>
              </w:rPr>
            </w:pPr>
            <w:r>
              <w:rPr>
                <w:rFonts w:ascii="Arial" w:cs="Arial" w:eastAsia="Arial" w:hAnsi="Arial"/>
                <w:sz w:val="21"/>
                <w:szCs w:val="21"/>
                <w:color w:val="auto"/>
              </w:rPr>
              <w:t>Less than 2 years</w:t>
            </w:r>
          </w:p>
        </w:tc>
        <w:tc>
          <w:tcPr>
            <w:tcW w:w="1000" w:type="dxa"/>
            <w:vAlign w:val="bottom"/>
          </w:tcPr>
          <w:p>
            <w:pPr>
              <w:jc w:val="center"/>
              <w:spacing w:after="0"/>
              <w:rPr>
                <w:sz w:val="20"/>
                <w:szCs w:val="20"/>
                <w:color w:val="auto"/>
              </w:rPr>
            </w:pPr>
            <w:r>
              <w:rPr>
                <w:rFonts w:ascii="Arial" w:cs="Arial" w:eastAsia="Arial" w:hAnsi="Arial"/>
                <w:sz w:val="21"/>
                <w:szCs w:val="21"/>
                <w:color w:val="auto"/>
                <w:w w:val="92"/>
              </w:rPr>
              <w:t>0%</w:t>
            </w:r>
          </w:p>
        </w:tc>
      </w:tr>
      <w:tr>
        <w:trPr>
          <w:trHeight w:val="345"/>
        </w:trPr>
        <w:tc>
          <w:tcPr>
            <w:tcW w:w="5400" w:type="dxa"/>
            <w:vAlign w:val="bottom"/>
            <w:gridSpan w:val="2"/>
          </w:tcPr>
          <w:p>
            <w:pPr>
              <w:spacing w:after="0"/>
              <w:rPr>
                <w:sz w:val="20"/>
                <w:szCs w:val="20"/>
                <w:color w:val="auto"/>
              </w:rPr>
            </w:pPr>
            <w:r>
              <w:rPr>
                <w:rFonts w:ascii="Arial" w:cs="Arial" w:eastAsia="Arial" w:hAnsi="Arial"/>
                <w:sz w:val="21"/>
                <w:szCs w:val="21"/>
                <w:color w:val="auto"/>
              </w:rPr>
              <w:t>At least 2 years but less than 3 years</w:t>
            </w:r>
          </w:p>
        </w:tc>
        <w:tc>
          <w:tcPr>
            <w:tcW w:w="1000" w:type="dxa"/>
            <w:vAlign w:val="bottom"/>
          </w:tcPr>
          <w:p>
            <w:pPr>
              <w:jc w:val="center"/>
              <w:spacing w:after="0"/>
              <w:rPr>
                <w:sz w:val="20"/>
                <w:szCs w:val="20"/>
                <w:color w:val="auto"/>
              </w:rPr>
            </w:pPr>
            <w:r>
              <w:rPr>
                <w:rFonts w:ascii="Arial" w:cs="Arial" w:eastAsia="Arial" w:hAnsi="Arial"/>
                <w:sz w:val="21"/>
                <w:szCs w:val="21"/>
                <w:color w:val="auto"/>
                <w:w w:val="95"/>
              </w:rPr>
              <w:t>20%</w:t>
            </w:r>
          </w:p>
        </w:tc>
      </w:tr>
      <w:tr>
        <w:trPr>
          <w:trHeight w:val="345"/>
        </w:trPr>
        <w:tc>
          <w:tcPr>
            <w:tcW w:w="5400" w:type="dxa"/>
            <w:vAlign w:val="bottom"/>
            <w:gridSpan w:val="2"/>
          </w:tcPr>
          <w:p>
            <w:pPr>
              <w:spacing w:after="0"/>
              <w:rPr>
                <w:sz w:val="20"/>
                <w:szCs w:val="20"/>
                <w:color w:val="auto"/>
              </w:rPr>
            </w:pPr>
            <w:r>
              <w:rPr>
                <w:rFonts w:ascii="Arial" w:cs="Arial" w:eastAsia="Arial" w:hAnsi="Arial"/>
                <w:sz w:val="21"/>
                <w:szCs w:val="21"/>
                <w:color w:val="auto"/>
              </w:rPr>
              <w:t>At least 3 years but less than 4 years</w:t>
            </w:r>
          </w:p>
        </w:tc>
        <w:tc>
          <w:tcPr>
            <w:tcW w:w="1000" w:type="dxa"/>
            <w:vAlign w:val="bottom"/>
          </w:tcPr>
          <w:p>
            <w:pPr>
              <w:jc w:val="center"/>
              <w:spacing w:after="0"/>
              <w:rPr>
                <w:sz w:val="20"/>
                <w:szCs w:val="20"/>
                <w:color w:val="auto"/>
              </w:rPr>
            </w:pPr>
            <w:r>
              <w:rPr>
                <w:rFonts w:ascii="Arial" w:cs="Arial" w:eastAsia="Arial" w:hAnsi="Arial"/>
                <w:sz w:val="21"/>
                <w:szCs w:val="21"/>
                <w:color w:val="auto"/>
                <w:w w:val="95"/>
              </w:rPr>
              <w:t>40%</w:t>
            </w:r>
          </w:p>
        </w:tc>
      </w:tr>
      <w:tr>
        <w:trPr>
          <w:trHeight w:val="345"/>
        </w:trPr>
        <w:tc>
          <w:tcPr>
            <w:tcW w:w="5400" w:type="dxa"/>
            <w:vAlign w:val="bottom"/>
            <w:gridSpan w:val="2"/>
          </w:tcPr>
          <w:p>
            <w:pPr>
              <w:spacing w:after="0"/>
              <w:rPr>
                <w:sz w:val="20"/>
                <w:szCs w:val="20"/>
                <w:color w:val="auto"/>
              </w:rPr>
            </w:pPr>
            <w:r>
              <w:rPr>
                <w:rFonts w:ascii="Arial" w:cs="Arial" w:eastAsia="Arial" w:hAnsi="Arial"/>
                <w:sz w:val="21"/>
                <w:szCs w:val="21"/>
                <w:color w:val="auto"/>
              </w:rPr>
              <w:t>At least 4 years but less than 5 years</w:t>
            </w:r>
          </w:p>
        </w:tc>
        <w:tc>
          <w:tcPr>
            <w:tcW w:w="1000" w:type="dxa"/>
            <w:vAlign w:val="bottom"/>
          </w:tcPr>
          <w:p>
            <w:pPr>
              <w:jc w:val="center"/>
              <w:spacing w:after="0"/>
              <w:rPr>
                <w:sz w:val="20"/>
                <w:szCs w:val="20"/>
                <w:color w:val="auto"/>
              </w:rPr>
            </w:pPr>
            <w:r>
              <w:rPr>
                <w:rFonts w:ascii="Arial" w:cs="Arial" w:eastAsia="Arial" w:hAnsi="Arial"/>
                <w:sz w:val="21"/>
                <w:szCs w:val="21"/>
                <w:color w:val="auto"/>
                <w:w w:val="95"/>
              </w:rPr>
              <w:t>60%</w:t>
            </w:r>
          </w:p>
        </w:tc>
      </w:tr>
      <w:tr>
        <w:trPr>
          <w:trHeight w:val="345"/>
        </w:trPr>
        <w:tc>
          <w:tcPr>
            <w:tcW w:w="5400" w:type="dxa"/>
            <w:vAlign w:val="bottom"/>
            <w:gridSpan w:val="2"/>
          </w:tcPr>
          <w:p>
            <w:pPr>
              <w:spacing w:after="0"/>
              <w:rPr>
                <w:sz w:val="20"/>
                <w:szCs w:val="20"/>
                <w:color w:val="auto"/>
              </w:rPr>
            </w:pPr>
            <w:r>
              <w:rPr>
                <w:rFonts w:ascii="Arial" w:cs="Arial" w:eastAsia="Arial" w:hAnsi="Arial"/>
                <w:sz w:val="21"/>
                <w:szCs w:val="21"/>
                <w:color w:val="auto"/>
              </w:rPr>
              <w:t>At least 5 years but less than 6 years</w:t>
            </w:r>
          </w:p>
        </w:tc>
        <w:tc>
          <w:tcPr>
            <w:tcW w:w="1000" w:type="dxa"/>
            <w:vAlign w:val="bottom"/>
          </w:tcPr>
          <w:p>
            <w:pPr>
              <w:jc w:val="center"/>
              <w:spacing w:after="0"/>
              <w:rPr>
                <w:sz w:val="20"/>
                <w:szCs w:val="20"/>
                <w:color w:val="auto"/>
              </w:rPr>
            </w:pPr>
            <w:r>
              <w:rPr>
                <w:rFonts w:ascii="Arial" w:cs="Arial" w:eastAsia="Arial" w:hAnsi="Arial"/>
                <w:sz w:val="21"/>
                <w:szCs w:val="21"/>
                <w:color w:val="auto"/>
                <w:w w:val="95"/>
              </w:rPr>
              <w:t>80%</w:t>
            </w:r>
          </w:p>
        </w:tc>
      </w:tr>
      <w:tr>
        <w:trPr>
          <w:trHeight w:val="345"/>
        </w:trPr>
        <w:tc>
          <w:tcPr>
            <w:tcW w:w="5400" w:type="dxa"/>
            <w:vAlign w:val="bottom"/>
            <w:gridSpan w:val="2"/>
          </w:tcPr>
          <w:p>
            <w:pPr>
              <w:spacing w:after="0"/>
              <w:rPr>
                <w:sz w:val="20"/>
                <w:szCs w:val="20"/>
                <w:color w:val="auto"/>
              </w:rPr>
            </w:pPr>
            <w:r>
              <w:rPr>
                <w:rFonts w:ascii="Arial" w:cs="Arial" w:eastAsia="Arial" w:hAnsi="Arial"/>
                <w:sz w:val="21"/>
                <w:szCs w:val="21"/>
                <w:color w:val="auto"/>
              </w:rPr>
              <w:t>6 or more years</w:t>
            </w:r>
          </w:p>
        </w:tc>
        <w:tc>
          <w:tcPr>
            <w:tcW w:w="1000" w:type="dxa"/>
            <w:vAlign w:val="bottom"/>
          </w:tcPr>
          <w:p>
            <w:pPr>
              <w:jc w:val="center"/>
              <w:spacing w:after="0"/>
              <w:rPr>
                <w:sz w:val="20"/>
                <w:szCs w:val="20"/>
                <w:color w:val="auto"/>
              </w:rPr>
            </w:pPr>
            <w:r>
              <w:rPr>
                <w:rFonts w:ascii="Arial" w:cs="Arial" w:eastAsia="Arial" w:hAnsi="Arial"/>
                <w:sz w:val="21"/>
                <w:szCs w:val="21"/>
                <w:color w:val="auto"/>
                <w:w w:val="89"/>
              </w:rPr>
              <w:t>100%</w:t>
            </w:r>
          </w:p>
        </w:tc>
      </w:tr>
    </w:tbl>
    <w:p>
      <w:pPr>
        <w:spacing w:after="0" w:line="286" w:lineRule="exact"/>
        <w:rPr>
          <w:sz w:val="20"/>
          <w:szCs w:val="20"/>
          <w:color w:val="auto"/>
        </w:rPr>
      </w:pPr>
    </w:p>
    <w:p>
      <w:pPr>
        <w:ind w:left="2020" w:right="500"/>
        <w:spacing w:after="0" w:line="320" w:lineRule="auto"/>
        <w:rPr>
          <w:sz w:val="20"/>
          <w:szCs w:val="20"/>
          <w:color w:val="auto"/>
        </w:rPr>
      </w:pPr>
      <w:r>
        <w:rPr>
          <w:rFonts w:ascii="Arial" w:cs="Arial" w:eastAsia="Arial" w:hAnsi="Arial"/>
          <w:sz w:val="19"/>
          <w:szCs w:val="19"/>
          <w:color w:val="auto"/>
        </w:rPr>
        <w:t>“Service” shall include any period of “Active Service” as such term is defined in the applicable qualified defined contribution plan of the Employer in which such Participant or Former Participant is a member.</w:t>
      </w:r>
    </w:p>
    <w:p>
      <w:pPr>
        <w:spacing w:after="0" w:line="108" w:lineRule="exact"/>
        <w:rPr>
          <w:sz w:val="20"/>
          <w:szCs w:val="20"/>
          <w:color w:val="auto"/>
        </w:rPr>
      </w:pPr>
    </w:p>
    <w:p>
      <w:pPr>
        <w:ind w:left="2020" w:right="120"/>
        <w:spacing w:after="0" w:line="267" w:lineRule="auto"/>
        <w:rPr>
          <w:sz w:val="20"/>
          <w:szCs w:val="20"/>
          <w:color w:val="auto"/>
        </w:rPr>
      </w:pPr>
      <w:r>
        <w:rPr>
          <w:rFonts w:ascii="Arial" w:cs="Arial" w:eastAsia="Arial" w:hAnsi="Arial"/>
          <w:sz w:val="21"/>
          <w:szCs w:val="21"/>
          <w:color w:val="auto"/>
        </w:rPr>
        <w:t>Non-Elective Contributions shall be subject to the same vesting schedule as would be applicable to Matching Contributions as described above.</w:t>
      </w:r>
    </w:p>
    <w:p>
      <w:pPr>
        <w:spacing w:after="0" w:line="153" w:lineRule="exact"/>
        <w:rPr>
          <w:sz w:val="20"/>
          <w:szCs w:val="20"/>
          <w:color w:val="auto"/>
        </w:rPr>
      </w:pPr>
    </w:p>
    <w:p>
      <w:pPr>
        <w:ind w:left="2060" w:hanging="1178"/>
        <w:spacing w:after="0" w:line="320" w:lineRule="auto"/>
        <w:tabs>
          <w:tab w:leader="none" w:pos="20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Notwithstanding the provisions of (a) above, a Participant or Former Participant shall become 100% Vested in the event of death, attainment of age 60, termination of the Plan or the occurrence of a Change in Control.</w:t>
      </w:r>
    </w:p>
    <w:p>
      <w:pPr>
        <w:spacing w:after="0" w:line="102"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19"/>
          <w:szCs w:val="19"/>
          <w:color w:val="auto"/>
        </w:rPr>
        <w:t xml:space="preserve">6.02 </w:t>
      </w:r>
      <w:r>
        <w:rPr>
          <w:rFonts w:ascii="Arial" w:cs="Arial" w:eastAsia="Arial" w:hAnsi="Arial"/>
          <w:sz w:val="19"/>
          <w:szCs w:val="19"/>
          <w:b w:val="1"/>
          <w:bCs w:val="1"/>
          <w:color w:val="auto"/>
        </w:rPr>
        <w:t>Violation of Confidential Agreements</w:t>
      </w:r>
      <w:r>
        <w:rPr>
          <w:rFonts w:ascii="Arial" w:cs="Arial" w:eastAsia="Arial" w:hAnsi="Arial"/>
          <w:sz w:val="19"/>
          <w:szCs w:val="19"/>
          <w:color w:val="auto"/>
        </w:rPr>
        <w:t>. Notwithstanding the provisions of Section 6.01, a Participant or Former Participant shall forfeit any Vested right to such Participant’s or Former Participant’s Account in the event it is determined by the Administrative Committee that such Participant or Former Participant has engaged in a dishonest act injurious to the finances or reputation of the Employer or any of its Affiliates or that such Participant or Former Participant has violated a Patent and Confidential Information Agreement between such individual and the Employer or any of its Affiliates or any other confidential arrangement involving the Employer or any of its Affiliates to which such individual is a party or by which such individual is bound.</w:t>
      </w:r>
    </w:p>
    <w:p>
      <w:pPr>
        <w:spacing w:after="0" w:line="144"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6.03 </w:t>
      </w:r>
      <w:r>
        <w:rPr>
          <w:rFonts w:ascii="Arial" w:cs="Arial" w:eastAsia="Arial" w:hAnsi="Arial"/>
          <w:sz w:val="21"/>
          <w:szCs w:val="21"/>
          <w:b w:val="1"/>
          <w:bCs w:val="1"/>
          <w:color w:val="auto"/>
        </w:rPr>
        <w:t>Right to Account in the Event of Bankruptcy</w:t>
      </w:r>
      <w:r>
        <w:rPr>
          <w:rFonts w:ascii="Arial" w:cs="Arial" w:eastAsia="Arial" w:hAnsi="Arial"/>
          <w:sz w:val="21"/>
          <w:szCs w:val="21"/>
          <w:color w:val="auto"/>
        </w:rPr>
        <w:t>. Notwithstanding anything to the contrary contained herein, in the event the Employer is determined to be insolvent or is subject to a pending proceeding as a debtor under the United States Bankruptcy Code, a Vested Participant or Vested Former Participant shall have the same standing as any other general creditor of the Employer and shall be entitled to recover any benefits then standing in such Participant’s or Former Participant’s Vested Account only to the extent such amount is made available to such individual in accordance with the bankruptcy proceedings as determined by the federal courts. The Employer will be considered “insolvent” for purposes of the Plan if the Employer is unable to pay its debts as they become due.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77"/>
        </w:trPr>
        <w:tc>
          <w:tcPr>
            <w:tcW w:w="1900" w:type="dxa"/>
            <w:vAlign w:val="bottom"/>
          </w:tcPr>
          <w:p>
            <w:pPr>
              <w:spacing w:after="0"/>
              <w:rPr>
                <w:sz w:val="24"/>
                <w:szCs w:val="24"/>
                <w:color w:val="auto"/>
              </w:rPr>
            </w:pPr>
          </w:p>
        </w:tc>
        <w:tc>
          <w:tcPr>
            <w:tcW w:w="9500" w:type="dxa"/>
            <w:vAlign w:val="bottom"/>
          </w:tcPr>
          <w:p>
            <w:pPr>
              <w:jc w:val="center"/>
              <w:ind w:right="1774"/>
              <w:spacing w:after="0"/>
              <w:rPr>
                <w:sz w:val="20"/>
                <w:szCs w:val="20"/>
                <w:color w:val="auto"/>
              </w:rPr>
            </w:pPr>
            <w:r>
              <w:rPr>
                <w:rFonts w:ascii="Arial" w:cs="Arial" w:eastAsia="Arial" w:hAnsi="Arial"/>
                <w:sz w:val="21"/>
                <w:szCs w:val="21"/>
                <w:b w:val="1"/>
                <w:bCs w:val="1"/>
                <w:color w:val="auto"/>
              </w:rPr>
              <w:t>ARTICLE VII</w:t>
            </w:r>
          </w:p>
        </w:tc>
      </w:tr>
      <w:tr>
        <w:trPr>
          <w:trHeight w:val="478"/>
        </w:trPr>
        <w:tc>
          <w:tcPr>
            <w:tcW w:w="1900" w:type="dxa"/>
            <w:vAlign w:val="bottom"/>
          </w:tcPr>
          <w:p>
            <w:pPr>
              <w:spacing w:after="0"/>
              <w:rPr>
                <w:sz w:val="24"/>
                <w:szCs w:val="24"/>
                <w:color w:val="auto"/>
              </w:rPr>
            </w:pPr>
          </w:p>
        </w:tc>
        <w:tc>
          <w:tcPr>
            <w:tcW w:w="9500" w:type="dxa"/>
            <w:vAlign w:val="bottom"/>
          </w:tcPr>
          <w:p>
            <w:pPr>
              <w:jc w:val="center"/>
              <w:ind w:right="1754"/>
              <w:spacing w:after="0"/>
              <w:rPr>
                <w:sz w:val="20"/>
                <w:szCs w:val="20"/>
                <w:color w:val="auto"/>
              </w:rPr>
            </w:pPr>
            <w:r>
              <w:rPr>
                <w:rFonts w:ascii="Arial" w:cs="Arial" w:eastAsia="Arial" w:hAnsi="Arial"/>
                <w:sz w:val="21"/>
                <w:szCs w:val="21"/>
                <w:b w:val="1"/>
                <w:bCs w:val="1"/>
                <w:color w:val="auto"/>
              </w:rPr>
              <w:t>FORM AND TIMING OF PAYMENT</w:t>
            </w:r>
          </w:p>
        </w:tc>
      </w:tr>
      <w:tr>
        <w:trPr>
          <w:trHeight w:val="419"/>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7.01</w:t>
            </w:r>
          </w:p>
        </w:tc>
        <w:tc>
          <w:tcPr>
            <w:tcW w:w="9500" w:type="dxa"/>
            <w:vAlign w:val="bottom"/>
          </w:tcPr>
          <w:p>
            <w:pPr>
              <w:ind w:left="640"/>
              <w:spacing w:after="0"/>
              <w:rPr>
                <w:sz w:val="20"/>
                <w:szCs w:val="20"/>
                <w:color w:val="auto"/>
              </w:rPr>
            </w:pPr>
            <w:r>
              <w:rPr>
                <w:rFonts w:ascii="Arial" w:cs="Arial" w:eastAsia="Arial" w:hAnsi="Arial"/>
                <w:sz w:val="21"/>
                <w:szCs w:val="21"/>
                <w:b w:val="1"/>
                <w:bCs w:val="1"/>
                <w:color w:val="auto"/>
                <w:w w:val="95"/>
              </w:rPr>
              <w:t>Form of Payment</w:t>
            </w:r>
            <w:r>
              <w:rPr>
                <w:rFonts w:ascii="Arial" w:cs="Arial" w:eastAsia="Arial" w:hAnsi="Arial"/>
                <w:sz w:val="21"/>
                <w:szCs w:val="21"/>
                <w:color w:val="auto"/>
                <w:w w:val="95"/>
              </w:rPr>
              <w:t>. Payment of a Participant’s or Former Participant’s Account shall be made in the</w:t>
            </w:r>
          </w:p>
        </w:tc>
      </w:tr>
      <w:tr>
        <w:trPr>
          <w:trHeight w:val="271"/>
        </w:trPr>
        <w:tc>
          <w:tcPr>
            <w:tcW w:w="11400" w:type="dxa"/>
            <w:vAlign w:val="bottom"/>
            <w:gridSpan w:val="2"/>
          </w:tcPr>
          <w:p>
            <w:pPr>
              <w:spacing w:after="0"/>
              <w:rPr>
                <w:sz w:val="20"/>
                <w:szCs w:val="20"/>
                <w:color w:val="auto"/>
              </w:rPr>
            </w:pPr>
            <w:r>
              <w:rPr>
                <w:rFonts w:ascii="Arial" w:cs="Arial" w:eastAsia="Arial" w:hAnsi="Arial"/>
                <w:sz w:val="21"/>
                <w:szCs w:val="21"/>
                <w:color w:val="auto"/>
              </w:rPr>
              <w:t>form of (i) a lump sum or (ii) at the Participant’s election in five or ten annual installments.</w:t>
            </w:r>
          </w:p>
        </w:tc>
      </w:tr>
      <w:tr>
        <w:trPr>
          <w:trHeight w:val="451"/>
        </w:trPr>
        <w:tc>
          <w:tcPr>
            <w:tcW w:w="1900" w:type="dxa"/>
            <w:vAlign w:val="bottom"/>
          </w:tcPr>
          <w:p>
            <w:pPr>
              <w:jc w:val="right"/>
              <w:ind w:right="534"/>
              <w:spacing w:after="0"/>
              <w:rPr>
                <w:sz w:val="20"/>
                <w:szCs w:val="20"/>
                <w:color w:val="auto"/>
              </w:rPr>
            </w:pPr>
            <w:r>
              <w:rPr>
                <w:rFonts w:ascii="Arial" w:cs="Arial" w:eastAsia="Arial" w:hAnsi="Arial"/>
                <w:sz w:val="21"/>
                <w:szCs w:val="21"/>
                <w:color w:val="auto"/>
              </w:rPr>
              <w:t>7.02</w:t>
            </w:r>
          </w:p>
        </w:tc>
        <w:tc>
          <w:tcPr>
            <w:tcW w:w="9500" w:type="dxa"/>
            <w:vAlign w:val="bottom"/>
          </w:tcPr>
          <w:p>
            <w:pPr>
              <w:ind w:left="640"/>
              <w:spacing w:after="0"/>
              <w:rPr>
                <w:sz w:val="20"/>
                <w:szCs w:val="20"/>
                <w:color w:val="auto"/>
              </w:rPr>
            </w:pPr>
            <w:r>
              <w:rPr>
                <w:rFonts w:ascii="Arial" w:cs="Arial" w:eastAsia="Arial" w:hAnsi="Arial"/>
                <w:sz w:val="21"/>
                <w:szCs w:val="21"/>
                <w:b w:val="1"/>
                <w:bCs w:val="1"/>
                <w:color w:val="auto"/>
              </w:rPr>
              <w:t>Timing of Benefit Payment</w:t>
            </w:r>
            <w:r>
              <w:rPr>
                <w:rFonts w:ascii="Arial" w:cs="Arial" w:eastAsia="Arial" w:hAnsi="Arial"/>
                <w:sz w:val="21"/>
                <w:szCs w:val="21"/>
                <w:color w:val="auto"/>
              </w:rPr>
              <w:t>.</w:t>
            </w:r>
          </w:p>
        </w:tc>
      </w:tr>
    </w:tbl>
    <w:p>
      <w:pPr>
        <w:spacing w:after="0" w:line="180" w:lineRule="exact"/>
        <w:rPr>
          <w:sz w:val="20"/>
          <w:szCs w:val="20"/>
          <w:color w:val="auto"/>
        </w:rPr>
      </w:pPr>
    </w:p>
    <w:p>
      <w:pPr>
        <w:jc w:val="both"/>
        <w:ind w:left="2060" w:hanging="1178"/>
        <w:spacing w:after="0" w:line="260" w:lineRule="auto"/>
        <w:tabs>
          <w:tab w:leader="none" w:pos="206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Lump Sum Payment</w:t>
      </w:r>
      <w:r>
        <w:rPr>
          <w:rFonts w:ascii="Arial" w:cs="Arial" w:eastAsia="Arial" w:hAnsi="Arial"/>
          <w:sz w:val="20"/>
          <w:szCs w:val="20"/>
          <w:color w:val="auto"/>
        </w:rPr>
        <w:t>. Subject to Section 10.07, a lump-sum payment shall be made as soon as practicable following the close of the calendar quarter immediately following a Participant’s or Former Participant’s death, Termination of Employment or Disability, whichever occurs first. In the event of the death of the Participant prior to full payment of his Account, any such unpaid benefits shall be paid in a lump sum to the person or persons who are designated as the Participant’s Beneficiaries.</w:t>
      </w:r>
    </w:p>
    <w:p>
      <w:pPr>
        <w:spacing w:after="0" w:line="161" w:lineRule="exact"/>
        <w:rPr>
          <w:rFonts w:ascii="Arial" w:cs="Arial" w:eastAsia="Arial" w:hAnsi="Arial"/>
          <w:sz w:val="20"/>
          <w:szCs w:val="20"/>
          <w:color w:val="auto"/>
        </w:rPr>
      </w:pPr>
    </w:p>
    <w:p>
      <w:pPr>
        <w:jc w:val="both"/>
        <w:ind w:left="2060" w:hanging="1178"/>
        <w:spacing w:after="0" w:line="253" w:lineRule="auto"/>
        <w:tabs>
          <w:tab w:leader="none" w:pos="206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Installment Payments</w:t>
      </w:r>
      <w:r>
        <w:rPr>
          <w:rFonts w:ascii="Arial" w:cs="Arial" w:eastAsia="Arial" w:hAnsi="Arial"/>
          <w:sz w:val="20"/>
          <w:szCs w:val="20"/>
          <w:color w:val="auto"/>
        </w:rPr>
        <w:t>. Subject to the rules established by the Administrative Committee, the Participant may file a distribution election, directing his Account to be distributed in annual installment payments over five or ten years in the event of his Termination of Employment or Disability. Such distribution election must be made on the form supplied by the Administrative Committee for that purpose. With respect to amounts in the Participant’s Account earned prior to January 1, 2016, the Participant may elect to have such amounts distributed in annual installments; provided, however, that any such election shall not take effect until at least 12 months after the election was made and the first annual installment shall not be payable prior to the date five years following the first day of the Plan Year following Participant’s Termination of Employment. With respect to amounts in the Participant’s Account earned on or after January 1, 2016, the Participant may elect to have such amount distributed in annual installments and subject to Section 10.07, the first annual installment shall be payable during the first calendar quarter of the Plan Year following the Participant’s Termination of Employment or Disability.</w:t>
      </w:r>
    </w:p>
    <w:p>
      <w:pPr>
        <w:spacing w:after="0" w:line="170" w:lineRule="exact"/>
        <w:rPr>
          <w:rFonts w:ascii="Arial" w:cs="Arial" w:eastAsia="Arial" w:hAnsi="Arial"/>
          <w:sz w:val="20"/>
          <w:szCs w:val="20"/>
          <w:color w:val="auto"/>
        </w:rPr>
      </w:pPr>
    </w:p>
    <w:p>
      <w:pPr>
        <w:jc w:val="both"/>
        <w:ind w:left="2060" w:hanging="1178"/>
        <w:spacing w:after="0" w:line="253" w:lineRule="auto"/>
        <w:tabs>
          <w:tab w:leader="none" w:pos="206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Change of Form or Timing of Benefit Payments</w:t>
      </w:r>
      <w:r>
        <w:rPr>
          <w:rFonts w:ascii="Arial" w:cs="Arial" w:eastAsia="Arial" w:hAnsi="Arial"/>
          <w:sz w:val="20"/>
          <w:szCs w:val="20"/>
          <w:color w:val="auto"/>
        </w:rPr>
        <w:t>. A Participant may file a subsequent distribution election for his Account no later than 12 months prior to the date that he or she would have otherwise received (or would have commenced to receive) distribution of his Account, to change the timing and form of payment of the distribution to a time and form available under the Plan; provided, however, that the payment, or first payment in the case of an installment payment, under the subsequent distribution election shall be deferred to a date that is at least five years after the date the Participant would have received a distribution of his Account under his prior election. Such subsequent distribution election is subject to the rules established by the Administrative Committee and must be made on the form supplied by the Administrative Committee for that purpose. The requirement in this Section 7.02(c) that the first payment with respect to which any election thereunder applies must be deferred for at least five years shall not apply to a payment involving the Participant’s death or Disability.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6" w:name="page97"/>
    <w:bookmarkEnd w:id="96"/>
    <w:tbl>
      <w:tblPr>
        <w:tblLayout w:type="fixed"/>
        <w:tblInd w:w="880" w:type="dxa"/>
        <w:tblCellMar>
          <w:top w:w="0" w:type="dxa"/>
          <w:left w:w="0" w:type="dxa"/>
          <w:bottom w:w="0" w:type="dxa"/>
          <w:right w:w="0" w:type="dxa"/>
        </w:tblCellMar>
      </w:tblPr>
      <w:tr>
        <w:trPr>
          <w:trHeight w:val="277"/>
        </w:trPr>
        <w:tc>
          <w:tcPr>
            <w:tcW w:w="1020" w:type="dxa"/>
            <w:vAlign w:val="bottom"/>
          </w:tcPr>
          <w:p>
            <w:pPr>
              <w:spacing w:after="0"/>
              <w:rPr>
                <w:sz w:val="24"/>
                <w:szCs w:val="24"/>
                <w:color w:val="auto"/>
              </w:rPr>
            </w:pPr>
          </w:p>
        </w:tc>
        <w:tc>
          <w:tcPr>
            <w:tcW w:w="9520" w:type="dxa"/>
            <w:vAlign w:val="bottom"/>
          </w:tcPr>
          <w:p>
            <w:pPr>
              <w:jc w:val="center"/>
              <w:ind w:right="1794"/>
              <w:spacing w:after="0"/>
              <w:rPr>
                <w:sz w:val="20"/>
                <w:szCs w:val="20"/>
                <w:color w:val="auto"/>
              </w:rPr>
            </w:pPr>
            <w:r>
              <w:rPr>
                <w:rFonts w:ascii="Arial" w:cs="Arial" w:eastAsia="Arial" w:hAnsi="Arial"/>
                <w:sz w:val="21"/>
                <w:szCs w:val="21"/>
                <w:b w:val="1"/>
                <w:bCs w:val="1"/>
                <w:color w:val="auto"/>
              </w:rPr>
              <w:t>ARTICLE VIII</w:t>
            </w:r>
          </w:p>
        </w:tc>
      </w:tr>
      <w:tr>
        <w:trPr>
          <w:trHeight w:val="478"/>
        </w:trPr>
        <w:tc>
          <w:tcPr>
            <w:tcW w:w="1020" w:type="dxa"/>
            <w:vAlign w:val="bottom"/>
          </w:tcPr>
          <w:p>
            <w:pPr>
              <w:spacing w:after="0"/>
              <w:rPr>
                <w:sz w:val="24"/>
                <w:szCs w:val="24"/>
                <w:color w:val="auto"/>
              </w:rPr>
            </w:pPr>
          </w:p>
        </w:tc>
        <w:tc>
          <w:tcPr>
            <w:tcW w:w="9520" w:type="dxa"/>
            <w:vAlign w:val="bottom"/>
          </w:tcPr>
          <w:p>
            <w:pPr>
              <w:jc w:val="center"/>
              <w:ind w:right="1794"/>
              <w:spacing w:after="0"/>
              <w:rPr>
                <w:sz w:val="20"/>
                <w:szCs w:val="20"/>
                <w:color w:val="auto"/>
              </w:rPr>
            </w:pPr>
            <w:r>
              <w:rPr>
                <w:rFonts w:ascii="Arial" w:cs="Arial" w:eastAsia="Arial" w:hAnsi="Arial"/>
                <w:sz w:val="21"/>
                <w:szCs w:val="21"/>
                <w:b w:val="1"/>
                <w:bCs w:val="1"/>
                <w:color w:val="auto"/>
              </w:rPr>
              <w:t>MERGER, AMENDMENT AND TERMINATION</w:t>
            </w:r>
          </w:p>
        </w:tc>
      </w:tr>
      <w:tr>
        <w:trPr>
          <w:trHeight w:val="437"/>
        </w:trPr>
        <w:tc>
          <w:tcPr>
            <w:tcW w:w="1020" w:type="dxa"/>
            <w:vAlign w:val="bottom"/>
          </w:tcPr>
          <w:p>
            <w:pPr>
              <w:jc w:val="right"/>
              <w:ind w:right="534"/>
              <w:spacing w:after="0"/>
              <w:rPr>
                <w:sz w:val="20"/>
                <w:szCs w:val="20"/>
                <w:color w:val="auto"/>
              </w:rPr>
            </w:pPr>
            <w:r>
              <w:rPr>
                <w:rFonts w:ascii="Arial" w:cs="Arial" w:eastAsia="Arial" w:hAnsi="Arial"/>
                <w:sz w:val="21"/>
                <w:szCs w:val="21"/>
                <w:color w:val="auto"/>
                <w:w w:val="87"/>
              </w:rPr>
              <w:t>8.01</w:t>
            </w:r>
          </w:p>
        </w:tc>
        <w:tc>
          <w:tcPr>
            <w:tcW w:w="9520" w:type="dxa"/>
            <w:vAlign w:val="bottom"/>
          </w:tcPr>
          <w:p>
            <w:pPr>
              <w:ind w:left="640"/>
              <w:spacing w:after="0"/>
              <w:rPr>
                <w:sz w:val="20"/>
                <w:szCs w:val="20"/>
                <w:color w:val="auto"/>
              </w:rPr>
            </w:pPr>
            <w:r>
              <w:rPr>
                <w:rFonts w:ascii="Arial" w:cs="Arial" w:eastAsia="Arial" w:hAnsi="Arial"/>
                <w:sz w:val="21"/>
                <w:szCs w:val="21"/>
                <w:b w:val="1"/>
                <w:bCs w:val="1"/>
                <w:color w:val="auto"/>
                <w:w w:val="91"/>
              </w:rPr>
              <w:t>Merger, Consolidation or Acquisition</w:t>
            </w:r>
            <w:r>
              <w:rPr>
                <w:rFonts w:ascii="Arial" w:cs="Arial" w:eastAsia="Arial" w:hAnsi="Arial"/>
                <w:sz w:val="21"/>
                <w:szCs w:val="21"/>
                <w:color w:val="auto"/>
                <w:w w:val="91"/>
              </w:rPr>
              <w:t>. In the event of a merger, consolidation or acquisition where the</w:t>
            </w:r>
          </w:p>
        </w:tc>
      </w:tr>
    </w:tbl>
    <w:p>
      <w:pPr>
        <w:jc w:val="both"/>
        <w:spacing w:after="0" w:line="243" w:lineRule="auto"/>
        <w:rPr>
          <w:sz w:val="20"/>
          <w:szCs w:val="20"/>
          <w:color w:val="auto"/>
        </w:rPr>
      </w:pPr>
      <w:r>
        <w:rPr>
          <w:rFonts w:ascii="Arial" w:cs="Arial" w:eastAsia="Arial" w:hAnsi="Arial"/>
          <w:sz w:val="21"/>
          <w:szCs w:val="21"/>
          <w:color w:val="auto"/>
        </w:rPr>
        <w:t xml:space="preserve">Employer is not the surviving corporation and which also constitutes </w:t>
      </w:r>
      <w:r>
        <w:rPr>
          <w:rFonts w:ascii="Arial" w:cs="Arial" w:eastAsia="Arial" w:hAnsi="Arial"/>
          <w:sz w:val="21"/>
          <w:szCs w:val="21"/>
          <w:color w:val="auto"/>
        </w:rPr>
        <w:t>а</w:t>
      </w:r>
      <w:r>
        <w:rPr>
          <w:rFonts w:ascii="Arial" w:cs="Arial" w:eastAsia="Arial" w:hAnsi="Arial"/>
          <w:sz w:val="21"/>
          <w:szCs w:val="21"/>
          <w:color w:val="auto"/>
        </w:rPr>
        <w:t xml:space="preserve"> “change in control event” within the meaning of U.S. Treasury Regulation Section 1.409A-3(i)(5) (a “409A Change in Control”) any amount standing in a Vested Account shall be paid within 30 days following a 409A Change in Control.</w:t>
      </w:r>
    </w:p>
    <w:p>
      <w:pPr>
        <w:spacing w:after="0" w:line="178"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For purposes of the Plan, Change in Control means the occurrence of any one of the following events:</w:t>
      </w:r>
    </w:p>
    <w:p>
      <w:pPr>
        <w:spacing w:after="0" w:line="221" w:lineRule="exact"/>
        <w:rPr>
          <w:sz w:val="20"/>
          <w:szCs w:val="20"/>
          <w:color w:val="auto"/>
        </w:rPr>
      </w:pPr>
    </w:p>
    <w:p>
      <w:pPr>
        <w:jc w:val="both"/>
        <w:ind w:left="2060" w:hanging="1178"/>
        <w:spacing w:after="0" w:line="266" w:lineRule="auto"/>
        <w:tabs>
          <w:tab w:leader="none" w:pos="20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A “change in the ownership of the Company” which will occur on the date that any one person, or more than one person acting as a group within the meaning of section 409A of the Code, acquires ownership of stock in the Company that, together with stock held by such person or group, constitutes more than fifty percent (50%) of the total fair market value or total voting power of the stock of the Company. However, if any one person or more than one person acting as a group, is considered to own more than fifty percent (50%) of the total fair market value or total voting power of the stock of the Company, the acquisition of additional stock by the same person or persons will not be considered a “change in the ownership of the Company” (or to cause </w:t>
      </w:r>
      <w:r>
        <w:rPr>
          <w:rFonts w:ascii="Arial" w:cs="Arial" w:eastAsia="Arial" w:hAnsi="Arial"/>
          <w:sz w:val="19"/>
          <w:szCs w:val="19"/>
          <w:color w:val="auto"/>
        </w:rPr>
        <w:t>а</w:t>
      </w:r>
      <w:r>
        <w:rPr>
          <w:rFonts w:ascii="Arial" w:cs="Arial" w:eastAsia="Arial" w:hAnsi="Arial"/>
          <w:sz w:val="19"/>
          <w:szCs w:val="19"/>
          <w:color w:val="auto"/>
        </w:rPr>
        <w:t xml:space="preserve"> “change in the effective control of the Company” within the meaning of paragraph (b) below). Further, an increase of the effective percentage of stock owned by any one person, or persons acting as a group, as a result of a transaction in which the Company acquires its stock in exchange for property will be treated as an acquisition of stock for purposes of this paragraph; provided, that for purposes of this Section 8.01(a), the following acquisitions of Company stock will not constitute a Change of Control: (A) any acquisition by any employee benefit plan (or related trust) sponsored or maintained by the Company or an Affiliate (as defined below), (B) any acquisition directly from the Company or (C) any acquisition by the Company. This paragraph (a) applies only when there is a transfer of the stock of the Company (or issuance of stock) and stock in the Company remains outstanding after the transaction.</w:t>
      </w:r>
    </w:p>
    <w:p>
      <w:pPr>
        <w:spacing w:after="0" w:line="160" w:lineRule="exact"/>
        <w:rPr>
          <w:rFonts w:ascii="Arial" w:cs="Arial" w:eastAsia="Arial" w:hAnsi="Arial"/>
          <w:sz w:val="19"/>
          <w:szCs w:val="19"/>
          <w:color w:val="auto"/>
        </w:rPr>
      </w:pPr>
    </w:p>
    <w:p>
      <w:pPr>
        <w:ind w:left="2060" w:hanging="1178"/>
        <w:spacing w:after="0"/>
        <w:tabs>
          <w:tab w:leader="none" w:pos="2060" w:val="left"/>
        </w:tabs>
        <w:numPr>
          <w:ilvl w:val="0"/>
          <w:numId w:val="70"/>
        </w:numPr>
        <w:rPr>
          <w:rFonts w:ascii="Arial" w:cs="Arial" w:eastAsia="Arial" w:hAnsi="Arial"/>
          <w:sz w:val="21"/>
          <w:szCs w:val="21"/>
          <w:color w:val="auto"/>
        </w:rPr>
      </w:pPr>
      <w:r>
        <w:rPr>
          <w:rFonts w:ascii="Arial" w:cs="Arial" w:eastAsia="Arial" w:hAnsi="Arial"/>
          <w:sz w:val="21"/>
          <w:szCs w:val="21"/>
          <w:color w:val="auto"/>
        </w:rPr>
        <w:t>A “change in the effective control of the Company” which will occur on the date that either:</w:t>
      </w:r>
    </w:p>
    <w:p>
      <w:pPr>
        <w:spacing w:after="0" w:line="209" w:lineRule="exact"/>
        <w:rPr>
          <w:rFonts w:ascii="Arial" w:cs="Arial" w:eastAsia="Arial" w:hAnsi="Arial"/>
          <w:sz w:val="21"/>
          <w:szCs w:val="21"/>
          <w:color w:val="auto"/>
        </w:rPr>
      </w:pPr>
    </w:p>
    <w:p>
      <w:pPr>
        <w:jc w:val="both"/>
        <w:ind w:left="2880" w:hanging="869"/>
        <w:spacing w:after="0" w:line="269" w:lineRule="auto"/>
        <w:tabs>
          <w:tab w:leader="none" w:pos="28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any one person, or more than one person acting as a group within the meaning of section 409A of the Code, acquires (or has acquired during the twelve (12) month period ending on the date of the most recent acquisition by such person or persons) ownership of stock of the Company possessing thirty percent (30%) or more of the total voting power of the stock of the Company (not considering stock owned by such person or group prior to such twelve (12) month period) (i.e., such person or group must acquire within </w:t>
      </w:r>
      <w:r>
        <w:rPr>
          <w:rFonts w:ascii="Arial" w:cs="Arial" w:eastAsia="Arial" w:hAnsi="Arial"/>
          <w:sz w:val="19"/>
          <w:szCs w:val="19"/>
          <w:color w:val="auto"/>
        </w:rPr>
        <w:t>а</w:t>
      </w:r>
      <w:r>
        <w:rPr>
          <w:rFonts w:ascii="Arial" w:cs="Arial" w:eastAsia="Arial" w:hAnsi="Arial"/>
          <w:sz w:val="19"/>
          <w:szCs w:val="19"/>
          <w:color w:val="auto"/>
        </w:rPr>
        <w:t xml:space="preserve"> twelve (12) month period stock possessing thirty percent (30%) of the total voting power of the stock of the Company) except for (A) any acquisition by any employee benefit plan (or related trust) sponsored or maintained by the Company or an Affiliate (as defined below), (B) any acquisition directly from the Company or (C) any acquisition by the Company; or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7" w:name="page98"/>
    <w:bookmarkEnd w:id="97"/>
    <w:p>
      <w:pPr>
        <w:jc w:val="both"/>
        <w:ind w:left="2880" w:hanging="869"/>
        <w:spacing w:after="0" w:line="252" w:lineRule="auto"/>
        <w:tabs>
          <w:tab w:leader="none" w:pos="28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 majority of the members of the Board are replaced during any twelve (12) month period by directors whose appointment or election is not endorsed by a majority of the members of the Board prior to the date of the appointment or election.</w:t>
      </w:r>
    </w:p>
    <w:p>
      <w:pPr>
        <w:spacing w:after="0" w:line="169" w:lineRule="exact"/>
        <w:rPr>
          <w:sz w:val="20"/>
          <w:szCs w:val="20"/>
          <w:color w:val="auto"/>
        </w:rPr>
      </w:pPr>
    </w:p>
    <w:p>
      <w:pPr>
        <w:jc w:val="both"/>
        <w:ind w:left="2020"/>
        <w:spacing w:after="0" w:line="244" w:lineRule="auto"/>
        <w:rPr>
          <w:sz w:val="20"/>
          <w:szCs w:val="20"/>
          <w:color w:val="auto"/>
        </w:rPr>
      </w:pPr>
      <w:r>
        <w:rPr>
          <w:rFonts w:ascii="Arial" w:cs="Arial" w:eastAsia="Arial" w:hAnsi="Arial"/>
          <w:sz w:val="21"/>
          <w:szCs w:val="21"/>
          <w:color w:val="auto"/>
        </w:rPr>
        <w:t>For purposes of a “change in the effective control of the Company,” if any one person, or more than one person acting as a group, is considered to effectively control the Company within the meaning of this paragraph (b), the acquisition of additional control of the Company by the same person or persons is not considered a “change in the effective control of the Company,” or to cause a “change in the ownership of the Company” within the meaning of paragraph (a) of this Section.</w:t>
      </w:r>
    </w:p>
    <w:p>
      <w:pPr>
        <w:spacing w:after="0" w:line="180" w:lineRule="exact"/>
        <w:rPr>
          <w:sz w:val="20"/>
          <w:szCs w:val="20"/>
          <w:color w:val="auto"/>
        </w:rPr>
      </w:pPr>
    </w:p>
    <w:p>
      <w:pPr>
        <w:jc w:val="both"/>
        <w:ind w:left="2060" w:hanging="1178"/>
        <w:spacing w:after="0" w:line="269" w:lineRule="auto"/>
        <w:tabs>
          <w:tab w:leader="none" w:pos="20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“change in the ownership of a substantial portion of the Company’s assets” which will occur on the date that any one person, or more than one person acting as a group, acquires (or has acquired during the twelve (12) month period ending on the date of the most recent acquisition by such person or persons) assets of the Company that have a total gross fair market value equal to or more than forty percent (40%) of the total gross fair market value of all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Any transfer of assets to an entity that is controlled by the shareholders of the Company immediately after the transfer, as provided in guidance issued pursuant to section 409A of the Code, will not constitute a Change in Control.</w:t>
      </w:r>
    </w:p>
    <w:p>
      <w:pPr>
        <w:spacing w:after="0" w:line="159" w:lineRule="exact"/>
        <w:rPr>
          <w:sz w:val="20"/>
          <w:szCs w:val="20"/>
          <w:color w:val="auto"/>
        </w:rPr>
      </w:pPr>
    </w:p>
    <w:p>
      <w:pPr>
        <w:jc w:val="both"/>
        <w:ind w:firstLine="2012"/>
        <w:spacing w:after="0" w:line="242" w:lineRule="auto"/>
        <w:rPr>
          <w:sz w:val="20"/>
          <w:szCs w:val="20"/>
          <w:color w:val="auto"/>
        </w:rPr>
      </w:pPr>
      <w:r>
        <w:rPr>
          <w:rFonts w:ascii="Arial" w:cs="Arial" w:eastAsia="Arial" w:hAnsi="Arial"/>
          <w:sz w:val="21"/>
          <w:szCs w:val="21"/>
          <w:color w:val="auto"/>
        </w:rPr>
        <w:t xml:space="preserve">For purposes of this Section, the provisions of section 318(a) of the Code regarding the constructive ownership of stock will apply to determine stock ownership; provided that, stock underlying unvested options (including options exercisable for stock that is not substantially vested) will not be treated as owned by the individual who holds the option. The term “Affiliate” for purposes of this Section means a corporation that is a member of </w:t>
      </w:r>
      <w:r>
        <w:rPr>
          <w:rFonts w:ascii="Arial" w:cs="Arial" w:eastAsia="Arial" w:hAnsi="Arial"/>
          <w:sz w:val="21"/>
          <w:szCs w:val="21"/>
          <w:color w:val="auto"/>
        </w:rPr>
        <w:t>а</w:t>
      </w:r>
      <w:r>
        <w:rPr>
          <w:rFonts w:ascii="Arial" w:cs="Arial" w:eastAsia="Arial" w:hAnsi="Arial"/>
          <w:sz w:val="21"/>
          <w:szCs w:val="21"/>
          <w:color w:val="auto"/>
        </w:rPr>
        <w:t xml:space="preserve"> controlled group of corporations (as defined in Section 414(b) of the Code) that includes the Company, any trade or business (whether or not incorporated) that is in common control (as defined in Section 414(c) of the Code) with the Company, or any entity that is a member of the same affiliated service group (as defined in Section 414(m) of the Code) as the Company.</w:t>
      </w:r>
    </w:p>
    <w:p>
      <w:pPr>
        <w:spacing w:after="0" w:line="174"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1"/>
          <w:szCs w:val="21"/>
          <w:color w:val="auto"/>
        </w:rPr>
        <w:t xml:space="preserve">8.02 </w:t>
      </w:r>
      <w:r>
        <w:rPr>
          <w:rFonts w:ascii="Arial" w:cs="Arial" w:eastAsia="Arial" w:hAnsi="Arial"/>
          <w:sz w:val="21"/>
          <w:szCs w:val="21"/>
          <w:b w:val="1"/>
          <w:bCs w:val="1"/>
          <w:color w:val="auto"/>
        </w:rPr>
        <w:t>Amendment and Termination</w:t>
      </w:r>
      <w:r>
        <w:rPr>
          <w:rFonts w:ascii="Arial" w:cs="Arial" w:eastAsia="Arial" w:hAnsi="Arial"/>
          <w:sz w:val="21"/>
          <w:szCs w:val="21"/>
          <w:color w:val="auto"/>
        </w:rPr>
        <w:t>. The Board of Directors may amend, modify or terminate the Plan in whole or in part at any time, provided that any plan termination shall only occur in accordance with U.S. Treasury Regulations Section 1.409A-3(j)(4)(ix).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98" w:name="page99"/>
    <w:bookmarkEnd w:id="98"/>
    <w:tbl>
      <w:tblPr>
        <w:tblLayout w:type="fixed"/>
        <w:tblInd w:w="880" w:type="dxa"/>
        <w:tblCellMar>
          <w:top w:w="0" w:type="dxa"/>
          <w:left w:w="0" w:type="dxa"/>
          <w:bottom w:w="0" w:type="dxa"/>
          <w:right w:w="0" w:type="dxa"/>
        </w:tblCellMar>
      </w:tblPr>
      <w:tr>
        <w:trPr>
          <w:trHeight w:val="277"/>
        </w:trPr>
        <w:tc>
          <w:tcPr>
            <w:tcW w:w="1020" w:type="dxa"/>
            <w:vAlign w:val="bottom"/>
          </w:tcPr>
          <w:p>
            <w:pPr>
              <w:spacing w:after="0"/>
              <w:rPr>
                <w:sz w:val="24"/>
                <w:szCs w:val="24"/>
                <w:color w:val="auto"/>
              </w:rPr>
            </w:pPr>
          </w:p>
        </w:tc>
        <w:tc>
          <w:tcPr>
            <w:tcW w:w="9520" w:type="dxa"/>
            <w:vAlign w:val="bottom"/>
          </w:tcPr>
          <w:p>
            <w:pPr>
              <w:jc w:val="center"/>
              <w:ind w:right="1794"/>
              <w:spacing w:after="0"/>
              <w:rPr>
                <w:sz w:val="20"/>
                <w:szCs w:val="20"/>
                <w:color w:val="auto"/>
              </w:rPr>
            </w:pPr>
            <w:r>
              <w:rPr>
                <w:rFonts w:ascii="Arial" w:cs="Arial" w:eastAsia="Arial" w:hAnsi="Arial"/>
                <w:sz w:val="21"/>
                <w:szCs w:val="21"/>
                <w:b w:val="1"/>
                <w:bCs w:val="1"/>
                <w:color w:val="auto"/>
              </w:rPr>
              <w:t>ARTICLE IX</w:t>
            </w:r>
          </w:p>
        </w:tc>
      </w:tr>
      <w:tr>
        <w:trPr>
          <w:trHeight w:val="478"/>
        </w:trPr>
        <w:tc>
          <w:tcPr>
            <w:tcW w:w="1020" w:type="dxa"/>
            <w:vAlign w:val="bottom"/>
          </w:tcPr>
          <w:p>
            <w:pPr>
              <w:spacing w:after="0"/>
              <w:rPr>
                <w:sz w:val="24"/>
                <w:szCs w:val="24"/>
                <w:color w:val="auto"/>
              </w:rPr>
            </w:pPr>
          </w:p>
        </w:tc>
        <w:tc>
          <w:tcPr>
            <w:tcW w:w="9520" w:type="dxa"/>
            <w:vAlign w:val="bottom"/>
          </w:tcPr>
          <w:p>
            <w:pPr>
              <w:jc w:val="center"/>
              <w:ind w:right="1774"/>
              <w:spacing w:after="0"/>
              <w:rPr>
                <w:sz w:val="20"/>
                <w:szCs w:val="20"/>
                <w:color w:val="auto"/>
              </w:rPr>
            </w:pPr>
            <w:r>
              <w:rPr>
                <w:rFonts w:ascii="Arial" w:cs="Arial" w:eastAsia="Arial" w:hAnsi="Arial"/>
                <w:sz w:val="21"/>
                <w:szCs w:val="21"/>
                <w:b w:val="1"/>
                <w:bCs w:val="1"/>
                <w:color w:val="auto"/>
              </w:rPr>
              <w:t>ADMINISTRATION</w:t>
            </w:r>
          </w:p>
        </w:tc>
      </w:tr>
      <w:tr>
        <w:trPr>
          <w:trHeight w:val="437"/>
        </w:trPr>
        <w:tc>
          <w:tcPr>
            <w:tcW w:w="1020" w:type="dxa"/>
            <w:vAlign w:val="bottom"/>
          </w:tcPr>
          <w:p>
            <w:pPr>
              <w:jc w:val="right"/>
              <w:ind w:right="534"/>
              <w:spacing w:after="0"/>
              <w:rPr>
                <w:sz w:val="20"/>
                <w:szCs w:val="20"/>
                <w:color w:val="auto"/>
              </w:rPr>
            </w:pPr>
            <w:r>
              <w:rPr>
                <w:rFonts w:ascii="Arial" w:cs="Arial" w:eastAsia="Arial" w:hAnsi="Arial"/>
                <w:sz w:val="21"/>
                <w:szCs w:val="21"/>
                <w:color w:val="auto"/>
                <w:w w:val="87"/>
              </w:rPr>
              <w:t>9.01</w:t>
            </w:r>
          </w:p>
        </w:tc>
        <w:tc>
          <w:tcPr>
            <w:tcW w:w="9520" w:type="dxa"/>
            <w:vAlign w:val="bottom"/>
          </w:tcPr>
          <w:p>
            <w:pPr>
              <w:ind w:left="640"/>
              <w:spacing w:after="0"/>
              <w:rPr>
                <w:sz w:val="20"/>
                <w:szCs w:val="20"/>
                <w:color w:val="auto"/>
              </w:rPr>
            </w:pPr>
            <w:r>
              <w:rPr>
                <w:rFonts w:ascii="Arial" w:cs="Arial" w:eastAsia="Arial" w:hAnsi="Arial"/>
                <w:sz w:val="21"/>
                <w:szCs w:val="21"/>
                <w:b w:val="1"/>
                <w:bCs w:val="1"/>
                <w:color w:val="auto"/>
                <w:w w:val="98"/>
              </w:rPr>
              <w:t>Administration</w:t>
            </w:r>
            <w:r>
              <w:rPr>
                <w:rFonts w:ascii="Arial" w:cs="Arial" w:eastAsia="Arial" w:hAnsi="Arial"/>
                <w:sz w:val="21"/>
                <w:szCs w:val="21"/>
                <w:color w:val="auto"/>
                <w:w w:val="98"/>
              </w:rPr>
              <w:t>. The Plan shall be administered, construed and interpreted by the Administrative</w:t>
            </w:r>
          </w:p>
        </w:tc>
      </w:tr>
    </w:tbl>
    <w:p>
      <w:pPr>
        <w:jc w:val="both"/>
        <w:spacing w:after="0" w:line="239" w:lineRule="auto"/>
        <w:rPr>
          <w:sz w:val="20"/>
          <w:szCs w:val="20"/>
          <w:color w:val="auto"/>
        </w:rPr>
      </w:pPr>
      <w:r>
        <w:rPr>
          <w:rFonts w:ascii="Arial" w:cs="Arial" w:eastAsia="Arial" w:hAnsi="Arial"/>
          <w:sz w:val="21"/>
          <w:szCs w:val="21"/>
          <w:color w:val="auto"/>
        </w:rPr>
        <w:t>Committee. Any determination made by the Administrative Committee, including any determination as to eligibility, the amount of benefits or the interpretation of any Plan provision, shall be conclusive and binding on all persons, including a Participant, a Former Participant, a Beneficiary, the Employer, an Affiliate or an Employee. A member of the Administrative Committee who is also a Participant or Former Participant in the Plan must abstain from voting on any matter relating specifically to such Participant’s or Former Participant’s own Account under the Plan. The Administrative Committee shall have the authority to amend the Plan to comply with any legislative change, including any regulations promulgated pursuant to a legislative change, or to make discretionary changes, provided that such amendment does not result in any significant increase in cost of maintaining the Plan or change the underlying benefits of the Plan.</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277"/>
        </w:trPr>
        <w:tc>
          <w:tcPr>
            <w:tcW w:w="1020" w:type="dxa"/>
            <w:vAlign w:val="bottom"/>
          </w:tcPr>
          <w:p>
            <w:pPr>
              <w:jc w:val="right"/>
              <w:ind w:right="534"/>
              <w:spacing w:after="0"/>
              <w:rPr>
                <w:sz w:val="20"/>
                <w:szCs w:val="20"/>
                <w:color w:val="auto"/>
              </w:rPr>
            </w:pPr>
            <w:r>
              <w:rPr>
                <w:rFonts w:ascii="Arial" w:cs="Arial" w:eastAsia="Arial" w:hAnsi="Arial"/>
                <w:sz w:val="21"/>
                <w:szCs w:val="21"/>
                <w:color w:val="auto"/>
                <w:w w:val="87"/>
              </w:rPr>
              <w:t>9.02</w:t>
            </w:r>
          </w:p>
        </w:tc>
        <w:tc>
          <w:tcPr>
            <w:tcW w:w="9520" w:type="dxa"/>
            <w:vAlign w:val="bottom"/>
          </w:tcPr>
          <w:p>
            <w:pPr>
              <w:ind w:left="640"/>
              <w:spacing w:after="0"/>
              <w:rPr>
                <w:sz w:val="20"/>
                <w:szCs w:val="20"/>
                <w:color w:val="auto"/>
              </w:rPr>
            </w:pPr>
            <w:r>
              <w:rPr>
                <w:rFonts w:ascii="Arial" w:cs="Arial" w:eastAsia="Arial" w:hAnsi="Arial"/>
                <w:sz w:val="21"/>
                <w:szCs w:val="21"/>
                <w:b w:val="1"/>
                <w:bCs w:val="1"/>
                <w:color w:val="auto"/>
                <w:w w:val="96"/>
              </w:rPr>
              <w:t>Expenses</w:t>
            </w:r>
            <w:r>
              <w:rPr>
                <w:rFonts w:ascii="Arial" w:cs="Arial" w:eastAsia="Arial" w:hAnsi="Arial"/>
                <w:sz w:val="21"/>
                <w:szCs w:val="21"/>
                <w:color w:val="auto"/>
                <w:w w:val="96"/>
              </w:rPr>
              <w:t>. Expenses of the Plan may be paid by the Trust unless otherwise paid by the Employer.</w:t>
            </w:r>
          </w:p>
        </w:tc>
      </w:tr>
      <w:tr>
        <w:trPr>
          <w:trHeight w:val="437"/>
        </w:trPr>
        <w:tc>
          <w:tcPr>
            <w:tcW w:w="1020" w:type="dxa"/>
            <w:vAlign w:val="bottom"/>
          </w:tcPr>
          <w:p>
            <w:pPr>
              <w:jc w:val="right"/>
              <w:ind w:right="534"/>
              <w:spacing w:after="0"/>
              <w:rPr>
                <w:sz w:val="20"/>
                <w:szCs w:val="20"/>
                <w:color w:val="auto"/>
              </w:rPr>
            </w:pPr>
            <w:r>
              <w:rPr>
                <w:rFonts w:ascii="Arial" w:cs="Arial" w:eastAsia="Arial" w:hAnsi="Arial"/>
                <w:sz w:val="21"/>
                <w:szCs w:val="21"/>
                <w:color w:val="auto"/>
                <w:w w:val="87"/>
              </w:rPr>
              <w:t>9.03</w:t>
            </w:r>
          </w:p>
        </w:tc>
        <w:tc>
          <w:tcPr>
            <w:tcW w:w="9520" w:type="dxa"/>
            <w:vAlign w:val="bottom"/>
          </w:tcPr>
          <w:p>
            <w:pPr>
              <w:ind w:left="640"/>
              <w:spacing w:after="0"/>
              <w:rPr>
                <w:sz w:val="20"/>
                <w:szCs w:val="20"/>
                <w:color w:val="auto"/>
              </w:rPr>
            </w:pPr>
            <w:r>
              <w:rPr>
                <w:rFonts w:ascii="Arial" w:cs="Arial" w:eastAsia="Arial" w:hAnsi="Arial"/>
                <w:sz w:val="21"/>
                <w:szCs w:val="21"/>
                <w:b w:val="1"/>
                <w:bCs w:val="1"/>
                <w:color w:val="auto"/>
                <w:w w:val="98"/>
              </w:rPr>
              <w:t>Indemnification</w:t>
            </w:r>
            <w:r>
              <w:rPr>
                <w:rFonts w:ascii="Arial" w:cs="Arial" w:eastAsia="Arial" w:hAnsi="Arial"/>
                <w:sz w:val="21"/>
                <w:szCs w:val="21"/>
                <w:color w:val="auto"/>
                <w:w w:val="98"/>
              </w:rPr>
              <w:t>. The members of the Administrative Committee, or any agent appointed by said</w:t>
            </w:r>
          </w:p>
        </w:tc>
      </w:tr>
    </w:tbl>
    <w:p>
      <w:pPr>
        <w:jc w:val="both"/>
        <w:spacing w:after="0" w:line="254" w:lineRule="auto"/>
        <w:rPr>
          <w:sz w:val="20"/>
          <w:szCs w:val="20"/>
          <w:color w:val="auto"/>
        </w:rPr>
      </w:pPr>
      <w:r>
        <w:rPr>
          <w:rFonts w:ascii="Arial" w:cs="Arial" w:eastAsia="Arial" w:hAnsi="Arial"/>
          <w:sz w:val="20"/>
          <w:szCs w:val="20"/>
          <w:color w:val="auto"/>
        </w:rPr>
        <w:t>committee, shall be indemnified and held harmless by the Employer against and from any and all losses, cost, liability, or expense that may be imposed upon or reasonably incurred by such persons in connection with or resulting from any claim, action, suit or proceeding to which any such person may be party by their reason to act or not act under the Plan and against and from any and all amounts paid by such persons in settlement (with the Employer’s written approval) or paid by such persons in satisfaction of a judgment in any such action, suit or proceeding. The provisions of this Section 9.03 shall not apply to any person if such loss, cost, liability or expense is due to such person’s gross negligence or willful misconduct.</w:t>
      </w:r>
    </w:p>
    <w:p>
      <w:pPr>
        <w:spacing w:after="0" w:line="162"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9.04 </w:t>
      </w:r>
      <w:r>
        <w:rPr>
          <w:rFonts w:ascii="Arial" w:cs="Arial" w:eastAsia="Arial" w:hAnsi="Arial"/>
          <w:sz w:val="21"/>
          <w:szCs w:val="21"/>
          <w:b w:val="1"/>
          <w:bCs w:val="1"/>
          <w:color w:val="auto"/>
        </w:rPr>
        <w:t>Non-Alienation of Benefits</w:t>
      </w:r>
      <w:r>
        <w:rPr>
          <w:rFonts w:ascii="Arial" w:cs="Arial" w:eastAsia="Arial" w:hAnsi="Arial"/>
          <w:sz w:val="21"/>
          <w:szCs w:val="21"/>
          <w:color w:val="auto"/>
        </w:rPr>
        <w:t>. Except as provided in Section 6.03, or by mutual agreement between the Employer and any Participant or Former Participant, benefits payable under the Plan shall not be subject, in any manner, to anticipation, alienation, sale, transfer, assignment, pledge, encumbrance or charge, whether voluntary or involuntary, by operation of law or otherwise, and any attempt at such shall be void; and further provided, that any such benefit shall not in any way be subject to the debts, contract, liabilities, engagements or torts of the person who shall be entitled to such benefit, nor shall it be subject to attachment or legal process for or against such person.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77"/>
        </w:trPr>
        <w:tc>
          <w:tcPr>
            <w:tcW w:w="2000" w:type="dxa"/>
            <w:vAlign w:val="bottom"/>
          </w:tcPr>
          <w:p>
            <w:pPr>
              <w:spacing w:after="0"/>
              <w:rPr>
                <w:sz w:val="24"/>
                <w:szCs w:val="24"/>
                <w:color w:val="auto"/>
              </w:rPr>
            </w:pPr>
          </w:p>
        </w:tc>
        <w:tc>
          <w:tcPr>
            <w:tcW w:w="9420" w:type="dxa"/>
            <w:vAlign w:val="bottom"/>
          </w:tcPr>
          <w:p>
            <w:pPr>
              <w:jc w:val="center"/>
              <w:ind w:right="1934"/>
              <w:spacing w:after="0"/>
              <w:rPr>
                <w:sz w:val="20"/>
                <w:szCs w:val="20"/>
                <w:color w:val="auto"/>
              </w:rPr>
            </w:pPr>
            <w:r>
              <w:rPr>
                <w:rFonts w:ascii="Arial" w:cs="Arial" w:eastAsia="Arial" w:hAnsi="Arial"/>
                <w:sz w:val="21"/>
                <w:szCs w:val="21"/>
                <w:b w:val="1"/>
                <w:bCs w:val="1"/>
                <w:color w:val="auto"/>
              </w:rPr>
              <w:t>ARTICLE X</w:t>
            </w:r>
          </w:p>
        </w:tc>
      </w:tr>
      <w:tr>
        <w:trPr>
          <w:trHeight w:val="478"/>
        </w:trPr>
        <w:tc>
          <w:tcPr>
            <w:tcW w:w="2000" w:type="dxa"/>
            <w:vAlign w:val="bottom"/>
          </w:tcPr>
          <w:p>
            <w:pPr>
              <w:spacing w:after="0"/>
              <w:rPr>
                <w:sz w:val="24"/>
                <w:szCs w:val="24"/>
                <w:color w:val="auto"/>
              </w:rPr>
            </w:pPr>
          </w:p>
        </w:tc>
        <w:tc>
          <w:tcPr>
            <w:tcW w:w="9420" w:type="dxa"/>
            <w:vAlign w:val="bottom"/>
          </w:tcPr>
          <w:p>
            <w:pPr>
              <w:jc w:val="center"/>
              <w:ind w:right="1894"/>
              <w:spacing w:after="0"/>
              <w:rPr>
                <w:sz w:val="20"/>
                <w:szCs w:val="20"/>
                <w:color w:val="auto"/>
              </w:rPr>
            </w:pPr>
            <w:r>
              <w:rPr>
                <w:rFonts w:ascii="Arial" w:cs="Arial" w:eastAsia="Arial" w:hAnsi="Arial"/>
                <w:sz w:val="21"/>
                <w:szCs w:val="21"/>
                <w:b w:val="1"/>
                <w:bCs w:val="1"/>
                <w:color w:val="auto"/>
              </w:rPr>
              <w:t>MISCELLANEOUS</w:t>
            </w:r>
          </w:p>
        </w:tc>
      </w:tr>
      <w:tr>
        <w:trPr>
          <w:trHeight w:val="419"/>
        </w:trPr>
        <w:tc>
          <w:tcPr>
            <w:tcW w:w="2000" w:type="dxa"/>
            <w:vAlign w:val="bottom"/>
          </w:tcPr>
          <w:p>
            <w:pPr>
              <w:jc w:val="right"/>
              <w:ind w:right="534"/>
              <w:spacing w:after="0"/>
              <w:rPr>
                <w:sz w:val="20"/>
                <w:szCs w:val="20"/>
                <w:color w:val="auto"/>
              </w:rPr>
            </w:pPr>
            <w:r>
              <w:rPr>
                <w:rFonts w:ascii="Arial" w:cs="Arial" w:eastAsia="Arial" w:hAnsi="Arial"/>
                <w:sz w:val="21"/>
                <w:szCs w:val="21"/>
                <w:color w:val="auto"/>
              </w:rPr>
              <w:t>10.01</w:t>
            </w:r>
          </w:p>
        </w:tc>
        <w:tc>
          <w:tcPr>
            <w:tcW w:w="9420" w:type="dxa"/>
            <w:vAlign w:val="bottom"/>
          </w:tcPr>
          <w:p>
            <w:pPr>
              <w:ind w:left="640"/>
              <w:spacing w:after="0"/>
              <w:rPr>
                <w:sz w:val="20"/>
                <w:szCs w:val="20"/>
                <w:color w:val="auto"/>
              </w:rPr>
            </w:pPr>
            <w:r>
              <w:rPr>
                <w:rFonts w:ascii="Arial" w:cs="Arial" w:eastAsia="Arial" w:hAnsi="Arial"/>
                <w:sz w:val="21"/>
                <w:szCs w:val="21"/>
                <w:b w:val="1"/>
                <w:bCs w:val="1"/>
                <w:color w:val="auto"/>
                <w:w w:val="92"/>
              </w:rPr>
              <w:t>Applicable Law</w:t>
            </w:r>
            <w:r>
              <w:rPr>
                <w:rFonts w:ascii="Arial" w:cs="Arial" w:eastAsia="Arial" w:hAnsi="Arial"/>
                <w:sz w:val="21"/>
                <w:szCs w:val="21"/>
                <w:color w:val="auto"/>
                <w:w w:val="92"/>
              </w:rPr>
              <w:t>. To the extent not preempted by ERISA, the Plan shall be governed and construed in</w:t>
            </w:r>
          </w:p>
        </w:tc>
      </w:tr>
      <w:tr>
        <w:trPr>
          <w:trHeight w:val="271"/>
        </w:trPr>
        <w:tc>
          <w:tcPr>
            <w:tcW w:w="11420" w:type="dxa"/>
            <w:vAlign w:val="bottom"/>
            <w:gridSpan w:val="2"/>
          </w:tcPr>
          <w:p>
            <w:pPr>
              <w:spacing w:after="0"/>
              <w:rPr>
                <w:sz w:val="20"/>
                <w:szCs w:val="20"/>
                <w:color w:val="auto"/>
              </w:rPr>
            </w:pPr>
            <w:r>
              <w:rPr>
                <w:rFonts w:ascii="Arial" w:cs="Arial" w:eastAsia="Arial" w:hAnsi="Arial"/>
                <w:sz w:val="21"/>
                <w:szCs w:val="21"/>
                <w:color w:val="auto"/>
              </w:rPr>
              <w:t>accordance with the laws of the State of Texas.</w:t>
            </w:r>
          </w:p>
        </w:tc>
      </w:tr>
      <w:tr>
        <w:trPr>
          <w:trHeight w:val="437"/>
        </w:trPr>
        <w:tc>
          <w:tcPr>
            <w:tcW w:w="2000" w:type="dxa"/>
            <w:vAlign w:val="bottom"/>
          </w:tcPr>
          <w:p>
            <w:pPr>
              <w:jc w:val="right"/>
              <w:ind w:right="534"/>
              <w:spacing w:after="0"/>
              <w:rPr>
                <w:sz w:val="20"/>
                <w:szCs w:val="20"/>
                <w:color w:val="auto"/>
              </w:rPr>
            </w:pPr>
            <w:r>
              <w:rPr>
                <w:rFonts w:ascii="Arial" w:cs="Arial" w:eastAsia="Arial" w:hAnsi="Arial"/>
                <w:sz w:val="21"/>
                <w:szCs w:val="21"/>
                <w:color w:val="auto"/>
              </w:rPr>
              <w:t>10.02</w:t>
            </w:r>
          </w:p>
        </w:tc>
        <w:tc>
          <w:tcPr>
            <w:tcW w:w="9420" w:type="dxa"/>
            <w:vAlign w:val="bottom"/>
          </w:tcPr>
          <w:p>
            <w:pPr>
              <w:ind w:left="640"/>
              <w:spacing w:after="0"/>
              <w:rPr>
                <w:sz w:val="20"/>
                <w:szCs w:val="20"/>
                <w:color w:val="auto"/>
              </w:rPr>
            </w:pPr>
            <w:r>
              <w:rPr>
                <w:rFonts w:ascii="Arial" w:cs="Arial" w:eastAsia="Arial" w:hAnsi="Arial"/>
                <w:sz w:val="21"/>
                <w:szCs w:val="21"/>
                <w:b w:val="1"/>
                <w:bCs w:val="1"/>
                <w:color w:val="auto"/>
                <w:w w:val="94"/>
              </w:rPr>
              <w:t>Plan not an Employment Contract</w:t>
            </w:r>
            <w:r>
              <w:rPr>
                <w:rFonts w:ascii="Arial" w:cs="Arial" w:eastAsia="Arial" w:hAnsi="Arial"/>
                <w:sz w:val="21"/>
                <w:szCs w:val="21"/>
                <w:color w:val="auto"/>
                <w:w w:val="94"/>
              </w:rPr>
              <w:t>. The Plan is not, nor shall it be construed to be, an employment</w:t>
            </w:r>
          </w:p>
        </w:tc>
      </w:tr>
    </w:tbl>
    <w:p>
      <w:pPr>
        <w:jc w:val="both"/>
        <w:spacing w:after="0" w:line="261" w:lineRule="auto"/>
        <w:rPr>
          <w:sz w:val="20"/>
          <w:szCs w:val="20"/>
          <w:color w:val="auto"/>
        </w:rPr>
      </w:pPr>
      <w:r>
        <w:rPr>
          <w:rFonts w:ascii="Arial" w:cs="Arial" w:eastAsia="Arial" w:hAnsi="Arial"/>
          <w:sz w:val="20"/>
          <w:szCs w:val="20"/>
          <w:color w:val="auto"/>
        </w:rPr>
        <w:t>contract between the Employer or an Affiliate and an Employee. The receipt of benefits hereunder does not give any person the right to be continued in the employ of the Employer or an Affiliate, and all Employees remain subject to change of salary, transfer, change of job, discipline, layoff, discharge (with or without cause) or any other change of employment status.</w:t>
      </w:r>
    </w:p>
    <w:p>
      <w:pPr>
        <w:spacing w:after="0" w:line="155"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10.03 </w:t>
      </w:r>
      <w:r>
        <w:rPr>
          <w:rFonts w:ascii="Arial" w:cs="Arial" w:eastAsia="Arial" w:hAnsi="Arial"/>
          <w:sz w:val="21"/>
          <w:szCs w:val="21"/>
          <w:b w:val="1"/>
          <w:bCs w:val="1"/>
          <w:color w:val="auto"/>
        </w:rPr>
        <w:t>Source of Payment</w:t>
      </w:r>
      <w:r>
        <w:rPr>
          <w:rFonts w:ascii="Arial" w:cs="Arial" w:eastAsia="Arial" w:hAnsi="Arial"/>
          <w:sz w:val="21"/>
          <w:szCs w:val="21"/>
          <w:color w:val="auto"/>
        </w:rPr>
        <w:t>. The benefits payable under the Plan are an obligation and liability of the applicable Employer. Amounts paid under the Plan shall be paid in cash from the Trust, but only to the extent the amount then standing in the Trust and allocated to a Participant’s or Former Participant’s Account has been paid to the Trust. Amounts not paid from the Trust shall be paid from the general assets of the applicable Employer.</w:t>
      </w:r>
    </w:p>
    <w:p>
      <w:pPr>
        <w:spacing w:after="0" w:line="172" w:lineRule="exact"/>
        <w:rPr>
          <w:sz w:val="20"/>
          <w:szCs w:val="20"/>
          <w:color w:val="auto"/>
        </w:rPr>
      </w:pPr>
    </w:p>
    <w:p>
      <w:pPr>
        <w:jc w:val="both"/>
        <w:ind w:firstLine="2062"/>
        <w:spacing w:after="0" w:line="244" w:lineRule="auto"/>
        <w:rPr>
          <w:sz w:val="20"/>
          <w:szCs w:val="20"/>
          <w:color w:val="auto"/>
        </w:rPr>
      </w:pPr>
      <w:r>
        <w:rPr>
          <w:rFonts w:ascii="Arial" w:cs="Arial" w:eastAsia="Arial" w:hAnsi="Arial"/>
          <w:sz w:val="21"/>
          <w:szCs w:val="21"/>
          <w:color w:val="auto"/>
        </w:rPr>
        <w:t>No Participant, Former Participant or Beneficiary shall have any right, title or interest whatever in or to any investment reserves, accounts, funds or assets that the Employer may purchase, establish or accumulate to aid in providing the benefits described under the Plan. Nothing contained in the Plan, and no action taken pursuant to its provisions, shall create or be construed to create a fiduciary relationship of any kind between the Employer or an Affiliate and a Participant, Former Participant or Beneficiary.</w:t>
      </w:r>
    </w:p>
    <w:p>
      <w:pPr>
        <w:spacing w:after="0" w:line="180" w:lineRule="exact"/>
        <w:rPr>
          <w:sz w:val="20"/>
          <w:szCs w:val="20"/>
          <w:color w:val="auto"/>
        </w:rPr>
      </w:pPr>
    </w:p>
    <w:p>
      <w:pPr>
        <w:jc w:val="both"/>
        <w:ind w:firstLine="2062"/>
        <w:spacing w:after="0" w:line="267" w:lineRule="auto"/>
        <w:rPr>
          <w:sz w:val="20"/>
          <w:szCs w:val="20"/>
          <w:color w:val="auto"/>
        </w:rPr>
      </w:pPr>
      <w:r>
        <w:rPr>
          <w:rFonts w:ascii="Arial" w:cs="Arial" w:eastAsia="Arial" w:hAnsi="Arial"/>
          <w:sz w:val="21"/>
          <w:szCs w:val="21"/>
          <w:color w:val="auto"/>
        </w:rPr>
        <w:t>A Participant, Former Participant or Beneficiary shall not acquire any interest under the Plan greater than that of an unsecured creditor.</w:t>
      </w:r>
    </w:p>
    <w:p>
      <w:pPr>
        <w:spacing w:after="0" w:line="147"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20"/>
          <w:szCs w:val="20"/>
          <w:color w:val="auto"/>
        </w:rPr>
        <w:t xml:space="preserve">10.04 </w:t>
      </w:r>
      <w:r>
        <w:rPr>
          <w:rFonts w:ascii="Arial" w:cs="Arial" w:eastAsia="Arial" w:hAnsi="Arial"/>
          <w:sz w:val="20"/>
          <w:szCs w:val="20"/>
          <w:b w:val="1"/>
          <w:bCs w:val="1"/>
          <w:color w:val="auto"/>
        </w:rPr>
        <w:t>Tax Withholding</w:t>
      </w:r>
      <w:r>
        <w:rPr>
          <w:rFonts w:ascii="Arial" w:cs="Arial" w:eastAsia="Arial" w:hAnsi="Arial"/>
          <w:sz w:val="20"/>
          <w:szCs w:val="20"/>
          <w:color w:val="auto"/>
        </w:rPr>
        <w:t>. The Employer shall withhold from any payment any federal, state or local taxes required by law to be withheld with respect to such payment and such sums as the Employer may reasonably estimate as necessary to cover any taxes for which the Employer may be liable and which may be assessed with regard to such payment.</w:t>
      </w:r>
    </w:p>
    <w:p>
      <w:pPr>
        <w:spacing w:after="0" w:line="142"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1"/>
          <w:szCs w:val="21"/>
          <w:color w:val="auto"/>
        </w:rPr>
        <w:t xml:space="preserve">10.05 </w:t>
      </w:r>
      <w:r>
        <w:rPr>
          <w:rFonts w:ascii="Arial" w:cs="Arial" w:eastAsia="Arial" w:hAnsi="Arial"/>
          <w:sz w:val="21"/>
          <w:szCs w:val="21"/>
          <w:b w:val="1"/>
          <w:bCs w:val="1"/>
          <w:color w:val="auto"/>
        </w:rPr>
        <w:t>Severability</w:t>
      </w:r>
      <w:r>
        <w:rPr>
          <w:rFonts w:ascii="Arial" w:cs="Arial" w:eastAsia="Arial" w:hAnsi="Arial"/>
          <w:sz w:val="21"/>
          <w:szCs w:val="21"/>
          <w:color w:val="auto"/>
        </w:rPr>
        <w:t>. In the event any provision of the Plan shall be held invalid or illegal, either in whole or in part, for any reason, then any such provision shall be construed and enforced as if such provisions had never been included in the Plan and the Employer shall have the right to correct or remedy any such provision by amendment to the Plan.</w:t>
      </w:r>
    </w:p>
    <w:p>
      <w:pPr>
        <w:spacing w:after="0" w:line="159"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10.06 </w:t>
      </w:r>
      <w:r>
        <w:rPr>
          <w:rFonts w:ascii="Arial" w:cs="Arial" w:eastAsia="Arial" w:hAnsi="Arial"/>
          <w:sz w:val="21"/>
          <w:szCs w:val="21"/>
          <w:b w:val="1"/>
          <w:bCs w:val="1"/>
          <w:color w:val="auto"/>
        </w:rPr>
        <w:t>409</w:t>
      </w:r>
      <w:r>
        <w:rPr>
          <w:rFonts w:ascii="Arial" w:cs="Arial" w:eastAsia="Arial" w:hAnsi="Arial"/>
          <w:sz w:val="21"/>
          <w:szCs w:val="21"/>
          <w:b w:val="1"/>
          <w:bCs w:val="1"/>
          <w:color w:val="auto"/>
        </w:rPr>
        <w:t>А</w:t>
      </w:r>
      <w:r>
        <w:rPr>
          <w:rFonts w:ascii="Arial" w:cs="Arial" w:eastAsia="Arial" w:hAnsi="Arial"/>
          <w:sz w:val="21"/>
          <w:szCs w:val="21"/>
          <w:color w:val="auto"/>
        </w:rPr>
        <w:t xml:space="preserve"> </w:t>
      </w:r>
      <w:r>
        <w:rPr>
          <w:rFonts w:ascii="Arial" w:cs="Arial" w:eastAsia="Arial" w:hAnsi="Arial"/>
          <w:sz w:val="21"/>
          <w:szCs w:val="21"/>
          <w:b w:val="1"/>
          <w:bCs w:val="1"/>
          <w:color w:val="auto"/>
        </w:rPr>
        <w:t>Compliance</w:t>
      </w:r>
      <w:r>
        <w:rPr>
          <w:rFonts w:ascii="Arial" w:cs="Arial" w:eastAsia="Arial" w:hAnsi="Arial"/>
          <w:sz w:val="21"/>
          <w:szCs w:val="21"/>
          <w:color w:val="auto"/>
        </w:rPr>
        <w:t>. It is intended that the provisions of this Plan satisfy the requirements of Code Section 409A, and that the Plan be construed and operated in a manner consistent with such requirements to the extent applicable. In accordance with Code Section 409A, an entitlement to a series of payments under this Plan is to be treated as an entitlement to a series of separate payments. Notwithstanding any provision of this Plan to the contrary, participation in this Plan constitutes acknowledgement and agreement by each Participant that the Company and its employees, officers, directors and Affiliates shall not be liable for, and nothing provided or contained in this Plan will be construed to obligate or cause the Company and/or its employees, officers, directors and Affiliates to be liable for, any tax, interest or penalties imposed on a Participant related to or arising with respect to any violation of Code Section 409A.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0" w:name="page101"/>
    <w:bookmarkEnd w:id="100"/>
    <w:p>
      <w:pPr>
        <w:jc w:val="both"/>
        <w:ind w:firstLine="878"/>
        <w:spacing w:after="0" w:line="253" w:lineRule="auto"/>
        <w:rPr>
          <w:sz w:val="20"/>
          <w:szCs w:val="20"/>
          <w:color w:val="auto"/>
        </w:rPr>
      </w:pPr>
      <w:r>
        <w:rPr>
          <w:rFonts w:ascii="Arial" w:cs="Arial" w:eastAsia="Arial" w:hAnsi="Arial"/>
          <w:sz w:val="20"/>
          <w:szCs w:val="20"/>
          <w:color w:val="auto"/>
        </w:rPr>
        <w:t xml:space="preserve">10.07 </w:t>
      </w:r>
      <w:r>
        <w:rPr>
          <w:rFonts w:ascii="Arial" w:cs="Arial" w:eastAsia="Arial" w:hAnsi="Arial"/>
          <w:sz w:val="20"/>
          <w:szCs w:val="20"/>
          <w:b w:val="1"/>
          <w:bCs w:val="1"/>
          <w:color w:val="auto"/>
        </w:rPr>
        <w:t>Specified Employees</w:t>
      </w:r>
      <w:r>
        <w:rPr>
          <w:rFonts w:ascii="Arial" w:cs="Arial" w:eastAsia="Arial" w:hAnsi="Arial"/>
          <w:sz w:val="20"/>
          <w:szCs w:val="20"/>
          <w:color w:val="auto"/>
        </w:rPr>
        <w:t>. If the Participant is a “specified employee,” as such term is defined and determined as described below in this Section 10.07, any payments payable as a result of the Participant’s Termination of Employment (other than death) shall not be payable before the earlier of (i) the date that is six months after the Participant’s Termination of Employment, (ii) the date of the Participant’s death, or (iii) the date that otherwise complies with the requirements of Section 409A. A Participant shall be a “specified employee” for the twelve- month period beginning on April 1 of a year if the Participant is a “key employee” as defined in Section 416(i) of the Internal Revenue Code (without regard to Section 416(i)(5) and further described below) as of December 31 of the preceding year or using such dates as designated by the Administrative Committee in accordance with Section 409A and in a manner that is consistent with respect to all of the Company’s nonqualified deferred compensation plans. For purposes of determining the identity of specified employees, the Administrative Committee may establish procedures as it deems appropriate in accordance with Section 409A. A “key employee” is an employee who is (1) one of the top 50 highly paid officers of the Company having an annual income greater than $150,000 (as such amount may be adjusted in accordance with Section 416(i) of the Code); (2) a 5-percent owner of the Company, or (3) is a 1-percent owner of the Company having an annual compensation from the employer of more than $150,000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1" w:name="page102"/>
    <w:bookmarkEnd w:id="101"/>
    <w:p>
      <w:pPr>
        <w:jc w:val="both"/>
        <w:ind w:firstLine="878"/>
        <w:spacing w:after="0" w:line="252" w:lineRule="auto"/>
        <w:rPr>
          <w:sz w:val="20"/>
          <w:szCs w:val="20"/>
          <w:color w:val="auto"/>
        </w:rPr>
      </w:pPr>
      <w:r>
        <w:rPr>
          <w:rFonts w:ascii="Arial" w:cs="Arial" w:eastAsia="Arial" w:hAnsi="Arial"/>
          <w:sz w:val="21"/>
          <w:szCs w:val="21"/>
          <w:color w:val="auto"/>
        </w:rPr>
        <w:t>IN WITNESS WHEREOF, the Employer has caused this instrument to be executed by its duly authorized officers in multiple copies, each of which shall be deemed an original all of which shall constitute one and the same instrument, this eleventh day of January, 2019, but effective as of the first day of January, 2014.</w:t>
      </w:r>
    </w:p>
    <w:p>
      <w:pPr>
        <w:spacing w:after="0" w:line="375"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SCHLUMBERGER LIMITED</w:t>
      </w:r>
    </w:p>
    <w:p>
      <w:pPr>
        <w:spacing w:after="0" w:line="200" w:lineRule="exact"/>
        <w:rPr>
          <w:sz w:val="20"/>
          <w:szCs w:val="20"/>
          <w:color w:val="auto"/>
        </w:rPr>
      </w:pPr>
    </w:p>
    <w:p>
      <w:pPr>
        <w:spacing w:after="0" w:line="228" w:lineRule="exact"/>
        <w:rPr>
          <w:sz w:val="20"/>
          <w:szCs w:val="20"/>
          <w:color w:val="auto"/>
        </w:rPr>
      </w:pPr>
    </w:p>
    <w:p>
      <w:pPr>
        <w:ind w:left="5720"/>
        <w:spacing w:after="0"/>
        <w:tabs>
          <w:tab w:leader="none" w:pos="6300" w:val="left"/>
        </w:tabs>
        <w:rPr>
          <w:sz w:val="20"/>
          <w:szCs w:val="20"/>
          <w:color w:val="auto"/>
        </w:rPr>
      </w:pPr>
      <w:r>
        <w:rPr>
          <w:rFonts w:ascii="Arial" w:cs="Arial" w:eastAsia="Arial" w:hAnsi="Arial"/>
          <w:sz w:val="21"/>
          <w:szCs w:val="21"/>
          <w:color w:val="auto"/>
        </w:rPr>
        <w:t>By:</w:t>
        <w:tab/>
        <w:t>/s/Alexander C. Juden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12065</wp:posOffset>
            </wp:positionV>
            <wp:extent cx="32448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6" w:lineRule="exact"/>
        <w:rPr>
          <w:sz w:val="20"/>
          <w:szCs w:val="20"/>
          <w:color w:val="auto"/>
        </w:rPr>
      </w:pPr>
    </w:p>
    <w:p>
      <w:pPr>
        <w:ind w:left="6320"/>
        <w:spacing w:after="0"/>
        <w:rPr>
          <w:sz w:val="20"/>
          <w:szCs w:val="20"/>
          <w:color w:val="auto"/>
        </w:rPr>
      </w:pPr>
      <w:r>
        <w:rPr>
          <w:rFonts w:ascii="Arial" w:cs="Arial" w:eastAsia="Arial" w:hAnsi="Arial"/>
          <w:sz w:val="21"/>
          <w:szCs w:val="21"/>
          <w:color w:val="auto"/>
        </w:rPr>
        <w:t>Alexander C. Juden</w:t>
      </w:r>
    </w:p>
    <w:p>
      <w:pPr>
        <w:ind w:left="6320"/>
        <w:spacing w:after="0"/>
        <w:rPr>
          <w:sz w:val="20"/>
          <w:szCs w:val="20"/>
          <w:color w:val="auto"/>
        </w:rPr>
      </w:pPr>
      <w:r>
        <w:rPr>
          <w:rFonts w:ascii="Arial" w:cs="Arial" w:eastAsia="Arial" w:hAnsi="Arial"/>
          <w:sz w:val="21"/>
          <w:szCs w:val="21"/>
          <w:color w:val="auto"/>
        </w:rPr>
        <w:t>Secretary and General Counsel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420"/>
          </w:cols>
          <w:pgMar w:left="240" w:top="33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1"/>
          <w:szCs w:val="21"/>
          <w:b w:val="1"/>
          <w:bCs w:val="1"/>
          <w:color w:val="auto"/>
        </w:rPr>
        <w:t>Exhibit 10.3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SC</w:t>
      </w:r>
      <w:r>
        <w:rPr>
          <w:rFonts w:ascii="Arial" w:cs="Arial" w:eastAsia="Arial" w:hAnsi="Arial"/>
          <w:sz w:val="21"/>
          <w:szCs w:val="21"/>
          <w:b w:val="1"/>
          <w:bCs w:val="1"/>
          <w:color w:val="auto"/>
        </w:rPr>
        <w:t>SCHLUMBERGER TECHNOLOGY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SUPPLEMENTARY BENEFIT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Amended and Restated Effective January 1, 2018, and conformed to include amendments through January 1,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60" w:type="dxa"/>
            <w:vAlign w:val="bottom"/>
          </w:tcPr>
          <w:p>
            <w:pPr>
              <w:ind w:left="1160"/>
              <w:spacing w:after="0"/>
              <w:rPr>
                <w:sz w:val="20"/>
                <w:szCs w:val="20"/>
                <w:color w:val="auto"/>
              </w:rPr>
            </w:pPr>
            <w:r>
              <w:rPr>
                <w:rFonts w:ascii="Arial" w:cs="Arial" w:eastAsia="Arial" w:hAnsi="Arial"/>
                <w:sz w:val="21"/>
                <w:szCs w:val="21"/>
                <w:color w:val="auto"/>
              </w:rPr>
              <w:t>INDEX</w:t>
            </w:r>
          </w:p>
        </w:tc>
        <w:tc>
          <w:tcPr>
            <w:tcW w:w="1140" w:type="dxa"/>
            <w:vAlign w:val="bottom"/>
          </w:tcPr>
          <w:p>
            <w:pPr>
              <w:spacing w:after="0"/>
              <w:rPr>
                <w:sz w:val="23"/>
                <w:szCs w:val="23"/>
                <w:color w:val="auto"/>
              </w:rPr>
            </w:pPr>
          </w:p>
        </w:tc>
      </w:tr>
      <w:tr>
        <w:trPr>
          <w:trHeight w:val="446"/>
        </w:trPr>
        <w:tc>
          <w:tcPr>
            <w:tcW w:w="10280" w:type="dxa"/>
            <w:vAlign w:val="bottom"/>
            <w:gridSpan w:val="25"/>
          </w:tcPr>
          <w:p>
            <w:pPr>
              <w:spacing w:after="0"/>
              <w:rPr>
                <w:sz w:val="20"/>
                <w:szCs w:val="20"/>
                <w:color w:val="auto"/>
              </w:rPr>
            </w:pPr>
            <w:r>
              <w:rPr>
                <w:rFonts w:ascii="Arial" w:cs="Arial" w:eastAsia="Arial" w:hAnsi="Arial"/>
                <w:sz w:val="21"/>
                <w:szCs w:val="21"/>
                <w:color w:val="auto"/>
              </w:rPr>
              <w:t>ARTICLE I DEFINITIONS AND CONSTRUCTION</w:t>
            </w:r>
          </w:p>
        </w:tc>
        <w:tc>
          <w:tcPr>
            <w:tcW w:w="1140" w:type="dxa"/>
            <w:vAlign w:val="bottom"/>
          </w:tcPr>
          <w:p>
            <w:pPr>
              <w:jc w:val="right"/>
              <w:spacing w:after="0"/>
              <w:rPr>
                <w:sz w:val="20"/>
                <w:szCs w:val="20"/>
                <w:color w:val="auto"/>
              </w:rPr>
            </w:pPr>
            <w:r>
              <w:rPr>
                <w:rFonts w:ascii="Arial" w:cs="Arial" w:eastAsia="Arial" w:hAnsi="Arial"/>
                <w:sz w:val="21"/>
                <w:szCs w:val="21"/>
                <w:color w:val="auto"/>
              </w:rPr>
              <w:t>2</w:t>
            </w:r>
          </w:p>
        </w:tc>
      </w:tr>
      <w:tr>
        <w:trPr>
          <w:trHeight w:val="221"/>
        </w:trPr>
        <w:tc>
          <w:tcPr>
            <w:tcW w:w="1020" w:type="dxa"/>
            <w:vAlign w:val="bottom"/>
          </w:tcPr>
          <w:p>
            <w:pPr>
              <w:jc w:val="right"/>
              <w:ind w:right="274"/>
              <w:spacing w:after="0" w:line="221" w:lineRule="exact"/>
              <w:rPr>
                <w:sz w:val="20"/>
                <w:szCs w:val="20"/>
                <w:color w:val="auto"/>
              </w:rPr>
            </w:pPr>
            <w:r>
              <w:rPr>
                <w:rFonts w:ascii="Arial" w:cs="Arial" w:eastAsia="Arial" w:hAnsi="Arial"/>
                <w:sz w:val="21"/>
                <w:szCs w:val="21"/>
                <w:color w:val="auto"/>
              </w:rPr>
              <w:t>1.1</w:t>
            </w:r>
          </w:p>
        </w:tc>
        <w:tc>
          <w:tcPr>
            <w:tcW w:w="9260" w:type="dxa"/>
            <w:vAlign w:val="bottom"/>
            <w:gridSpan w:val="24"/>
          </w:tcPr>
          <w:p>
            <w:pPr>
              <w:spacing w:after="0" w:line="221" w:lineRule="exact"/>
              <w:rPr>
                <w:sz w:val="20"/>
                <w:szCs w:val="20"/>
                <w:color w:val="auto"/>
              </w:rPr>
            </w:pPr>
            <w:r>
              <w:rPr>
                <w:rFonts w:ascii="Arial" w:cs="Arial" w:eastAsia="Arial" w:hAnsi="Arial"/>
                <w:sz w:val="21"/>
                <w:szCs w:val="21"/>
                <w:color w:val="auto"/>
              </w:rPr>
              <w:t>Definitions</w:t>
            </w:r>
          </w:p>
        </w:tc>
        <w:tc>
          <w:tcPr>
            <w:tcW w:w="1140" w:type="dxa"/>
            <w:vAlign w:val="bottom"/>
          </w:tcPr>
          <w:p>
            <w:pPr>
              <w:jc w:val="right"/>
              <w:spacing w:after="0" w:line="221" w:lineRule="exact"/>
              <w:rPr>
                <w:sz w:val="20"/>
                <w:szCs w:val="20"/>
                <w:color w:val="auto"/>
              </w:rPr>
            </w:pPr>
            <w:r>
              <w:rPr>
                <w:rFonts w:ascii="Arial" w:cs="Arial" w:eastAsia="Arial" w:hAnsi="Arial"/>
                <w:sz w:val="21"/>
                <w:szCs w:val="21"/>
                <w:color w:val="auto"/>
              </w:rPr>
              <w:t>2</w:t>
            </w: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1.2</w:t>
            </w:r>
          </w:p>
        </w:tc>
        <w:tc>
          <w:tcPr>
            <w:tcW w:w="9260" w:type="dxa"/>
            <w:vAlign w:val="bottom"/>
            <w:gridSpan w:val="24"/>
          </w:tcPr>
          <w:p>
            <w:pPr>
              <w:spacing w:after="0"/>
              <w:rPr>
                <w:sz w:val="20"/>
                <w:szCs w:val="20"/>
                <w:color w:val="auto"/>
              </w:rPr>
            </w:pPr>
            <w:r>
              <w:rPr>
                <w:rFonts w:ascii="Arial" w:cs="Arial" w:eastAsia="Arial" w:hAnsi="Arial"/>
                <w:sz w:val="21"/>
                <w:szCs w:val="21"/>
                <w:color w:val="auto"/>
              </w:rPr>
              <w:t>Gender and Number</w:t>
            </w:r>
          </w:p>
        </w:tc>
        <w:tc>
          <w:tcPr>
            <w:tcW w:w="1140" w:type="dxa"/>
            <w:vAlign w:val="bottom"/>
          </w:tcPr>
          <w:p>
            <w:pPr>
              <w:jc w:val="right"/>
              <w:spacing w:after="0"/>
              <w:rPr>
                <w:sz w:val="20"/>
                <w:szCs w:val="20"/>
                <w:color w:val="auto"/>
              </w:rPr>
            </w:pPr>
            <w:r>
              <w:rPr>
                <w:rFonts w:ascii="Arial" w:cs="Arial" w:eastAsia="Arial" w:hAnsi="Arial"/>
                <w:sz w:val="21"/>
                <w:szCs w:val="21"/>
                <w:color w:val="auto"/>
              </w:rPr>
              <w:t>3</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1.3</w:t>
            </w:r>
          </w:p>
        </w:tc>
        <w:tc>
          <w:tcPr>
            <w:tcW w:w="104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1"/>
                <w:szCs w:val="21"/>
                <w:color w:val="auto"/>
                <w:w w:val="93"/>
              </w:rPr>
              <w:t>Severability</w:t>
            </w:r>
          </w:p>
        </w:tc>
        <w:tc>
          <w:tcPr>
            <w:tcW w:w="700" w:type="dxa"/>
            <w:vAlign w:val="bottom"/>
            <w:tcBorders>
              <w:top w:val="single" w:sz="8" w:color="auto"/>
            </w:tcBorders>
            <w:gridSpan w:val="7"/>
          </w:tcPr>
          <w:p>
            <w:pPr>
              <w:spacing w:after="0"/>
              <w:rPr>
                <w:sz w:val="21"/>
                <w:szCs w:val="21"/>
                <w:color w:val="auto"/>
              </w:rPr>
            </w:pPr>
          </w:p>
        </w:tc>
        <w:tc>
          <w:tcPr>
            <w:tcW w:w="7520" w:type="dxa"/>
            <w:vAlign w:val="bottom"/>
            <w:gridSpan w:val="11"/>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1.4</w:t>
            </w:r>
          </w:p>
        </w:tc>
        <w:tc>
          <w:tcPr>
            <w:tcW w:w="1380" w:type="dxa"/>
            <w:vAlign w:val="bottom"/>
            <w:tcBorders>
              <w:bottom w:val="single" w:sz="8" w:color="auto"/>
            </w:tcBorders>
            <w:gridSpan w:val="9"/>
          </w:tcPr>
          <w:p>
            <w:pPr>
              <w:spacing w:after="0"/>
              <w:rPr>
                <w:sz w:val="20"/>
                <w:szCs w:val="20"/>
                <w:color w:val="auto"/>
              </w:rPr>
            </w:pPr>
            <w:r>
              <w:rPr>
                <w:rFonts w:ascii="Arial" w:cs="Arial" w:eastAsia="Arial" w:hAnsi="Arial"/>
                <w:sz w:val="21"/>
                <w:szCs w:val="21"/>
                <w:color w:val="auto"/>
                <w:w w:val="96"/>
              </w:rPr>
              <w:t>Applicable Law</w:t>
            </w:r>
          </w:p>
        </w:tc>
        <w:tc>
          <w:tcPr>
            <w:tcW w:w="7880" w:type="dxa"/>
            <w:vAlign w:val="bottom"/>
            <w:gridSpan w:val="15"/>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1.5</w:t>
            </w:r>
          </w:p>
        </w:tc>
        <w:tc>
          <w:tcPr>
            <w:tcW w:w="9260" w:type="dxa"/>
            <w:vAlign w:val="bottom"/>
            <w:gridSpan w:val="24"/>
          </w:tcPr>
          <w:p>
            <w:pPr>
              <w:spacing w:after="0"/>
              <w:rPr>
                <w:sz w:val="20"/>
                <w:szCs w:val="20"/>
                <w:color w:val="auto"/>
              </w:rPr>
            </w:pPr>
            <w:r>
              <w:rPr>
                <w:rFonts w:ascii="Arial" w:cs="Arial" w:eastAsia="Arial" w:hAnsi="Arial"/>
                <w:sz w:val="21"/>
                <w:szCs w:val="21"/>
                <w:color w:val="auto"/>
              </w:rPr>
              <w:t>Plan Not an Employment Contract</w:t>
            </w:r>
          </w:p>
        </w:tc>
        <w:tc>
          <w:tcPr>
            <w:tcW w:w="114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1.6</w:t>
            </w:r>
          </w:p>
        </w:tc>
        <w:tc>
          <w:tcPr>
            <w:tcW w:w="2940" w:type="dxa"/>
            <w:vAlign w:val="bottom"/>
            <w:tcBorders>
              <w:top w:val="single" w:sz="8" w:color="auto"/>
            </w:tcBorders>
            <w:gridSpan w:val="21"/>
          </w:tcPr>
          <w:p>
            <w:pPr>
              <w:spacing w:after="0"/>
              <w:rPr>
                <w:sz w:val="20"/>
                <w:szCs w:val="20"/>
                <w:color w:val="auto"/>
              </w:rPr>
            </w:pPr>
            <w:r>
              <w:rPr>
                <w:rFonts w:ascii="Arial" w:cs="Arial" w:eastAsia="Arial" w:hAnsi="Arial"/>
                <w:sz w:val="21"/>
                <w:szCs w:val="21"/>
                <w:color w:val="auto"/>
              </w:rPr>
              <w:t>Source of Payment</w:t>
            </w:r>
          </w:p>
        </w:tc>
        <w:tc>
          <w:tcPr>
            <w:tcW w:w="6320" w:type="dxa"/>
            <w:vAlign w:val="bottom"/>
            <w:gridSpan w:val="3"/>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1.7</w:t>
            </w:r>
          </w:p>
        </w:tc>
        <w:tc>
          <w:tcPr>
            <w:tcW w:w="1620" w:type="dxa"/>
            <w:vAlign w:val="bottom"/>
            <w:tcBorders>
              <w:top w:val="single" w:sz="8" w:color="auto"/>
            </w:tcBorders>
            <w:gridSpan w:val="12"/>
          </w:tcPr>
          <w:p>
            <w:pPr>
              <w:spacing w:after="0"/>
              <w:rPr>
                <w:sz w:val="20"/>
                <w:szCs w:val="20"/>
                <w:color w:val="auto"/>
              </w:rPr>
            </w:pPr>
            <w:r>
              <w:rPr>
                <w:rFonts w:ascii="Arial" w:cs="Arial" w:eastAsia="Arial" w:hAnsi="Arial"/>
                <w:sz w:val="21"/>
                <w:szCs w:val="21"/>
                <w:color w:val="auto"/>
              </w:rPr>
              <w:t>Tax Withholding</w:t>
            </w:r>
          </w:p>
        </w:tc>
        <w:tc>
          <w:tcPr>
            <w:tcW w:w="7640" w:type="dxa"/>
            <w:vAlign w:val="bottom"/>
            <w:gridSpan w:val="12"/>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0"/>
        </w:trPr>
        <w:tc>
          <w:tcPr>
            <w:tcW w:w="10280" w:type="dxa"/>
            <w:vAlign w:val="bottom"/>
            <w:gridSpan w:val="25"/>
          </w:tcPr>
          <w:p>
            <w:pPr>
              <w:spacing w:after="0"/>
              <w:rPr>
                <w:sz w:val="20"/>
                <w:szCs w:val="20"/>
                <w:color w:val="auto"/>
              </w:rPr>
            </w:pPr>
            <w:r>
              <w:rPr>
                <w:rFonts w:ascii="Arial" w:cs="Arial" w:eastAsia="Arial" w:hAnsi="Arial"/>
                <w:sz w:val="21"/>
                <w:szCs w:val="21"/>
                <w:color w:val="auto"/>
              </w:rPr>
              <w:t>ARTICLE II PARTICIPATION</w:t>
            </w:r>
          </w:p>
        </w:tc>
        <w:tc>
          <w:tcPr>
            <w:tcW w:w="1140" w:type="dxa"/>
            <w:vAlign w:val="bottom"/>
          </w:tcPr>
          <w:p>
            <w:pPr>
              <w:jc w:val="right"/>
              <w:spacing w:after="0"/>
              <w:rPr>
                <w:sz w:val="20"/>
                <w:szCs w:val="20"/>
                <w:color w:val="auto"/>
              </w:rPr>
            </w:pPr>
            <w:r>
              <w:rPr>
                <w:rFonts w:ascii="Arial" w:cs="Arial" w:eastAsia="Arial" w:hAnsi="Arial"/>
                <w:sz w:val="21"/>
                <w:szCs w:val="21"/>
                <w:color w:val="auto"/>
              </w:rPr>
              <w:t>5</w:t>
            </w:r>
          </w:p>
        </w:tc>
      </w:tr>
      <w:tr>
        <w:trPr>
          <w:trHeight w:val="265"/>
        </w:trPr>
        <w:tc>
          <w:tcPr>
            <w:tcW w:w="10280" w:type="dxa"/>
            <w:vAlign w:val="bottom"/>
            <w:gridSpan w:val="25"/>
          </w:tcPr>
          <w:p>
            <w:pPr>
              <w:spacing w:after="0"/>
              <w:rPr>
                <w:sz w:val="20"/>
                <w:szCs w:val="20"/>
                <w:color w:val="auto"/>
              </w:rPr>
            </w:pPr>
            <w:r>
              <w:rPr>
                <w:rFonts w:ascii="Arial" w:cs="Arial" w:eastAsia="Arial" w:hAnsi="Arial"/>
                <w:sz w:val="21"/>
                <w:szCs w:val="21"/>
                <w:color w:val="auto"/>
              </w:rPr>
              <w:t>ARTICLE III PROGRAM A: RESTORATION OF BENEFITS REDUCED BY CODE SECTION 401(a)(17)</w:t>
            </w:r>
          </w:p>
        </w:tc>
        <w:tc>
          <w:tcPr>
            <w:tcW w:w="1140" w:type="dxa"/>
            <w:vAlign w:val="bottom"/>
          </w:tcPr>
          <w:p>
            <w:pPr>
              <w:jc w:val="right"/>
              <w:spacing w:after="0"/>
              <w:rPr>
                <w:sz w:val="20"/>
                <w:szCs w:val="20"/>
                <w:color w:val="auto"/>
              </w:rPr>
            </w:pPr>
            <w:r>
              <w:rPr>
                <w:rFonts w:ascii="Arial" w:cs="Arial" w:eastAsia="Arial" w:hAnsi="Arial"/>
                <w:sz w:val="21"/>
                <w:szCs w:val="21"/>
                <w:color w:val="auto"/>
              </w:rPr>
              <w:t>5</w:t>
            </w:r>
          </w:p>
        </w:tc>
      </w:tr>
      <w:tr>
        <w:trPr>
          <w:trHeight w:val="221"/>
        </w:trPr>
        <w:tc>
          <w:tcPr>
            <w:tcW w:w="1020" w:type="dxa"/>
            <w:vAlign w:val="bottom"/>
          </w:tcPr>
          <w:p>
            <w:pPr>
              <w:jc w:val="right"/>
              <w:ind w:right="274"/>
              <w:spacing w:after="0" w:line="221" w:lineRule="exact"/>
              <w:rPr>
                <w:sz w:val="20"/>
                <w:szCs w:val="20"/>
                <w:color w:val="auto"/>
              </w:rPr>
            </w:pPr>
            <w:r>
              <w:rPr>
                <w:rFonts w:ascii="Arial" w:cs="Arial" w:eastAsia="Arial" w:hAnsi="Arial"/>
                <w:sz w:val="21"/>
                <w:szCs w:val="21"/>
                <w:color w:val="auto"/>
              </w:rPr>
              <w:t>3.1</w:t>
            </w:r>
          </w:p>
        </w:tc>
        <w:tc>
          <w:tcPr>
            <w:tcW w:w="700" w:type="dxa"/>
            <w:vAlign w:val="bottom"/>
            <w:tcBorders>
              <w:bottom w:val="single" w:sz="8" w:color="auto"/>
            </w:tcBorders>
            <w:gridSpan w:val="2"/>
          </w:tcPr>
          <w:p>
            <w:pPr>
              <w:spacing w:after="0" w:line="221" w:lineRule="exact"/>
              <w:rPr>
                <w:sz w:val="20"/>
                <w:szCs w:val="20"/>
                <w:color w:val="auto"/>
              </w:rPr>
            </w:pPr>
            <w:r>
              <w:rPr>
                <w:rFonts w:ascii="Arial" w:cs="Arial" w:eastAsia="Arial" w:hAnsi="Arial"/>
                <w:sz w:val="21"/>
                <w:szCs w:val="21"/>
                <w:color w:val="auto"/>
                <w:w w:val="86"/>
              </w:rPr>
              <w:t>Purpose</w:t>
            </w:r>
          </w:p>
        </w:tc>
        <w:tc>
          <w:tcPr>
            <w:tcW w:w="8560" w:type="dxa"/>
            <w:vAlign w:val="bottom"/>
            <w:gridSpan w:val="22"/>
          </w:tcPr>
          <w:p>
            <w:pPr>
              <w:spacing w:after="0"/>
              <w:rPr>
                <w:sz w:val="19"/>
                <w:szCs w:val="19"/>
                <w:color w:val="auto"/>
              </w:rPr>
            </w:pPr>
          </w:p>
        </w:tc>
        <w:tc>
          <w:tcPr>
            <w:tcW w:w="1140" w:type="dxa"/>
            <w:vAlign w:val="bottom"/>
          </w:tcPr>
          <w:p>
            <w:pPr>
              <w:jc w:val="right"/>
              <w:spacing w:after="0" w:line="221" w:lineRule="exact"/>
              <w:rPr>
                <w:sz w:val="20"/>
                <w:szCs w:val="20"/>
                <w:color w:val="auto"/>
              </w:rPr>
            </w:pPr>
            <w:r>
              <w:rPr>
                <w:rFonts w:ascii="Arial" w:cs="Arial" w:eastAsia="Arial" w:hAnsi="Arial"/>
                <w:sz w:val="21"/>
                <w:szCs w:val="21"/>
                <w:color w:val="auto"/>
              </w:rPr>
              <w:t>5</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3.2</w:t>
            </w:r>
          </w:p>
        </w:tc>
        <w:tc>
          <w:tcPr>
            <w:tcW w:w="88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rPr>
              <w:t>Eligibility</w:t>
            </w:r>
          </w:p>
        </w:tc>
        <w:tc>
          <w:tcPr>
            <w:tcW w:w="8380" w:type="dxa"/>
            <w:vAlign w:val="bottom"/>
            <w:gridSpan w:val="20"/>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5</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3.3</w:t>
            </w:r>
          </w:p>
        </w:tc>
        <w:tc>
          <w:tcPr>
            <w:tcW w:w="9260" w:type="dxa"/>
            <w:vAlign w:val="bottom"/>
            <w:gridSpan w:val="24"/>
          </w:tcPr>
          <w:p>
            <w:pPr>
              <w:spacing w:after="0"/>
              <w:rPr>
                <w:sz w:val="20"/>
                <w:szCs w:val="20"/>
                <w:color w:val="auto"/>
              </w:rPr>
            </w:pPr>
            <w:r>
              <w:rPr>
                <w:rFonts w:ascii="Arial" w:cs="Arial" w:eastAsia="Arial" w:hAnsi="Arial"/>
                <w:sz w:val="21"/>
                <w:szCs w:val="21"/>
                <w:color w:val="auto"/>
              </w:rPr>
              <w:t>Calculation of Restoration Benefit</w:t>
            </w:r>
          </w:p>
        </w:tc>
        <w:tc>
          <w:tcPr>
            <w:tcW w:w="114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0"/>
        </w:trPr>
        <w:tc>
          <w:tcPr>
            <w:tcW w:w="10280" w:type="dxa"/>
            <w:vAlign w:val="bottom"/>
            <w:gridSpan w:val="25"/>
          </w:tcPr>
          <w:p>
            <w:pPr>
              <w:spacing w:after="0"/>
              <w:rPr>
                <w:sz w:val="20"/>
                <w:szCs w:val="20"/>
                <w:color w:val="auto"/>
              </w:rPr>
            </w:pPr>
            <w:r>
              <w:rPr>
                <w:rFonts w:ascii="Arial" w:cs="Arial" w:eastAsia="Arial" w:hAnsi="Arial"/>
                <w:sz w:val="21"/>
                <w:szCs w:val="21"/>
                <w:color w:val="auto"/>
              </w:rPr>
              <w:t>ARTICLE IV PROGRAM B: RESTORATION OF BENEFITS REDUCED BY CODE SECTION 415</w:t>
            </w:r>
          </w:p>
        </w:tc>
        <w:tc>
          <w:tcPr>
            <w:tcW w:w="114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221"/>
        </w:trPr>
        <w:tc>
          <w:tcPr>
            <w:tcW w:w="1020" w:type="dxa"/>
            <w:vAlign w:val="bottom"/>
          </w:tcPr>
          <w:p>
            <w:pPr>
              <w:jc w:val="right"/>
              <w:ind w:right="274"/>
              <w:spacing w:after="0" w:line="221" w:lineRule="exact"/>
              <w:rPr>
                <w:sz w:val="20"/>
                <w:szCs w:val="20"/>
                <w:color w:val="auto"/>
              </w:rPr>
            </w:pPr>
            <w:r>
              <w:rPr>
                <w:rFonts w:ascii="Arial" w:cs="Arial" w:eastAsia="Arial" w:hAnsi="Arial"/>
                <w:sz w:val="21"/>
                <w:szCs w:val="21"/>
                <w:color w:val="auto"/>
              </w:rPr>
              <w:t>4.1</w:t>
            </w:r>
          </w:p>
        </w:tc>
        <w:tc>
          <w:tcPr>
            <w:tcW w:w="700" w:type="dxa"/>
            <w:vAlign w:val="bottom"/>
            <w:tcBorders>
              <w:bottom w:val="single" w:sz="8" w:color="auto"/>
            </w:tcBorders>
            <w:gridSpan w:val="2"/>
          </w:tcPr>
          <w:p>
            <w:pPr>
              <w:spacing w:after="0" w:line="221" w:lineRule="exact"/>
              <w:rPr>
                <w:sz w:val="20"/>
                <w:szCs w:val="20"/>
                <w:color w:val="auto"/>
              </w:rPr>
            </w:pPr>
            <w:r>
              <w:rPr>
                <w:rFonts w:ascii="Arial" w:cs="Arial" w:eastAsia="Arial" w:hAnsi="Arial"/>
                <w:sz w:val="21"/>
                <w:szCs w:val="21"/>
                <w:color w:val="auto"/>
                <w:w w:val="86"/>
              </w:rPr>
              <w:t>Purpose</w:t>
            </w:r>
          </w:p>
        </w:tc>
        <w:tc>
          <w:tcPr>
            <w:tcW w:w="8560" w:type="dxa"/>
            <w:vAlign w:val="bottom"/>
            <w:gridSpan w:val="22"/>
          </w:tcPr>
          <w:p>
            <w:pPr>
              <w:spacing w:after="0"/>
              <w:rPr>
                <w:sz w:val="19"/>
                <w:szCs w:val="19"/>
                <w:color w:val="auto"/>
              </w:rPr>
            </w:pPr>
          </w:p>
        </w:tc>
        <w:tc>
          <w:tcPr>
            <w:tcW w:w="1140" w:type="dxa"/>
            <w:vAlign w:val="bottom"/>
          </w:tcPr>
          <w:p>
            <w:pPr>
              <w:jc w:val="right"/>
              <w:spacing w:after="0" w:line="221" w:lineRule="exact"/>
              <w:rPr>
                <w:sz w:val="20"/>
                <w:szCs w:val="20"/>
                <w:color w:val="auto"/>
              </w:rPr>
            </w:pPr>
            <w:r>
              <w:rPr>
                <w:rFonts w:ascii="Arial" w:cs="Arial" w:eastAsia="Arial" w:hAnsi="Arial"/>
                <w:sz w:val="21"/>
                <w:szCs w:val="21"/>
                <w:color w:val="auto"/>
              </w:rPr>
              <w:t>7</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4.2</w:t>
            </w:r>
          </w:p>
        </w:tc>
        <w:tc>
          <w:tcPr>
            <w:tcW w:w="88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rPr>
              <w:t>Eligibility</w:t>
            </w:r>
          </w:p>
        </w:tc>
        <w:tc>
          <w:tcPr>
            <w:tcW w:w="8380" w:type="dxa"/>
            <w:vAlign w:val="bottom"/>
            <w:gridSpan w:val="20"/>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4.3</w:t>
            </w:r>
          </w:p>
        </w:tc>
        <w:tc>
          <w:tcPr>
            <w:tcW w:w="9260" w:type="dxa"/>
            <w:vAlign w:val="bottom"/>
            <w:gridSpan w:val="24"/>
          </w:tcPr>
          <w:p>
            <w:pPr>
              <w:spacing w:after="0"/>
              <w:rPr>
                <w:sz w:val="20"/>
                <w:szCs w:val="20"/>
                <w:color w:val="auto"/>
              </w:rPr>
            </w:pPr>
            <w:r>
              <w:rPr>
                <w:rFonts w:ascii="Arial" w:cs="Arial" w:eastAsia="Arial" w:hAnsi="Arial"/>
                <w:sz w:val="21"/>
                <w:szCs w:val="21"/>
                <w:color w:val="auto"/>
              </w:rPr>
              <w:t>Calculation of Restoration Benefit</w:t>
            </w:r>
          </w:p>
        </w:tc>
        <w:tc>
          <w:tcPr>
            <w:tcW w:w="114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0"/>
        </w:trPr>
        <w:tc>
          <w:tcPr>
            <w:tcW w:w="10280" w:type="dxa"/>
            <w:vAlign w:val="bottom"/>
            <w:gridSpan w:val="25"/>
          </w:tcPr>
          <w:p>
            <w:pPr>
              <w:spacing w:after="0"/>
              <w:rPr>
                <w:sz w:val="20"/>
                <w:szCs w:val="20"/>
                <w:color w:val="auto"/>
              </w:rPr>
            </w:pPr>
            <w:r>
              <w:rPr>
                <w:rFonts w:ascii="Arial" w:cs="Arial" w:eastAsia="Arial" w:hAnsi="Arial"/>
                <w:sz w:val="21"/>
                <w:szCs w:val="21"/>
                <w:color w:val="auto"/>
              </w:rPr>
              <w:t>ARTICLE V VESTING AND FORM OF PAYMENT</w:t>
            </w:r>
          </w:p>
        </w:tc>
        <w:tc>
          <w:tcPr>
            <w:tcW w:w="114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221"/>
        </w:trPr>
        <w:tc>
          <w:tcPr>
            <w:tcW w:w="1020" w:type="dxa"/>
            <w:vAlign w:val="bottom"/>
          </w:tcPr>
          <w:p>
            <w:pPr>
              <w:jc w:val="right"/>
              <w:ind w:right="274"/>
              <w:spacing w:after="0" w:line="221" w:lineRule="exact"/>
              <w:rPr>
                <w:sz w:val="20"/>
                <w:szCs w:val="20"/>
                <w:color w:val="auto"/>
              </w:rPr>
            </w:pPr>
            <w:r>
              <w:rPr>
                <w:rFonts w:ascii="Arial" w:cs="Arial" w:eastAsia="Arial" w:hAnsi="Arial"/>
                <w:sz w:val="21"/>
                <w:szCs w:val="21"/>
                <w:color w:val="auto"/>
              </w:rPr>
              <w:t>5.1</w:t>
            </w:r>
          </w:p>
        </w:tc>
        <w:tc>
          <w:tcPr>
            <w:tcW w:w="9260" w:type="dxa"/>
            <w:vAlign w:val="bottom"/>
            <w:gridSpan w:val="24"/>
          </w:tcPr>
          <w:p>
            <w:pPr>
              <w:spacing w:after="0" w:line="221" w:lineRule="exact"/>
              <w:rPr>
                <w:sz w:val="20"/>
                <w:szCs w:val="20"/>
                <w:color w:val="auto"/>
              </w:rPr>
            </w:pPr>
            <w:r>
              <w:rPr>
                <w:rFonts w:ascii="Arial" w:cs="Arial" w:eastAsia="Arial" w:hAnsi="Arial"/>
                <w:sz w:val="21"/>
                <w:szCs w:val="21"/>
                <w:color w:val="auto"/>
              </w:rPr>
              <w:t>Vesting</w:t>
            </w:r>
          </w:p>
        </w:tc>
        <w:tc>
          <w:tcPr>
            <w:tcW w:w="1140" w:type="dxa"/>
            <w:vAlign w:val="bottom"/>
          </w:tcPr>
          <w:p>
            <w:pPr>
              <w:jc w:val="right"/>
              <w:spacing w:after="0" w:line="221" w:lineRule="exact"/>
              <w:rPr>
                <w:sz w:val="20"/>
                <w:szCs w:val="20"/>
                <w:color w:val="auto"/>
              </w:rPr>
            </w:pPr>
            <w:r>
              <w:rPr>
                <w:rFonts w:ascii="Arial" w:cs="Arial" w:eastAsia="Arial" w:hAnsi="Arial"/>
                <w:sz w:val="21"/>
                <w:szCs w:val="21"/>
                <w:color w:val="auto"/>
              </w:rPr>
              <w:t>8</w:t>
            </w: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5.2</w:t>
            </w:r>
          </w:p>
        </w:tc>
        <w:tc>
          <w:tcPr>
            <w:tcW w:w="9260" w:type="dxa"/>
            <w:vAlign w:val="bottom"/>
            <w:gridSpan w:val="24"/>
          </w:tcPr>
          <w:p>
            <w:pPr>
              <w:spacing w:after="0"/>
              <w:rPr>
                <w:sz w:val="20"/>
                <w:szCs w:val="20"/>
                <w:color w:val="auto"/>
              </w:rPr>
            </w:pPr>
            <w:r>
              <w:rPr>
                <w:rFonts w:ascii="Arial" w:cs="Arial" w:eastAsia="Arial" w:hAnsi="Arial"/>
                <w:sz w:val="21"/>
                <w:szCs w:val="21"/>
                <w:color w:val="auto"/>
              </w:rPr>
              <w:t>Defined Contribution Plan Benefits</w:t>
            </w:r>
          </w:p>
        </w:tc>
        <w:tc>
          <w:tcPr>
            <w:tcW w:w="1140" w:type="dxa"/>
            <w:vAlign w:val="bottom"/>
          </w:tcPr>
          <w:p>
            <w:pPr>
              <w:jc w:val="right"/>
              <w:spacing w:after="0"/>
              <w:rPr>
                <w:sz w:val="20"/>
                <w:szCs w:val="20"/>
                <w:color w:val="auto"/>
              </w:rPr>
            </w:pPr>
            <w:r>
              <w:rPr>
                <w:rFonts w:ascii="Arial" w:cs="Arial" w:eastAsia="Arial" w:hAnsi="Arial"/>
                <w:sz w:val="21"/>
                <w:szCs w:val="21"/>
                <w:color w:val="auto"/>
              </w:rPr>
              <w:t>9</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5.3</w:t>
            </w:r>
          </w:p>
        </w:tc>
        <w:tc>
          <w:tcPr>
            <w:tcW w:w="3020" w:type="dxa"/>
            <w:vAlign w:val="bottom"/>
            <w:tcBorders>
              <w:top w:val="single" w:sz="8" w:color="auto"/>
            </w:tcBorders>
            <w:gridSpan w:val="22"/>
          </w:tcPr>
          <w:p>
            <w:pPr>
              <w:spacing w:after="0"/>
              <w:rPr>
                <w:sz w:val="20"/>
                <w:szCs w:val="20"/>
                <w:color w:val="auto"/>
              </w:rPr>
            </w:pPr>
            <w:r>
              <w:rPr>
                <w:rFonts w:ascii="Arial" w:cs="Arial" w:eastAsia="Arial" w:hAnsi="Arial"/>
                <w:sz w:val="21"/>
                <w:szCs w:val="21"/>
                <w:color w:val="auto"/>
              </w:rPr>
              <w:t>Defined Benefit Plan Benefits</w:t>
            </w:r>
          </w:p>
        </w:tc>
        <w:tc>
          <w:tcPr>
            <w:tcW w:w="6240" w:type="dxa"/>
            <w:vAlign w:val="bottom"/>
            <w:gridSpan w:val="2"/>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5.4</w:t>
            </w:r>
          </w:p>
        </w:tc>
        <w:tc>
          <w:tcPr>
            <w:tcW w:w="2440" w:type="dxa"/>
            <w:vAlign w:val="bottom"/>
            <w:tcBorders>
              <w:top w:val="single" w:sz="8" w:color="auto"/>
              <w:bottom w:val="single" w:sz="8" w:color="auto"/>
            </w:tcBorders>
            <w:gridSpan w:val="17"/>
          </w:tcPr>
          <w:p>
            <w:pPr>
              <w:spacing w:after="0"/>
              <w:rPr>
                <w:sz w:val="20"/>
                <w:szCs w:val="20"/>
                <w:color w:val="auto"/>
              </w:rPr>
            </w:pPr>
            <w:r>
              <w:rPr>
                <w:rFonts w:ascii="Arial" w:cs="Arial" w:eastAsia="Arial" w:hAnsi="Arial"/>
                <w:sz w:val="21"/>
                <w:szCs w:val="21"/>
                <w:color w:val="auto"/>
                <w:w w:val="95"/>
              </w:rPr>
              <w:t>Non-Duplication of Benefits</w:t>
            </w:r>
          </w:p>
        </w:tc>
        <w:tc>
          <w:tcPr>
            <w:tcW w:w="120" w:type="dxa"/>
            <w:vAlign w:val="bottom"/>
            <w:tcBorders>
              <w:top w:val="single" w:sz="8" w:color="auto"/>
            </w:tcBorders>
            <w:gridSpan w:val="2"/>
          </w:tcPr>
          <w:p>
            <w:pPr>
              <w:spacing w:after="0"/>
              <w:rPr>
                <w:sz w:val="21"/>
                <w:szCs w:val="21"/>
                <w:color w:val="auto"/>
              </w:rPr>
            </w:pPr>
          </w:p>
        </w:tc>
        <w:tc>
          <w:tcPr>
            <w:tcW w:w="6700" w:type="dxa"/>
            <w:vAlign w:val="bottom"/>
            <w:gridSpan w:val="5"/>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5.5</w:t>
            </w:r>
          </w:p>
        </w:tc>
        <w:tc>
          <w:tcPr>
            <w:tcW w:w="9260" w:type="dxa"/>
            <w:vAlign w:val="bottom"/>
            <w:gridSpan w:val="24"/>
          </w:tcPr>
          <w:p>
            <w:pPr>
              <w:spacing w:after="0"/>
              <w:rPr>
                <w:sz w:val="20"/>
                <w:szCs w:val="20"/>
                <w:color w:val="auto"/>
              </w:rPr>
            </w:pPr>
            <w:r>
              <w:rPr>
                <w:rFonts w:ascii="Arial" w:cs="Arial" w:eastAsia="Arial" w:hAnsi="Arial"/>
                <w:sz w:val="21"/>
                <w:szCs w:val="21"/>
                <w:color w:val="auto"/>
              </w:rPr>
              <w:t>SL Plan Benefits</w:t>
            </w:r>
          </w:p>
        </w:tc>
        <w:tc>
          <w:tcPr>
            <w:tcW w:w="114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20"/>
        </w:trPr>
        <w:tc>
          <w:tcPr>
            <w:tcW w:w="10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0"/>
        </w:trPr>
        <w:tc>
          <w:tcPr>
            <w:tcW w:w="10280" w:type="dxa"/>
            <w:vAlign w:val="bottom"/>
            <w:gridSpan w:val="25"/>
          </w:tcPr>
          <w:p>
            <w:pPr>
              <w:spacing w:after="0"/>
              <w:rPr>
                <w:sz w:val="20"/>
                <w:szCs w:val="20"/>
                <w:color w:val="auto"/>
              </w:rPr>
            </w:pPr>
            <w:r>
              <w:rPr>
                <w:rFonts w:ascii="Arial" w:cs="Arial" w:eastAsia="Arial" w:hAnsi="Arial"/>
                <w:sz w:val="21"/>
                <w:szCs w:val="21"/>
                <w:color w:val="auto"/>
              </w:rPr>
              <w:t>ARTICLE VI ADMINISTRATION</w:t>
            </w:r>
          </w:p>
        </w:tc>
        <w:tc>
          <w:tcPr>
            <w:tcW w:w="114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221"/>
        </w:trPr>
        <w:tc>
          <w:tcPr>
            <w:tcW w:w="1020" w:type="dxa"/>
            <w:vAlign w:val="bottom"/>
          </w:tcPr>
          <w:p>
            <w:pPr>
              <w:jc w:val="right"/>
              <w:ind w:right="274"/>
              <w:spacing w:after="0" w:line="221" w:lineRule="exact"/>
              <w:rPr>
                <w:sz w:val="20"/>
                <w:szCs w:val="20"/>
                <w:color w:val="auto"/>
              </w:rPr>
            </w:pPr>
            <w:r>
              <w:rPr>
                <w:rFonts w:ascii="Arial" w:cs="Arial" w:eastAsia="Arial" w:hAnsi="Arial"/>
                <w:sz w:val="21"/>
                <w:szCs w:val="21"/>
                <w:color w:val="auto"/>
              </w:rPr>
              <w:t>6.1</w:t>
            </w:r>
          </w:p>
        </w:tc>
        <w:tc>
          <w:tcPr>
            <w:tcW w:w="1300" w:type="dxa"/>
            <w:vAlign w:val="bottom"/>
            <w:tcBorders>
              <w:bottom w:val="single" w:sz="8" w:color="auto"/>
            </w:tcBorders>
            <w:gridSpan w:val="7"/>
          </w:tcPr>
          <w:p>
            <w:pPr>
              <w:spacing w:after="0" w:line="221" w:lineRule="exact"/>
              <w:rPr>
                <w:sz w:val="20"/>
                <w:szCs w:val="20"/>
                <w:color w:val="auto"/>
              </w:rPr>
            </w:pPr>
            <w:r>
              <w:rPr>
                <w:rFonts w:ascii="Arial" w:cs="Arial" w:eastAsia="Arial" w:hAnsi="Arial"/>
                <w:sz w:val="21"/>
                <w:szCs w:val="21"/>
                <w:color w:val="auto"/>
                <w:w w:val="96"/>
              </w:rPr>
              <w:t>Administration</w:t>
            </w:r>
          </w:p>
        </w:tc>
        <w:tc>
          <w:tcPr>
            <w:tcW w:w="7960" w:type="dxa"/>
            <w:vAlign w:val="bottom"/>
            <w:gridSpan w:val="17"/>
          </w:tcPr>
          <w:p>
            <w:pPr>
              <w:spacing w:after="0"/>
              <w:rPr>
                <w:sz w:val="19"/>
                <w:szCs w:val="19"/>
                <w:color w:val="auto"/>
              </w:rPr>
            </w:pPr>
          </w:p>
        </w:tc>
        <w:tc>
          <w:tcPr>
            <w:tcW w:w="1140" w:type="dxa"/>
            <w:vAlign w:val="bottom"/>
          </w:tcPr>
          <w:p>
            <w:pPr>
              <w:jc w:val="right"/>
              <w:spacing w:after="0" w:line="221" w:lineRule="exact"/>
              <w:rPr>
                <w:sz w:val="20"/>
                <w:szCs w:val="20"/>
                <w:color w:val="auto"/>
              </w:rPr>
            </w:pPr>
            <w:r>
              <w:rPr>
                <w:rFonts w:ascii="Arial" w:cs="Arial" w:eastAsia="Arial" w:hAnsi="Arial"/>
                <w:sz w:val="21"/>
                <w:szCs w:val="21"/>
                <w:color w:val="auto"/>
              </w:rPr>
              <w:t>10</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6.2</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86"/>
              </w:rPr>
              <w:t>Expenses</w:t>
            </w:r>
          </w:p>
        </w:tc>
        <w:tc>
          <w:tcPr>
            <w:tcW w:w="8440" w:type="dxa"/>
            <w:vAlign w:val="bottom"/>
            <w:gridSpan w:val="21"/>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6.3</w:t>
            </w:r>
          </w:p>
        </w:tc>
        <w:tc>
          <w:tcPr>
            <w:tcW w:w="9260" w:type="dxa"/>
            <w:vAlign w:val="bottom"/>
            <w:gridSpan w:val="24"/>
          </w:tcPr>
          <w:p>
            <w:pPr>
              <w:spacing w:after="0"/>
              <w:rPr>
                <w:sz w:val="20"/>
                <w:szCs w:val="20"/>
                <w:color w:val="auto"/>
              </w:rPr>
            </w:pPr>
            <w:r>
              <w:rPr>
                <w:rFonts w:ascii="Arial" w:cs="Arial" w:eastAsia="Arial" w:hAnsi="Arial"/>
                <w:sz w:val="21"/>
                <w:szCs w:val="21"/>
                <w:color w:val="auto"/>
              </w:rPr>
              <w:t>Indemnification</w:t>
            </w:r>
          </w:p>
        </w:tc>
        <w:tc>
          <w:tcPr>
            <w:tcW w:w="114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20"/>
        </w:trPr>
        <w:tc>
          <w:tcPr>
            <w:tcW w:w="1020" w:type="dxa"/>
            <w:vAlign w:val="bottom"/>
          </w:tcPr>
          <w:p>
            <w:pPr>
              <w:spacing w:after="0" w:line="20" w:lineRule="exact"/>
              <w:rPr>
                <w:sz w:val="1"/>
                <w:szCs w:val="1"/>
                <w:color w:val="auto"/>
              </w:rPr>
            </w:pPr>
          </w:p>
        </w:tc>
        <w:tc>
          <w:tcPr>
            <w:tcW w:w="1360" w:type="dxa"/>
            <w:vAlign w:val="bottom"/>
            <w:gridSpan w:val="8"/>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6.4</w:t>
            </w:r>
          </w:p>
        </w:tc>
        <w:tc>
          <w:tcPr>
            <w:tcW w:w="1560" w:type="dxa"/>
            <w:vAlign w:val="bottom"/>
            <w:tcBorders>
              <w:bottom w:val="single" w:sz="8" w:color="auto"/>
            </w:tcBorders>
            <w:gridSpan w:val="11"/>
          </w:tcPr>
          <w:p>
            <w:pPr>
              <w:spacing w:after="0"/>
              <w:rPr>
                <w:sz w:val="20"/>
                <w:szCs w:val="20"/>
                <w:color w:val="auto"/>
              </w:rPr>
            </w:pPr>
            <w:r>
              <w:rPr>
                <w:rFonts w:ascii="Arial" w:cs="Arial" w:eastAsia="Arial" w:hAnsi="Arial"/>
                <w:sz w:val="21"/>
                <w:szCs w:val="21"/>
                <w:color w:val="auto"/>
                <w:w w:val="92"/>
              </w:rPr>
              <w:t>409A Compliance</w:t>
            </w:r>
          </w:p>
        </w:tc>
        <w:tc>
          <w:tcPr>
            <w:tcW w:w="7700" w:type="dxa"/>
            <w:vAlign w:val="bottom"/>
            <w:gridSpan w:val="13"/>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6.5</w:t>
            </w:r>
          </w:p>
        </w:tc>
        <w:tc>
          <w:tcPr>
            <w:tcW w:w="9260" w:type="dxa"/>
            <w:vAlign w:val="bottom"/>
            <w:gridSpan w:val="24"/>
          </w:tcPr>
          <w:p>
            <w:pPr>
              <w:spacing w:after="0"/>
              <w:rPr>
                <w:sz w:val="20"/>
                <w:szCs w:val="20"/>
                <w:color w:val="auto"/>
              </w:rPr>
            </w:pPr>
            <w:r>
              <w:rPr>
                <w:rFonts w:ascii="Arial" w:cs="Arial" w:eastAsia="Arial" w:hAnsi="Arial"/>
                <w:sz w:val="21"/>
                <w:szCs w:val="21"/>
                <w:color w:val="auto"/>
              </w:rPr>
              <w:t>Specified Employees</w:t>
            </w:r>
          </w:p>
        </w:tc>
        <w:tc>
          <w:tcPr>
            <w:tcW w:w="114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20"/>
        </w:trPr>
        <w:tc>
          <w:tcPr>
            <w:tcW w:w="1020" w:type="dxa"/>
            <w:vAlign w:val="bottom"/>
          </w:tcPr>
          <w:p>
            <w:pPr>
              <w:spacing w:after="0" w:line="20" w:lineRule="exact"/>
              <w:rPr>
                <w:sz w:val="1"/>
                <w:szCs w:val="1"/>
                <w:color w:val="auto"/>
              </w:rPr>
            </w:pPr>
          </w:p>
        </w:tc>
        <w:tc>
          <w:tcPr>
            <w:tcW w:w="1800" w:type="dxa"/>
            <w:vAlign w:val="bottom"/>
            <w:gridSpan w:val="14"/>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6.6</w:t>
            </w:r>
          </w:p>
        </w:tc>
        <w:tc>
          <w:tcPr>
            <w:tcW w:w="2340" w:type="dxa"/>
            <w:vAlign w:val="bottom"/>
            <w:tcBorders>
              <w:bottom w:val="single" w:sz="8" w:color="auto"/>
            </w:tcBorders>
            <w:gridSpan w:val="16"/>
          </w:tcPr>
          <w:p>
            <w:pPr>
              <w:spacing w:after="0"/>
              <w:rPr>
                <w:sz w:val="20"/>
                <w:szCs w:val="20"/>
                <w:color w:val="auto"/>
              </w:rPr>
            </w:pPr>
            <w:r>
              <w:rPr>
                <w:rFonts w:ascii="Arial" w:cs="Arial" w:eastAsia="Arial" w:hAnsi="Arial"/>
                <w:sz w:val="21"/>
                <w:szCs w:val="21"/>
                <w:color w:val="auto"/>
                <w:w w:val="95"/>
              </w:rPr>
              <w:t>Non-Alienation of Benefits</w:t>
            </w:r>
          </w:p>
        </w:tc>
        <w:tc>
          <w:tcPr>
            <w:tcW w:w="6920" w:type="dxa"/>
            <w:vAlign w:val="bottom"/>
            <w:gridSpan w:val="8"/>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290"/>
        </w:trPr>
        <w:tc>
          <w:tcPr>
            <w:tcW w:w="10280" w:type="dxa"/>
            <w:vAlign w:val="bottom"/>
            <w:gridSpan w:val="25"/>
          </w:tcPr>
          <w:p>
            <w:pPr>
              <w:spacing w:after="0"/>
              <w:rPr>
                <w:sz w:val="20"/>
                <w:szCs w:val="20"/>
                <w:color w:val="auto"/>
              </w:rPr>
            </w:pPr>
            <w:r>
              <w:rPr>
                <w:rFonts w:ascii="Arial" w:cs="Arial" w:eastAsia="Arial" w:hAnsi="Arial"/>
                <w:sz w:val="21"/>
                <w:szCs w:val="21"/>
                <w:color w:val="auto"/>
              </w:rPr>
              <w:t>ARTICLE VII MERGER, AMENDMENT AND TERMINATION</w:t>
            </w:r>
          </w:p>
        </w:tc>
        <w:tc>
          <w:tcPr>
            <w:tcW w:w="114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221"/>
        </w:trPr>
        <w:tc>
          <w:tcPr>
            <w:tcW w:w="1020" w:type="dxa"/>
            <w:vAlign w:val="bottom"/>
          </w:tcPr>
          <w:p>
            <w:pPr>
              <w:jc w:val="right"/>
              <w:ind w:right="274"/>
              <w:spacing w:after="0" w:line="221" w:lineRule="exact"/>
              <w:rPr>
                <w:sz w:val="20"/>
                <w:szCs w:val="20"/>
                <w:color w:val="auto"/>
              </w:rPr>
            </w:pPr>
            <w:r>
              <w:rPr>
                <w:rFonts w:ascii="Arial" w:cs="Arial" w:eastAsia="Arial" w:hAnsi="Arial"/>
                <w:sz w:val="21"/>
                <w:szCs w:val="21"/>
                <w:color w:val="auto"/>
              </w:rPr>
              <w:t>7.1</w:t>
            </w:r>
          </w:p>
        </w:tc>
        <w:tc>
          <w:tcPr>
            <w:tcW w:w="3200" w:type="dxa"/>
            <w:vAlign w:val="bottom"/>
            <w:tcBorders>
              <w:bottom w:val="single" w:sz="8" w:color="auto"/>
            </w:tcBorders>
            <w:gridSpan w:val="23"/>
          </w:tcPr>
          <w:p>
            <w:pPr>
              <w:spacing w:after="0" w:line="221" w:lineRule="exact"/>
              <w:rPr>
                <w:sz w:val="20"/>
                <w:szCs w:val="20"/>
                <w:color w:val="auto"/>
              </w:rPr>
            </w:pPr>
            <w:r>
              <w:rPr>
                <w:rFonts w:ascii="Arial" w:cs="Arial" w:eastAsia="Arial" w:hAnsi="Arial"/>
                <w:sz w:val="21"/>
                <w:szCs w:val="21"/>
                <w:color w:val="auto"/>
                <w:w w:val="94"/>
              </w:rPr>
              <w:t>Merger, Consolidation or Acquisition</w:t>
            </w:r>
          </w:p>
        </w:tc>
        <w:tc>
          <w:tcPr>
            <w:tcW w:w="6060" w:type="dxa"/>
            <w:vAlign w:val="bottom"/>
          </w:tcPr>
          <w:p>
            <w:pPr>
              <w:spacing w:after="0"/>
              <w:rPr>
                <w:sz w:val="19"/>
                <w:szCs w:val="19"/>
                <w:color w:val="auto"/>
              </w:rPr>
            </w:pPr>
          </w:p>
        </w:tc>
        <w:tc>
          <w:tcPr>
            <w:tcW w:w="1140" w:type="dxa"/>
            <w:vAlign w:val="bottom"/>
          </w:tcPr>
          <w:p>
            <w:pPr>
              <w:jc w:val="right"/>
              <w:spacing w:after="0" w:line="221" w:lineRule="exact"/>
              <w:rPr>
                <w:sz w:val="20"/>
                <w:szCs w:val="20"/>
                <w:color w:val="auto"/>
              </w:rPr>
            </w:pPr>
            <w:r>
              <w:rPr>
                <w:rFonts w:ascii="Arial" w:cs="Arial" w:eastAsia="Arial" w:hAnsi="Arial"/>
                <w:sz w:val="21"/>
                <w:szCs w:val="21"/>
                <w:color w:val="auto"/>
              </w:rPr>
              <w:t>12</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7.2</w:t>
            </w:r>
          </w:p>
        </w:tc>
        <w:tc>
          <w:tcPr>
            <w:tcW w:w="9260" w:type="dxa"/>
            <w:vAlign w:val="bottom"/>
            <w:gridSpan w:val="24"/>
          </w:tcPr>
          <w:p>
            <w:pPr>
              <w:spacing w:after="0"/>
              <w:rPr>
                <w:sz w:val="20"/>
                <w:szCs w:val="20"/>
                <w:color w:val="auto"/>
              </w:rPr>
            </w:pPr>
            <w:r>
              <w:rPr>
                <w:rFonts w:ascii="Arial" w:cs="Arial" w:eastAsia="Arial" w:hAnsi="Arial"/>
                <w:sz w:val="21"/>
                <w:szCs w:val="21"/>
                <w:color w:val="auto"/>
              </w:rPr>
              <w:t>Amendment and Termination</w:t>
            </w:r>
          </w:p>
        </w:tc>
        <w:tc>
          <w:tcPr>
            <w:tcW w:w="114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245"/>
        </w:trPr>
        <w:tc>
          <w:tcPr>
            <w:tcW w:w="1020" w:type="dxa"/>
            <w:vAlign w:val="bottom"/>
          </w:tcPr>
          <w:p>
            <w:pPr>
              <w:jc w:val="right"/>
              <w:ind w:right="274"/>
              <w:spacing w:after="0"/>
              <w:rPr>
                <w:sz w:val="20"/>
                <w:szCs w:val="20"/>
                <w:color w:val="auto"/>
              </w:rPr>
            </w:pPr>
            <w:r>
              <w:rPr>
                <w:rFonts w:ascii="Arial" w:cs="Arial" w:eastAsia="Arial" w:hAnsi="Arial"/>
                <w:sz w:val="21"/>
                <w:szCs w:val="21"/>
                <w:color w:val="auto"/>
              </w:rPr>
              <w:t>7.3</w:t>
            </w:r>
          </w:p>
        </w:tc>
        <w:tc>
          <w:tcPr>
            <w:tcW w:w="2500" w:type="dxa"/>
            <w:vAlign w:val="bottom"/>
            <w:tcBorders>
              <w:top w:val="single" w:sz="8" w:color="auto"/>
            </w:tcBorders>
            <w:gridSpan w:val="18"/>
          </w:tcPr>
          <w:p>
            <w:pPr>
              <w:spacing w:after="0"/>
              <w:rPr>
                <w:sz w:val="20"/>
                <w:szCs w:val="20"/>
                <w:color w:val="auto"/>
              </w:rPr>
            </w:pPr>
            <w:r>
              <w:rPr>
                <w:rFonts w:ascii="Arial" w:cs="Arial" w:eastAsia="Arial" w:hAnsi="Arial"/>
                <w:sz w:val="21"/>
                <w:szCs w:val="21"/>
                <w:color w:val="auto"/>
              </w:rPr>
              <w:t>Participating Subsidiaries</w:t>
            </w:r>
          </w:p>
        </w:tc>
        <w:tc>
          <w:tcPr>
            <w:tcW w:w="6760" w:type="dxa"/>
            <w:vAlign w:val="bottom"/>
            <w:gridSpan w:val="6"/>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Active 39299000.2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729107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1"/>
          <w:szCs w:val="21"/>
          <w:b w:val="1"/>
          <w:bCs w:val="1"/>
          <w:color w:val="auto"/>
        </w:rPr>
        <w:t>SCHLUMBERGER TECHNOLOGY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SUPPLEMENTARY BENEFIT PLAN</w:t>
      </w:r>
    </w:p>
    <w:p>
      <w:pPr>
        <w:spacing w:after="0" w:line="192" w:lineRule="exact"/>
        <w:rPr>
          <w:sz w:val="20"/>
          <w:szCs w:val="20"/>
          <w:color w:val="auto"/>
        </w:rPr>
      </w:pPr>
    </w:p>
    <w:p>
      <w:pPr>
        <w:jc w:val="center"/>
        <w:ind w:left="260" w:right="620"/>
        <w:spacing w:after="0" w:line="448" w:lineRule="auto"/>
        <w:rPr>
          <w:sz w:val="20"/>
          <w:szCs w:val="20"/>
          <w:color w:val="auto"/>
        </w:rPr>
      </w:pPr>
      <w:r>
        <w:rPr>
          <w:rFonts w:ascii="Arial" w:cs="Arial" w:eastAsia="Arial" w:hAnsi="Arial"/>
          <w:sz w:val="21"/>
          <w:szCs w:val="21"/>
          <w:color w:val="auto"/>
        </w:rPr>
        <w:t xml:space="preserve">(As Amended and Restated Effective January 1, 2018, and conformed to include amendments through January 1, 2019) </w:t>
      </w:r>
      <w:r>
        <w:rPr>
          <w:rFonts w:ascii="Arial" w:cs="Arial" w:eastAsia="Arial" w:hAnsi="Arial"/>
          <w:sz w:val="21"/>
          <w:szCs w:val="21"/>
          <w:b w:val="1"/>
          <w:bCs w:val="1"/>
          <w:color w:val="auto"/>
        </w:rPr>
        <w:t>PREAMBLE</w:t>
      </w:r>
    </w:p>
    <w:p>
      <w:pPr>
        <w:spacing w:after="0" w:line="1" w:lineRule="exact"/>
        <w:rPr>
          <w:sz w:val="20"/>
          <w:szCs w:val="20"/>
          <w:color w:val="auto"/>
        </w:rPr>
      </w:pPr>
    </w:p>
    <w:p>
      <w:pPr>
        <w:jc w:val="both"/>
        <w:ind w:firstLine="1756"/>
        <w:spacing w:after="0" w:line="264" w:lineRule="auto"/>
        <w:rPr>
          <w:sz w:val="20"/>
          <w:szCs w:val="20"/>
          <w:color w:val="auto"/>
        </w:rPr>
      </w:pPr>
      <w:r>
        <w:rPr>
          <w:rFonts w:ascii="Arial" w:cs="Arial" w:eastAsia="Arial" w:hAnsi="Arial"/>
          <w:sz w:val="19"/>
          <w:szCs w:val="19"/>
          <w:color w:val="auto"/>
        </w:rPr>
        <w:t>On December 31, 1994, Schlumberger Technology Corporation, a Texas corporation (the “Company”), and its Subsidiaries were employers participating in an unfunded deferred compensation plan known as the Schlumberger Limited Supplementary Benefit Plan, as amended and restated effective January 1, 1990 and thereafter amended (the “SL Plan”). The purpose of the SL Plan is to provide to eligible key employees of Schlumberger Limited and other employers thereunder those benefits lost as a result of the application of the Code Section 401(a)(17) Limitations and the Code Section 415 Limitations to certain of the tax-qualified defined benefit and defined contribution plans maintained by Schlumberger Limited and those other employers. Effective as of January 1, 1995, the Board of Directors of the Company elected to withdraw the Company and its Subsidiaries as employers under the SL Plan and to establish the Schlumberger Technology Corporation Supplementary Benefit Plan (the “Plan”) for the purposes of</w:t>
      </w:r>
    </w:p>
    <w:p>
      <w:pPr>
        <w:spacing w:after="0" w:line="7" w:lineRule="exact"/>
        <w:rPr>
          <w:sz w:val="20"/>
          <w:szCs w:val="20"/>
          <w:color w:val="auto"/>
        </w:rPr>
      </w:pPr>
    </w:p>
    <w:p>
      <w:pPr>
        <w:jc w:val="both"/>
        <w:ind w:firstLine="6"/>
        <w:spacing w:after="0" w:line="275" w:lineRule="auto"/>
        <w:tabs>
          <w:tab w:leader="none" w:pos="256" w:val="left"/>
        </w:tabs>
        <w:numPr>
          <w:ilvl w:val="0"/>
          <w:numId w:val="73"/>
        </w:numPr>
        <w:rPr>
          <w:rFonts w:ascii="Arial" w:cs="Arial" w:eastAsia="Arial" w:hAnsi="Arial"/>
          <w:sz w:val="19"/>
          <w:szCs w:val="19"/>
          <w:color w:val="auto"/>
        </w:rPr>
      </w:pPr>
      <w:r>
        <w:rPr>
          <w:rFonts w:ascii="Arial" w:cs="Arial" w:eastAsia="Arial" w:hAnsi="Arial"/>
          <w:sz w:val="19"/>
          <w:szCs w:val="19"/>
          <w:color w:val="auto"/>
        </w:rPr>
        <w:t>continuing to provide such benefits to eligible key employees of the Company and its Subsidiaries and (ii) reflecting its continuing liability with respect to SL Plan Benefits (as herein defined) of such key employees or former key employees. The Plan has been operated in compliance with Section 409A of the Internal Revenue Code and applicable U.S. Treasury authorities (“Section 409A”) and was amended and restated, effective January 1, 2008 to establish documentary compliance with Section 409A.</w:t>
      </w:r>
    </w:p>
    <w:p>
      <w:pPr>
        <w:spacing w:after="0" w:line="149" w:lineRule="exact"/>
        <w:rPr>
          <w:sz w:val="20"/>
          <w:szCs w:val="20"/>
          <w:color w:val="auto"/>
        </w:rPr>
      </w:pPr>
    </w:p>
    <w:p>
      <w:pPr>
        <w:jc w:val="both"/>
        <w:ind w:firstLine="1756"/>
        <w:spacing w:after="0" w:line="247" w:lineRule="auto"/>
        <w:rPr>
          <w:sz w:val="20"/>
          <w:szCs w:val="20"/>
          <w:color w:val="auto"/>
        </w:rPr>
      </w:pPr>
      <w:r>
        <w:rPr>
          <w:rFonts w:ascii="Arial" w:cs="Arial" w:eastAsia="Arial" w:hAnsi="Arial"/>
          <w:sz w:val="21"/>
          <w:szCs w:val="21"/>
          <w:color w:val="auto"/>
        </w:rPr>
        <w:t>The Plan has been further amended and restated from time to time, and effective January 1, 2018, was restated to incorporate restoration benefits with respect to the Schlumberger Pension Plan for U.S. Taxpayers Employed Abroad and the Schlumberger Savings and Profit Sharing Plan for US Taxpayers Employed Abroad, as well as to make certain other conforming changes.</w:t>
      </w:r>
    </w:p>
    <w:p>
      <w:pPr>
        <w:spacing w:after="0" w:line="174" w:lineRule="exact"/>
        <w:rPr>
          <w:sz w:val="20"/>
          <w:szCs w:val="20"/>
          <w:color w:val="auto"/>
        </w:rPr>
      </w:pPr>
    </w:p>
    <w:p>
      <w:pPr>
        <w:jc w:val="both"/>
        <w:ind w:firstLine="1756"/>
        <w:spacing w:after="0" w:line="263" w:lineRule="auto"/>
        <w:rPr>
          <w:sz w:val="20"/>
          <w:szCs w:val="20"/>
          <w:color w:val="auto"/>
        </w:rPr>
      </w:pPr>
      <w:r>
        <w:rPr>
          <w:rFonts w:ascii="Arial" w:cs="Arial" w:eastAsia="Arial" w:hAnsi="Arial"/>
          <w:sz w:val="20"/>
          <w:szCs w:val="20"/>
          <w:color w:val="auto"/>
        </w:rPr>
        <w:t>Program A of the Plan, set forth in Article III below, is intended to qualify for the exemptions provided under Title I of ERISA for plans that are not tax-qualified and that are maintained primarily to provide deferred compensation for a select group of management or highly compensated employees. Program B of the Plan, set forth in Article IV below, is intended to qualify for the exemptions provided under Title I of ERISA for plans that are excess benefit plans.</w:t>
      </w:r>
    </w:p>
    <w:p>
      <w:pPr>
        <w:spacing w:after="0" w:line="160" w:lineRule="exact"/>
        <w:rPr>
          <w:sz w:val="20"/>
          <w:szCs w:val="20"/>
          <w:color w:val="auto"/>
        </w:rPr>
      </w:pPr>
    </w:p>
    <w:p>
      <w:pPr>
        <w:jc w:val="both"/>
        <w:ind w:right="20" w:firstLine="1756"/>
        <w:spacing w:after="0" w:line="267" w:lineRule="auto"/>
        <w:rPr>
          <w:sz w:val="20"/>
          <w:szCs w:val="20"/>
          <w:color w:val="auto"/>
        </w:rPr>
      </w:pPr>
      <w:r>
        <w:rPr>
          <w:rFonts w:ascii="Arial" w:cs="Arial" w:eastAsia="Arial" w:hAnsi="Arial"/>
          <w:sz w:val="21"/>
          <w:szCs w:val="21"/>
          <w:color w:val="auto"/>
        </w:rPr>
        <w:t>NOW, THEREFORE, Schlumberger Technology Corporation hereby amends and restates the Schlumberger Technology Corporation Supplementary Benefit Plan, effective as of January 1, 2018, to read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1"/>
          <w:szCs w:val="21"/>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 AND CONSTRUCTION</w:t>
      </w:r>
    </w:p>
    <w:p>
      <w:pPr>
        <w:spacing w:after="0" w:line="192"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Definitions</w:t>
      </w:r>
      <w:r>
        <w:rPr>
          <w:rFonts w:ascii="Arial" w:cs="Arial" w:eastAsia="Arial" w:hAnsi="Arial"/>
          <w:sz w:val="21"/>
          <w:szCs w:val="21"/>
          <w:color w:val="auto"/>
        </w:rPr>
        <w:t>. Except as otherwise indicated, the terms used in this Plan shall have the same meaning as they have under the applicable Qualified Plans. For purposes of this Plan, the following definitions shall apply:</w:t>
      </w:r>
    </w:p>
    <w:p>
      <w:pPr>
        <w:spacing w:after="0" w:line="147"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Active Service</w:t>
      </w:r>
      <w:r>
        <w:rPr>
          <w:rFonts w:ascii="Arial" w:cs="Arial" w:eastAsia="Arial" w:hAnsi="Arial"/>
          <w:sz w:val="21"/>
          <w:szCs w:val="21"/>
          <w:color w:val="auto"/>
        </w:rPr>
        <w:t>” shall have the meaning ascribed to it in the Qualified Defined Benefit Plans.</w:t>
      </w:r>
    </w:p>
    <w:p>
      <w:pPr>
        <w:spacing w:after="0" w:line="210"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Actuarial Equivalent</w:t>
      </w:r>
      <w:r>
        <w:rPr>
          <w:rFonts w:ascii="Arial" w:cs="Arial" w:eastAsia="Arial" w:hAnsi="Arial"/>
          <w:sz w:val="21"/>
          <w:szCs w:val="21"/>
          <w:color w:val="auto"/>
        </w:rPr>
        <w:t>” shall have the meaning ascribed to it in the Qualified Defined Benefit Plans.</w:t>
      </w:r>
    </w:p>
    <w:p>
      <w:pPr>
        <w:spacing w:after="0" w:line="21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Committee</w:t>
      </w:r>
      <w:r>
        <w:rPr>
          <w:rFonts w:ascii="Arial" w:cs="Arial" w:eastAsia="Arial" w:hAnsi="Arial"/>
          <w:sz w:val="20"/>
          <w:szCs w:val="20"/>
          <w:color w:val="auto"/>
        </w:rPr>
        <w:t>” shall mean the Administrative Committee of the Schlumberger Limited Pension</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 of Directors</w:t>
      </w:r>
      <w:r>
        <w:rPr>
          <w:rFonts w:ascii="Arial" w:cs="Arial" w:eastAsia="Arial" w:hAnsi="Arial"/>
          <w:sz w:val="21"/>
          <w:szCs w:val="21"/>
          <w:color w:val="auto"/>
        </w:rPr>
        <w:t>” shall mean the Board of Directors of Schlumberger Technology Corporation.</w:t>
      </w:r>
    </w:p>
    <w:p>
      <w:pPr>
        <w:spacing w:after="0" w:line="210"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shall mean the Internal Revenue Code of 1986, as amended from time to time.</w:t>
      </w:r>
    </w:p>
    <w:p>
      <w:pPr>
        <w:spacing w:after="0" w:line="21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 Section 401(a)(17) Limitations</w:t>
      </w:r>
      <w:r>
        <w:rPr>
          <w:rFonts w:ascii="Arial" w:cs="Arial" w:eastAsia="Arial" w:hAnsi="Arial"/>
          <w:sz w:val="20"/>
          <w:szCs w:val="20"/>
          <w:color w:val="auto"/>
        </w:rPr>
        <w:t>” shall mean the limitations imposed by Code Section 401(a)(17).</w:t>
      </w:r>
    </w:p>
    <w:p>
      <w:pPr>
        <w:spacing w:after="0" w:line="221"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 Section 415 Limitations</w:t>
      </w:r>
      <w:r>
        <w:rPr>
          <w:rFonts w:ascii="Arial" w:cs="Arial" w:eastAsia="Arial" w:hAnsi="Arial"/>
          <w:sz w:val="21"/>
          <w:szCs w:val="21"/>
          <w:color w:val="auto"/>
        </w:rPr>
        <w:t>” shall mean the limitations imposed by Code Section 415 without regard to Code Section 415(c)(1)(B).</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shall mean Schlumberger Technology Corporation, a Texas corporation.</w:t>
      </w:r>
    </w:p>
    <w:p>
      <w:pPr>
        <w:spacing w:after="0" w:line="210" w:lineRule="exact"/>
        <w:rPr>
          <w:sz w:val="20"/>
          <w:szCs w:val="20"/>
          <w:color w:val="auto"/>
        </w:rPr>
      </w:pPr>
    </w:p>
    <w:p>
      <w:pPr>
        <w:jc w:val="both"/>
        <w:ind w:firstLine="1756"/>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w:t>
      </w:r>
      <w:r>
        <w:rPr>
          <w:rFonts w:ascii="Arial" w:cs="Arial" w:eastAsia="Arial" w:hAnsi="Arial"/>
          <w:sz w:val="21"/>
          <w:szCs w:val="21"/>
          <w:color w:val="auto"/>
        </w:rPr>
        <w:t>” shall mean any person who is employed by and carried on the payroll of an Employer and who meets the requirements for participation in a Qualified Defined Benefit Plan or Qualified Defined Contribution Plan maintained by an Employer.</w:t>
      </w:r>
    </w:p>
    <w:p>
      <w:pPr>
        <w:spacing w:after="0" w:line="159"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Employer</w:t>
      </w:r>
      <w:r>
        <w:rPr>
          <w:rFonts w:ascii="Arial" w:cs="Arial" w:eastAsia="Arial" w:hAnsi="Arial"/>
          <w:sz w:val="21"/>
          <w:szCs w:val="21"/>
          <w:color w:val="auto"/>
        </w:rPr>
        <w:t>” shall mean the Company and any Subsidiary or affiliated entity which meets the definition of an Employer in the applicable Qualified Plan.</w:t>
      </w:r>
    </w:p>
    <w:p>
      <w:pPr>
        <w:spacing w:after="0" w:line="14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shall mean the Employee Retirement Income Security Act of 1974, as amended from time to time.</w:t>
      </w:r>
    </w:p>
    <w:p>
      <w:pPr>
        <w:spacing w:after="0" w:line="221"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shall mean a participant in a Qualified Defined Contribution Plan or a Qualified Defined Benefit Plan of the Company or any Subsidiary.</w:t>
      </w:r>
    </w:p>
    <w:p>
      <w:pPr>
        <w:spacing w:after="0" w:line="143"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Plan</w:t>
      </w:r>
      <w:r>
        <w:rPr>
          <w:rFonts w:ascii="Arial" w:cs="Arial" w:eastAsia="Arial" w:hAnsi="Arial"/>
          <w:sz w:val="21"/>
          <w:szCs w:val="21"/>
          <w:color w:val="auto"/>
        </w:rPr>
        <w:t>” shall mean the Schlumberger Technology Corporation Supplementary Benefit Plan, as amended and restated effective as of January 1, 2008 and set forth herein, and as amended from time to time.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5" w:name="page106"/>
    <w:bookmarkEnd w:id="105"/>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Defined Benefit Plans”</w:t>
      </w:r>
      <w:r>
        <w:rPr>
          <w:rFonts w:ascii="Arial" w:cs="Arial" w:eastAsia="Arial" w:hAnsi="Arial"/>
          <w:sz w:val="21"/>
          <w:szCs w:val="21"/>
          <w:color w:val="auto"/>
        </w:rPr>
        <w:t xml:space="preserve"> shall mean the Schlumberger Technology Corporation Pension Plan and the Schlumberger Pension Plan for US Taxpayers Employed Abroad.</w:t>
      </w:r>
    </w:p>
    <w:p>
      <w:pPr>
        <w:spacing w:after="0" w:line="143" w:lineRule="exact"/>
        <w:rPr>
          <w:sz w:val="20"/>
          <w:szCs w:val="20"/>
          <w:color w:val="auto"/>
        </w:rPr>
      </w:pPr>
    </w:p>
    <w:p>
      <w:pPr>
        <w:jc w:val="both"/>
        <w:ind w:firstLine="1756"/>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Qualified Defined Contribution Plans”</w:t>
      </w:r>
      <w:r>
        <w:rPr>
          <w:rFonts w:ascii="Arial" w:cs="Arial" w:eastAsia="Arial" w:hAnsi="Arial"/>
          <w:sz w:val="20"/>
          <w:szCs w:val="20"/>
          <w:color w:val="auto"/>
        </w:rPr>
        <w:t xml:space="preserve"> shall mean the Schlumberger Technology Corporation Savings and Profit Sharing Plan, the Schlumberger Technology Corporation Profit Sharing Plan for Specified Drilling Group Employees and the Schlumberger Savings and Profit Sharing Plan for US Taxpayers Employed Abroad; provided, however, that the term “Qualified Defined Contribution Plan” shall only include the portion of the applicable plan that provides for discretionary employer contributions (and basic contributions with respect to the Schlumberger Savings and Profit Sharing Plan for US Taxpayers Employed Abroad) and shall not include any portion of such profit-sharing plan that is subject to Code Section 401(k) or 401(m).</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Qualified Plans</w:t>
      </w:r>
      <w:r>
        <w:rPr>
          <w:rFonts w:ascii="Arial" w:cs="Arial" w:eastAsia="Arial" w:hAnsi="Arial"/>
          <w:sz w:val="20"/>
          <w:szCs w:val="20"/>
          <w:color w:val="auto"/>
        </w:rPr>
        <w:t>” shall mean the Qualified Defined Contribution Plans and Qualified Defined Benefit Plans.</w:t>
      </w:r>
    </w:p>
    <w:p>
      <w:pPr>
        <w:spacing w:after="0" w:line="221" w:lineRule="exact"/>
        <w:rPr>
          <w:sz w:val="20"/>
          <w:szCs w:val="20"/>
          <w:color w:val="auto"/>
        </w:rPr>
      </w:pPr>
    </w:p>
    <w:p>
      <w:pPr>
        <w:jc w:val="both"/>
        <w:ind w:firstLine="1756"/>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Spouse</w:t>
      </w:r>
      <w:r>
        <w:rPr>
          <w:rFonts w:ascii="Arial" w:cs="Arial" w:eastAsia="Arial" w:hAnsi="Arial"/>
          <w:sz w:val="21"/>
          <w:szCs w:val="21"/>
          <w:color w:val="auto"/>
        </w:rPr>
        <w:t>” shall mean the person, if any, legally married pursuant to the laws of the State or country in which such marriage was performed to a Participant at the latest of (i) the time of the Participant’s death prior to retirement, (ii) the time of the Participant’s retirement, or (iii) the time the Participant’s benefits are to commence; provided, however, that this definition of “Spouse” shall include a same sex Spouse effective no earlier than (a) September 16, 2013, or (b) if prior to September 16, 2013, such Participant and same sex Spouse resided in a State or the District of Columbia that legally recognized their marriage, June 26, 2013 (or such later date as the Participant and his or her Spouse became residents of such State or the District of Columbia but in no event later than September 16, 2013).</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SL Plan</w:t>
      </w:r>
      <w:r>
        <w:rPr>
          <w:rFonts w:ascii="Arial" w:cs="Arial" w:eastAsia="Arial" w:hAnsi="Arial"/>
          <w:sz w:val="20"/>
          <w:szCs w:val="20"/>
          <w:color w:val="auto"/>
        </w:rPr>
        <w:t>” shall mean the Schlumberger Limited Supplementary Benefit Plan, as amended from time to time.</w:t>
      </w:r>
    </w:p>
    <w:p>
      <w:pPr>
        <w:spacing w:after="0" w:line="221" w:lineRule="exact"/>
        <w:rPr>
          <w:sz w:val="20"/>
          <w:szCs w:val="20"/>
          <w:color w:val="auto"/>
        </w:rPr>
      </w:pPr>
    </w:p>
    <w:p>
      <w:pPr>
        <w:jc w:val="both"/>
        <w:ind w:firstLine="1756"/>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SL Plan Benefit</w:t>
      </w:r>
      <w:r>
        <w:rPr>
          <w:rFonts w:ascii="Arial" w:cs="Arial" w:eastAsia="Arial" w:hAnsi="Arial"/>
          <w:sz w:val="20"/>
          <w:szCs w:val="20"/>
          <w:color w:val="auto"/>
        </w:rPr>
        <w:t>” shall mean any benefit accrued pursuant to Section 3.3 or 4.3 of the SL Plan and unpaid as of January 1, 1995, to the extent calculated with reference to any Qualified Plan hereunder and any benefit accrued under the SL Plan and unpaid as of December 31, 2017, to the extent calculated with reference to any Qualified Plan hereunder.</w:t>
      </w:r>
    </w:p>
    <w:p>
      <w:pPr>
        <w:spacing w:after="0" w:line="142" w:lineRule="exact"/>
        <w:rPr>
          <w:sz w:val="20"/>
          <w:szCs w:val="20"/>
          <w:color w:val="auto"/>
        </w:rPr>
      </w:pPr>
    </w:p>
    <w:p>
      <w:pPr>
        <w:jc w:val="both"/>
        <w:ind w:firstLine="1756"/>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any corporation in which the shares owned or controlled directly or indirectly by Schlumberger Technology Corporation represents 50% or more of the voting power of the issued and outstanding capital stock of such corporation.</w:t>
      </w:r>
    </w:p>
    <w:p>
      <w:pPr>
        <w:spacing w:after="0" w:line="159" w:lineRule="exact"/>
        <w:rPr>
          <w:sz w:val="20"/>
          <w:szCs w:val="20"/>
          <w:color w:val="auto"/>
        </w:rPr>
      </w:pPr>
    </w:p>
    <w:p>
      <w:pPr>
        <w:jc w:val="both"/>
        <w:ind w:firstLine="1756"/>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Termination of Employment</w:t>
      </w:r>
      <w:r>
        <w:rPr>
          <w:rFonts w:ascii="Arial" w:cs="Arial" w:eastAsia="Arial" w:hAnsi="Arial"/>
          <w:sz w:val="21"/>
          <w:szCs w:val="21"/>
          <w:color w:val="auto"/>
        </w:rPr>
        <w:t>” shall mean “separation from service,” as defined in Section 1.409A-1(h) of the U.S. Treasury regulations, with an Employer for any reason other than a transfer between Employers.</w:t>
      </w:r>
    </w:p>
    <w:p>
      <w:pPr>
        <w:spacing w:after="0" w:line="149" w:lineRule="exact"/>
        <w:rPr>
          <w:sz w:val="20"/>
          <w:szCs w:val="20"/>
          <w:color w:val="auto"/>
        </w:rPr>
      </w:pPr>
    </w:p>
    <w:p>
      <w:pPr>
        <w:jc w:val="both"/>
        <w:ind w:firstLine="878"/>
        <w:spacing w:after="0" w:line="292"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Gender and Number</w:t>
      </w:r>
      <w:r>
        <w:rPr>
          <w:rFonts w:ascii="Arial" w:cs="Arial" w:eastAsia="Arial" w:hAnsi="Arial"/>
          <w:sz w:val="20"/>
          <w:szCs w:val="20"/>
          <w:color w:val="auto"/>
        </w:rPr>
        <w:t>. Except when otherwise indicated by the context, any masculine pronoun when used in the Plan shall refer to either male or female Participants, and the definition of any term in the singular shall also include the plural.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6" w:name="page107"/>
    <w:bookmarkEnd w:id="106"/>
    <w:p>
      <w:pPr>
        <w:jc w:val="both"/>
        <w:ind w:firstLine="878"/>
        <w:spacing w:after="0" w:line="247"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any provision of the Plan shall be held invalid or illegal for any reason, any illegality or invalidity shall not affect the remaining parts of the Plan, but the Plan shall be construed and enforced as if the illegal or invalid provision had never been inserted, and the Company shall have the privilege and opportunity to correct and remedy questions of illegality or invalidity by amendment as provided in the Plan.</w:t>
      </w:r>
    </w:p>
    <w:p>
      <w:pPr>
        <w:spacing w:after="0" w:line="174"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Applicable Law</w:t>
      </w:r>
      <w:r>
        <w:rPr>
          <w:rFonts w:ascii="Arial" w:cs="Arial" w:eastAsia="Arial" w:hAnsi="Arial"/>
          <w:sz w:val="21"/>
          <w:szCs w:val="21"/>
          <w:color w:val="auto"/>
        </w:rPr>
        <w:t>. To the extent not preempted by ERISA, this Plan shall be governed and construed in accordance with the laws of the State of Texas.</w:t>
      </w:r>
    </w:p>
    <w:p>
      <w:pPr>
        <w:spacing w:after="0" w:line="15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Plan Not an Employment Contract</w:t>
      </w:r>
      <w:r>
        <w:rPr>
          <w:rFonts w:ascii="Arial" w:cs="Arial" w:eastAsia="Arial" w:hAnsi="Arial"/>
          <w:sz w:val="21"/>
          <w:szCs w:val="21"/>
          <w:color w:val="auto"/>
        </w:rPr>
        <w:t>. The Plan is not an employment contract. The receipt of benefits under the Plan does not give to any person the right to be continued in employment by the Company or a Subsidiary, and all Employees remain subject to change of salary, transfer, change of job, discipline, layoff, discharge (with or without cause), or any other change of employment status.</w:t>
      </w:r>
    </w:p>
    <w:p>
      <w:pPr>
        <w:spacing w:after="0" w:line="17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Source of Payment</w:t>
      </w:r>
      <w:r>
        <w:rPr>
          <w:rFonts w:ascii="Arial" w:cs="Arial" w:eastAsia="Arial" w:hAnsi="Arial"/>
          <w:sz w:val="20"/>
          <w:szCs w:val="20"/>
          <w:color w:val="auto"/>
        </w:rPr>
        <w:t>. The benefits described in this Plan are contractual obligations and liabilities of the applicable Employer to pay compensation for services in accordance with the terms hereof. All amounts paid under this Plan shall be paid in cash from the general assets of the applicable Employer. Benefits shall be reflected on the accounting records of the Employers, but shall not be construed to create, or require the creation of, a trust, custodial or escrow account. No special or separate fund need be established and no segregation of assets need be made to assure the payment of such benefits. No Participant shall have any right, title, or interest whatever in or to any investment reserves, accounts, funds or assets that the Company or the Employers may purchase, establish, or accumulate to aid in providing the benefits described in this Plan. Nothing contained in this Plan, and no action taken pursuant to its provisions, shall create or be construed to create a trust or a fiduciary relationship of any kind between an Employer or the Company and a Participant or any other person. Neither a Participant nor the beneficiary of a Participant shall acquire any interest hereunder greater than that of an unsecured creditor.</w:t>
      </w:r>
    </w:p>
    <w:p>
      <w:pPr>
        <w:spacing w:after="0" w:line="168" w:lineRule="exact"/>
        <w:rPr>
          <w:sz w:val="20"/>
          <w:szCs w:val="20"/>
          <w:color w:val="auto"/>
        </w:rPr>
      </w:pPr>
    </w:p>
    <w:p>
      <w:pPr>
        <w:jc w:val="both"/>
        <w:ind w:right="20" w:firstLine="878"/>
        <w:spacing w:after="0" w:line="252" w:lineRule="auto"/>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u w:val="single" w:color="auto"/>
          <w:color w:val="auto"/>
        </w:rPr>
        <w:t>Tax Withholding</w:t>
      </w:r>
      <w:r>
        <w:rPr>
          <w:rFonts w:ascii="Arial" w:cs="Arial" w:eastAsia="Arial" w:hAnsi="Arial"/>
          <w:sz w:val="21"/>
          <w:szCs w:val="21"/>
          <w:color w:val="auto"/>
        </w:rPr>
        <w:t>. The Employer may withhold from a payment any federal, state, or local taxes required by law to be withheld with respect to such payment and such sums as the Employer may reasonably estimate as necessary to cover any taxes for which the Employer may be liable and which may be assessed with regard to such payment.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1"/>
          <w:szCs w:val="21"/>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PARTICIPATION</w:t>
      </w:r>
    </w:p>
    <w:p>
      <w:pPr>
        <w:spacing w:after="0" w:line="192" w:lineRule="exact"/>
        <w:rPr>
          <w:sz w:val="20"/>
          <w:szCs w:val="20"/>
          <w:color w:val="auto"/>
        </w:rPr>
      </w:pPr>
    </w:p>
    <w:p>
      <w:pPr>
        <w:jc w:val="both"/>
        <w:ind w:firstLine="1756"/>
        <w:spacing w:after="0" w:line="252" w:lineRule="auto"/>
        <w:rPr>
          <w:sz w:val="20"/>
          <w:szCs w:val="20"/>
          <w:color w:val="auto"/>
        </w:rPr>
      </w:pPr>
      <w:r>
        <w:rPr>
          <w:rFonts w:ascii="Arial" w:cs="Arial" w:eastAsia="Arial" w:hAnsi="Arial"/>
          <w:sz w:val="20"/>
          <w:szCs w:val="20"/>
          <w:color w:val="auto"/>
        </w:rPr>
        <w:t>A Participant who has accrued SL Plan Benefits or is entitled to benefits accrued under this Plan prior to January 1, 2018, shall receive such benefits, together with any benefits accrued hereunder from and after January 1, 2018, pursuant to the provisions of this Plan. An Employee who becomes eligible for participation in Program A of this Plan (as described in Section 3.2) from and after January 1, 2018 shall become a Participant in Program A of this Plan if, as of or after such date, the benefits he would otherwise receive as a result of his participation in one or more of the Qualified Plans are reduced as a result of the Code Section 401(a)(17) Limitations. An Employee who becomes eligible for participation in Program B of this Plan (as described in Section 4.2) from and after January 1, 2018 shall become a Participant in Program B of this Plan if, as of or after such date, the benefits he would otherwise receive as a result of his participation in one or more of the Qualified Plans are reduced as a result of the Code Section 415 Limitations. An Employee who becomes eligible for participation in both Program A and B of this Plan from and after January 1, 2018 and whose Qualified Plan benefits have been reduced by both the Code Section 401(a)(17) Limitations and the Code Section 415 Limitations shall participate in both Program A and B; provided, however, that nothing in this Plan shall entitle him to receive an amount that exceeds the total benefits that would have been his due under the Qualified Plans in the absence of the Code Section 401(a)(17) Limitations and the Code Section 415 Limitations.</w:t>
      </w:r>
    </w:p>
    <w:p>
      <w:pPr>
        <w:spacing w:after="0" w:line="173"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ARTICLE III</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PROGRAM A:</w:t>
      </w:r>
    </w:p>
    <w:p>
      <w:pPr>
        <w:jc w:val="center"/>
        <w:spacing w:after="0"/>
        <w:rPr>
          <w:sz w:val="20"/>
          <w:szCs w:val="20"/>
          <w:color w:val="auto"/>
        </w:rPr>
      </w:pPr>
      <w:r>
        <w:rPr>
          <w:rFonts w:ascii="Arial" w:cs="Arial" w:eastAsia="Arial" w:hAnsi="Arial"/>
          <w:sz w:val="21"/>
          <w:szCs w:val="21"/>
          <w:b w:val="1"/>
          <w:bCs w:val="1"/>
          <w:color w:val="auto"/>
        </w:rPr>
        <w:t>RESTORATION OF BENEFITS REDUCED BY CODE SECTION 401(a)(17)</w:t>
      </w:r>
    </w:p>
    <w:p>
      <w:pPr>
        <w:spacing w:after="0" w:line="192"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Purpose</w:t>
      </w:r>
      <w:r>
        <w:rPr>
          <w:rFonts w:ascii="Arial" w:cs="Arial" w:eastAsia="Arial" w:hAnsi="Arial"/>
          <w:sz w:val="21"/>
          <w:szCs w:val="21"/>
          <w:color w:val="auto"/>
        </w:rPr>
        <w:t>. Code Section 401(a)(17) limits the amount of compensation that may be taken into account under the Qualified Plans. The purpose of Program A is to restore to Participants in the Qualified Plans any benefits that would have been available to them under the Qualified Plans had the Code Section 401(a)(17) Limitations not been imposed.</w:t>
      </w:r>
    </w:p>
    <w:p>
      <w:pPr>
        <w:spacing w:after="0" w:line="169"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Eligibility</w:t>
      </w:r>
      <w:r>
        <w:rPr>
          <w:rFonts w:ascii="Arial" w:cs="Arial" w:eastAsia="Arial" w:hAnsi="Arial"/>
          <w:sz w:val="21"/>
          <w:szCs w:val="21"/>
          <w:color w:val="auto"/>
        </w:rPr>
        <w:t>. In order to participate in Program A of this Plan, an individual must (a) be a Participant in one of the Qualified Plans and (b) have experienced a reduction in the benefits he would have received from the Qualified Plan in which he is a Participant as a result of the Code Section 401(a)(17) Limitations on the amount of annual compensation that may be included in the calculation of benefits. In addition, this Program is intended solely for the participation of a select group of management or highly compensated employees, as those terms are set forth in Section 201(2) of ERISA.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8" w:name="page109"/>
    <w:bookmarkEnd w:id="108"/>
    <w:p>
      <w:pPr>
        <w:jc w:val="both"/>
        <w:ind w:firstLine="878"/>
        <w:spacing w:after="0" w:line="244"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Calculation of Restoration Benefit</w:t>
      </w:r>
      <w:r>
        <w:rPr>
          <w:rFonts w:ascii="Arial" w:cs="Arial" w:eastAsia="Arial" w:hAnsi="Arial"/>
          <w:sz w:val="21"/>
          <w:szCs w:val="21"/>
          <w:color w:val="auto"/>
        </w:rPr>
        <w:t>. The amount of restoration benefits payable to a Participant in Program A of this Plan with reference to each Qualified Defined Benefit Plan under which the Participant may claim benefits will be calculated in the manner described in Subsection (a). The amount of benefits payable to a Participant in Program A of this Plan with reference to each Qualified Defined Contribution Plan under which the Participant may claim benefits will be calculated in the manner described in Subsection (b).</w:t>
      </w:r>
    </w:p>
    <w:p>
      <w:pPr>
        <w:spacing w:after="0" w:line="180" w:lineRule="exact"/>
        <w:rPr>
          <w:sz w:val="20"/>
          <w:szCs w:val="20"/>
          <w:color w:val="auto"/>
        </w:rPr>
      </w:pPr>
    </w:p>
    <w:p>
      <w:pPr>
        <w:jc w:val="both"/>
        <w:ind w:left="880" w:firstLine="814"/>
        <w:spacing w:after="0" w:line="268" w:lineRule="auto"/>
        <w:tabs>
          <w:tab w:leader="none" w:pos="2563"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Restoration of Amounts Under Qualified Defined Benefit Plans</w:t>
      </w:r>
      <w:r>
        <w:rPr>
          <w:rFonts w:ascii="Arial" w:cs="Arial" w:eastAsia="Arial" w:hAnsi="Arial"/>
          <w:sz w:val="19"/>
          <w:szCs w:val="19"/>
          <w:color w:val="auto"/>
        </w:rPr>
        <w:t>. As of Participant’s Termination of Employment the Company will calculate a benefit in an amount equal to the excess of (i) over (ii), where (i) is equal to the amount of the defined benefit which would have been payable under the Qualified Defined Benefit Plan but for the Code Section 401(a)(17) Limitations as of Participant’s Termination of Employment and (ii) is equal to the amount of the benefit actually payable under the Qualified Defined Benefit Plan as of Participant’s Termination of Employment, which excess is hereinafter referred to as the “Defined Benefit Restoration Benefit.” The Participant shall become vested in his or her Defined Benefit Restoration Benefit upon Participant’s attainment of age 50 with five years of credited Active Service. The Company shall pay a vested Defined Benefit Restoration Benefit to the Participant, or, if applicable, to his surviving Spouse, upon Participant’s Termination of Employment. If Participant experiences a Termination of Employment prior to satisfying the vesting conditions described in this Section 3.3(a), Participant’s Defined Benefit Restoration Benefit shall be forfeited. The Defined Benefit Restoration Benefit shall become payable as provided in Section 5.3 hereof.</w:t>
      </w:r>
    </w:p>
    <w:p>
      <w:pPr>
        <w:spacing w:after="0" w:line="156" w:lineRule="exact"/>
        <w:rPr>
          <w:rFonts w:ascii="Arial" w:cs="Arial" w:eastAsia="Arial" w:hAnsi="Arial"/>
          <w:sz w:val="19"/>
          <w:szCs w:val="19"/>
          <w:color w:val="auto"/>
        </w:rPr>
      </w:pPr>
    </w:p>
    <w:p>
      <w:pPr>
        <w:jc w:val="both"/>
        <w:ind w:left="880" w:firstLine="814"/>
        <w:spacing w:after="0"/>
        <w:tabs>
          <w:tab w:leader="none" w:pos="2575"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Restoration of Amounts Under Qualified Defined Contribution Plans</w:t>
      </w:r>
      <w:r>
        <w:rPr>
          <w:rFonts w:ascii="Arial" w:cs="Arial" w:eastAsia="Arial" w:hAnsi="Arial"/>
          <w:sz w:val="21"/>
          <w:szCs w:val="21"/>
          <w:color w:val="auto"/>
        </w:rPr>
        <w:t>. A benefit, hereinafter referred to as the “Defined Contribution Restoration Benefit,” shall be provided to each Participant in Program A whose discretionary Employer profit-sharing contribution under a Qualified Defined Contribution Plan was reduced as a result of the Code Section 401(a)(17) Limitations. With respect to any Plan Year, the Defined Contribution Plan Restoration Benefit shall be equal to the excess, if any, of (i) over (ii) where (i) is equal to the amount of the discretionary Employer profit-sharing contribution the Employer would have made to the Qualified Defined Contribution Plan for a Plan Year on behalf of the Participant, based on the Participant’s compensation for that Plan Year without regard to the Code Section 401(a)(17) Limitations, and (ii) is equal to the amount of the discretionary Employer profit-sharing contribution that the Employer actually paid into the Qualified Defined Contribution Plan on behalf of the Participant for such Plan Year, after application of the Code Section 401(a)(17) Limitations. A Participant’s Defined Contribution Restoration Benefit shall become fully vested upon Participant’s completion of four years of Active Service (as that term is defined in the Qualified Defined Contribution Plan).</w:t>
      </w:r>
    </w:p>
    <w:p>
      <w:pPr>
        <w:spacing w:after="0" w:line="182" w:lineRule="exact"/>
        <w:rPr>
          <w:sz w:val="20"/>
          <w:szCs w:val="20"/>
          <w:color w:val="auto"/>
        </w:rPr>
      </w:pPr>
    </w:p>
    <w:p>
      <w:pPr>
        <w:jc w:val="both"/>
        <w:ind w:left="880" w:firstLine="1621"/>
        <w:spacing w:after="0" w:line="243" w:lineRule="auto"/>
        <w:rPr>
          <w:sz w:val="20"/>
          <w:szCs w:val="20"/>
          <w:color w:val="auto"/>
        </w:rPr>
      </w:pPr>
      <w:r>
        <w:rPr>
          <w:rFonts w:ascii="Arial" w:cs="Arial" w:eastAsia="Arial" w:hAnsi="Arial"/>
          <w:sz w:val="21"/>
          <w:szCs w:val="21"/>
          <w:color w:val="auto"/>
        </w:rPr>
        <w:t>The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Any investment election made pursuant to the Qualified Defined Contribution Plan shall also apply to the Defined Contribution Restoration Benefit and shall be effective at the same time that such election is applicable to the Participant’s Account under the Qualified Defined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09" w:name="page110"/>
    <w:bookmarkEnd w:id="109"/>
    <w:p>
      <w:pPr>
        <w:jc w:val="both"/>
        <w:ind w:left="880"/>
        <w:spacing w:after="0" w:line="243" w:lineRule="auto"/>
        <w:rPr>
          <w:sz w:val="20"/>
          <w:szCs w:val="20"/>
          <w:color w:val="auto"/>
        </w:rPr>
      </w:pPr>
      <w:r>
        <w:rPr>
          <w:rFonts w:ascii="Arial" w:cs="Arial" w:eastAsia="Arial" w:hAnsi="Arial"/>
          <w:sz w:val="21"/>
          <w:szCs w:val="21"/>
          <w:color w:val="auto"/>
        </w:rPr>
        <w:t>Contribution Plan. The Administrative Committee shall develop such procedures as it deems necessary for purposes of valuing the Defined Contribution Restoration Benefits and maintaining records thereof. The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Defined Contribution Restoration Benefit shall become payable as provided in Section 5.2 hereof.</w:t>
      </w:r>
    </w:p>
    <w:p>
      <w:pPr>
        <w:spacing w:after="0" w:line="173"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ARTICLE IV</w:t>
      </w:r>
    </w:p>
    <w:p>
      <w:pPr>
        <w:spacing w:after="0" w:line="19"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PROGRAM B:</w:t>
      </w:r>
    </w:p>
    <w:p>
      <w:pPr>
        <w:jc w:val="center"/>
        <w:spacing w:after="0"/>
        <w:rPr>
          <w:sz w:val="20"/>
          <w:szCs w:val="20"/>
          <w:color w:val="auto"/>
        </w:rPr>
      </w:pPr>
      <w:r>
        <w:rPr>
          <w:rFonts w:ascii="Arial" w:cs="Arial" w:eastAsia="Arial" w:hAnsi="Arial"/>
          <w:sz w:val="21"/>
          <w:szCs w:val="21"/>
          <w:b w:val="1"/>
          <w:bCs w:val="1"/>
          <w:color w:val="auto"/>
        </w:rPr>
        <w:t>RESTORATION OF BENEFITS REDUCED BY CODE SECTION 415</w:t>
      </w:r>
    </w:p>
    <w:p>
      <w:pPr>
        <w:spacing w:after="0" w:line="192"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Purpose</w:t>
      </w:r>
      <w:r>
        <w:rPr>
          <w:rFonts w:ascii="Arial" w:cs="Arial" w:eastAsia="Arial" w:hAnsi="Arial"/>
          <w:sz w:val="21"/>
          <w:szCs w:val="21"/>
          <w:color w:val="auto"/>
        </w:rPr>
        <w:t>. Code Section 415 limits the amount of benefits available under a defined benefit plan and the amount of contributions permissible under a defined contribution plan. The purpose of Program B is to restore to Participants any Qualified Plan benefits that have been reduced as a result of the Code Section 415 Limitations.</w:t>
      </w:r>
    </w:p>
    <w:p>
      <w:pPr>
        <w:spacing w:after="0" w:line="169"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Eligibility</w:t>
      </w:r>
      <w:r>
        <w:rPr>
          <w:rFonts w:ascii="Arial" w:cs="Arial" w:eastAsia="Arial" w:hAnsi="Arial"/>
          <w:sz w:val="21"/>
          <w:szCs w:val="21"/>
          <w:color w:val="auto"/>
        </w:rPr>
        <w:t>. An employee is eligible to participate in Program B of this Plan if he (a) is a Participant in one of the Qualified Plans and (b) has experienced a reduction in the amount of benefits he would have received from the Qualified Plan in which he is a Participant as a result of the Code Section 415 Limitations.</w:t>
      </w:r>
    </w:p>
    <w:p>
      <w:pPr>
        <w:spacing w:after="0" w:line="169"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Calculation of Restoration Benefit</w:t>
      </w:r>
      <w:r>
        <w:rPr>
          <w:rFonts w:ascii="Arial" w:cs="Arial" w:eastAsia="Arial" w:hAnsi="Arial"/>
          <w:sz w:val="21"/>
          <w:szCs w:val="21"/>
          <w:color w:val="auto"/>
        </w:rPr>
        <w:t>. The amount of restoration benefits payable to a Participant in Program B of this Plan with reference to each Qualified Defined Benefit Plan under which the Participant may claim benefits will be calculated in the manner described in Subsection (a). The amount of benefits payable to a Participant in Program B of this Plan with reference to each Qualified Defined Contribution Plan under which the Participant may claim benefits will be calculated in the manner described in Subsection (b).</w:t>
      </w:r>
    </w:p>
    <w:p>
      <w:pPr>
        <w:spacing w:after="0" w:line="180" w:lineRule="exact"/>
        <w:rPr>
          <w:sz w:val="20"/>
          <w:szCs w:val="20"/>
          <w:color w:val="auto"/>
        </w:rPr>
      </w:pPr>
    </w:p>
    <w:p>
      <w:pPr>
        <w:jc w:val="both"/>
        <w:ind w:left="880" w:firstLine="814"/>
        <w:spacing w:after="0" w:line="268" w:lineRule="auto"/>
        <w:tabs>
          <w:tab w:leader="none" w:pos="2563"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Restoration of Amounts Under Qualified Defined Benefit Plans</w:t>
      </w:r>
      <w:r>
        <w:rPr>
          <w:rFonts w:ascii="Arial" w:cs="Arial" w:eastAsia="Arial" w:hAnsi="Arial"/>
          <w:sz w:val="19"/>
          <w:szCs w:val="19"/>
          <w:color w:val="auto"/>
        </w:rPr>
        <w:t>. When a Participant has a Termination of Employment, the Company will calculate a benefit equal to the excess of (i) over (ii), where (i) is equal to the amount of the defined benefit that would have been payable under the Qualified Defined Benefit Plan without regard to the Code Section 415 Limitations as of Participant’s Termination of Employment and (ii) is equal to the amount of benefit actually payable under the Qualified Defined Benefit Plan as of Participant’s Termination of Employment, which excess is hereinafter referred to as the “Section 415 Defined Benefit Restoration Benefit.” The Company shall pay a Section 415 Defined Benefit Restoration Benefit to the Participant or, if applicable, to Participant’s surviving Spouse. The Participant shall become vested in his Section 415 Defined Benefit Restoration Benefit upon Participant’s attainment of age 50 with five years of credited Active Service. If Participant experiences a Termination of Employment prior to satisfying the vesting conditions described in this Section 4.3(a), Participant’s Section 415 Defined Benefit Restoration Benefit shall be forfeited. The Section 415 Defined Benefit Restoration Benefit shall become payable as provided in Section 5.3 hereof.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0" w:name="page111"/>
    <w:bookmarkEnd w:id="110"/>
    <w:p>
      <w:pPr>
        <w:jc w:val="both"/>
        <w:ind w:left="880" w:firstLine="814"/>
        <w:spacing w:after="0" w:line="265" w:lineRule="auto"/>
        <w:tabs>
          <w:tab w:leader="none" w:pos="2575"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Restoration of Amounts Under Qualified Defined Contribution Plans</w:t>
      </w:r>
      <w:r>
        <w:rPr>
          <w:rFonts w:ascii="Arial" w:cs="Arial" w:eastAsia="Arial" w:hAnsi="Arial"/>
          <w:sz w:val="19"/>
          <w:szCs w:val="19"/>
          <w:color w:val="auto"/>
        </w:rPr>
        <w:t>. A benefit, hereinafter referred to as the “Section 415 Defined Contribution Restoration Benefit,” will be payable to Participants in Program B whose Qualified Defined Contribution Plan benefits were reduced as a result of the Code Section 415 Limitations. With respect to any Plan Year, the Section 415 Defined Contribution Restoration Benefit shall be payable in an amount equal to the excess of (i) over (ii), where (i) is equal to the amount of the discretionary Employer profit-sharing contribution the Employer would have made under the Qualified Defined Contribution Plan without regard to the Code Section 415 Limitations and</w:t>
      </w:r>
    </w:p>
    <w:p>
      <w:pPr>
        <w:spacing w:after="0" w:line="4" w:lineRule="exact"/>
        <w:rPr>
          <w:rFonts w:ascii="Arial" w:cs="Arial" w:eastAsia="Arial" w:hAnsi="Arial"/>
          <w:sz w:val="19"/>
          <w:szCs w:val="19"/>
          <w:color w:val="auto"/>
        </w:rPr>
      </w:pPr>
    </w:p>
    <w:p>
      <w:pPr>
        <w:jc w:val="both"/>
        <w:ind w:left="880" w:firstLine="4"/>
        <w:spacing w:after="0" w:line="241" w:lineRule="auto"/>
        <w:tabs>
          <w:tab w:leader="none" w:pos="1208" w:val="left"/>
        </w:tabs>
        <w:numPr>
          <w:ilvl w:val="0"/>
          <w:numId w:val="77"/>
        </w:numPr>
        <w:rPr>
          <w:rFonts w:ascii="Arial" w:cs="Arial" w:eastAsia="Arial" w:hAnsi="Arial"/>
          <w:sz w:val="21"/>
          <w:szCs w:val="21"/>
          <w:color w:val="auto"/>
        </w:rPr>
      </w:pPr>
      <w:r>
        <w:rPr>
          <w:rFonts w:ascii="Arial" w:cs="Arial" w:eastAsia="Arial" w:hAnsi="Arial"/>
          <w:sz w:val="21"/>
          <w:szCs w:val="21"/>
          <w:color w:val="auto"/>
        </w:rPr>
        <w:t>is equal to the amount of the benefit actually payable under the Qualified Defined Contribution Plan. A Participant’s Section 415 Defined Contribution Restoration Benefit shall become fully vested upon Participant’s completion of four years of Active Service (as that term is defined in the Qualified Defined Contribution Plan) or, if earlier, upon Participant’s death.</w:t>
      </w:r>
    </w:p>
    <w:p>
      <w:pPr>
        <w:spacing w:after="0" w:line="180" w:lineRule="exact"/>
        <w:rPr>
          <w:sz w:val="20"/>
          <w:szCs w:val="20"/>
          <w:color w:val="auto"/>
        </w:rPr>
      </w:pPr>
    </w:p>
    <w:p>
      <w:pPr>
        <w:jc w:val="both"/>
        <w:ind w:left="880" w:firstLine="1621"/>
        <w:spacing w:after="0"/>
        <w:rPr>
          <w:sz w:val="20"/>
          <w:szCs w:val="20"/>
          <w:color w:val="auto"/>
        </w:rPr>
      </w:pPr>
      <w:r>
        <w:rPr>
          <w:rFonts w:ascii="Arial" w:cs="Arial" w:eastAsia="Arial" w:hAnsi="Arial"/>
          <w:sz w:val="21"/>
          <w:szCs w:val="21"/>
          <w:color w:val="auto"/>
        </w:rPr>
        <w:t>The Section 415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Any investment elections made pursuant to the Qualified Defined Contribution Plan shall also apply to the Section 415 Defined Contribution Restoration Benefit and shall be effective at the same time that such election is applicable to the Participant’s Account under the Qualified Defined Contribution Plan. The Administrative Committee shall develop such procedures as it deems necessary for purposes of valuing the Section 415 Defined Contribution Restoration Benefits and maintaining records thereof. The Section 415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Section 415 Defined Contribution Restoration Benefit shall become payable as provided in Section 5.2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VESTING AND FORM OF PAYMENT</w:t>
      </w:r>
    </w:p>
    <w:p>
      <w:pPr>
        <w:spacing w:after="0" w:line="192"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Vesting</w:t>
      </w:r>
      <w:r>
        <w:rPr>
          <w:rFonts w:ascii="Arial" w:cs="Arial" w:eastAsia="Arial" w:hAnsi="Arial"/>
          <w:sz w:val="21"/>
          <w:szCs w:val="21"/>
          <w:color w:val="auto"/>
        </w:rPr>
        <w:t>. A Participant shall become vested in the benefits payable in accordance with Sections 3.3 and 4.3 hereof. Notwithstanding the foregoing, a Participant (and his survivor or Beneficiary) shall have no right to a benefit under this Plan if the Administrative Committee determines that the Participant engaged in a dishonest act injurious to the finances or reputation of the Company or any of its Affiliates or that the Participant has violated the Patent and Confidential Information Agreement between the Participant and the Company or any of its Affiliates or any other confidential arrangement involving the Company or any of its Affiliates to which he is a party or by which he is bound.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1" w:name="page112"/>
    <w:bookmarkEnd w:id="111"/>
    <w:p>
      <w:pPr>
        <w:jc w:val="both"/>
        <w:ind w:firstLine="878"/>
        <w:spacing w:after="0" w:line="252"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Defined Contribution Plan Benefits</w:t>
      </w:r>
      <w:r>
        <w:rPr>
          <w:rFonts w:ascii="Arial" w:cs="Arial" w:eastAsia="Arial" w:hAnsi="Arial"/>
          <w:sz w:val="21"/>
          <w:szCs w:val="21"/>
          <w:color w:val="auto"/>
        </w:rPr>
        <w:t>. The Defined Contribution Restoration Benefit and the Section 415 Defined Contribution Restoration Benefit (the “Defined Contribution Benefits”) shall be payable in the form of (i) a lump sum or (ii) at the Participant’s election, in five or ten annual installment payments.</w:t>
      </w:r>
    </w:p>
    <w:p>
      <w:pPr>
        <w:spacing w:after="0" w:line="169" w:lineRule="exact"/>
        <w:rPr>
          <w:sz w:val="20"/>
          <w:szCs w:val="20"/>
          <w:color w:val="auto"/>
        </w:rPr>
      </w:pPr>
    </w:p>
    <w:p>
      <w:pPr>
        <w:jc w:val="both"/>
        <w:ind w:left="880" w:firstLine="814"/>
        <w:spacing w:after="0" w:line="241" w:lineRule="auto"/>
        <w:tabs>
          <w:tab w:leader="none" w:pos="2563"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Lump Sum Payment</w:t>
      </w:r>
      <w:r>
        <w:rPr>
          <w:rFonts w:ascii="Arial" w:cs="Arial" w:eastAsia="Arial" w:hAnsi="Arial"/>
          <w:sz w:val="21"/>
          <w:szCs w:val="21"/>
          <w:color w:val="auto"/>
        </w:rPr>
        <w:t>. Subject to Section 6.5, a lump-sum payment shall be made during the first calendar quarter of the Plan Year following the Participant’s Termination of Employment. In the event of the death of the Participant prior to full payment of his Defined Contribution Benefits, any such unpaid benefits shall be paid in a lump sum to the person or persons who are designated as the Participant’s Beneficiaries under the applicable Qualified Defined Contribution Plan (with the valid consent of the Participant’s Spouse where required under the Qualified Defined Contribution Plan). Any such Defined Contribution Benefits which are paid as a result of the death of the Participant shall be paid in a lump sum during the first calendar quarter of the Plan Year following the Plan Year in which the Participant’s death occurs.</w:t>
      </w:r>
    </w:p>
    <w:p>
      <w:pPr>
        <w:spacing w:after="0" w:line="183" w:lineRule="exact"/>
        <w:rPr>
          <w:rFonts w:ascii="Arial" w:cs="Arial" w:eastAsia="Arial" w:hAnsi="Arial"/>
          <w:sz w:val="21"/>
          <w:szCs w:val="21"/>
          <w:color w:val="auto"/>
        </w:rPr>
      </w:pPr>
    </w:p>
    <w:p>
      <w:pPr>
        <w:jc w:val="both"/>
        <w:ind w:left="880" w:firstLine="814"/>
        <w:spacing w:after="0"/>
        <w:tabs>
          <w:tab w:leader="none" w:pos="2575"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Installment Payments</w:t>
      </w:r>
      <w:r>
        <w:rPr>
          <w:rFonts w:ascii="Arial" w:cs="Arial" w:eastAsia="Arial" w:hAnsi="Arial"/>
          <w:sz w:val="21"/>
          <w:szCs w:val="21"/>
          <w:color w:val="auto"/>
        </w:rPr>
        <w:t xml:space="preserve">. Subject to the rules established by the Administrative Committee, the Participant may file a distribution election, directing his Defined Contribution Benefits to be distributed in annual installment payments over five or ten years. Such distribution election must be made on the form supplied by the Administrative Committee for that purpose. With respect to Defined Contribution Benefits earned prior to January 1, 2016, the Participant may elect to have his Defined Contribution Benefits distributed in annual installments; </w:t>
      </w:r>
      <w:r>
        <w:rPr>
          <w:rFonts w:ascii="Arial" w:cs="Arial" w:eastAsia="Arial" w:hAnsi="Arial"/>
          <w:sz w:val="21"/>
          <w:szCs w:val="21"/>
          <w:i w:val="1"/>
          <w:iCs w:val="1"/>
          <w:color w:val="auto"/>
        </w:rPr>
        <w:t>provided, however</w:t>
      </w:r>
      <w:r>
        <w:rPr>
          <w:rFonts w:ascii="Arial" w:cs="Arial" w:eastAsia="Arial" w:hAnsi="Arial"/>
          <w:sz w:val="21"/>
          <w:szCs w:val="21"/>
          <w:color w:val="auto"/>
        </w:rPr>
        <w:t>, that any such election shall not take effect until at least 12 months after the election was made and the first annual installment shall not be payable prior to the date five years following the first day of the Plan Year following Participant’s Termination of Employment. With respect to Defined Contribution Benefits earned on or after January 1, 2016, the Participant may elect to have his Defined Contribution Benefits distributed in annual installments and subject to Section 6.5, the first annual installment shall be payable during the first calendar quarter of the Plan Year following the Participant’s Termination of Employment.</w:t>
      </w:r>
    </w:p>
    <w:p>
      <w:pPr>
        <w:spacing w:after="0" w:line="184" w:lineRule="exact"/>
        <w:rPr>
          <w:rFonts w:ascii="Arial" w:cs="Arial" w:eastAsia="Arial" w:hAnsi="Arial"/>
          <w:sz w:val="21"/>
          <w:szCs w:val="21"/>
          <w:color w:val="auto"/>
        </w:rPr>
      </w:pPr>
    </w:p>
    <w:p>
      <w:pPr>
        <w:jc w:val="both"/>
        <w:ind w:left="880" w:firstLine="814"/>
        <w:spacing w:after="0" w:line="254" w:lineRule="auto"/>
        <w:tabs>
          <w:tab w:leader="none" w:pos="2563"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Change of Form or Timing of Benefit Payments</w:t>
      </w:r>
      <w:r>
        <w:rPr>
          <w:rFonts w:ascii="Arial" w:cs="Arial" w:eastAsia="Arial" w:hAnsi="Arial"/>
          <w:sz w:val="20"/>
          <w:szCs w:val="20"/>
          <w:color w:val="auto"/>
        </w:rPr>
        <w:t xml:space="preserve">. A Participant may file a subsequent distribution election for his Defined Contribution Benefits no later than 12 months prior to the date that he or she would have otherwise received (or would have commenced to receive) distribution of his Defined Contribution Benefits, to change the timing and form of payment of the distribution to a time and form available under the Plan;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payment, or first payment in the case of an installment payment, under the subsequent distribution election shall be deferred to a date that is at least five years after the date the Participant would have received his distribution of Defined Contribution Benefits under his prior election. Such subsequent distribution election is subject to the rules established by the Administrative Committee and must be made on the form supplied by the Administrative Committee for that purpose. The requirement in this Section 5.2(c) that the first payment with respect to which any election thereunder applies must be deferred for at least five years shall not apply to a payment involving the Participant’s death.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2" w:name="page113"/>
    <w:bookmarkEnd w:id="112"/>
    <w:p>
      <w:pPr>
        <w:jc w:val="both"/>
        <w:ind w:firstLine="878"/>
        <w:spacing w:after="0" w:line="26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Defined Benefit Plan Benefits</w:t>
      </w:r>
      <w:r>
        <w:rPr>
          <w:rFonts w:ascii="Arial" w:cs="Arial" w:eastAsia="Arial" w:hAnsi="Arial"/>
          <w:sz w:val="19"/>
          <w:szCs w:val="19"/>
          <w:color w:val="auto"/>
        </w:rPr>
        <w:t>. Subject to Section 6.5, the vested Defined Benefit Restoration Benefit and the vested Section 415 Defined Benefit Restoration Benefit (the “Defined Benefits”) shall be payable in the form of an annuity to commence on the first day of the month following the later of (i) the Participant’s Termination of Employment and (ii) the earliest of</w:t>
      </w:r>
    </w:p>
    <w:p>
      <w:pPr>
        <w:jc w:val="both"/>
        <w:ind w:firstLine="6"/>
        <w:spacing w:after="0" w:line="266" w:lineRule="auto"/>
        <w:tabs>
          <w:tab w:leader="none" w:pos="353" w:val="left"/>
        </w:tabs>
        <w:numPr>
          <w:ilvl w:val="0"/>
          <w:numId w:val="79"/>
        </w:numPr>
        <w:rPr>
          <w:rFonts w:ascii="Arial" w:cs="Arial" w:eastAsia="Arial" w:hAnsi="Arial"/>
          <w:sz w:val="19"/>
          <w:szCs w:val="19"/>
          <w:color w:val="auto"/>
        </w:rPr>
      </w:pPr>
      <w:r>
        <w:rPr>
          <w:rFonts w:ascii="Arial" w:cs="Arial" w:eastAsia="Arial" w:hAnsi="Arial"/>
          <w:sz w:val="19"/>
          <w:szCs w:val="19"/>
          <w:color w:val="auto"/>
        </w:rPr>
        <w:t>Participant’s attainment of age 55 (or, with respect to a Participant’s vested Defined Benefits that relate to benefits accrued under the Schlumberger Pension Plan for US Taxpayers Employed Abroad after December 31, 2009, age 60), (B) the Participant’s attainment of age 50 with 20 years of credited Active Service or (C) Participant’s death. If Participant is unmarried on the date of his Termination of Employment, the Defined Benefits shall be paid in the form of a single life annuity. If Participant is married on the date of his Termination of Employment, Participant’s benefit shall be paid in the form of one of the following Actuarially Equivalent annuity forms elected by Participant no later than his Termination of Employment: 50%, 75% or 100% joint and survivor annuity with Participant’s surviving Spouse. If a married Participant has not elected a form of joint and survivor annuity as of the date of his Termination of Employment, his benefit shall automatically be paid in the form of a 50% joint and survivor annuity with Participant’s surviving Spouse. In the event of the death of a Participant prior to commencement of his Defined Benefits or after commencement of such benefits, but prior to final satisfaction of all such amounts under this Plan, the Defined Benefits shall be paid to Participant’s surviving Spouse, if applicable, in accordance with the form of joint and survivor annuity benefits elected by the Participant.</w:t>
      </w:r>
    </w:p>
    <w:p>
      <w:pPr>
        <w:spacing w:after="0" w:line="159"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Non-Duplication of Benefits</w:t>
      </w:r>
      <w:r>
        <w:rPr>
          <w:rFonts w:ascii="Arial" w:cs="Arial" w:eastAsia="Arial" w:hAnsi="Arial"/>
          <w:sz w:val="21"/>
          <w:szCs w:val="21"/>
          <w:color w:val="auto"/>
        </w:rPr>
        <w:t>. The purpose of this Plan is to restore certain benefits which would otherwise be lost under the Qualified Plans. The benefits payable under this Plan shall be coordinated to ensure that benefit reductions attributable to the Code Section 401(a)(17) Limitations and the Code Section 415 Limitations are calculated to prevent duplication of benefits under this Plan. As pension payment amounts are adjusted annually under the Qualified Defined Benefit Plans to take into account cost of living adjustments prescribed by the Secretary of Treasury, the amount of the Section 415 Defined Benefit Restoration Benefit shall be adjusted annually to reflect such changes.</w:t>
      </w:r>
    </w:p>
    <w:p>
      <w:pPr>
        <w:spacing w:after="0" w:line="179"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SL Plan Benefits</w:t>
      </w:r>
      <w:r>
        <w:rPr>
          <w:rFonts w:ascii="Arial" w:cs="Arial" w:eastAsia="Arial" w:hAnsi="Arial"/>
          <w:sz w:val="21"/>
          <w:szCs w:val="21"/>
          <w:color w:val="auto"/>
        </w:rPr>
        <w:t>. All SL Plan Benefits shall be payable hereunder and the applicable Employer continues to be liable (as described in Section 1.6 hereof and of the SL Plan) for the payment of such benefits . Such SL Plan Benefits shall be subject to all of the applicable terms and provisions hereof as though accrued hereunder rather than under the SL Plan. To the extent that any SL Plan Benefits are paid pursuant to the SL Plan, such benefits shall be deemed for all purposes to have been paid pursuant to the terms of this Plan. Notwithstanding any provision herein to the contrary, this Plan shall be administered to prevent duplication of any benefits paid under the SL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ADMINISTRATION</w:t>
      </w:r>
    </w:p>
    <w:p>
      <w:pPr>
        <w:spacing w:after="0" w:line="192"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Administration</w:t>
      </w:r>
      <w:r>
        <w:rPr>
          <w:rFonts w:ascii="Arial" w:cs="Arial" w:eastAsia="Arial" w:hAnsi="Arial"/>
          <w:sz w:val="21"/>
          <w:szCs w:val="21"/>
          <w:color w:val="auto"/>
        </w:rPr>
        <w:t>. The Plan shall be administered, construed and interpreted by the Administrative Committee. The determinations by the Administrative Committee as to any disputed questions arising under the Plan, including questions concerning the Employees who are eligible to be Participants in the Plan and the amounts of their benefits under the Plan, and the construction and interpretation by the Administrative Committee of any provision of the Plan, shall be final, conclusive and binding upon all persons including Participants, their Beneficiaries and survivors, the Company, its stockholders and Employees, and the Employers. A member of the Administrative Committee who is also a Participant in the Plan must abstain from voting on any matter relating specifically to his own benefits under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3" w:name="page114"/>
    <w:bookmarkEnd w:id="113"/>
    <w:p>
      <w:pPr>
        <w:ind w:left="880"/>
        <w:spacing w:after="0"/>
        <w:tabs>
          <w:tab w:leader="none" w:pos="1760" w:val="left"/>
        </w:tabs>
        <w:rPr>
          <w:sz w:val="20"/>
          <w:szCs w:val="20"/>
          <w:color w:val="auto"/>
        </w:rPr>
      </w:pPr>
      <w:r>
        <w:rPr>
          <w:rFonts w:ascii="Arial" w:cs="Arial" w:eastAsia="Arial" w:hAnsi="Arial"/>
          <w:sz w:val="21"/>
          <w:szCs w:val="21"/>
          <w:color w:val="auto"/>
        </w:rPr>
        <w:t>6.2</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 The expenses of administering the Plan shall be borne by the Company.</w:t>
      </w:r>
    </w:p>
    <w:p>
      <w:pPr>
        <w:spacing w:after="0" w:line="210"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Indemnification</w:t>
      </w:r>
      <w:r>
        <w:rPr>
          <w:rFonts w:ascii="Arial" w:cs="Arial" w:eastAsia="Arial" w:hAnsi="Arial"/>
          <w:sz w:val="21"/>
          <w:szCs w:val="21"/>
          <w:color w:val="auto"/>
        </w:rPr>
        <w:t>. The members of the Administrative Committee and its agents shall be indemnified and held harmless by the Company against and from any and all loss, cost, liability, or expense that may be imposed upon or reasonably incurred by them in connection with or resulting from any claim, action, suit, or proceeding to which they may be a party or in which they may be involved by reason of any action taken or failure to act under this Plan and against and from any and all amounts paid by them in settlement (with the Company’s written approval) or paid by them in satisfaction of a judgment in any such action, suit, or proceeding. The foregoing provisions shall not be applicable to any person if the loss, cost, liability or expense is due to such person’s gross negligence or willful misconduct.</w:t>
      </w:r>
    </w:p>
    <w:p>
      <w:pPr>
        <w:spacing w:after="0" w:line="180"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409A Compliance</w:t>
      </w:r>
      <w:r>
        <w:rPr>
          <w:rFonts w:ascii="Arial" w:cs="Arial" w:eastAsia="Arial" w:hAnsi="Arial"/>
          <w:sz w:val="21"/>
          <w:szCs w:val="21"/>
          <w:color w:val="auto"/>
        </w:rPr>
        <w:t>. It is intended that the provisions of this Plan satisfy the requirements of Section 409A and that the Plan be construed and operated in a manner consistent with such requirements to the extent applicable. In accordance with Section 409A, an entitlement to a series of payments under this Plan is to be treated as an entitlement to a series of separate payments. Notwithstanding any provision of this Plan to the contrary, participation in this Plan constitutes acknowledgement and agreement by each Participant that the Company and its employees, officers, directors and Affiliates shall not be liable for, and nothing provided or contained in this Plan will be construed to obligate or cause the Company and/or its employees, officers, directors and Affiliates to be liable for, any tax, interest or penalties imposed on a Participant related to or arising with respect to any violation of Section 409A.</w:t>
      </w:r>
    </w:p>
    <w:p>
      <w:pPr>
        <w:spacing w:after="0" w:line="184" w:lineRule="exact"/>
        <w:rPr>
          <w:sz w:val="20"/>
          <w:szCs w:val="20"/>
          <w:color w:val="auto"/>
        </w:rPr>
      </w:pPr>
    </w:p>
    <w:p>
      <w:pPr>
        <w:jc w:val="both"/>
        <w:ind w:firstLine="878"/>
        <w:spacing w:after="0" w:line="252"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Specified Employees</w:t>
      </w:r>
      <w:r>
        <w:rPr>
          <w:rFonts w:ascii="Arial" w:cs="Arial" w:eastAsia="Arial" w:hAnsi="Arial"/>
          <w:sz w:val="20"/>
          <w:szCs w:val="20"/>
          <w:color w:val="auto"/>
        </w:rPr>
        <w:t>. If the Participant is a “specified employee,” as such term is defined and determined below in this Section 6.5, any payments payable as a result of the Participant’s Termination of Employment (other than death) shall not be payable before the earlier of (i) the date that is six months after the Participant’s Termination of Employment, (ii) the date of the Participant’s death, or (iii) the date that otherwise complies with the requirements of Section 409A. A Participant shall be a “specified employee” for the twelve-month period beginning on April 1 of a year if the Participant is a “key employee” as defined in Section 416(i) of the Internal Revenue Code (without regard to Section 416(i)(5) and further described below) as of December 31 of the preceding year or using such dates as designated by the Administrative Committee in accordance with Section 409A and in a manner that is consistent with respect to all of the Company’s nonqualified deferred compensation plans. For purposes of determining the identity of specified employees, the Administrative Committee may establish procedures as it deems appropriate in accordance with Section 409A. A “key employee” is an employee who is (1) one of the top 50 highly paid officers of the Company having an annual income greater than $150,000 in 2008 (with such amount annually adjusted in accordance with Code Section 415(d) for calendar years thereafter); (2) a 5-percent owner of the Company, or (3) is a 1-percent owner of the Company having an annual compensation from the employer of more than $150,000.</w:t>
      </w:r>
    </w:p>
    <w:p>
      <w:pPr>
        <w:spacing w:after="0" w:line="179"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Non-Alienation of Benefits</w:t>
      </w:r>
      <w:r>
        <w:rPr>
          <w:rFonts w:ascii="Arial" w:cs="Arial" w:eastAsia="Arial" w:hAnsi="Arial"/>
          <w:sz w:val="20"/>
          <w:szCs w:val="20"/>
          <w:color w:val="auto"/>
        </w:rPr>
        <w:t>. Except by mutual agreement between the Company and the Participant, any benefit payable under this Plan shall not be subject in any manner to anticipation, alienation, sale, transfer, assignment, pledge, encumbrance, or charge, whether voluntary, involuntary, by operation of law or otherwise, and any attempt at such shall be void, and any such benefit shall not in any way be subject to the debts, contract, liabilities, engagements, or torts of the person who shall be entitled to such to such benefit, nor shall it be subject to attachment or legal process for or against such person.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1"/>
          <w:szCs w:val="21"/>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MERGER, AMENDMENT AND TERMINATION</w:t>
      </w:r>
    </w:p>
    <w:p>
      <w:pPr>
        <w:spacing w:after="0" w:line="192"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Merger, Consolidation or Acquisition</w:t>
      </w:r>
      <w:r>
        <w:rPr>
          <w:rFonts w:ascii="Arial" w:cs="Arial" w:eastAsia="Arial" w:hAnsi="Arial"/>
          <w:sz w:val="21"/>
          <w:szCs w:val="21"/>
          <w:color w:val="auto"/>
        </w:rPr>
        <w:t>. In the event of a merger, consolidation or acquisition where an Employer is not the surviving corporation, unless the successor or acquiring corporation shall elect to continue and carry on the Plan, this Plan shall terminate with respect to such Employer, and no additional benefits shall accrue for the Employees of such Employer. Unpaid vested benefits which have been accrued up to the date of the merger, consolidation or acquisition shall be paid as scheduled unless the successor or acquiring corporation elects to accelerate payment.</w:t>
      </w:r>
    </w:p>
    <w:p>
      <w:pPr>
        <w:spacing w:after="0" w:line="180"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The Board of Directors may amend, modify, or terminate the Plan in whole or in part at any time. In the event of a termination of the Plan pursuant to this Section, unpaid vested benefits shall continue to be an obligation of the Company and shall be paid as scheduled or at such other time as may be permitted upon a plan termination pursuant to Section 409A.</w:t>
      </w:r>
    </w:p>
    <w:p>
      <w:pPr>
        <w:spacing w:after="0" w:line="174"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Participating Subsidiaries</w:t>
      </w:r>
      <w:r>
        <w:rPr>
          <w:rFonts w:ascii="Arial" w:cs="Arial" w:eastAsia="Arial" w:hAnsi="Arial"/>
          <w:sz w:val="20"/>
          <w:szCs w:val="20"/>
          <w:color w:val="auto"/>
        </w:rPr>
        <w:t>. Any Subsidiary that meets the definition of a Participating Affiliate or an Employer under a Qualified Plan and that has any Employees whose benefits under such Qualified Plan are affected by the Code Section 401(a)</w:t>
      </w:r>
    </w:p>
    <w:p>
      <w:pPr>
        <w:spacing w:after="0" w:line="1" w:lineRule="exact"/>
        <w:rPr>
          <w:sz w:val="20"/>
          <w:szCs w:val="20"/>
          <w:color w:val="auto"/>
        </w:rPr>
      </w:pPr>
    </w:p>
    <w:p>
      <w:pPr>
        <w:jc w:val="both"/>
        <w:ind w:firstLine="6"/>
        <w:spacing w:after="0" w:line="241" w:lineRule="auto"/>
        <w:tabs>
          <w:tab w:leader="none" w:pos="438" w:val="left"/>
        </w:tabs>
        <w:numPr>
          <w:ilvl w:val="0"/>
          <w:numId w:val="80"/>
        </w:numPr>
        <w:rPr>
          <w:rFonts w:ascii="Arial" w:cs="Arial" w:eastAsia="Arial" w:hAnsi="Arial"/>
          <w:sz w:val="21"/>
          <w:szCs w:val="21"/>
          <w:color w:val="auto"/>
        </w:rPr>
      </w:pPr>
      <w:r>
        <w:rPr>
          <w:rFonts w:ascii="Arial" w:cs="Arial" w:eastAsia="Arial" w:hAnsi="Arial"/>
          <w:sz w:val="21"/>
          <w:szCs w:val="21"/>
          <w:color w:val="auto"/>
        </w:rPr>
        <w:t>Limitations or the Code Section 415 Limitations shall be deemed to have adopted this Plan for the benefit of such eligible Employees. Such Subsidiary shall be bound as an Employer by all the terms, provisions, conditions, and limitations of the Plan and shall compile and submit all information required by the Company with reference to its Employees who are eligible for participation in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15" w:name="page116"/>
    <w:bookmarkEnd w:id="115"/>
    <w:p>
      <w:pPr>
        <w:jc w:val="both"/>
        <w:ind w:firstLine="1756"/>
        <w:spacing w:after="0" w:line="252" w:lineRule="auto"/>
        <w:rPr>
          <w:sz w:val="20"/>
          <w:szCs w:val="20"/>
          <w:color w:val="auto"/>
        </w:rPr>
      </w:pPr>
      <w:r>
        <w:rPr>
          <w:rFonts w:ascii="Arial" w:cs="Arial" w:eastAsia="Arial" w:hAnsi="Arial"/>
          <w:sz w:val="21"/>
          <w:szCs w:val="21"/>
          <w:color w:val="auto"/>
        </w:rPr>
        <w:t>IN WITNESS WHEREOF, the Company has caused this instrument to be executed by its duly authorized officers in a number of copies, each of which shall be deemed an original but all of which shall constitute one and the same instrument, this 14th day of January, 2019, but effective as of the first day of January, 2018.</w:t>
      </w:r>
    </w:p>
    <w:p>
      <w:pPr>
        <w:spacing w:after="0" w:line="163" w:lineRule="exact"/>
        <w:rPr>
          <w:sz w:val="20"/>
          <w:szCs w:val="20"/>
          <w:color w:val="auto"/>
        </w:rPr>
      </w:pPr>
    </w:p>
    <w:p>
      <w:pPr>
        <w:ind w:left="6020"/>
        <w:spacing w:after="0"/>
        <w:rPr>
          <w:sz w:val="20"/>
          <w:szCs w:val="20"/>
          <w:color w:val="auto"/>
        </w:rPr>
      </w:pPr>
      <w:r>
        <w:rPr>
          <w:rFonts w:ascii="Arial" w:cs="Arial" w:eastAsia="Arial" w:hAnsi="Arial"/>
          <w:sz w:val="21"/>
          <w:szCs w:val="21"/>
          <w:b w:val="1"/>
          <w:bCs w:val="1"/>
          <w:color w:val="auto"/>
        </w:rPr>
        <w:t>SCHLUMBERGER TECHNOLOGY CORPORATION</w:t>
      </w:r>
    </w:p>
    <w:p>
      <w:pPr>
        <w:spacing w:after="0" w:line="200" w:lineRule="exact"/>
        <w:rPr>
          <w:sz w:val="20"/>
          <w:szCs w:val="20"/>
          <w:color w:val="auto"/>
        </w:rPr>
      </w:pPr>
    </w:p>
    <w:p>
      <w:pPr>
        <w:spacing w:after="0" w:line="228" w:lineRule="exact"/>
        <w:rPr>
          <w:sz w:val="20"/>
          <w:szCs w:val="20"/>
          <w:color w:val="auto"/>
        </w:rPr>
      </w:pPr>
    </w:p>
    <w:p>
      <w:pPr>
        <w:ind w:left="6020"/>
        <w:spacing w:after="0"/>
        <w:rPr>
          <w:sz w:val="20"/>
          <w:szCs w:val="20"/>
          <w:color w:val="auto"/>
        </w:rPr>
      </w:pPr>
      <w:r>
        <w:rPr>
          <w:rFonts w:ascii="Arial" w:cs="Arial" w:eastAsia="Arial" w:hAnsi="Arial"/>
          <w:sz w:val="21"/>
          <w:szCs w:val="21"/>
          <w:color w:val="auto"/>
        </w:rPr>
        <w:t>By /s/ Lees Rodionov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4041140</wp:posOffset>
            </wp:positionH>
            <wp:positionV relativeFrom="paragraph">
              <wp:posOffset>20320</wp:posOffset>
            </wp:positionV>
            <wp:extent cx="32111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16" w:lineRule="exact"/>
        <w:rPr>
          <w:sz w:val="20"/>
          <w:szCs w:val="20"/>
          <w:color w:val="auto"/>
        </w:rPr>
      </w:pPr>
    </w:p>
    <w:p>
      <w:pPr>
        <w:ind w:left="6360"/>
        <w:spacing w:after="0"/>
        <w:rPr>
          <w:sz w:val="20"/>
          <w:szCs w:val="20"/>
          <w:color w:val="auto"/>
        </w:rPr>
      </w:pPr>
      <w:r>
        <w:rPr>
          <w:rFonts w:ascii="Arial" w:cs="Arial" w:eastAsia="Arial" w:hAnsi="Arial"/>
          <w:sz w:val="21"/>
          <w:szCs w:val="21"/>
          <w:color w:val="auto"/>
        </w:rPr>
        <w:t>Lees Rodionov</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21"/>
          <w:szCs w:val="21"/>
          <w:color w:val="auto"/>
        </w:rPr>
        <w:t>President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330" w:right="239" w:bottom="1440" w:gutter="0" w:footer="0" w:header="0"/>
        </w:sectPr>
      </w:pPr>
    </w:p>
    <w:bookmarkStart w:id="116" w:name="page117"/>
    <w:bookmarkEnd w:id="116"/>
    <w:p>
      <w:pPr>
        <w:ind w:left="10320"/>
        <w:spacing w:after="0"/>
        <w:rPr>
          <w:sz w:val="20"/>
          <w:szCs w:val="20"/>
          <w:color w:val="auto"/>
        </w:rPr>
      </w:pPr>
      <w:r>
        <w:rPr>
          <w:rFonts w:ascii="Arial" w:cs="Arial" w:eastAsia="Arial" w:hAnsi="Arial"/>
          <w:sz w:val="19"/>
          <w:szCs w:val="19"/>
          <w:b w:val="1"/>
          <w:bCs w:val="1"/>
          <w:color w:val="auto"/>
        </w:rPr>
        <w:t>Exhibit 10.4</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SCHLUMBERGER 2001 STOCK OPTION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as of July 19, 2017)</w:t>
      </w:r>
    </w:p>
    <w:p>
      <w:pPr>
        <w:spacing w:after="0" w:line="186" w:lineRule="exact"/>
        <w:rPr>
          <w:sz w:val="20"/>
          <w:szCs w:val="20"/>
          <w:color w:val="auto"/>
        </w:rPr>
      </w:pPr>
    </w:p>
    <w:p>
      <w:pPr>
        <w:ind w:left="580" w:hanging="574"/>
        <w:spacing w:after="0"/>
        <w:tabs>
          <w:tab w:leader="none" w:pos="580"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Purpose of the Plan</w:t>
      </w:r>
    </w:p>
    <w:p>
      <w:pPr>
        <w:spacing w:after="0" w:line="216" w:lineRule="exact"/>
        <w:rPr>
          <w:sz w:val="20"/>
          <w:szCs w:val="20"/>
          <w:color w:val="auto"/>
        </w:rPr>
      </w:pPr>
    </w:p>
    <w:p>
      <w:pPr>
        <w:jc w:val="both"/>
        <w:ind w:firstLine="583"/>
        <w:spacing w:after="0" w:line="244" w:lineRule="auto"/>
        <w:rPr>
          <w:sz w:val="20"/>
          <w:szCs w:val="20"/>
          <w:color w:val="auto"/>
        </w:rPr>
      </w:pPr>
      <w:r>
        <w:rPr>
          <w:rFonts w:ascii="Arial" w:cs="Arial" w:eastAsia="Arial" w:hAnsi="Arial"/>
          <w:sz w:val="21"/>
          <w:szCs w:val="21"/>
          <w:color w:val="auto"/>
        </w:rPr>
        <w:t>This Schlumberger 2001 Stock Option Plan (the “Plan”) was adopted by Schlumberger Limited (the “Company”) and is intended as an incentive to key employees of the Company and its subsidiaries (as defined in Section 3(a) below).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174" w:lineRule="exact"/>
        <w:rPr>
          <w:sz w:val="20"/>
          <w:szCs w:val="20"/>
          <w:color w:val="auto"/>
        </w:rPr>
      </w:pPr>
    </w:p>
    <w:p>
      <w:pPr>
        <w:ind w:left="580" w:hanging="574"/>
        <w:spacing w:after="0"/>
        <w:tabs>
          <w:tab w:leader="none" w:pos="580"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 of the Plan</w:t>
      </w:r>
    </w:p>
    <w:p>
      <w:pPr>
        <w:spacing w:after="0" w:line="215" w:lineRule="exact"/>
        <w:rPr>
          <w:rFonts w:ascii="Arial" w:cs="Arial" w:eastAsia="Arial" w:hAnsi="Arial"/>
          <w:sz w:val="21"/>
          <w:szCs w:val="21"/>
          <w:b w:val="1"/>
          <w:bCs w:val="1"/>
          <w:color w:val="auto"/>
        </w:rPr>
      </w:pPr>
    </w:p>
    <w:p>
      <w:pPr>
        <w:jc w:val="both"/>
        <w:ind w:firstLine="589"/>
        <w:spacing w:after="0" w:line="272" w:lineRule="auto"/>
        <w:tabs>
          <w:tab w:leader="none" w:pos="1448"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Board of Directors of the Company (the “Board”) shall appoint and maintain a Compensation Committee (the “Committee”) consisting of at least three (3) members of the Board, none of whom is an officer or employee of the Company, who shall serve at the pleasure of the Board. The Committee may from time to time grant incentive stock options and non- qualified stock options (collectively, “Stock Options”) under the Plan to the persons described in Section 3 hereof. No member of the Committee will be eligible to receive Stock Options under the Plan during his or her tenure on the Committee. Members of the Committee will be subject to any additional restrictions necessary to satisfy the definition of “Non-Employee Director” as set forth in Rule 16b-3 under the United States Securities Exchange Act of 1934, as amended from time to time (the “Exchange Act”).</w:t>
      </w:r>
    </w:p>
    <w:p>
      <w:pPr>
        <w:spacing w:after="0" w:line="151" w:lineRule="exact"/>
        <w:rPr>
          <w:rFonts w:ascii="Arial" w:cs="Arial" w:eastAsia="Arial" w:hAnsi="Arial"/>
          <w:sz w:val="19"/>
          <w:szCs w:val="19"/>
          <w:color w:val="auto"/>
        </w:rPr>
      </w:pPr>
    </w:p>
    <w:p>
      <w:pPr>
        <w:jc w:val="both"/>
        <w:ind w:firstLine="589"/>
        <w:spacing w:after="0" w:line="289" w:lineRule="auto"/>
        <w:tabs>
          <w:tab w:leader="none" w:pos="14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Committee shall have full power and authority to interpret the 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of common stock, par value $0.01 per share, of the Company (the “Shares”) to be covered by each Stock Option (except that no optionee may be granted options for more than 500,000 Shares during the life of the Plan), and whether such Stock Option is designated an “incentive stock option” or a “non-qualified stock option.”</w:t>
      </w:r>
    </w:p>
    <w:p>
      <w:pPr>
        <w:spacing w:after="0" w:line="140" w:lineRule="exact"/>
        <w:rPr>
          <w:rFonts w:ascii="Arial" w:cs="Arial" w:eastAsia="Arial" w:hAnsi="Arial"/>
          <w:sz w:val="18"/>
          <w:szCs w:val="18"/>
          <w:color w:val="auto"/>
        </w:rPr>
      </w:pPr>
    </w:p>
    <w:p>
      <w:pPr>
        <w:ind w:firstLine="589"/>
        <w:spacing w:after="0" w:line="320" w:lineRule="auto"/>
        <w:tabs>
          <w:tab w:leader="none" w:pos="1448" w:val="left"/>
        </w:tabs>
        <w:numPr>
          <w:ilvl w:val="1"/>
          <w:numId w:val="82"/>
        </w:numPr>
        <w:rPr>
          <w:rFonts w:ascii="Arial" w:cs="Arial" w:eastAsia="Arial" w:hAnsi="Arial"/>
          <w:sz w:val="19"/>
          <w:szCs w:val="19"/>
          <w:color w:val="auto"/>
        </w:rPr>
      </w:pPr>
      <w:r>
        <w:rPr>
          <w:rFonts w:ascii="Arial" w:cs="Arial" w:eastAsia="Arial" w:hAnsi="Arial"/>
          <w:sz w:val="19"/>
          <w:szCs w:val="19"/>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07" w:lineRule="exact"/>
        <w:rPr>
          <w:rFonts w:ascii="Arial" w:cs="Arial" w:eastAsia="Arial" w:hAnsi="Arial"/>
          <w:sz w:val="19"/>
          <w:szCs w:val="19"/>
          <w:color w:val="auto"/>
        </w:rPr>
      </w:pPr>
    </w:p>
    <w:p>
      <w:pPr>
        <w:jc w:val="both"/>
        <w:ind w:firstLine="589"/>
        <w:spacing w:after="0" w:line="247" w:lineRule="auto"/>
        <w:tabs>
          <w:tab w:leader="none" w:pos="1460" w:val="left"/>
        </w:tabs>
        <w:numPr>
          <w:ilvl w:val="1"/>
          <w:numId w:val="82"/>
        </w:numPr>
        <w:rPr>
          <w:rFonts w:ascii="Arial" w:cs="Arial" w:eastAsia="Arial" w:hAnsi="Arial"/>
          <w:sz w:val="21"/>
          <w:szCs w:val="21"/>
          <w:color w:val="auto"/>
        </w:rPr>
      </w:pPr>
      <w:r>
        <w:rPr>
          <w:rFonts w:ascii="Arial" w:cs="Arial" w:eastAsia="Arial" w:hAnsi="Arial"/>
          <w:sz w:val="21"/>
          <w:szCs w:val="21"/>
          <w:color w:val="auto"/>
        </w:rPr>
        <w:t>If the exercise period of an outstanding Stock Option is continued following a holder’s termination of employment as provided in Section 5 hereof, and the holder engages in “detrimental activity” as defined in Section 5(c)(iv)(E), the Committee shall have the authority in its discretion to cause such option to be forfeited and certain option exercises thereunder to be rescinded as provided for in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321945</wp:posOffset>
            </wp:positionV>
            <wp:extent cx="729107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17" w:name="page118"/>
    <w:bookmarkEnd w:id="117"/>
    <w:p>
      <w:pPr>
        <w:ind w:left="580" w:hanging="574"/>
        <w:spacing w:after="0"/>
        <w:tabs>
          <w:tab w:leader="none" w:pos="58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Grants of Stock Options</w:t>
      </w:r>
    </w:p>
    <w:p>
      <w:pPr>
        <w:spacing w:after="0" w:line="215" w:lineRule="exact"/>
        <w:rPr>
          <w:rFonts w:ascii="Arial" w:cs="Arial" w:eastAsia="Arial" w:hAnsi="Arial"/>
          <w:sz w:val="21"/>
          <w:szCs w:val="21"/>
          <w:b w:val="1"/>
          <w:bCs w:val="1"/>
          <w:color w:val="auto"/>
        </w:rPr>
      </w:pPr>
    </w:p>
    <w:p>
      <w:pPr>
        <w:jc w:val="both"/>
        <w:ind w:firstLine="589"/>
        <w:spacing w:after="0" w:line="255" w:lineRule="auto"/>
        <w:tabs>
          <w:tab w:leader="none" w:pos="1448"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The persons eligible for participation in the Plan as recipients of 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169" w:lineRule="exact"/>
        <w:rPr>
          <w:rFonts w:ascii="Arial" w:cs="Arial" w:eastAsia="Arial" w:hAnsi="Arial"/>
          <w:sz w:val="20"/>
          <w:szCs w:val="20"/>
          <w:color w:val="auto"/>
        </w:rPr>
      </w:pPr>
    </w:p>
    <w:p>
      <w:pPr>
        <w:jc w:val="both"/>
        <w:ind w:firstLine="589"/>
        <w:spacing w:after="0" w:line="269" w:lineRule="auto"/>
        <w:tabs>
          <w:tab w:leader="none" w:pos="14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accepted by the person to whom such Stock Option is granted through an on-line acceptance process designated by the Company. Except in the case of death or disability (as described in Section 5(c)(iv)(B) or 5(c)(v)(B) hereof), no Stock Option shall vest or become exercisable with respect to any portion of the Shares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 For the avoidance of doubt, in no event shall the provisions of the preceding sentence apply to any Stock Option held by an optionee whose employment terminated due to death or disability prior to January 17, 2008.</w:t>
      </w:r>
    </w:p>
    <w:p>
      <w:pPr>
        <w:spacing w:after="0" w:line="158" w:lineRule="exact"/>
        <w:rPr>
          <w:rFonts w:ascii="Arial" w:cs="Arial" w:eastAsia="Arial" w:hAnsi="Arial"/>
          <w:sz w:val="19"/>
          <w:szCs w:val="19"/>
          <w:color w:val="auto"/>
        </w:rPr>
      </w:pPr>
    </w:p>
    <w:p>
      <w:pPr>
        <w:jc w:val="both"/>
        <w:ind w:firstLine="589"/>
        <w:spacing w:after="0" w:line="252" w:lineRule="auto"/>
        <w:tabs>
          <w:tab w:leader="none" w:pos="1448" w:val="left"/>
        </w:tabs>
        <w:numPr>
          <w:ilvl w:val="1"/>
          <w:numId w:val="83"/>
        </w:numPr>
        <w:rPr>
          <w:rFonts w:ascii="Arial" w:cs="Arial" w:eastAsia="Arial" w:hAnsi="Arial"/>
          <w:sz w:val="21"/>
          <w:szCs w:val="21"/>
          <w:color w:val="auto"/>
        </w:rPr>
      </w:pPr>
      <w:r>
        <w:rPr>
          <w:rFonts w:ascii="Arial" w:cs="Arial" w:eastAsia="Arial" w:hAnsi="Arial"/>
          <w:sz w:val="21"/>
          <w:szCs w:val="21"/>
          <w:color w:val="auto"/>
        </w:rPr>
        <w:t>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 of the Company.</w:t>
      </w:r>
    </w:p>
    <w:p>
      <w:pPr>
        <w:spacing w:after="0" w:line="168" w:lineRule="exact"/>
        <w:rPr>
          <w:rFonts w:ascii="Arial" w:cs="Arial" w:eastAsia="Arial" w:hAnsi="Arial"/>
          <w:sz w:val="21"/>
          <w:szCs w:val="21"/>
          <w:color w:val="auto"/>
        </w:rPr>
      </w:pPr>
    </w:p>
    <w:p>
      <w:pPr>
        <w:jc w:val="both"/>
        <w:ind w:firstLine="589"/>
        <w:spacing w:after="0" w:line="260" w:lineRule="auto"/>
        <w:tabs>
          <w:tab w:leader="none" w:pos="1460"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The purchase price of the Shares as to which a Stock Option is exercised shall be paid in full at the time of the exercise subject to such rules, procedures and restrictions as the Committee may prescribe from time to time: (i) in cash or by certified check; (ii) by the delivery of Shares; (iii) by authorizing the Company to withhold a number of Shares otherwise deliverable on the exercise of the Stock Options, in either case, with a fair market value (as determined according to Section 5(b) hereof) at the time of exercise equal to the total option price; or (iv) by a combination of the methods described in (i), (ii) and (iii).</w:t>
      </w:r>
    </w:p>
    <w:p>
      <w:pPr>
        <w:spacing w:after="0" w:line="155" w:lineRule="exact"/>
        <w:rPr>
          <w:rFonts w:ascii="Arial" w:cs="Arial" w:eastAsia="Arial" w:hAnsi="Arial"/>
          <w:sz w:val="20"/>
          <w:szCs w:val="20"/>
          <w:color w:val="auto"/>
        </w:rPr>
      </w:pPr>
    </w:p>
    <w:p>
      <w:pPr>
        <w:ind w:left="580" w:hanging="574"/>
        <w:spacing w:after="0"/>
        <w:tabs>
          <w:tab w:leader="none" w:pos="58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Shares Subject to the Plan</w:t>
      </w:r>
    </w:p>
    <w:p>
      <w:pPr>
        <w:spacing w:after="0" w:line="216" w:lineRule="exact"/>
        <w:rPr>
          <w:sz w:val="20"/>
          <w:szCs w:val="20"/>
          <w:color w:val="auto"/>
        </w:rPr>
      </w:pPr>
    </w:p>
    <w:p>
      <w:pPr>
        <w:jc w:val="both"/>
        <w:ind w:firstLine="583"/>
        <w:spacing w:after="0" w:line="244" w:lineRule="auto"/>
        <w:rPr>
          <w:sz w:val="20"/>
          <w:szCs w:val="20"/>
          <w:color w:val="auto"/>
        </w:rPr>
      </w:pPr>
      <w:r>
        <w:rPr>
          <w:rFonts w:ascii="Arial" w:cs="Arial" w:eastAsia="Arial" w:hAnsi="Arial"/>
          <w:sz w:val="21"/>
          <w:szCs w:val="21"/>
          <w:color w:val="auto"/>
        </w:rPr>
        <w:t>Subject to adjustment as provided in Section 8 hereof, there shall be subject to the Plan 9,000,000 Shares. The Shares subject to the Plan shall consist of authorized and unissued Shares or previously-issued Shares reacquired and held by the Company or any subsidiary. Should any Stock Option expire or be terminated prior to its exercise in full and or to the termination of the Plan, the Shares theretofore subject to such Stock Option shall be available for further grants under the Plan. Until termination of the Plan, the Company shall at all times make available a sufficient number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18" w:name="page119"/>
    <w:bookmarkEnd w:id="118"/>
    <w:p>
      <w:pPr>
        <w:spacing w:after="0" w:line="267" w:lineRule="auto"/>
        <w:rPr>
          <w:sz w:val="20"/>
          <w:szCs w:val="20"/>
          <w:color w:val="auto"/>
        </w:rPr>
      </w:pPr>
      <w:r>
        <w:rPr>
          <w:rFonts w:ascii="Arial" w:cs="Arial" w:eastAsia="Arial" w:hAnsi="Arial"/>
          <w:sz w:val="21"/>
          <w:szCs w:val="21"/>
          <w:color w:val="auto"/>
        </w:rPr>
        <w:t>Shares to meet the requirements of the Plan. After termination of the Plan, the number of Shares reserved for purposes of the Plan from time to time shall be only such number of Shares as are issuable under then outstanding Stock Options.</w:t>
      </w:r>
    </w:p>
    <w:p>
      <w:pPr>
        <w:spacing w:after="0" w:line="147" w:lineRule="exact"/>
        <w:rPr>
          <w:sz w:val="20"/>
          <w:szCs w:val="20"/>
          <w:color w:val="auto"/>
        </w:rPr>
      </w:pPr>
    </w:p>
    <w:p>
      <w:pPr>
        <w:ind w:left="580" w:hanging="574"/>
        <w:spacing w:after="0"/>
        <w:tabs>
          <w:tab w:leader="none" w:pos="580"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color w:val="auto"/>
        </w:rPr>
        <w:t>Terms of Stock Options</w:t>
      </w:r>
    </w:p>
    <w:p>
      <w:pPr>
        <w:spacing w:after="0" w:line="215" w:lineRule="exact"/>
        <w:rPr>
          <w:rFonts w:ascii="Arial" w:cs="Arial" w:eastAsia="Arial" w:hAnsi="Arial"/>
          <w:sz w:val="21"/>
          <w:szCs w:val="21"/>
          <w:b w:val="1"/>
          <w:bCs w:val="1"/>
          <w:color w:val="auto"/>
        </w:rPr>
      </w:pPr>
    </w:p>
    <w:p>
      <w:pPr>
        <w:jc w:val="both"/>
        <w:ind w:firstLine="589"/>
        <w:spacing w:after="0" w:line="270" w:lineRule="auto"/>
        <w:tabs>
          <w:tab w:leader="none" w:pos="1448" w:val="left"/>
        </w:tabs>
        <w:numPr>
          <w:ilvl w:val="1"/>
          <w:numId w:val="84"/>
        </w:numPr>
        <w:rPr>
          <w:rFonts w:ascii="Arial" w:cs="Arial" w:eastAsia="Arial" w:hAnsi="Arial"/>
          <w:sz w:val="19"/>
          <w:szCs w:val="19"/>
          <w:color w:val="auto"/>
        </w:rPr>
      </w:pPr>
      <w:r>
        <w:rPr>
          <w:rFonts w:ascii="Arial" w:cs="Arial" w:eastAsia="Arial" w:hAnsi="Arial"/>
          <w:sz w:val="19"/>
          <w:szCs w:val="19"/>
          <w:color w:val="auto"/>
        </w:rPr>
        <w:t>Stock Options granted under this Plan that are designated as “incentive stock options” may be granted with respect to any number of Shares, subject to the limitation that the aggregate fair market value of such Shares (determined in accordance with Section 5(b) below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subsidiaries) exceeds $100,000, such options shall be treated as options which are not incentive stock options. No Stock Options shall be granted pursuant to the Plan after January 17, 2011.</w:t>
      </w:r>
    </w:p>
    <w:p>
      <w:pPr>
        <w:spacing w:after="0" w:line="157" w:lineRule="exact"/>
        <w:rPr>
          <w:rFonts w:ascii="Arial" w:cs="Arial" w:eastAsia="Arial" w:hAnsi="Arial"/>
          <w:sz w:val="19"/>
          <w:szCs w:val="19"/>
          <w:color w:val="auto"/>
        </w:rPr>
      </w:pPr>
    </w:p>
    <w:p>
      <w:pPr>
        <w:jc w:val="both"/>
        <w:ind w:firstLine="589"/>
        <w:spacing w:after="0" w:line="254" w:lineRule="auto"/>
        <w:tabs>
          <w:tab w:leader="none" w:pos="1460"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purchase price of each Share subject to a Stock Option shall be 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in the New York Stock Exchange (“NYSE”) Composite Transactions Quotations, as reported for that date, or, if there is no such reported prices for that date, the reported mean price on the last preceding date on which a composite sale or sales were effected on one or more of the exchanges on which the Shares were traded shall be the Fair Market Value.</w:t>
      </w:r>
    </w:p>
    <w:p>
      <w:pPr>
        <w:spacing w:after="0" w:line="167" w:lineRule="exact"/>
        <w:rPr>
          <w:rFonts w:ascii="Arial" w:cs="Arial" w:eastAsia="Arial" w:hAnsi="Arial"/>
          <w:sz w:val="20"/>
          <w:szCs w:val="20"/>
          <w:color w:val="auto"/>
        </w:rPr>
      </w:pPr>
    </w:p>
    <w:p>
      <w:pPr>
        <w:jc w:val="both"/>
        <w:ind w:firstLine="589"/>
        <w:spacing w:after="0" w:line="274" w:lineRule="auto"/>
        <w:tabs>
          <w:tab w:leader="none" w:pos="1448" w:val="left"/>
        </w:tabs>
        <w:numPr>
          <w:ilvl w:val="1"/>
          <w:numId w:val="84"/>
        </w:numPr>
        <w:rPr>
          <w:rFonts w:ascii="Arial" w:cs="Arial" w:eastAsia="Arial" w:hAnsi="Arial"/>
          <w:sz w:val="19"/>
          <w:szCs w:val="19"/>
          <w:color w:val="auto"/>
        </w:rPr>
      </w:pPr>
      <w:r>
        <w:rPr>
          <w:rFonts w:ascii="Arial" w:cs="Arial" w:eastAsia="Arial" w:hAnsi="Arial"/>
          <w:sz w:val="19"/>
          <w:szCs w:val="19"/>
          <w:color w:val="auto"/>
        </w:rPr>
        <w:t>(i) Subject to the requirements of Section 3(b), each Stock Option granted hereunder shall be exercisable in one or more installments (annual or other) on such date or dates as the Committee may in its sole discretion determine and communicate to the optionee in communicating the grant of the option, provided that no Stock Option may be exercised after the expiration of ten (10) years from the date such option is granted (the maximum term established by the Committee with respect to a particular Stock Option is hereinafter referred to as the “Option Period”). For the avoidance of doubt, in no event shall the provisions of this Section 5(c)(i) apply to any Stock Option held by an optionee whose employment terminated due to death or disability prior to January 17, 2008.</w:t>
      </w:r>
    </w:p>
    <w:p>
      <w:pPr>
        <w:spacing w:after="0" w:line="149" w:lineRule="exact"/>
        <w:rPr>
          <w:rFonts w:ascii="Arial" w:cs="Arial" w:eastAsia="Arial" w:hAnsi="Arial"/>
          <w:sz w:val="19"/>
          <w:szCs w:val="19"/>
          <w:color w:val="auto"/>
        </w:rPr>
      </w:pPr>
    </w:p>
    <w:p>
      <w:pPr>
        <w:jc w:val="both"/>
        <w:ind w:left="580" w:firstLine="563"/>
        <w:spacing w:after="0" w:line="252" w:lineRule="auto"/>
        <w:tabs>
          <w:tab w:leader="none" w:pos="2030" w:val="left"/>
        </w:tabs>
        <w:numPr>
          <w:ilvl w:val="2"/>
          <w:numId w:val="84"/>
        </w:numPr>
        <w:rPr>
          <w:rFonts w:ascii="Arial" w:cs="Arial" w:eastAsia="Arial" w:hAnsi="Arial"/>
          <w:sz w:val="21"/>
          <w:szCs w:val="21"/>
          <w:color w:val="auto"/>
        </w:rPr>
      </w:pPr>
      <w:r>
        <w:rPr>
          <w:rFonts w:ascii="Arial" w:cs="Arial" w:eastAsia="Arial" w:hAnsi="Arial"/>
          <w:sz w:val="21"/>
          <w:szCs w:val="21"/>
          <w:color w:val="auto"/>
        </w:rPr>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19" w:name="page120"/>
    <w:bookmarkEnd w:id="119"/>
    <w:p>
      <w:pPr>
        <w:ind w:left="-563" w:firstLine="563"/>
        <w:spacing w:after="0" w:line="292" w:lineRule="auto"/>
        <w:tabs>
          <w:tab w:leader="none" w:pos="946" w:val="left"/>
        </w:tabs>
        <w:numPr>
          <w:ilvl w:val="0"/>
          <w:numId w:val="85"/>
        </w:numPr>
        <w:rPr>
          <w:rFonts w:ascii="Arial" w:cs="Arial" w:eastAsia="Arial" w:hAnsi="Arial"/>
          <w:sz w:val="20"/>
          <w:szCs w:val="20"/>
          <w:color w:val="auto"/>
        </w:rPr>
      </w:pPr>
      <w:r>
        <w:rPr>
          <w:rFonts w:ascii="Arial" w:cs="Arial" w:eastAsia="Arial" w:hAnsi="Arial"/>
          <w:sz w:val="20"/>
          <w:szCs w:val="20"/>
          <w:color w:val="auto"/>
        </w:rPr>
        <w:t>At any time after the granting of any such Stock Option, the Committee may accelerate the installment exercise dates (subject, however, to any applicable limitations concerning options designated “incentive stock options”).</w:t>
      </w:r>
    </w:p>
    <w:p>
      <w:pPr>
        <w:spacing w:after="0" w:line="130" w:lineRule="exact"/>
        <w:rPr>
          <w:rFonts w:ascii="Arial" w:cs="Arial" w:eastAsia="Arial" w:hAnsi="Arial"/>
          <w:sz w:val="20"/>
          <w:szCs w:val="20"/>
          <w:color w:val="auto"/>
        </w:rPr>
      </w:pPr>
    </w:p>
    <w:p>
      <w:pPr>
        <w:ind w:left="937" w:hanging="937"/>
        <w:spacing w:after="0"/>
        <w:tabs>
          <w:tab w:leader="none" w:pos="937" w:val="left"/>
        </w:tabs>
        <w:numPr>
          <w:ilvl w:val="0"/>
          <w:numId w:val="85"/>
        </w:numPr>
        <w:rPr>
          <w:rFonts w:ascii="Arial" w:cs="Arial" w:eastAsia="Arial" w:hAnsi="Arial"/>
          <w:sz w:val="21"/>
          <w:szCs w:val="21"/>
          <w:color w:val="auto"/>
        </w:rPr>
      </w:pPr>
      <w:r>
        <w:rPr>
          <w:rFonts w:ascii="Arial" w:cs="Arial" w:eastAsia="Arial" w:hAnsi="Arial"/>
          <w:sz w:val="21"/>
          <w:szCs w:val="21"/>
          <w:i w:val="1"/>
          <w:iCs w:val="1"/>
          <w:color w:val="auto"/>
        </w:rPr>
        <w:t>Termination of Employment and Subsequent Events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37" w:firstLine="517"/>
        <w:spacing w:after="0" w:line="260" w:lineRule="auto"/>
        <w:tabs>
          <w:tab w:leader="none" w:pos="1487" w:val="left"/>
        </w:tabs>
        <w:numPr>
          <w:ilvl w:val="1"/>
          <w:numId w:val="85"/>
        </w:numPr>
        <w:rPr>
          <w:rFonts w:ascii="Arial" w:cs="Arial" w:eastAsia="Arial" w:hAnsi="Arial"/>
          <w:sz w:val="20"/>
          <w:szCs w:val="20"/>
          <w:color w:val="auto"/>
        </w:rPr>
      </w:pPr>
      <w:r>
        <w:rPr>
          <w:rFonts w:ascii="Arial" w:cs="Arial" w:eastAsia="Arial" w:hAnsi="Arial"/>
          <w:sz w:val="20"/>
          <w:szCs w:val="20"/>
          <w:color w:val="auto"/>
        </w:rPr>
        <w:t>If the optionee’s employment with the Company or any subsidiary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161" w:lineRule="exact"/>
        <w:rPr>
          <w:rFonts w:ascii="Arial" w:cs="Arial" w:eastAsia="Arial" w:hAnsi="Arial"/>
          <w:sz w:val="20"/>
          <w:szCs w:val="20"/>
          <w:color w:val="auto"/>
        </w:rPr>
      </w:pPr>
    </w:p>
    <w:p>
      <w:pPr>
        <w:jc w:val="both"/>
        <w:ind w:left="37" w:firstLine="517"/>
        <w:spacing w:after="0" w:line="244" w:lineRule="auto"/>
        <w:tabs>
          <w:tab w:leader="none" w:pos="1476" w:val="left"/>
        </w:tabs>
        <w:numPr>
          <w:ilvl w:val="1"/>
          <w:numId w:val="85"/>
        </w:numPr>
        <w:rPr>
          <w:rFonts w:ascii="Arial" w:cs="Arial" w:eastAsia="Arial" w:hAnsi="Arial"/>
          <w:sz w:val="21"/>
          <w:szCs w:val="21"/>
          <w:color w:val="auto"/>
        </w:rPr>
      </w:pPr>
      <w:r>
        <w:rPr>
          <w:rFonts w:ascii="Arial" w:cs="Arial" w:eastAsia="Arial" w:hAnsi="Arial"/>
          <w:sz w:val="21"/>
          <w:szCs w:val="21"/>
          <w:color w:val="auto"/>
        </w:rPr>
        <w:t>In the event an optionee dies while in the employ of the Company or any subsidiary,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179" w:lineRule="exact"/>
        <w:rPr>
          <w:rFonts w:ascii="Arial" w:cs="Arial" w:eastAsia="Arial" w:hAnsi="Arial"/>
          <w:sz w:val="21"/>
          <w:szCs w:val="21"/>
          <w:color w:val="auto"/>
        </w:rPr>
      </w:pPr>
    </w:p>
    <w:p>
      <w:pPr>
        <w:jc w:val="both"/>
        <w:ind w:left="37" w:firstLine="517"/>
        <w:spacing w:after="0" w:line="274" w:lineRule="auto"/>
        <w:tabs>
          <w:tab w:leader="none" w:pos="1476" w:val="left"/>
        </w:tabs>
        <w:numPr>
          <w:ilvl w:val="1"/>
          <w:numId w:val="85"/>
        </w:numPr>
        <w:rPr>
          <w:rFonts w:ascii="Arial" w:cs="Arial" w:eastAsia="Arial" w:hAnsi="Arial"/>
          <w:sz w:val="19"/>
          <w:szCs w:val="19"/>
          <w:color w:val="auto"/>
        </w:rPr>
      </w:pPr>
      <w:r>
        <w:rPr>
          <w:rFonts w:ascii="Arial" w:cs="Arial" w:eastAsia="Arial" w:hAnsi="Arial"/>
          <w:sz w:val="19"/>
          <w:szCs w:val="19"/>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5(c) (iv)(C), the Post-Death Exercise Period shall commence on the date of the optionee’s termination of employment and shall end sixty (60) months thereafter or the remainder of the Option Period, whichever is less.</w:t>
      </w:r>
    </w:p>
    <w:p>
      <w:pPr>
        <w:spacing w:after="0" w:line="149" w:lineRule="exact"/>
        <w:rPr>
          <w:rFonts w:ascii="Arial" w:cs="Arial" w:eastAsia="Arial" w:hAnsi="Arial"/>
          <w:sz w:val="19"/>
          <w:szCs w:val="19"/>
          <w:color w:val="auto"/>
        </w:rPr>
      </w:pPr>
    </w:p>
    <w:p>
      <w:pPr>
        <w:jc w:val="both"/>
        <w:ind w:left="37" w:firstLine="517"/>
        <w:spacing w:after="0" w:line="244" w:lineRule="auto"/>
        <w:tabs>
          <w:tab w:leader="none" w:pos="1487" w:val="left"/>
        </w:tabs>
        <w:numPr>
          <w:ilvl w:val="1"/>
          <w:numId w:val="85"/>
        </w:numPr>
        <w:rPr>
          <w:rFonts w:ascii="Arial" w:cs="Arial" w:eastAsia="Arial" w:hAnsi="Arial"/>
          <w:sz w:val="21"/>
          <w:szCs w:val="21"/>
          <w:color w:val="auto"/>
        </w:rPr>
      </w:pPr>
      <w:r>
        <w:rPr>
          <w:rFonts w:ascii="Arial" w:cs="Arial" w:eastAsia="Arial" w:hAnsi="Arial"/>
          <w:sz w:val="21"/>
          <w:szCs w:val="21"/>
          <w:color w:val="auto"/>
        </w:rPr>
        <w:t>If the optionee’s employment with the Company or any subsidiary is terminated without the consent of the Company for any reason other than the death of the optionee, or if the optionee’s employment with the Company or any subsidiary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79" w:lineRule="exact"/>
        <w:rPr>
          <w:rFonts w:ascii="Arial" w:cs="Arial" w:eastAsia="Arial" w:hAnsi="Arial"/>
          <w:sz w:val="21"/>
          <w:szCs w:val="21"/>
          <w:color w:val="auto"/>
        </w:rPr>
      </w:pPr>
    </w:p>
    <w:p>
      <w:pPr>
        <w:jc w:val="both"/>
        <w:ind w:left="37" w:firstLine="517"/>
        <w:spacing w:after="0" w:line="270" w:lineRule="auto"/>
        <w:tabs>
          <w:tab w:leader="none" w:pos="1464"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the optionee engages in “detrimental activity” (as defined below in this subclause)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w:t>
      </w:r>
      <w:r>
        <w:rPr>
          <w:rFonts w:ascii="Arial" w:cs="Arial" w:eastAsia="Arial" w:hAnsi="Arial"/>
          <w:sz w:val="17"/>
          <w:szCs w:val="17"/>
          <w:color w:val="auto"/>
        </w:rPr>
        <w:t>optionee’s options for up to two months to permit the investigation of such allegation. In addition, if the optionee engages in detrimental activity within one year following termination of employment for any reason other than retirement or disability, the Committee, in its discretion, may rescind any option exercise made within the period commencing six months preceding the date of the optionee’s termination of employment and ending three months following such termination.</w:t>
      </w:r>
    </w:p>
    <w:p>
      <w:pPr>
        <w:spacing w:after="0" w:line="168" w:lineRule="exact"/>
        <w:rPr>
          <w:sz w:val="20"/>
          <w:szCs w:val="20"/>
          <w:color w:val="auto"/>
        </w:rPr>
      </w:pPr>
    </w:p>
    <w:p>
      <w:pPr>
        <w:ind w:left="4517"/>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66675</wp:posOffset>
            </wp:positionV>
            <wp:extent cx="729107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77"/>
          </w:cols>
          <w:pgMar w:left="1383" w:top="556" w:right="239" w:bottom="1440" w:gutter="0" w:footer="0" w:header="0"/>
        </w:sectPr>
      </w:pPr>
    </w:p>
    <w:bookmarkStart w:id="120" w:name="page121"/>
    <w:bookmarkEnd w:id="120"/>
    <w:p>
      <w:pPr>
        <w:jc w:val="both"/>
        <w:ind w:left="600"/>
        <w:spacing w:after="0"/>
        <w:rPr>
          <w:sz w:val="20"/>
          <w:szCs w:val="20"/>
          <w:color w:val="auto"/>
        </w:rPr>
      </w:pPr>
      <w:r>
        <w:rPr>
          <w:rFonts w:ascii="Arial" w:cs="Arial" w:eastAsia="Arial" w:hAnsi="Arial"/>
          <w:sz w:val="21"/>
          <w:szCs w:val="21"/>
          <w:color w:val="auto"/>
        </w:rPr>
        <w:t>For purposes of the Plan,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business,(4) is determined to have engaged (whether or not prior to termination) in either gross misconduct or criminal activity harmful to the Company, or (5) takes any action that harms the business interests, reputation, or goodwill of the Company or its subsidiaries.</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For the avoidance of doubt, in no event shall the provisions of this Section 5(c)(iv) apply to any Stock Option held by an optionee whose employment terminated due to death or disability prior to January 17, 2008.</w:t>
      </w:r>
    </w:p>
    <w:p>
      <w:pPr>
        <w:spacing w:after="0" w:line="153" w:lineRule="exact"/>
        <w:rPr>
          <w:sz w:val="20"/>
          <w:szCs w:val="20"/>
          <w:color w:val="auto"/>
        </w:rPr>
      </w:pPr>
    </w:p>
    <w:p>
      <w:pPr>
        <w:ind w:left="1160" w:hanging="579"/>
        <w:spacing w:after="0"/>
        <w:tabs>
          <w:tab w:leader="none" w:pos="1160" w:val="left"/>
        </w:tabs>
        <w:numPr>
          <w:ilvl w:val="0"/>
          <w:numId w:val="86"/>
        </w:numPr>
        <w:rPr>
          <w:rFonts w:ascii="Arial" w:cs="Arial" w:eastAsia="Arial" w:hAnsi="Arial"/>
          <w:sz w:val="21"/>
          <w:szCs w:val="21"/>
          <w:color w:val="auto"/>
        </w:rPr>
      </w:pPr>
      <w:r>
        <w:rPr>
          <w:rFonts w:ascii="Arial" w:cs="Arial" w:eastAsia="Arial" w:hAnsi="Arial"/>
          <w:sz w:val="21"/>
          <w:szCs w:val="21"/>
          <w:i w:val="1"/>
          <w:iCs w:val="1"/>
          <w:color w:val="auto"/>
        </w:rPr>
        <w:t>Retirement, Disability and Subsequent Events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600" w:firstLine="517"/>
        <w:spacing w:after="0" w:line="242" w:lineRule="auto"/>
        <w:tabs>
          <w:tab w:leader="none" w:pos="2050" w:val="left"/>
        </w:tabs>
        <w:numPr>
          <w:ilvl w:val="1"/>
          <w:numId w:val="86"/>
        </w:numPr>
        <w:rPr>
          <w:rFonts w:ascii="Arial" w:cs="Arial" w:eastAsia="Arial" w:hAnsi="Arial"/>
          <w:sz w:val="21"/>
          <w:szCs w:val="21"/>
          <w:color w:val="auto"/>
        </w:rPr>
      </w:pPr>
      <w:r>
        <w:rPr>
          <w:rFonts w:ascii="Arial" w:cs="Arial" w:eastAsia="Arial" w:hAnsi="Arial"/>
          <w:sz w:val="21"/>
          <w:szCs w:val="21"/>
          <w:color w:val="auto"/>
        </w:rPr>
        <w:t>If the optionee’s employment with the Company or any subsidiary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5(c)(v), “retirement” shall mean termination of the optionee’s employment with the Company and all affiliates at or after (i) age 55 or (ii) age 50 and completion of at least 10 years of service with the Company and all affiliates.</w:t>
      </w:r>
    </w:p>
    <w:p>
      <w:pPr>
        <w:spacing w:after="0" w:line="180" w:lineRule="exact"/>
        <w:rPr>
          <w:rFonts w:ascii="Arial" w:cs="Arial" w:eastAsia="Arial" w:hAnsi="Arial"/>
          <w:sz w:val="21"/>
          <w:szCs w:val="21"/>
          <w:color w:val="auto"/>
        </w:rPr>
      </w:pPr>
    </w:p>
    <w:p>
      <w:pPr>
        <w:jc w:val="both"/>
        <w:ind w:left="600" w:firstLine="517"/>
        <w:spacing w:after="0" w:line="253" w:lineRule="auto"/>
        <w:tabs>
          <w:tab w:leader="none" w:pos="2038" w:val="left"/>
        </w:tabs>
        <w:numPr>
          <w:ilvl w:val="1"/>
          <w:numId w:val="86"/>
        </w:numPr>
        <w:rPr>
          <w:rFonts w:ascii="Arial" w:cs="Arial" w:eastAsia="Arial" w:hAnsi="Arial"/>
          <w:sz w:val="20"/>
          <w:szCs w:val="20"/>
          <w:color w:val="auto"/>
        </w:rPr>
      </w:pPr>
      <w:r>
        <w:rPr>
          <w:rFonts w:ascii="Arial" w:cs="Arial" w:eastAsia="Arial" w:hAnsi="Arial"/>
          <w:sz w:val="20"/>
          <w:szCs w:val="20"/>
          <w:color w:val="auto"/>
        </w:rPr>
        <w:t xml:space="preserve">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 period of sixty (60) months after such termination or the remainder of the Option Period, whichever is less (the “Disability Exercise Period”). For purposes of the Plan, “disability” means such disability (whether through physical or mental </w:t>
      </w:r>
      <w:r>
        <w:rPr>
          <w:rFonts w:ascii="Arial" w:cs="Arial" w:eastAsia="Arial" w:hAnsi="Arial"/>
          <w:sz w:val="18"/>
          <w:szCs w:val="18"/>
          <w:color w:val="auto"/>
        </w:rPr>
        <w:t>impairment) which totally and permanently</w:t>
      </w:r>
      <w:r>
        <w:rPr>
          <w:rFonts w:ascii="Arial" w:cs="Arial" w:eastAsia="Arial" w:hAnsi="Arial"/>
          <w:sz w:val="20"/>
          <w:szCs w:val="20"/>
          <w:color w:val="auto"/>
        </w:rPr>
        <w:t xml:space="preserve"> </w:t>
      </w:r>
      <w:r>
        <w:rPr>
          <w:rFonts w:ascii="Arial" w:cs="Arial" w:eastAsia="Arial" w:hAnsi="Arial"/>
          <w:sz w:val="18"/>
          <w:szCs w:val="18"/>
          <w:color w:val="auto"/>
        </w:rPr>
        <w:t>incapacitates the optionee from any gainful employment in any field which the optionee is suited by education, training, or experience, as determined by the Committee in its sole and absolute discretion.</w:t>
      </w:r>
    </w:p>
    <w:p>
      <w:pPr>
        <w:spacing w:after="0" w:line="178" w:lineRule="exact"/>
        <w:rPr>
          <w:rFonts w:ascii="Arial" w:cs="Arial" w:eastAsia="Arial" w:hAnsi="Arial"/>
          <w:sz w:val="20"/>
          <w:szCs w:val="20"/>
          <w:color w:val="auto"/>
        </w:rPr>
      </w:pPr>
    </w:p>
    <w:p>
      <w:pPr>
        <w:jc w:val="both"/>
        <w:ind w:left="600" w:firstLine="517"/>
        <w:spacing w:after="0" w:line="263" w:lineRule="auto"/>
        <w:tabs>
          <w:tab w:leader="none" w:pos="2038" w:val="left"/>
        </w:tabs>
        <w:numPr>
          <w:ilvl w:val="1"/>
          <w:numId w:val="86"/>
        </w:numPr>
        <w:rPr>
          <w:rFonts w:ascii="Arial" w:cs="Arial" w:eastAsia="Arial" w:hAnsi="Arial"/>
          <w:sz w:val="20"/>
          <w:szCs w:val="20"/>
          <w:color w:val="auto"/>
        </w:rPr>
      </w:pPr>
      <w:r>
        <w:rPr>
          <w:rFonts w:ascii="Arial" w:cs="Arial" w:eastAsia="Arial" w:hAnsi="Arial"/>
          <w:sz w:val="20"/>
          <w:szCs w:val="20"/>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160"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66675</wp:posOffset>
            </wp:positionV>
            <wp:extent cx="729107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840"/>
          </w:cols>
          <w:pgMar w:left="820" w:top="556" w:right="239" w:bottom="1440" w:gutter="0" w:footer="0" w:header="0"/>
        </w:sectPr>
      </w:pPr>
    </w:p>
    <w:bookmarkStart w:id="121" w:name="page122"/>
    <w:bookmarkEnd w:id="121"/>
    <w:p>
      <w:pPr>
        <w:jc w:val="both"/>
        <w:ind w:left="1180" w:firstLine="517"/>
        <w:spacing w:after="0" w:line="268" w:lineRule="auto"/>
        <w:tabs>
          <w:tab w:leader="none" w:pos="2630"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Notwithstanding the foregoing, if the optionee engages in “detrimental activity” (as defined in Section 5(c)(iv)(E))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or disability and ending one year following such termination.</w:t>
      </w:r>
    </w:p>
    <w:p>
      <w:pPr>
        <w:spacing w:after="0" w:line="162" w:lineRule="exact"/>
        <w:rPr>
          <w:sz w:val="20"/>
          <w:szCs w:val="20"/>
          <w:color w:val="auto"/>
        </w:rPr>
      </w:pPr>
    </w:p>
    <w:p>
      <w:pPr>
        <w:ind w:left="580" w:right="20" w:firstLine="553"/>
        <w:spacing w:after="0" w:line="267" w:lineRule="auto"/>
        <w:rPr>
          <w:sz w:val="20"/>
          <w:szCs w:val="20"/>
          <w:color w:val="auto"/>
        </w:rPr>
      </w:pPr>
      <w:r>
        <w:rPr>
          <w:rFonts w:ascii="Arial" w:cs="Arial" w:eastAsia="Arial" w:hAnsi="Arial"/>
          <w:sz w:val="21"/>
          <w:szCs w:val="21"/>
          <w:color w:val="auto"/>
        </w:rPr>
        <w:t>For the avoidance of doubt, in no event shall the provisions of this Section 5(c)(v) apply to any Stock Option held by an optionee whose employment terminated due to death or disability prior to January 17, 2008.</w:t>
      </w:r>
    </w:p>
    <w:p>
      <w:pPr>
        <w:spacing w:after="0" w:line="153" w:lineRule="exact"/>
        <w:rPr>
          <w:sz w:val="20"/>
          <w:szCs w:val="20"/>
          <w:color w:val="auto"/>
        </w:rPr>
      </w:pPr>
    </w:p>
    <w:p>
      <w:pPr>
        <w:ind w:left="580" w:right="20" w:firstLine="563"/>
        <w:spacing w:after="0" w:line="267" w:lineRule="auto"/>
        <w:tabs>
          <w:tab w:leader="none" w:pos="2077" w:val="left"/>
        </w:tabs>
        <w:numPr>
          <w:ilvl w:val="2"/>
          <w:numId w:val="88"/>
        </w:numPr>
        <w:rPr>
          <w:rFonts w:ascii="Arial" w:cs="Arial" w:eastAsia="Arial" w:hAnsi="Arial"/>
          <w:sz w:val="21"/>
          <w:szCs w:val="21"/>
          <w:color w:val="auto"/>
        </w:rPr>
      </w:pPr>
      <w:r>
        <w:rPr>
          <w:rFonts w:ascii="Arial" w:cs="Arial" w:eastAsia="Arial" w:hAnsi="Arial"/>
          <w:sz w:val="21"/>
          <w:szCs w:val="21"/>
          <w:color w:val="auto"/>
        </w:rPr>
        <w:t>Notwithstanding the other provisions of this paragraph (c), in no event may a Stock Option be exercised after the expiration of ten (10) years from the date such Stock Option is granted.</w:t>
      </w:r>
    </w:p>
    <w:p>
      <w:pPr>
        <w:spacing w:after="0" w:line="152" w:lineRule="exact"/>
        <w:rPr>
          <w:rFonts w:ascii="Arial" w:cs="Arial" w:eastAsia="Arial" w:hAnsi="Arial"/>
          <w:sz w:val="21"/>
          <w:szCs w:val="21"/>
          <w:color w:val="auto"/>
        </w:rPr>
      </w:pPr>
    </w:p>
    <w:p>
      <w:pPr>
        <w:jc w:val="both"/>
        <w:ind w:firstLine="589"/>
        <w:spacing w:after="0" w:line="244" w:lineRule="auto"/>
        <w:tabs>
          <w:tab w:leader="none" w:pos="1460" w:val="left"/>
        </w:tabs>
        <w:numPr>
          <w:ilvl w:val="1"/>
          <w:numId w:val="89"/>
        </w:numPr>
        <w:rPr>
          <w:rFonts w:ascii="Arial" w:cs="Arial" w:eastAsia="Arial" w:hAnsi="Arial"/>
          <w:sz w:val="21"/>
          <w:szCs w:val="21"/>
          <w:color w:val="auto"/>
        </w:rPr>
      </w:pPr>
      <w:r>
        <w:rPr>
          <w:rFonts w:ascii="Arial" w:cs="Arial" w:eastAsia="Arial" w:hAnsi="Arial"/>
          <w:sz w:val="21"/>
          <w:szCs w:val="21"/>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179" w:lineRule="exact"/>
        <w:rPr>
          <w:rFonts w:ascii="Arial" w:cs="Arial" w:eastAsia="Arial" w:hAnsi="Arial"/>
          <w:sz w:val="21"/>
          <w:szCs w:val="21"/>
          <w:color w:val="auto"/>
        </w:rPr>
      </w:pPr>
    </w:p>
    <w:p>
      <w:pPr>
        <w:ind w:left="1460" w:hanging="871"/>
        <w:spacing w:after="0"/>
        <w:tabs>
          <w:tab w:leader="none" w:pos="14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Committee shall designate whether a Stock Option is to be an “incentive stock option” for purposes of Section 422</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of the Code.</w:t>
      </w:r>
    </w:p>
    <w:p>
      <w:pPr>
        <w:spacing w:after="0" w:line="185" w:lineRule="exact"/>
        <w:rPr>
          <w:rFonts w:ascii="Arial" w:cs="Arial" w:eastAsia="Arial" w:hAnsi="Arial"/>
          <w:sz w:val="19"/>
          <w:szCs w:val="19"/>
          <w:color w:val="auto"/>
        </w:rPr>
      </w:pPr>
    </w:p>
    <w:p>
      <w:pPr>
        <w:ind w:left="580" w:hanging="574"/>
        <w:spacing w:after="0"/>
        <w:tabs>
          <w:tab w:leader="none" w:pos="580"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Assignability of Stock Options</w:t>
      </w:r>
    </w:p>
    <w:p>
      <w:pPr>
        <w:spacing w:after="0" w:line="215" w:lineRule="exact"/>
        <w:rPr>
          <w:rFonts w:ascii="Arial" w:cs="Arial" w:eastAsia="Arial" w:hAnsi="Arial"/>
          <w:sz w:val="21"/>
          <w:szCs w:val="21"/>
          <w:b w:val="1"/>
          <w:bCs w:val="1"/>
          <w:color w:val="auto"/>
        </w:rPr>
      </w:pPr>
    </w:p>
    <w:p>
      <w:pPr>
        <w:ind w:left="580"/>
        <w:spacing w:after="0"/>
        <w:rPr>
          <w:rFonts w:ascii="Arial" w:cs="Arial" w:eastAsia="Arial" w:hAnsi="Arial"/>
          <w:sz w:val="21"/>
          <w:szCs w:val="21"/>
          <w:b w:val="1"/>
          <w:bCs w:val="1"/>
          <w:color w:val="auto"/>
        </w:rPr>
      </w:pPr>
      <w:r>
        <w:rPr>
          <w:rFonts w:ascii="Arial" w:cs="Arial" w:eastAsia="Arial" w:hAnsi="Arial"/>
          <w:sz w:val="19"/>
          <w:szCs w:val="19"/>
          <w:color w:val="auto"/>
        </w:rPr>
        <w:t>Stock Options granted under the Plan shall not be assignable or otherwise transferable by the recipient except by will or the</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laws of descent and distribution. Otherwise, Stock Options granted under this Plan shall be exercisable during the lifetime of the recipient (except as otherwise provided in the Plan or the applicable Agreement for Stock Options other than “incentive stock options”) only by the 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22" w:name="page123"/>
    <w:bookmarkEnd w:id="122"/>
    <w:p>
      <w:pPr>
        <w:ind w:left="580" w:hanging="574"/>
        <w:spacing w:after="0"/>
        <w:tabs>
          <w:tab w:leader="none" w:pos="580"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Taxes</w:t>
      </w:r>
    </w:p>
    <w:p>
      <w:pPr>
        <w:spacing w:after="0" w:line="216" w:lineRule="exact"/>
        <w:rPr>
          <w:sz w:val="20"/>
          <w:szCs w:val="20"/>
          <w:color w:val="auto"/>
        </w:rPr>
      </w:pPr>
    </w:p>
    <w:p>
      <w:pPr>
        <w:jc w:val="both"/>
        <w:ind w:firstLine="583"/>
        <w:spacing w:after="0" w:line="242" w:lineRule="auto"/>
        <w:rPr>
          <w:sz w:val="20"/>
          <w:szCs w:val="20"/>
          <w:color w:val="auto"/>
        </w:rPr>
      </w:pPr>
      <w:r>
        <w:rPr>
          <w:rFonts w:ascii="Arial" w:cs="Arial" w:eastAsia="Arial" w:hAnsi="Arial"/>
          <w:sz w:val="21"/>
          <w:szCs w:val="21"/>
          <w:color w:val="auto"/>
        </w:rPr>
        <w:t>Withholding of any taxes may be satisfied by (i) transfer to the Company of Shares theretofore and by the optionee or (ii) withholding from the Share otherwise deliverable under the Stock Options, in either case, with respect to which withholding is required, up to the maximum tax rate applicable to the optionee, as determined by the Committee. If Shares are used to satisfy tax withholding, such Shares shall be valued based on the Fair Market Value when the tax withholding is required to be made. An optionee’s election pursuant to the preceding sentence must be made on or before the date of exercise and must be irrevocable. The Committee may make such other provisions and rules as it may deem appropriate for the withholding of taxes in connection with any Stock Options granted under the Plan.</w:t>
      </w:r>
    </w:p>
    <w:p>
      <w:pPr>
        <w:spacing w:after="0" w:line="174" w:lineRule="exact"/>
        <w:rPr>
          <w:sz w:val="20"/>
          <w:szCs w:val="20"/>
          <w:color w:val="auto"/>
        </w:rPr>
      </w:pPr>
    </w:p>
    <w:p>
      <w:pPr>
        <w:ind w:left="580" w:hanging="574"/>
        <w:spacing w:after="0"/>
        <w:tabs>
          <w:tab w:leader="none" w:pos="580"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Reorganizations and Recapitalizations of the Company</w:t>
      </w:r>
    </w:p>
    <w:p>
      <w:pPr>
        <w:spacing w:after="0" w:line="215" w:lineRule="exact"/>
        <w:rPr>
          <w:rFonts w:ascii="Arial" w:cs="Arial" w:eastAsia="Arial" w:hAnsi="Arial"/>
          <w:sz w:val="21"/>
          <w:szCs w:val="21"/>
          <w:b w:val="1"/>
          <w:bCs w:val="1"/>
          <w:color w:val="auto"/>
        </w:rPr>
      </w:pPr>
    </w:p>
    <w:p>
      <w:pPr>
        <w:jc w:val="both"/>
        <w:ind w:firstLine="589"/>
        <w:spacing w:after="0" w:line="295" w:lineRule="auto"/>
        <w:tabs>
          <w:tab w:leader="none" w:pos="1448"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existence of this Plan and Stock Options granted hereunder shall not affect in any way the right or power of the Company or its stockholders to make or authorize any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134" w:lineRule="exact"/>
        <w:rPr>
          <w:rFonts w:ascii="Arial" w:cs="Arial" w:eastAsia="Arial" w:hAnsi="Arial"/>
          <w:sz w:val="18"/>
          <w:szCs w:val="18"/>
          <w:color w:val="auto"/>
        </w:rPr>
      </w:pPr>
    </w:p>
    <w:p>
      <w:pPr>
        <w:jc w:val="both"/>
        <w:ind w:firstLine="589"/>
        <w:spacing w:after="0" w:line="244" w:lineRule="auto"/>
        <w:tabs>
          <w:tab w:leader="none" w:pos="1460" w:val="left"/>
        </w:tabs>
        <w:numPr>
          <w:ilvl w:val="1"/>
          <w:numId w:val="92"/>
        </w:numPr>
        <w:rPr>
          <w:rFonts w:ascii="Arial" w:cs="Arial" w:eastAsia="Arial" w:hAnsi="Arial"/>
          <w:sz w:val="21"/>
          <w:szCs w:val="21"/>
          <w:color w:val="auto"/>
        </w:rPr>
      </w:pPr>
      <w:r>
        <w:rPr>
          <w:rFonts w:ascii="Arial" w:cs="Arial" w:eastAsia="Arial" w:hAnsi="Arial"/>
          <w:sz w:val="21"/>
          <w:szCs w:val="21"/>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79" w:lineRule="exact"/>
        <w:rPr>
          <w:rFonts w:ascii="Arial" w:cs="Arial" w:eastAsia="Arial" w:hAnsi="Arial"/>
          <w:sz w:val="21"/>
          <w:szCs w:val="21"/>
          <w:color w:val="auto"/>
        </w:rPr>
      </w:pPr>
    </w:p>
    <w:p>
      <w:pPr>
        <w:jc w:val="both"/>
        <w:ind w:firstLine="589"/>
        <w:spacing w:after="0" w:line="255" w:lineRule="auto"/>
        <w:tabs>
          <w:tab w:leader="none" w:pos="1448"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outstanding without receiving compensation therefor in money, services or property, the number of Shares subject to </w:t>
      </w:r>
      <w:r>
        <w:rPr>
          <w:rFonts w:ascii="Arial" w:cs="Arial" w:eastAsia="Arial" w:hAnsi="Arial"/>
          <w:sz w:val="18"/>
          <w:szCs w:val="18"/>
          <w:color w:val="auto"/>
        </w:rPr>
        <w:t>the Plan shall be proportionately adjusted and the number of Shares with respect</w:t>
      </w:r>
      <w:r>
        <w:rPr>
          <w:rFonts w:ascii="Arial" w:cs="Arial" w:eastAsia="Arial" w:hAnsi="Arial"/>
          <w:sz w:val="20"/>
          <w:szCs w:val="20"/>
          <w:color w:val="auto"/>
        </w:rPr>
        <w:t xml:space="preserve"> </w:t>
      </w:r>
      <w:r>
        <w:rPr>
          <w:rFonts w:ascii="Arial" w:cs="Arial" w:eastAsia="Arial" w:hAnsi="Arial"/>
          <w:sz w:val="18"/>
          <w:szCs w:val="18"/>
          <w:color w:val="auto"/>
        </w:rPr>
        <w:t>to which Stock Options granted hereunder may thereafter be exercised shall:</w:t>
      </w:r>
    </w:p>
    <w:p>
      <w:pPr>
        <w:spacing w:after="0" w:line="172" w:lineRule="exact"/>
        <w:rPr>
          <w:rFonts w:ascii="Arial" w:cs="Arial" w:eastAsia="Arial" w:hAnsi="Arial"/>
          <w:sz w:val="20"/>
          <w:szCs w:val="20"/>
          <w:color w:val="auto"/>
        </w:rPr>
      </w:pPr>
    </w:p>
    <w:p>
      <w:pPr>
        <w:ind w:left="580" w:firstLine="1117"/>
        <w:spacing w:after="0" w:line="267" w:lineRule="auto"/>
        <w:tabs>
          <w:tab w:leader="none" w:pos="2525" w:val="left"/>
        </w:tabs>
        <w:numPr>
          <w:ilvl w:val="2"/>
          <w:numId w:val="92"/>
        </w:numPr>
        <w:rPr>
          <w:rFonts w:ascii="Arial" w:cs="Arial" w:eastAsia="Arial" w:hAnsi="Arial"/>
          <w:sz w:val="21"/>
          <w:szCs w:val="21"/>
          <w:color w:val="auto"/>
        </w:rPr>
      </w:pPr>
      <w:r>
        <w:rPr>
          <w:rFonts w:ascii="Arial" w:cs="Arial" w:eastAsia="Arial" w:hAnsi="Arial"/>
          <w:sz w:val="21"/>
          <w:szCs w:val="21"/>
          <w:color w:val="auto"/>
        </w:rPr>
        <w:t>in the event of an increase in the number of outstanding Shares, be proportionately increased, and the cash consideration (if any) payable per Share shall be proportionately reduced; and</w:t>
      </w:r>
    </w:p>
    <w:p>
      <w:pPr>
        <w:spacing w:after="0" w:line="152" w:lineRule="exact"/>
        <w:rPr>
          <w:rFonts w:ascii="Arial" w:cs="Arial" w:eastAsia="Arial" w:hAnsi="Arial"/>
          <w:sz w:val="21"/>
          <w:szCs w:val="21"/>
          <w:color w:val="auto"/>
        </w:rPr>
      </w:pPr>
    </w:p>
    <w:p>
      <w:pPr>
        <w:ind w:left="580" w:firstLine="1117"/>
        <w:spacing w:after="0" w:line="267" w:lineRule="auto"/>
        <w:tabs>
          <w:tab w:leader="none" w:pos="2585" w:val="left"/>
        </w:tabs>
        <w:numPr>
          <w:ilvl w:val="2"/>
          <w:numId w:val="92"/>
        </w:numPr>
        <w:rPr>
          <w:rFonts w:ascii="Arial" w:cs="Arial" w:eastAsia="Arial" w:hAnsi="Arial"/>
          <w:sz w:val="21"/>
          <w:szCs w:val="21"/>
          <w:color w:val="auto"/>
        </w:rPr>
      </w:pPr>
      <w:r>
        <w:rPr>
          <w:rFonts w:ascii="Arial" w:cs="Arial" w:eastAsia="Arial" w:hAnsi="Arial"/>
          <w:sz w:val="21"/>
          <w:szCs w:val="21"/>
          <w:color w:val="auto"/>
        </w:rPr>
        <w:t>in the event of a reduction in the number of outstanding Shares, be proportionately reduced, and the cash consideration (if any) payable per Share shall be proportionately increased.</w:t>
      </w:r>
    </w:p>
    <w:p>
      <w:pPr>
        <w:spacing w:after="0" w:line="152" w:lineRule="exact"/>
        <w:rPr>
          <w:rFonts w:ascii="Arial" w:cs="Arial" w:eastAsia="Arial" w:hAnsi="Arial"/>
          <w:sz w:val="21"/>
          <w:szCs w:val="21"/>
          <w:color w:val="auto"/>
        </w:rPr>
      </w:pPr>
    </w:p>
    <w:p>
      <w:pPr>
        <w:jc w:val="both"/>
        <w:ind w:firstLine="589"/>
        <w:spacing w:after="0" w:line="291" w:lineRule="auto"/>
        <w:tabs>
          <w:tab w:leader="none" w:pos="1460" w:val="left"/>
        </w:tabs>
        <w:numPr>
          <w:ilvl w:val="1"/>
          <w:numId w:val="92"/>
        </w:numPr>
        <w:rPr>
          <w:rFonts w:ascii="Arial" w:cs="Arial" w:eastAsia="Arial" w:hAnsi="Arial"/>
          <w:sz w:val="19"/>
          <w:szCs w:val="19"/>
          <w:color w:val="auto"/>
        </w:rPr>
      </w:pPr>
      <w:r>
        <w:rPr>
          <w:rFonts w:ascii="Arial" w:cs="Arial" w:eastAsia="Arial" w:hAnsi="Arial"/>
          <w:sz w:val="19"/>
          <w:szCs w:val="19"/>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23" w:name="page124"/>
    <w:bookmarkEnd w:id="123"/>
    <w:p>
      <w:pPr>
        <w:jc w:val="both"/>
        <w:spacing w:after="0" w:line="254" w:lineRule="auto"/>
        <w:rPr>
          <w:sz w:val="20"/>
          <w:szCs w:val="20"/>
          <w:color w:val="auto"/>
        </w:rPr>
      </w:pPr>
      <w:r>
        <w:rPr>
          <w:rFonts w:ascii="Arial" w:cs="Arial" w:eastAsia="Arial" w:hAnsi="Arial"/>
          <w:sz w:val="20"/>
          <w:szCs w:val="20"/>
          <w:color w:val="auto"/>
        </w:rPr>
        <w:t>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162" w:lineRule="exact"/>
        <w:rPr>
          <w:sz w:val="20"/>
          <w:szCs w:val="20"/>
          <w:color w:val="auto"/>
        </w:rPr>
      </w:pPr>
    </w:p>
    <w:p>
      <w:pPr>
        <w:ind w:left="580" w:hanging="574"/>
        <w:spacing w:after="0"/>
        <w:tabs>
          <w:tab w:leader="none" w:pos="580"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Registration under Securities Act of 1933 and Exchange Listing</w:t>
      </w:r>
    </w:p>
    <w:p>
      <w:pPr>
        <w:spacing w:after="0" w:line="216" w:lineRule="exact"/>
        <w:rPr>
          <w:sz w:val="20"/>
          <w:szCs w:val="20"/>
          <w:color w:val="auto"/>
        </w:rPr>
      </w:pPr>
    </w:p>
    <w:p>
      <w:pPr>
        <w:jc w:val="both"/>
        <w:ind w:firstLine="583"/>
        <w:spacing w:after="0" w:line="252" w:lineRule="auto"/>
        <w:rPr>
          <w:sz w:val="20"/>
          <w:szCs w:val="20"/>
          <w:color w:val="auto"/>
        </w:rPr>
      </w:pPr>
      <w:r>
        <w:rPr>
          <w:rFonts w:ascii="Arial" w:cs="Arial" w:eastAsia="Arial" w:hAnsi="Arial"/>
          <w:sz w:val="21"/>
          <w:szCs w:val="21"/>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NYSE.</w:t>
      </w:r>
    </w:p>
    <w:p>
      <w:pPr>
        <w:spacing w:after="0" w:line="163" w:lineRule="exact"/>
        <w:rPr>
          <w:sz w:val="20"/>
          <w:szCs w:val="20"/>
          <w:color w:val="auto"/>
        </w:rPr>
      </w:pPr>
    </w:p>
    <w:p>
      <w:pPr>
        <w:ind w:left="580" w:hanging="574"/>
        <w:spacing w:after="0"/>
        <w:tabs>
          <w:tab w:leader="none" w:pos="580"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Reports and Returns</w:t>
      </w:r>
    </w:p>
    <w:p>
      <w:pPr>
        <w:spacing w:after="0" w:line="216" w:lineRule="exact"/>
        <w:rPr>
          <w:sz w:val="20"/>
          <w:szCs w:val="20"/>
          <w:color w:val="auto"/>
        </w:rPr>
      </w:pPr>
    </w:p>
    <w:p>
      <w:pPr>
        <w:jc w:val="both"/>
        <w:ind w:firstLine="583"/>
        <w:spacing w:after="0" w:line="252" w:lineRule="auto"/>
        <w:rPr>
          <w:sz w:val="20"/>
          <w:szCs w:val="20"/>
          <w:color w:val="auto"/>
        </w:rPr>
      </w:pPr>
      <w:r>
        <w:rPr>
          <w:rFonts w:ascii="Arial" w:cs="Arial" w:eastAsia="Arial" w:hAnsi="Arial"/>
          <w:sz w:val="21"/>
          <w:szCs w:val="21"/>
          <w:color w:val="auto"/>
        </w:rPr>
        <w:t>The Company shall cause to be filed any reports, returns or other information regarding the Stock Options granted hereunder or any Shares issued pursuant to the exercise thereof or a payment made hereunder, as may be required by Section 13 or 15(d) of the Exchange Act or any other applicable statute, rule or regulation.</w:t>
      </w:r>
    </w:p>
    <w:p>
      <w:pPr>
        <w:spacing w:after="0" w:line="163" w:lineRule="exact"/>
        <w:rPr>
          <w:sz w:val="20"/>
          <w:szCs w:val="20"/>
          <w:color w:val="auto"/>
        </w:rPr>
      </w:pPr>
    </w:p>
    <w:p>
      <w:pPr>
        <w:ind w:left="580" w:hanging="574"/>
        <w:spacing w:after="0"/>
        <w:tabs>
          <w:tab w:leader="none" w:pos="580"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color w:val="auto"/>
        </w:rPr>
        <w:t>Plan Term</w:t>
      </w:r>
    </w:p>
    <w:p>
      <w:pPr>
        <w:spacing w:after="0" w:line="216" w:lineRule="exact"/>
        <w:rPr>
          <w:sz w:val="20"/>
          <w:szCs w:val="20"/>
          <w:color w:val="auto"/>
        </w:rPr>
      </w:pPr>
    </w:p>
    <w:p>
      <w:pPr>
        <w:jc w:val="both"/>
        <w:ind w:firstLine="583"/>
        <w:spacing w:after="0" w:line="270" w:lineRule="auto"/>
        <w:rPr>
          <w:sz w:val="20"/>
          <w:szCs w:val="20"/>
          <w:color w:val="auto"/>
        </w:rPr>
      </w:pPr>
      <w:r>
        <w:rPr>
          <w:rFonts w:ascii="Arial" w:cs="Arial" w:eastAsia="Arial" w:hAnsi="Arial"/>
          <w:sz w:val="20"/>
          <w:szCs w:val="20"/>
          <w:color w:val="auto"/>
        </w:rPr>
        <w:t>The Plan became effective February 16, 2001 upon approval by the holders of a majority of the votes cast at the Company’s 2001 annual general meeting of stockholders. The Plan was amended from time to time and was thereafter amended and restated effective as of July 19, 2017. No Stock Options shall be granted pursuant to the Plan after February 16, 2011.</w:t>
      </w:r>
    </w:p>
    <w:p>
      <w:pPr>
        <w:spacing w:after="0" w:line="147" w:lineRule="exact"/>
        <w:rPr>
          <w:sz w:val="20"/>
          <w:szCs w:val="20"/>
          <w:color w:val="auto"/>
        </w:rPr>
      </w:pPr>
    </w:p>
    <w:p>
      <w:pPr>
        <w:ind w:left="580" w:hanging="574"/>
        <w:spacing w:after="0"/>
        <w:tabs>
          <w:tab w:leader="none" w:pos="580"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Amendment or Termination</w:t>
      </w:r>
    </w:p>
    <w:p>
      <w:pPr>
        <w:spacing w:after="0" w:line="216" w:lineRule="exact"/>
        <w:rPr>
          <w:sz w:val="20"/>
          <w:szCs w:val="20"/>
          <w:color w:val="auto"/>
        </w:rPr>
      </w:pPr>
    </w:p>
    <w:p>
      <w:pPr>
        <w:ind w:firstLine="583"/>
        <w:spacing w:after="0" w:line="267" w:lineRule="auto"/>
        <w:rPr>
          <w:sz w:val="20"/>
          <w:szCs w:val="20"/>
          <w:color w:val="auto"/>
        </w:rPr>
      </w:pPr>
      <w:r>
        <w:rPr>
          <w:rFonts w:ascii="Arial" w:cs="Arial" w:eastAsia="Arial" w:hAnsi="Arial"/>
          <w:sz w:val="21"/>
          <w:szCs w:val="21"/>
          <w:color w:val="auto"/>
        </w:rPr>
        <w:t>The Board may amend, alter or discontinue the Plan at any time insofar as permitted by law, but no amendment or alteration shall be made without the approval of the stockholders of the Company:</w:t>
      </w:r>
    </w:p>
    <w:p>
      <w:pPr>
        <w:spacing w:after="0" w:line="153" w:lineRule="exact"/>
        <w:rPr>
          <w:sz w:val="20"/>
          <w:szCs w:val="20"/>
          <w:color w:val="auto"/>
        </w:rPr>
      </w:pPr>
    </w:p>
    <w:p>
      <w:pPr>
        <w:jc w:val="both"/>
        <w:ind w:firstLine="589"/>
        <w:spacing w:after="0" w:line="252" w:lineRule="auto"/>
        <w:tabs>
          <w:tab w:leader="none" w:pos="1448" w:val="left"/>
        </w:tabs>
        <w:numPr>
          <w:ilvl w:val="0"/>
          <w:numId w:val="97"/>
        </w:numPr>
        <w:rPr>
          <w:rFonts w:ascii="Arial" w:cs="Arial" w:eastAsia="Arial" w:hAnsi="Arial"/>
          <w:sz w:val="21"/>
          <w:szCs w:val="21"/>
          <w:color w:val="auto"/>
        </w:rPr>
      </w:pPr>
      <w:r>
        <w:rPr>
          <w:rFonts w:ascii="Arial" w:cs="Arial" w:eastAsia="Arial" w:hAnsi="Arial"/>
          <w:sz w:val="21"/>
          <w:szCs w:val="21"/>
          <w:color w:val="auto"/>
        </w:rPr>
        <w:t>if, except as contemplated by Section 8 hereof,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24" w:name="page125"/>
    <w:bookmarkEnd w:id="124"/>
    <w:p>
      <w:pPr>
        <w:ind w:left="1460" w:hanging="871"/>
        <w:spacing w:after="0"/>
        <w:tabs>
          <w:tab w:leader="none" w:pos="146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and to the extent such amendment requires stockholder approval under Section 422 of the Code (or any successor</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provision).</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No amendment of the Plan shall alter or impair any of the rights or obligations of any person, without his or her consent, under any Stock Option or right theretofore granted under the Plan.</w:t>
      </w:r>
    </w:p>
    <w:p>
      <w:pPr>
        <w:spacing w:after="0" w:line="147" w:lineRule="exact"/>
        <w:rPr>
          <w:sz w:val="20"/>
          <w:szCs w:val="20"/>
          <w:color w:val="auto"/>
        </w:rPr>
      </w:pPr>
    </w:p>
    <w:p>
      <w:pPr>
        <w:ind w:left="580" w:hanging="574"/>
        <w:spacing w:after="0"/>
        <w:tabs>
          <w:tab w:leader="none" w:pos="580" w:val="left"/>
        </w:tabs>
        <w:numPr>
          <w:ilvl w:val="0"/>
          <w:numId w:val="99"/>
        </w:numPr>
        <w:rPr>
          <w:rFonts w:ascii="Arial" w:cs="Arial" w:eastAsia="Arial" w:hAnsi="Arial"/>
          <w:sz w:val="21"/>
          <w:szCs w:val="21"/>
          <w:b w:val="1"/>
          <w:bCs w:val="1"/>
          <w:color w:val="auto"/>
        </w:rPr>
      </w:pPr>
      <w:r>
        <w:rPr>
          <w:rFonts w:ascii="Arial" w:cs="Arial" w:eastAsia="Arial" w:hAnsi="Arial"/>
          <w:sz w:val="21"/>
          <w:szCs w:val="21"/>
          <w:b w:val="1"/>
          <w:bCs w:val="1"/>
          <w:color w:val="auto"/>
        </w:rPr>
        <w:t>Government Regulations</w:t>
      </w:r>
    </w:p>
    <w:p>
      <w:pPr>
        <w:spacing w:after="0" w:line="216" w:lineRule="exact"/>
        <w:rPr>
          <w:sz w:val="20"/>
          <w:szCs w:val="20"/>
          <w:color w:val="auto"/>
        </w:rPr>
      </w:pPr>
    </w:p>
    <w:p>
      <w:pPr>
        <w:jc w:val="both"/>
        <w:ind w:firstLine="583"/>
        <w:spacing w:after="0" w:line="241" w:lineRule="auto"/>
        <w:rPr>
          <w:sz w:val="20"/>
          <w:szCs w:val="20"/>
          <w:color w:val="auto"/>
        </w:rPr>
      </w:pPr>
      <w:r>
        <w:rPr>
          <w:rFonts w:ascii="Arial" w:cs="Arial" w:eastAsia="Arial" w:hAnsi="Arial"/>
          <w:sz w:val="21"/>
          <w:szCs w:val="21"/>
          <w:color w:val="auto"/>
        </w:rPr>
        <w:t>Notwithstanding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Stock Option granted hereunder, and that neither the Company nor any subsidiary will be obligated to issue any Shares or make any payments under any such option if the exercise thereof or if the issuance of such Shares or if the payment made constitutes, or may constitute, a violation by the recipient or the Company or any subsidiary of any provision of any applicable law, rule or regulation of any governmental authority or national securities exchanges.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IN WITNESS WHEREOF, the Company has caused this Plan to be executed by its duly authorized officer on the date first written above.</w:t>
      </w:r>
    </w:p>
    <w:p>
      <w:pPr>
        <w:spacing w:after="0" w:line="179" w:lineRule="exact"/>
        <w:rPr>
          <w:sz w:val="20"/>
          <w:szCs w:val="20"/>
          <w:color w:val="auto"/>
        </w:rPr>
      </w:pPr>
    </w:p>
    <w:tbl>
      <w:tblPr>
        <w:tblLayout w:type="fixed"/>
        <w:tblInd w:w="5660" w:type="dxa"/>
        <w:tblCellMar>
          <w:top w:w="0" w:type="dxa"/>
          <w:left w:w="0" w:type="dxa"/>
          <w:bottom w:w="0" w:type="dxa"/>
          <w:right w:w="0" w:type="dxa"/>
        </w:tblCellMar>
      </w:tblPr>
      <w:tr>
        <w:trPr>
          <w:trHeight w:val="271"/>
        </w:trPr>
        <w:tc>
          <w:tcPr>
            <w:tcW w:w="90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21"/>
                <w:szCs w:val="21"/>
                <w:color w:val="auto"/>
              </w:rPr>
              <w:t>SCHLUMBERGER LIMITED</w:t>
            </w:r>
          </w:p>
        </w:tc>
      </w:tr>
      <w:tr>
        <w:trPr>
          <w:trHeight w:val="467"/>
        </w:trPr>
        <w:tc>
          <w:tcPr>
            <w:tcW w:w="900" w:type="dxa"/>
            <w:vAlign w:val="bottom"/>
          </w:tcPr>
          <w:p>
            <w:pPr>
              <w:ind w:left="60"/>
              <w:spacing w:after="0"/>
              <w:rPr>
                <w:sz w:val="20"/>
                <w:szCs w:val="20"/>
                <w:color w:val="auto"/>
              </w:rPr>
            </w:pPr>
            <w:r>
              <w:rPr>
                <w:rFonts w:ascii="Arial" w:cs="Arial" w:eastAsia="Arial" w:hAnsi="Arial"/>
                <w:sz w:val="21"/>
                <w:szCs w:val="21"/>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Paal Kibsgaard</w:t>
            </w:r>
          </w:p>
        </w:tc>
      </w:tr>
      <w:tr>
        <w:trPr>
          <w:trHeight w:val="237"/>
        </w:trPr>
        <w:tc>
          <w:tcPr>
            <w:tcW w:w="900" w:type="dxa"/>
            <w:vAlign w:val="bottom"/>
          </w:tcPr>
          <w:p>
            <w:pPr>
              <w:spacing w:after="0"/>
              <w:rPr>
                <w:sz w:val="20"/>
                <w:szCs w:val="20"/>
                <w:color w:val="auto"/>
              </w:rPr>
            </w:pPr>
          </w:p>
        </w:tc>
        <w:tc>
          <w:tcPr>
            <w:tcW w:w="4860" w:type="dxa"/>
            <w:vAlign w:val="bottom"/>
          </w:tcPr>
          <w:p>
            <w:pPr>
              <w:spacing w:after="0" w:line="237" w:lineRule="exact"/>
              <w:rPr>
                <w:sz w:val="20"/>
                <w:szCs w:val="20"/>
                <w:color w:val="auto"/>
              </w:rPr>
            </w:pPr>
            <w:r>
              <w:rPr>
                <w:rFonts w:ascii="Arial" w:cs="Arial" w:eastAsia="Arial" w:hAnsi="Arial"/>
                <w:sz w:val="21"/>
                <w:szCs w:val="21"/>
                <w:color w:val="auto"/>
              </w:rPr>
              <w:t>Paal Kibsgaard</w:t>
            </w:r>
          </w:p>
        </w:tc>
      </w:tr>
      <w:tr>
        <w:trPr>
          <w:trHeight w:val="271"/>
        </w:trPr>
        <w:tc>
          <w:tcPr>
            <w:tcW w:w="900" w:type="dxa"/>
            <w:vAlign w:val="bottom"/>
          </w:tcPr>
          <w:p>
            <w:pPr>
              <w:ind w:left="60"/>
              <w:spacing w:after="0"/>
              <w:rPr>
                <w:sz w:val="20"/>
                <w:szCs w:val="20"/>
                <w:color w:val="auto"/>
              </w:rPr>
            </w:pPr>
            <w:r>
              <w:rPr>
                <w:rFonts w:ascii="Arial" w:cs="Arial" w:eastAsia="Arial" w:hAnsi="Arial"/>
                <w:sz w:val="21"/>
                <w:szCs w:val="21"/>
                <w:color w:val="auto"/>
              </w:rPr>
              <w:t>Title:</w:t>
            </w:r>
          </w:p>
        </w:tc>
        <w:tc>
          <w:tcPr>
            <w:tcW w:w="4860" w:type="dxa"/>
            <w:vAlign w:val="bottom"/>
          </w:tcPr>
          <w:p>
            <w:pPr>
              <w:spacing w:after="0"/>
              <w:rPr>
                <w:sz w:val="20"/>
                <w:szCs w:val="20"/>
                <w:color w:val="auto"/>
              </w:rPr>
            </w:pPr>
            <w:r>
              <w:rPr>
                <w:rFonts w:ascii="Arial" w:cs="Arial" w:eastAsia="Arial" w:hAnsi="Arial"/>
                <w:sz w:val="21"/>
                <w:szCs w:val="21"/>
                <w:color w:val="auto"/>
              </w:rPr>
              <w:t>Chairman &amp; CEO</w:t>
            </w:r>
          </w:p>
        </w:tc>
      </w:tr>
      <w:tr>
        <w:trPr>
          <w:trHeight w:val="664"/>
        </w:trPr>
        <w:tc>
          <w:tcPr>
            <w:tcW w:w="900" w:type="dxa"/>
            <w:vAlign w:val="bottom"/>
          </w:tcPr>
          <w:p>
            <w:pPr>
              <w:jc w:val="right"/>
              <w:ind w:right="696"/>
              <w:spacing w:after="0"/>
              <w:rPr>
                <w:sz w:val="20"/>
                <w:szCs w:val="20"/>
                <w:color w:val="auto"/>
              </w:rPr>
            </w:pPr>
            <w:r>
              <w:rPr>
                <w:rFonts w:ascii="Arial" w:cs="Arial" w:eastAsia="Arial" w:hAnsi="Arial"/>
                <w:sz w:val="20"/>
                <w:szCs w:val="20"/>
                <w:color w:val="auto"/>
                <w:w w:val="71"/>
              </w:rPr>
              <w:t>9</w:t>
            </w:r>
          </w:p>
        </w:tc>
        <w:tc>
          <w:tcPr>
            <w:tcW w:w="4860" w:type="dxa"/>
            <w:vAlign w:val="bottom"/>
          </w:tcPr>
          <w:p>
            <w:pPr>
              <w:spacing w:after="0"/>
              <w:rPr>
                <w:sz w:val="24"/>
                <w:szCs w:val="24"/>
                <w:color w:val="auto"/>
              </w:rPr>
            </w:pPr>
          </w:p>
        </w:tc>
      </w:tr>
    </w:tbl>
    <w:p>
      <w:pPr>
        <w:sectPr>
          <w:pgSz w:w="11900" w:h="16838" w:orient="portrait"/>
          <w:cols w:equalWidth="0" w:num="1">
            <w:col w:w="11420"/>
          </w:cols>
          <w:pgMar w:left="240" w:top="556"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1"/>
          <w:szCs w:val="21"/>
          <w:b w:val="1"/>
          <w:bCs w:val="1"/>
          <w:color w:val="auto"/>
        </w:rPr>
        <w:t>Exhibit 10.6</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SCHLUMBERGER 2005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as of July 19, 2017)</w:t>
      </w:r>
    </w:p>
    <w:p>
      <w:pPr>
        <w:spacing w:after="0" w:line="146" w:lineRule="exact"/>
        <w:rPr>
          <w:sz w:val="20"/>
          <w:szCs w:val="20"/>
          <w:color w:val="auto"/>
        </w:rPr>
      </w:pPr>
    </w:p>
    <w:p>
      <w:pPr>
        <w:ind w:left="440" w:hanging="434"/>
        <w:spacing w:after="0"/>
        <w:tabs>
          <w:tab w:leader="none" w:pos="440" w:val="left"/>
        </w:tabs>
        <w:numPr>
          <w:ilvl w:val="0"/>
          <w:numId w:val="100"/>
        </w:numPr>
        <w:rPr>
          <w:rFonts w:ascii="Arial" w:cs="Arial" w:eastAsia="Arial" w:hAnsi="Arial"/>
          <w:sz w:val="21"/>
          <w:szCs w:val="21"/>
          <w:b w:val="1"/>
          <w:bCs w:val="1"/>
          <w:color w:val="auto"/>
        </w:rPr>
      </w:pPr>
      <w:r>
        <w:rPr>
          <w:rFonts w:ascii="Arial" w:cs="Arial" w:eastAsia="Arial" w:hAnsi="Arial"/>
          <w:sz w:val="21"/>
          <w:szCs w:val="21"/>
          <w:b w:val="1"/>
          <w:bCs w:val="1"/>
          <w:color w:val="auto"/>
        </w:rPr>
        <w:t>Purpose of the Plan</w:t>
      </w:r>
    </w:p>
    <w:p>
      <w:pPr>
        <w:spacing w:after="0" w:line="216" w:lineRule="exact"/>
        <w:rPr>
          <w:sz w:val="20"/>
          <w:szCs w:val="20"/>
          <w:color w:val="auto"/>
        </w:rPr>
      </w:pPr>
    </w:p>
    <w:p>
      <w:pPr>
        <w:jc w:val="both"/>
        <w:ind w:firstLine="439"/>
        <w:spacing w:after="0" w:line="244" w:lineRule="auto"/>
        <w:rPr>
          <w:sz w:val="20"/>
          <w:szCs w:val="20"/>
          <w:color w:val="auto"/>
        </w:rPr>
      </w:pPr>
      <w:r>
        <w:rPr>
          <w:rFonts w:ascii="Arial" w:cs="Arial" w:eastAsia="Arial" w:hAnsi="Arial"/>
          <w:sz w:val="21"/>
          <w:szCs w:val="21"/>
          <w:color w:val="auto"/>
        </w:rPr>
        <w:t>This Schlumberger 2005 Stock Incentive Plan (the “Plan”) was adopted by Schlumberger Limited (the “Company”) and is intended as an incentive to key employees of the Company and its subsidiaries (as defined in Section 3(a) below).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74" w:lineRule="exact"/>
        <w:rPr>
          <w:sz w:val="20"/>
          <w:szCs w:val="20"/>
          <w:color w:val="auto"/>
        </w:rPr>
      </w:pPr>
    </w:p>
    <w:p>
      <w:pPr>
        <w:ind w:left="440" w:hanging="434"/>
        <w:spacing w:after="0"/>
        <w:tabs>
          <w:tab w:leader="none" w:pos="440"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 of the Plan</w:t>
      </w:r>
    </w:p>
    <w:p>
      <w:pPr>
        <w:spacing w:after="0" w:line="215" w:lineRule="exact"/>
        <w:rPr>
          <w:rFonts w:ascii="Arial" w:cs="Arial" w:eastAsia="Arial" w:hAnsi="Arial"/>
          <w:sz w:val="21"/>
          <w:szCs w:val="21"/>
          <w:b w:val="1"/>
          <w:bCs w:val="1"/>
          <w:color w:val="auto"/>
        </w:rPr>
      </w:pPr>
    </w:p>
    <w:p>
      <w:pPr>
        <w:jc w:val="both"/>
        <w:ind w:firstLine="446"/>
        <w:spacing w:after="0" w:line="247" w:lineRule="auto"/>
        <w:tabs>
          <w:tab w:leader="none" w:pos="1312"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Compensation Committee.</w:t>
      </w:r>
      <w:r>
        <w:rPr>
          <w:rFonts w:ascii="Arial" w:cs="Arial" w:eastAsia="Arial" w:hAnsi="Arial"/>
          <w:sz w:val="21"/>
          <w:szCs w:val="21"/>
          <w:color w:val="auto"/>
        </w:rPr>
        <w:t xml:space="preserve"> The Board of Directors of the Company (the “Board”) shall appoint and maintain a Compensation Committee (the “Committee”) consisting of at least three (3) members of the Board, none of whom is an officer or employee of the Company, who shall serve at the pleasure of the Board. No member of such Committee shall be eligible to receive Awards under the Plan during his or her tenure on the Committee.</w:t>
      </w:r>
    </w:p>
    <w:p>
      <w:pPr>
        <w:spacing w:after="0" w:line="174" w:lineRule="exact"/>
        <w:rPr>
          <w:rFonts w:ascii="Arial" w:cs="Arial" w:eastAsia="Arial" w:hAnsi="Arial"/>
          <w:sz w:val="21"/>
          <w:szCs w:val="21"/>
          <w:color w:val="auto"/>
        </w:rPr>
      </w:pPr>
    </w:p>
    <w:p>
      <w:pPr>
        <w:jc w:val="both"/>
        <w:ind w:firstLine="446"/>
        <w:spacing w:after="0" w:line="266" w:lineRule="auto"/>
        <w:tabs>
          <w:tab w:leader="none" w:pos="1324"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Committee Powers.</w:t>
      </w:r>
      <w:r>
        <w:rPr>
          <w:rFonts w:ascii="Arial" w:cs="Arial" w:eastAsia="Arial" w:hAnsi="Arial"/>
          <w:sz w:val="19"/>
          <w:szCs w:val="19"/>
          <w:color w:val="auto"/>
        </w:rPr>
        <w:t xml:space="preserve"> The Committee shall have full power and authority to interpret the provisions of the Plan and supervise its administration. All decisions and selections made by the Committee pursuant to the provisions of the Plan shall be made by a majority of its members; provided, however, that the Committee may delegate its authority to grant awards hereunder to the chairperson of the Committee or any other member of the Committee to act in his or her absence, subject to such terms, conditions and limitations as the Committee may prescribe in its discretion. Any decision reduced to writing and signed by a majority of the members shall be fully effective as if adopted by a majority at a meeting duly held. The Committee may from time to time grant incentive stock options and non-qualified stock options (“Stock Options”) and restricted stock and restricted stock units (“Stock Awards”) under the Plan to the persons described in Section 3 hereof. Subject to the provisions of the Plan, the Committee shall have full and final authority to determine the persons to whom Stock Options and Stock Awards (collectively referred to as “Awards”) hereunder shall be granted, the number of shares of common stock, par value $0.01 per share, of the Company (the “Common Stock”) to be covered by each Award (except that no participant may be granted options for more than 1,500,000 shares of Common Stock (after giving effect to the 2-for-1 stock split (“stock split”) announced by the Company on January 19, 2006) during the life of the Plan), whether each Stock Option is designated an “incentive stock option” or a “non-qualified stock option,” and all other terms of each Award consistent with the provisions of the Plan. If the exercise period of an outstanding Stock Option is continued following a holder’s termination of employment as provided in Section 5 hereof, and the holder engages in “detrimental activity” as as defined in Section 5(d)(iv)(E), the Committee shall have the authority in its discretion to cause such option to be forfeited and certain option exercises thereunder to be rescinded as provided for in Section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26" w:name="page127"/>
    <w:bookmarkEnd w:id="126"/>
    <w:p>
      <w:pPr>
        <w:jc w:val="both"/>
        <w:ind w:firstLine="446"/>
        <w:spacing w:after="0" w:line="252" w:lineRule="auto"/>
        <w:tabs>
          <w:tab w:leader="none" w:pos="1312"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Committee Liability.</w:t>
      </w:r>
      <w:r>
        <w:rPr>
          <w:rFonts w:ascii="Arial" w:cs="Arial" w:eastAsia="Arial" w:hAnsi="Arial"/>
          <w:sz w:val="21"/>
          <w:szCs w:val="21"/>
          <w:color w:val="auto"/>
        </w:rPr>
        <w:t xml:space="preserve"> 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62" w:lineRule="exact"/>
        <w:rPr>
          <w:rFonts w:ascii="Arial" w:cs="Arial" w:eastAsia="Arial" w:hAnsi="Arial"/>
          <w:sz w:val="21"/>
          <w:szCs w:val="21"/>
          <w:color w:val="auto"/>
        </w:rPr>
      </w:pPr>
    </w:p>
    <w:p>
      <w:pPr>
        <w:ind w:left="440" w:hanging="434"/>
        <w:spacing w:after="0"/>
        <w:tabs>
          <w:tab w:leader="none" w:pos="440"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color w:val="auto"/>
        </w:rPr>
        <w:t>Grants of Awards</w:t>
      </w:r>
    </w:p>
    <w:p>
      <w:pPr>
        <w:spacing w:after="0" w:line="215" w:lineRule="exact"/>
        <w:rPr>
          <w:rFonts w:ascii="Arial" w:cs="Arial" w:eastAsia="Arial" w:hAnsi="Arial"/>
          <w:sz w:val="21"/>
          <w:szCs w:val="21"/>
          <w:b w:val="1"/>
          <w:bCs w:val="1"/>
          <w:color w:val="auto"/>
        </w:rPr>
      </w:pPr>
    </w:p>
    <w:p>
      <w:pPr>
        <w:jc w:val="both"/>
        <w:ind w:firstLine="446"/>
        <w:spacing w:after="0" w:line="255" w:lineRule="auto"/>
        <w:tabs>
          <w:tab w:leader="none" w:pos="1312"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Eligibility for Awards.</w:t>
      </w:r>
      <w:r>
        <w:rPr>
          <w:rFonts w:ascii="Arial" w:cs="Arial" w:eastAsia="Arial" w:hAnsi="Arial"/>
          <w:sz w:val="20"/>
          <w:szCs w:val="20"/>
          <w:color w:val="auto"/>
        </w:rPr>
        <w:t xml:space="preserve"> The persons eligible for participation in the Plan as recipients of Awards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Awards at the Committee’s discretion including simultaneous grants of different forms of Awards.</w:t>
      </w:r>
    </w:p>
    <w:p>
      <w:pPr>
        <w:spacing w:after="0" w:line="169" w:lineRule="exact"/>
        <w:rPr>
          <w:rFonts w:ascii="Arial" w:cs="Arial" w:eastAsia="Arial" w:hAnsi="Arial"/>
          <w:sz w:val="20"/>
          <w:szCs w:val="20"/>
          <w:color w:val="auto"/>
        </w:rPr>
      </w:pPr>
    </w:p>
    <w:p>
      <w:pPr>
        <w:jc w:val="both"/>
        <w:ind w:firstLine="446"/>
        <w:spacing w:after="0" w:line="244" w:lineRule="auto"/>
        <w:tabs>
          <w:tab w:leader="none" w:pos="1324" w:val="left"/>
        </w:tabs>
        <w:numPr>
          <w:ilvl w:val="1"/>
          <w:numId w:val="103"/>
        </w:numPr>
        <w:rPr>
          <w:rFonts w:ascii="Arial" w:cs="Arial" w:eastAsia="Arial" w:hAnsi="Arial"/>
          <w:sz w:val="21"/>
          <w:szCs w:val="21"/>
          <w:color w:val="auto"/>
        </w:rPr>
      </w:pPr>
      <w:r>
        <w:rPr>
          <w:rFonts w:ascii="Arial" w:cs="Arial" w:eastAsia="Arial" w:hAnsi="Arial"/>
          <w:sz w:val="21"/>
          <w:szCs w:val="21"/>
          <w:u w:val="single" w:color="auto"/>
          <w:color w:val="auto"/>
        </w:rPr>
        <w:t>Discretion in and Documentation of Awards.</w:t>
      </w:r>
      <w:r>
        <w:rPr>
          <w:rFonts w:ascii="Arial" w:cs="Arial" w:eastAsia="Arial" w:hAnsi="Arial"/>
          <w:sz w:val="21"/>
          <w:szCs w:val="21"/>
          <w:color w:val="auto"/>
        </w:rPr>
        <w:t xml:space="preserve"> The Committee in granting Awards hereunder shall have discretion to determine the terms and conditions upon which such Awards may vest and become exercisable, subject to and as further described in Section 5 and 6 of the Plan. Each grant of an Award shall be communicated, in the form and manner decided by the Committee, to the person to whom such Award is granted. In addition, the Committee may require that the grant be confirmed by an agreement, and may require that the optionee execute such agreement.</w:t>
      </w:r>
    </w:p>
    <w:p>
      <w:pPr>
        <w:spacing w:after="0" w:line="179" w:lineRule="exact"/>
        <w:rPr>
          <w:rFonts w:ascii="Arial" w:cs="Arial" w:eastAsia="Arial" w:hAnsi="Arial"/>
          <w:sz w:val="21"/>
          <w:szCs w:val="21"/>
          <w:color w:val="auto"/>
        </w:rPr>
      </w:pPr>
    </w:p>
    <w:p>
      <w:pPr>
        <w:ind w:left="1320" w:hanging="874"/>
        <w:spacing w:after="0"/>
        <w:tabs>
          <w:tab w:leader="none" w:pos="1320" w:val="left"/>
        </w:tabs>
        <w:numPr>
          <w:ilvl w:val="1"/>
          <w:numId w:val="103"/>
        </w:numPr>
        <w:rPr>
          <w:rFonts w:ascii="Arial" w:cs="Arial" w:eastAsia="Arial" w:hAnsi="Arial"/>
          <w:sz w:val="21"/>
          <w:szCs w:val="21"/>
          <w:color w:val="auto"/>
        </w:rPr>
      </w:pPr>
      <w:r>
        <w:rPr>
          <w:rFonts w:ascii="Arial" w:cs="Arial" w:eastAsia="Arial" w:hAnsi="Arial"/>
          <w:sz w:val="21"/>
          <w:szCs w:val="21"/>
          <w:u w:val="single" w:color="auto"/>
          <w:color w:val="auto"/>
        </w:rPr>
        <w:t>Form of Awards.</w:t>
      </w:r>
      <w:r>
        <w:rPr>
          <w:rFonts w:ascii="Arial" w:cs="Arial" w:eastAsia="Arial" w:hAnsi="Arial"/>
          <w:sz w:val="21"/>
          <w:szCs w:val="21"/>
          <w:color w:val="auto"/>
        </w:rPr>
        <w:t xml:space="preserve"> Awards may be granted in the following forms:</w:t>
      </w:r>
    </w:p>
    <w:p>
      <w:pPr>
        <w:spacing w:after="0" w:line="209" w:lineRule="exact"/>
        <w:rPr>
          <w:rFonts w:ascii="Arial" w:cs="Arial" w:eastAsia="Arial" w:hAnsi="Arial"/>
          <w:sz w:val="21"/>
          <w:szCs w:val="21"/>
          <w:color w:val="auto"/>
        </w:rPr>
      </w:pPr>
    </w:p>
    <w:p>
      <w:pPr>
        <w:ind w:left="1860" w:hanging="839"/>
        <w:spacing w:after="0"/>
        <w:tabs>
          <w:tab w:leader="none" w:pos="1860" w:val="left"/>
        </w:tabs>
        <w:numPr>
          <w:ilvl w:val="2"/>
          <w:numId w:val="103"/>
        </w:numPr>
        <w:rPr>
          <w:rFonts w:ascii="Arial" w:cs="Arial" w:eastAsia="Arial" w:hAnsi="Arial"/>
          <w:sz w:val="21"/>
          <w:szCs w:val="21"/>
          <w:color w:val="auto"/>
        </w:rPr>
      </w:pPr>
      <w:r>
        <w:rPr>
          <w:rFonts w:ascii="Arial" w:cs="Arial" w:eastAsia="Arial" w:hAnsi="Arial"/>
          <w:sz w:val="21"/>
          <w:szCs w:val="21"/>
          <w:color w:val="auto"/>
        </w:rPr>
        <w:t>a Stock Option, in accordance with Section 5, or</w:t>
      </w:r>
    </w:p>
    <w:p>
      <w:pPr>
        <w:spacing w:after="0" w:line="209" w:lineRule="exact"/>
        <w:rPr>
          <w:rFonts w:ascii="Arial" w:cs="Arial" w:eastAsia="Arial" w:hAnsi="Arial"/>
          <w:sz w:val="21"/>
          <w:szCs w:val="21"/>
          <w:color w:val="auto"/>
        </w:rPr>
      </w:pPr>
    </w:p>
    <w:p>
      <w:pPr>
        <w:ind w:left="1920" w:hanging="899"/>
        <w:spacing w:after="0"/>
        <w:tabs>
          <w:tab w:leader="none" w:pos="1920" w:val="left"/>
        </w:tabs>
        <w:numPr>
          <w:ilvl w:val="2"/>
          <w:numId w:val="103"/>
        </w:numPr>
        <w:rPr>
          <w:rFonts w:ascii="Arial" w:cs="Arial" w:eastAsia="Arial" w:hAnsi="Arial"/>
          <w:sz w:val="21"/>
          <w:szCs w:val="21"/>
          <w:color w:val="auto"/>
        </w:rPr>
      </w:pPr>
      <w:r>
        <w:rPr>
          <w:rFonts w:ascii="Arial" w:cs="Arial" w:eastAsia="Arial" w:hAnsi="Arial"/>
          <w:sz w:val="21"/>
          <w:szCs w:val="21"/>
          <w:color w:val="auto"/>
        </w:rPr>
        <w:t>a Stock Award in accordance with Section 6, or</w:t>
      </w:r>
    </w:p>
    <w:p>
      <w:pPr>
        <w:spacing w:after="0" w:line="209" w:lineRule="exact"/>
        <w:rPr>
          <w:rFonts w:ascii="Arial" w:cs="Arial" w:eastAsia="Arial" w:hAnsi="Arial"/>
          <w:sz w:val="21"/>
          <w:szCs w:val="21"/>
          <w:color w:val="auto"/>
        </w:rPr>
      </w:pPr>
    </w:p>
    <w:p>
      <w:pPr>
        <w:ind w:left="1980" w:hanging="959"/>
        <w:spacing w:after="0"/>
        <w:tabs>
          <w:tab w:leader="none" w:pos="1980" w:val="left"/>
        </w:tabs>
        <w:numPr>
          <w:ilvl w:val="2"/>
          <w:numId w:val="103"/>
        </w:numPr>
        <w:rPr>
          <w:rFonts w:ascii="Arial" w:cs="Arial" w:eastAsia="Arial" w:hAnsi="Arial"/>
          <w:sz w:val="21"/>
          <w:szCs w:val="21"/>
          <w:color w:val="auto"/>
        </w:rPr>
      </w:pPr>
      <w:r>
        <w:rPr>
          <w:rFonts w:ascii="Arial" w:cs="Arial" w:eastAsia="Arial" w:hAnsi="Arial"/>
          <w:sz w:val="21"/>
          <w:szCs w:val="21"/>
          <w:color w:val="auto"/>
        </w:rPr>
        <w:t>a combination of the foregoing.</w:t>
      </w:r>
    </w:p>
    <w:p>
      <w:pPr>
        <w:spacing w:after="0" w:line="209" w:lineRule="exact"/>
        <w:rPr>
          <w:rFonts w:ascii="Arial" w:cs="Arial" w:eastAsia="Arial" w:hAnsi="Arial"/>
          <w:sz w:val="21"/>
          <w:szCs w:val="21"/>
          <w:color w:val="auto"/>
        </w:rPr>
      </w:pPr>
    </w:p>
    <w:p>
      <w:pPr>
        <w:jc w:val="both"/>
        <w:ind w:firstLine="446"/>
        <w:spacing w:after="0" w:line="291" w:lineRule="auto"/>
        <w:tabs>
          <w:tab w:leader="none" w:pos="1324"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Employment for Plan Purposes.</w:t>
      </w:r>
      <w:r>
        <w:rPr>
          <w:rFonts w:ascii="Arial" w:cs="Arial" w:eastAsia="Arial" w:hAnsi="Arial"/>
          <w:sz w:val="19"/>
          <w:szCs w:val="19"/>
          <w:color w:val="auto"/>
        </w:rPr>
        <w:t xml:space="preserve"> For purposes of the Plan, employment with the Company shall include employment with any subsidiary of the Company, and Awards granted under the Plan shall not be affected by an employee’s transfer of employment from the Company to a subsidiary, from a subsidiary to the Company or between subsidiaries of the Company.</w:t>
      </w:r>
    </w:p>
    <w:p>
      <w:pPr>
        <w:spacing w:after="0" w:line="134" w:lineRule="exact"/>
        <w:rPr>
          <w:rFonts w:ascii="Arial" w:cs="Arial" w:eastAsia="Arial" w:hAnsi="Arial"/>
          <w:sz w:val="19"/>
          <w:szCs w:val="19"/>
          <w:color w:val="auto"/>
        </w:rPr>
      </w:pPr>
    </w:p>
    <w:p>
      <w:pPr>
        <w:jc w:val="both"/>
        <w:ind w:firstLine="446"/>
        <w:spacing w:after="0" w:line="257" w:lineRule="auto"/>
        <w:tabs>
          <w:tab w:leader="none" w:pos="1312"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for Stock Options.</w:t>
      </w:r>
      <w:r>
        <w:rPr>
          <w:rFonts w:ascii="Arial" w:cs="Arial" w:eastAsia="Arial" w:hAnsi="Arial"/>
          <w:sz w:val="20"/>
          <w:szCs w:val="20"/>
          <w:color w:val="auto"/>
        </w:rPr>
        <w:t xml:space="preserve"> The purchase price of the shares of Common Stock as to which a Stock Option is exercised shall be paid in full at the time of the exercise subject to such rules, procedures and restrictions as the Committee may prescribe from time to time: (i) in cash or by certified check; (ii) by the delivery of shares of Common Stock; (iii) by authorizing the Company to withhold a number of shares of Common Stock otherwise deliverable on the exercise of the Stock Options, in either case, with a Fair Market Value (as determined according to Section 5(b) hereof) at the time of exercise equal to the total option price; or (iv) by a combination of the methods described in (i), (ii) and (iii).</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27" w:name="page128"/>
    <w:bookmarkEnd w:id="127"/>
    <w:p>
      <w:pPr>
        <w:ind w:left="440" w:hanging="434"/>
        <w:spacing w:after="0"/>
        <w:tabs>
          <w:tab w:leader="none" w:pos="440"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Shares of Common Stock Subject to the Plan</w:t>
      </w:r>
    </w:p>
    <w:p>
      <w:pPr>
        <w:spacing w:after="0" w:line="216"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20"/>
          <w:szCs w:val="20"/>
          <w:color w:val="auto"/>
        </w:rPr>
        <w:t>Subject to adjustment as provided in Section 8 hereof, there shall be subject to the Plan 18,000,000 shares of Common Stock (after giving effect to the stock split). All of the shares of Common Stock authorized for issuance may be issued pursuant to Stock Options. No more than 3,000,000 shares of Common Stock (after to giving effect to the stock split) of the shares authorized shall be available for the Stock Awards. The shares of Common Stock subject to the Plan shall consist of authorized and unissued shares or previously-issued shares reacquired and held by the Company or any subsidiary. Until termination of the Plan, the Company shall at all times make available a sufficient number of shares of Common Stock to meet the requirements of the Plan. After termination of the Plan, the number of shares of Common Stock reserved for purposes of the Plan from time to time shall be only such number of shares of Common Stock as are issuable under then outstanding Awards.</w:t>
      </w:r>
    </w:p>
    <w:p>
      <w:pPr>
        <w:spacing w:after="0" w:line="169"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9"/>
          <w:szCs w:val="19"/>
          <w:color w:val="auto"/>
        </w:rPr>
        <w:t>The number of shares of Common Stock that are the subject of Awards under the Plan that are forfeited or terminated or expire unexercised shall not count against the aggregate plan maximum and shall again immediately become available for grants hereunder. Shares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(“NYSE”) for equity compensation plans applies. The Committee may from time to time adopt and observe such rules and procedures concerning the counting of shares of Common Stock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53" w:lineRule="exact"/>
        <w:rPr>
          <w:sz w:val="20"/>
          <w:szCs w:val="20"/>
          <w:color w:val="auto"/>
        </w:rPr>
      </w:pPr>
    </w:p>
    <w:p>
      <w:pPr>
        <w:ind w:left="440" w:hanging="434"/>
        <w:spacing w:after="0"/>
        <w:tabs>
          <w:tab w:leader="none" w:pos="440"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Terms of Stock Options</w:t>
      </w:r>
    </w:p>
    <w:p>
      <w:pPr>
        <w:spacing w:after="0" w:line="215" w:lineRule="exact"/>
        <w:rPr>
          <w:rFonts w:ascii="Arial" w:cs="Arial" w:eastAsia="Arial" w:hAnsi="Arial"/>
          <w:sz w:val="21"/>
          <w:szCs w:val="21"/>
          <w:b w:val="1"/>
          <w:bCs w:val="1"/>
          <w:color w:val="auto"/>
        </w:rPr>
      </w:pPr>
    </w:p>
    <w:p>
      <w:pPr>
        <w:jc w:val="both"/>
        <w:ind w:firstLine="446"/>
        <w:spacing w:after="0" w:line="268" w:lineRule="auto"/>
        <w:tabs>
          <w:tab w:leader="none" w:pos="1312" w:val="left"/>
        </w:tabs>
        <w:numPr>
          <w:ilvl w:val="1"/>
          <w:numId w:val="105"/>
        </w:numPr>
        <w:rPr>
          <w:rFonts w:ascii="Arial" w:cs="Arial" w:eastAsia="Arial" w:hAnsi="Arial"/>
          <w:sz w:val="19"/>
          <w:szCs w:val="19"/>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ncentive Stock Options.</w:t>
      </w:r>
      <w:r>
        <w:rPr>
          <w:rFonts w:ascii="Arial" w:cs="Arial" w:eastAsia="Arial" w:hAnsi="Arial"/>
          <w:sz w:val="19"/>
          <w:szCs w:val="19"/>
          <w:color w:val="auto"/>
        </w:rPr>
        <w:t xml:space="preserve"> The Committee may designate a Stock Option as an “incentive stock option” for purposes of Section 422 of the Code, and any Stock Option that is not so designated shall not be an incentive stock option. Stock Options granted under this Plan that are designated as “incentive stock options” may be granted with respect to any number of shares of Common Stock, up to the full number of shares of Common Stock subject to the Plan, provided that the aggregate Fair Market Value of such shares of Common Stock (determined in accordance with Section 5(b) below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of Common Stock with respect to which incentive stock options (determined without regard to this subsection) are exercisable for the first time by any employee during any calendar year (under all plans of the employer corporation and its parent and subsidiaries) exceeds $100,000, such options shall be treated as options which are not incentive stock options.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28" w:name="page129"/>
    <w:bookmarkEnd w:id="128"/>
    <w:p>
      <w:pPr>
        <w:jc w:val="both"/>
        <w:ind w:firstLine="446"/>
        <w:spacing w:after="0" w:line="253" w:lineRule="auto"/>
        <w:tabs>
          <w:tab w:leader="none" w:pos="1324"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Purchase Price; Fair Market Value.</w:t>
      </w:r>
      <w:r>
        <w:rPr>
          <w:rFonts w:ascii="Arial" w:cs="Arial" w:eastAsia="Arial" w:hAnsi="Arial"/>
          <w:sz w:val="20"/>
          <w:szCs w:val="20"/>
          <w:color w:val="auto"/>
        </w:rPr>
        <w:t xml:space="preserve"> The purchase price of each share of Common Stock subject to a Stock Option shall be determined by the Committee prior to granting a Stock Option. The Committee shall set the purchase price for each share of Common Stock at either the fair market value (the “Fair Market Value”) of each share of Common Stock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of Common Stock on a particular date shall be deemed to be the mean between the highest and lowest composite sales price per share of the Common Stock in the NYSE Composite Transactions Quotations, as reported for that date, or, if there is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173" w:lineRule="exact"/>
        <w:rPr>
          <w:rFonts w:ascii="Arial" w:cs="Arial" w:eastAsia="Arial" w:hAnsi="Arial"/>
          <w:sz w:val="20"/>
          <w:szCs w:val="20"/>
          <w:color w:val="auto"/>
        </w:rPr>
      </w:pPr>
    </w:p>
    <w:p>
      <w:pPr>
        <w:jc w:val="both"/>
        <w:ind w:firstLine="446"/>
        <w:spacing w:after="0" w:line="242" w:lineRule="auto"/>
        <w:tabs>
          <w:tab w:leader="none" w:pos="1312"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Permitted Restriction on Transfer of Option shares of Common Stock.</w:t>
      </w:r>
      <w:r>
        <w:rPr>
          <w:rFonts w:ascii="Arial" w:cs="Arial" w:eastAsia="Arial" w:hAnsi="Arial"/>
          <w:sz w:val="21"/>
          <w:szCs w:val="21"/>
          <w:color w:val="auto"/>
        </w:rPr>
        <w:t xml:space="preserve"> At the time of the grant of a Stock Option, the Committee may determine that the shares of Common Stock covered by such option shall be restricted as to transferability when and if such shares of Common Stock are delivered upon exercise. If so restricted, such shares of Common Stock shall not be sold, transferred or disposed of in any manner, and such shares of Common Stock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 of Common Stock.</w:t>
      </w:r>
    </w:p>
    <w:p>
      <w:pPr>
        <w:spacing w:after="0" w:line="180" w:lineRule="exact"/>
        <w:rPr>
          <w:rFonts w:ascii="Arial" w:cs="Arial" w:eastAsia="Arial" w:hAnsi="Arial"/>
          <w:sz w:val="21"/>
          <w:szCs w:val="21"/>
          <w:color w:val="auto"/>
        </w:rPr>
      </w:pPr>
    </w:p>
    <w:p>
      <w:pPr>
        <w:ind w:left="1340" w:hanging="894"/>
        <w:spacing w:after="0"/>
        <w:tabs>
          <w:tab w:leader="none" w:pos="1340"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Terms Related to Exercise.</w:t>
      </w:r>
    </w:p>
    <w:p>
      <w:pPr>
        <w:spacing w:after="0" w:line="209" w:lineRule="exact"/>
        <w:rPr>
          <w:rFonts w:ascii="Arial" w:cs="Arial" w:eastAsia="Arial" w:hAnsi="Arial"/>
          <w:sz w:val="21"/>
          <w:szCs w:val="21"/>
          <w:color w:val="auto"/>
        </w:rPr>
      </w:pPr>
    </w:p>
    <w:p>
      <w:pPr>
        <w:jc w:val="both"/>
        <w:ind w:left="440" w:firstLine="428"/>
        <w:spacing w:after="0" w:line="270" w:lineRule="auto"/>
        <w:tabs>
          <w:tab w:leader="none" w:pos="1700" w:val="left"/>
        </w:tabs>
        <w:numPr>
          <w:ilvl w:val="1"/>
          <w:numId w:val="106"/>
        </w:numPr>
        <w:rPr>
          <w:rFonts w:ascii="Arial" w:cs="Arial" w:eastAsia="Arial" w:hAnsi="Arial"/>
          <w:sz w:val="20"/>
          <w:szCs w:val="20"/>
          <w:color w:val="auto"/>
        </w:rPr>
      </w:pPr>
      <w:r>
        <w:rPr>
          <w:rFonts w:ascii="Arial" w:cs="Arial" w:eastAsia="Arial" w:hAnsi="Arial"/>
          <w:sz w:val="20"/>
          <w:szCs w:val="20"/>
          <w:i w:val="1"/>
          <w:iCs w:val="1"/>
          <w:color w:val="auto"/>
        </w:rPr>
        <w:t xml:space="preserve">Exercise Schedule. </w:t>
      </w:r>
      <w:r>
        <w:rPr>
          <w:rFonts w:ascii="Arial" w:cs="Arial" w:eastAsia="Arial" w:hAnsi="Arial"/>
          <w:sz w:val="20"/>
          <w:szCs w:val="20"/>
          <w:color w:val="auto"/>
        </w:rPr>
        <w:t>Subject to the requirements of paragraphs (A) and (B) below, each Stock Option granted</w:t>
      </w:r>
      <w:r>
        <w:rPr>
          <w:rFonts w:ascii="Arial" w:cs="Arial" w:eastAsia="Arial" w:hAnsi="Arial"/>
          <w:sz w:val="20"/>
          <w:szCs w:val="20"/>
          <w:i w:val="1"/>
          <w:iCs w:val="1"/>
          <w:color w:val="auto"/>
        </w:rPr>
        <w:t xml:space="preserve"> </w:t>
      </w:r>
      <w:r>
        <w:rPr>
          <w:rFonts w:ascii="Arial" w:cs="Arial" w:eastAsia="Arial" w:hAnsi="Arial"/>
          <w:sz w:val="20"/>
          <w:szCs w:val="20"/>
          <w:color w:val="auto"/>
        </w:rPr>
        <w:t>hereunder shall be exercisable in one or more installments (annual or other) on such date or dates as the Committee may in its sole discretion determine and communicate to the optionee in communicating the grant of the option.</w:t>
      </w:r>
    </w:p>
    <w:p>
      <w:pPr>
        <w:spacing w:after="0" w:line="153" w:lineRule="exact"/>
        <w:rPr>
          <w:rFonts w:ascii="Arial" w:cs="Arial" w:eastAsia="Arial" w:hAnsi="Arial"/>
          <w:sz w:val="20"/>
          <w:szCs w:val="20"/>
          <w:color w:val="auto"/>
        </w:rPr>
      </w:pPr>
    </w:p>
    <w:p>
      <w:pPr>
        <w:jc w:val="both"/>
        <w:ind w:left="1480" w:hanging="598"/>
        <w:spacing w:after="0" w:line="252" w:lineRule="auto"/>
        <w:tabs>
          <w:tab w:leader="none" w:pos="1480" w:val="left"/>
        </w:tabs>
        <w:numPr>
          <w:ilvl w:val="2"/>
          <w:numId w:val="106"/>
        </w:numPr>
        <w:rPr>
          <w:rFonts w:ascii="Arial" w:cs="Arial" w:eastAsia="Arial" w:hAnsi="Arial"/>
          <w:sz w:val="21"/>
          <w:szCs w:val="21"/>
          <w:color w:val="auto"/>
        </w:rPr>
      </w:pPr>
      <w:r>
        <w:rPr>
          <w:rFonts w:ascii="Arial" w:cs="Arial" w:eastAsia="Arial" w:hAnsi="Arial"/>
          <w:sz w:val="21"/>
          <w:szCs w:val="21"/>
          <w:color w:val="auto"/>
        </w:rPr>
        <w:t>No Stock Option may be exercised after the expiration of ten (10) years from the date such option is granted (the maximum term established by the Committee with respect to a particular Stock Option is hereinafter referred to as the “Option Period”).</w:t>
      </w:r>
    </w:p>
    <w:p>
      <w:pPr>
        <w:spacing w:after="0" w:line="168" w:lineRule="exact"/>
        <w:rPr>
          <w:rFonts w:ascii="Arial" w:cs="Arial" w:eastAsia="Arial" w:hAnsi="Arial"/>
          <w:sz w:val="21"/>
          <w:szCs w:val="21"/>
          <w:color w:val="auto"/>
        </w:rPr>
      </w:pPr>
    </w:p>
    <w:p>
      <w:pPr>
        <w:jc w:val="both"/>
        <w:ind w:left="1480" w:hanging="598"/>
        <w:spacing w:after="0" w:line="244" w:lineRule="auto"/>
        <w:tabs>
          <w:tab w:leader="none" w:pos="1480" w:val="left"/>
        </w:tabs>
        <w:numPr>
          <w:ilvl w:val="2"/>
          <w:numId w:val="106"/>
        </w:numPr>
        <w:rPr>
          <w:rFonts w:ascii="Arial" w:cs="Arial" w:eastAsia="Arial" w:hAnsi="Arial"/>
          <w:sz w:val="21"/>
          <w:szCs w:val="21"/>
          <w:color w:val="auto"/>
        </w:rPr>
      </w:pPr>
      <w:r>
        <w:rPr>
          <w:rFonts w:ascii="Arial" w:cs="Arial" w:eastAsia="Arial" w:hAnsi="Arial"/>
          <w:sz w:val="21"/>
          <w:szCs w:val="21"/>
          <w:color w:val="auto"/>
        </w:rPr>
        <w:t>Except in the case of death or disability (as described in Section 5(d)(iv)(B) or 5(d)(v)(B)),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For the avoidance of doubt, in no event shall the provisions of this Section 5(d)(i) apply to any Stock Option held by an optionee whose employment terminated due to death or disability prior to January 17, 2008.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29" w:name="page130"/>
    <w:bookmarkEnd w:id="129"/>
    <w:p>
      <w:pPr>
        <w:jc w:val="both"/>
        <w:ind w:firstLine="428"/>
        <w:spacing w:after="0" w:line="252" w:lineRule="auto"/>
        <w:tabs>
          <w:tab w:leader="none" w:pos="1319" w:val="left"/>
        </w:tabs>
        <w:numPr>
          <w:ilvl w:val="0"/>
          <w:numId w:val="107"/>
        </w:numPr>
        <w:rPr>
          <w:rFonts w:ascii="Arial" w:cs="Arial" w:eastAsia="Arial" w:hAnsi="Arial"/>
          <w:sz w:val="21"/>
          <w:szCs w:val="21"/>
          <w:color w:val="auto"/>
        </w:rPr>
      </w:pPr>
      <w:r>
        <w:rPr>
          <w:rFonts w:ascii="Arial" w:cs="Arial" w:eastAsia="Arial" w:hAnsi="Arial"/>
          <w:sz w:val="21"/>
          <w:szCs w:val="21"/>
          <w:i w:val="1"/>
          <w:iCs w:val="1"/>
          <w:color w:val="auto"/>
        </w:rPr>
        <w:t xml:space="preserve">Cumulative Exercise Rights. </w:t>
      </w:r>
      <w:r>
        <w:rPr>
          <w:rFonts w:ascii="Arial" w:cs="Arial" w:eastAsia="Arial" w:hAnsi="Arial"/>
          <w:sz w:val="21"/>
          <w:szCs w:val="21"/>
          <w:color w:val="auto"/>
        </w:rPr>
        <w:t>The right to purchase shares of Common Stock shall be cumulative so that when the</w:t>
      </w:r>
      <w:r>
        <w:rPr>
          <w:rFonts w:ascii="Arial" w:cs="Arial" w:eastAsia="Arial" w:hAnsi="Arial"/>
          <w:sz w:val="21"/>
          <w:szCs w:val="21"/>
          <w:i w:val="1"/>
          <w:iCs w:val="1"/>
          <w:color w:val="auto"/>
        </w:rPr>
        <w:t xml:space="preserve"> </w:t>
      </w:r>
      <w:r>
        <w:rPr>
          <w:rFonts w:ascii="Arial" w:cs="Arial" w:eastAsia="Arial" w:hAnsi="Arial"/>
          <w:sz w:val="21"/>
          <w:szCs w:val="21"/>
          <w:color w:val="auto"/>
        </w:rPr>
        <w:t>right to purchase any shares of Common Stock has accrued, such shares of Common Stock or any part thereof may be purchased at any time thereafter until the expiration or termination of the Stock Option.</w:t>
      </w:r>
    </w:p>
    <w:p>
      <w:pPr>
        <w:spacing w:after="0" w:line="168" w:lineRule="exact"/>
        <w:rPr>
          <w:rFonts w:ascii="Arial" w:cs="Arial" w:eastAsia="Arial" w:hAnsi="Arial"/>
          <w:sz w:val="21"/>
          <w:szCs w:val="21"/>
          <w:color w:val="auto"/>
        </w:rPr>
      </w:pPr>
    </w:p>
    <w:p>
      <w:pPr>
        <w:ind w:left="1380" w:hanging="952"/>
        <w:spacing w:after="0"/>
        <w:tabs>
          <w:tab w:leader="none" w:pos="1380" w:val="left"/>
        </w:tabs>
        <w:numPr>
          <w:ilvl w:val="0"/>
          <w:numId w:val="107"/>
        </w:numPr>
        <w:rPr>
          <w:rFonts w:ascii="Arial" w:cs="Arial" w:eastAsia="Arial" w:hAnsi="Arial"/>
          <w:sz w:val="21"/>
          <w:szCs w:val="21"/>
          <w:color w:val="auto"/>
        </w:rPr>
      </w:pPr>
      <w:r>
        <w:rPr>
          <w:rFonts w:ascii="Arial" w:cs="Arial" w:eastAsia="Arial" w:hAnsi="Arial"/>
          <w:sz w:val="21"/>
          <w:szCs w:val="21"/>
          <w:i w:val="1"/>
          <w:iCs w:val="1"/>
          <w:color w:val="auto"/>
        </w:rPr>
        <w:t xml:space="preserve">Reload. </w:t>
      </w:r>
      <w:r>
        <w:rPr>
          <w:rFonts w:ascii="Arial" w:cs="Arial" w:eastAsia="Arial" w:hAnsi="Arial"/>
          <w:sz w:val="21"/>
          <w:szCs w:val="21"/>
          <w:color w:val="auto"/>
        </w:rPr>
        <w:t>No Stock Option may include provisions that “reload” the option upon exercise.</w:t>
      </w:r>
    </w:p>
    <w:p>
      <w:pPr>
        <w:spacing w:after="0" w:line="209" w:lineRule="exact"/>
        <w:rPr>
          <w:rFonts w:ascii="Arial" w:cs="Arial" w:eastAsia="Arial" w:hAnsi="Arial"/>
          <w:sz w:val="21"/>
          <w:szCs w:val="21"/>
          <w:color w:val="auto"/>
        </w:rPr>
      </w:pPr>
    </w:p>
    <w:p>
      <w:pPr>
        <w:ind w:left="1380" w:hanging="952"/>
        <w:spacing w:after="0"/>
        <w:tabs>
          <w:tab w:leader="none" w:pos="1380" w:val="left"/>
        </w:tabs>
        <w:numPr>
          <w:ilvl w:val="0"/>
          <w:numId w:val="107"/>
        </w:numPr>
        <w:rPr>
          <w:rFonts w:ascii="Arial" w:cs="Arial" w:eastAsia="Arial" w:hAnsi="Arial"/>
          <w:sz w:val="21"/>
          <w:szCs w:val="21"/>
          <w:color w:val="auto"/>
        </w:rPr>
      </w:pPr>
      <w:r>
        <w:rPr>
          <w:rFonts w:ascii="Arial" w:cs="Arial" w:eastAsia="Arial" w:hAnsi="Arial"/>
          <w:sz w:val="21"/>
          <w:szCs w:val="21"/>
          <w:i w:val="1"/>
          <w:iCs w:val="1"/>
          <w:color w:val="auto"/>
        </w:rPr>
        <w:t>Termination of Employment and Subsequent Events.</w:t>
      </w:r>
    </w:p>
    <w:p>
      <w:pPr>
        <w:spacing w:after="0" w:line="209" w:lineRule="exact"/>
        <w:rPr>
          <w:rFonts w:ascii="Arial" w:cs="Arial" w:eastAsia="Arial" w:hAnsi="Arial"/>
          <w:sz w:val="21"/>
          <w:szCs w:val="21"/>
          <w:color w:val="auto"/>
        </w:rPr>
      </w:pPr>
    </w:p>
    <w:p>
      <w:pPr>
        <w:jc w:val="both"/>
        <w:ind w:left="440" w:firstLine="410"/>
        <w:spacing w:after="0" w:line="244" w:lineRule="auto"/>
        <w:tabs>
          <w:tab w:leader="none" w:pos="1777" w:val="left"/>
        </w:tabs>
        <w:numPr>
          <w:ilvl w:val="1"/>
          <w:numId w:val="107"/>
        </w:numPr>
        <w:rPr>
          <w:rFonts w:ascii="Arial" w:cs="Arial" w:eastAsia="Arial" w:hAnsi="Arial"/>
          <w:sz w:val="21"/>
          <w:szCs w:val="21"/>
          <w:color w:val="auto"/>
        </w:rPr>
      </w:pPr>
      <w:r>
        <w:rPr>
          <w:rFonts w:ascii="Arial" w:cs="Arial" w:eastAsia="Arial" w:hAnsi="Arial"/>
          <w:sz w:val="21"/>
          <w:szCs w:val="21"/>
          <w:color w:val="auto"/>
        </w:rPr>
        <w:t>If the optionee’s employment with the Company or any subsidiary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179" w:lineRule="exact"/>
        <w:rPr>
          <w:rFonts w:ascii="Arial" w:cs="Arial" w:eastAsia="Arial" w:hAnsi="Arial"/>
          <w:sz w:val="21"/>
          <w:szCs w:val="21"/>
          <w:color w:val="auto"/>
        </w:rPr>
      </w:pPr>
    </w:p>
    <w:p>
      <w:pPr>
        <w:jc w:val="both"/>
        <w:ind w:left="440" w:firstLine="410"/>
        <w:spacing w:after="0" w:line="244" w:lineRule="auto"/>
        <w:tabs>
          <w:tab w:leader="none" w:pos="1766" w:val="left"/>
        </w:tabs>
        <w:numPr>
          <w:ilvl w:val="1"/>
          <w:numId w:val="107"/>
        </w:numPr>
        <w:rPr>
          <w:rFonts w:ascii="Arial" w:cs="Arial" w:eastAsia="Arial" w:hAnsi="Arial"/>
          <w:sz w:val="21"/>
          <w:szCs w:val="21"/>
          <w:color w:val="auto"/>
        </w:rPr>
      </w:pPr>
      <w:r>
        <w:rPr>
          <w:rFonts w:ascii="Arial" w:cs="Arial" w:eastAsia="Arial" w:hAnsi="Arial"/>
          <w:sz w:val="21"/>
          <w:szCs w:val="21"/>
          <w:color w:val="auto"/>
        </w:rPr>
        <w:t>In the event an optionee dies while in the employ of the Company or any subsidiary,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179" w:lineRule="exact"/>
        <w:rPr>
          <w:rFonts w:ascii="Arial" w:cs="Arial" w:eastAsia="Arial" w:hAnsi="Arial"/>
          <w:sz w:val="21"/>
          <w:szCs w:val="21"/>
          <w:color w:val="auto"/>
        </w:rPr>
      </w:pPr>
    </w:p>
    <w:p>
      <w:pPr>
        <w:jc w:val="both"/>
        <w:ind w:left="440" w:firstLine="410"/>
        <w:spacing w:after="0" w:line="257" w:lineRule="auto"/>
        <w:tabs>
          <w:tab w:leader="none" w:pos="1766" w:val="left"/>
        </w:tabs>
        <w:numPr>
          <w:ilvl w:val="1"/>
          <w:numId w:val="107"/>
        </w:numPr>
        <w:rPr>
          <w:rFonts w:ascii="Arial" w:cs="Arial" w:eastAsia="Arial" w:hAnsi="Arial"/>
          <w:sz w:val="20"/>
          <w:szCs w:val="20"/>
          <w:color w:val="auto"/>
        </w:rPr>
      </w:pPr>
      <w:r>
        <w:rPr>
          <w:rFonts w:ascii="Arial" w:cs="Arial" w:eastAsia="Arial" w:hAnsi="Arial"/>
          <w:sz w:val="20"/>
          <w:szCs w:val="20"/>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5(d)(iv) (C), the Post-Death Exercise Period shall commence on the date of the optionee’s termination of employment and shall end sixty (60) months thereafter or the remainder of the Option Period whichever is less.</w:t>
      </w:r>
    </w:p>
    <w:p>
      <w:pPr>
        <w:spacing w:after="0" w:line="168" w:lineRule="exact"/>
        <w:rPr>
          <w:rFonts w:ascii="Arial" w:cs="Arial" w:eastAsia="Arial" w:hAnsi="Arial"/>
          <w:sz w:val="20"/>
          <w:szCs w:val="20"/>
          <w:color w:val="auto"/>
        </w:rPr>
      </w:pPr>
    </w:p>
    <w:p>
      <w:pPr>
        <w:jc w:val="both"/>
        <w:ind w:left="440" w:firstLine="410"/>
        <w:spacing w:after="0" w:line="244" w:lineRule="auto"/>
        <w:tabs>
          <w:tab w:leader="none" w:pos="1777" w:val="left"/>
        </w:tabs>
        <w:numPr>
          <w:ilvl w:val="1"/>
          <w:numId w:val="107"/>
        </w:numPr>
        <w:rPr>
          <w:rFonts w:ascii="Arial" w:cs="Arial" w:eastAsia="Arial" w:hAnsi="Arial"/>
          <w:sz w:val="21"/>
          <w:szCs w:val="21"/>
          <w:color w:val="auto"/>
        </w:rPr>
      </w:pPr>
      <w:r>
        <w:rPr>
          <w:rFonts w:ascii="Arial" w:cs="Arial" w:eastAsia="Arial" w:hAnsi="Arial"/>
          <w:sz w:val="21"/>
          <w:szCs w:val="21"/>
          <w:color w:val="auto"/>
        </w:rPr>
        <w:t>If the optionee’s employment with the Company or any subsidiary is terminated without the consent of the Company for any reason other than the death of the optionee, or if the optionee’s employment with the Company or any subsidiary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79" w:lineRule="exact"/>
        <w:rPr>
          <w:rFonts w:ascii="Arial" w:cs="Arial" w:eastAsia="Arial" w:hAnsi="Arial"/>
          <w:sz w:val="21"/>
          <w:szCs w:val="21"/>
          <w:color w:val="auto"/>
        </w:rPr>
      </w:pPr>
    </w:p>
    <w:p>
      <w:pPr>
        <w:jc w:val="both"/>
        <w:ind w:left="440" w:firstLine="410"/>
        <w:spacing w:after="0" w:line="244" w:lineRule="auto"/>
        <w:tabs>
          <w:tab w:leader="none" w:pos="1754" w:val="left"/>
        </w:tabs>
        <w:numPr>
          <w:ilvl w:val="1"/>
          <w:numId w:val="107"/>
        </w:numPr>
        <w:rPr>
          <w:rFonts w:ascii="Arial" w:cs="Arial" w:eastAsia="Arial" w:hAnsi="Arial"/>
          <w:sz w:val="21"/>
          <w:szCs w:val="21"/>
          <w:color w:val="auto"/>
        </w:rPr>
      </w:pPr>
      <w:r>
        <w:rPr>
          <w:rFonts w:ascii="Arial" w:cs="Arial" w:eastAsia="Arial" w:hAnsi="Arial"/>
          <w:sz w:val="21"/>
          <w:szCs w:val="21"/>
          <w:color w:val="auto"/>
        </w:rPr>
        <w:t>Notwithstanding the foregoing, if the optionee engages in “detrimental activity” (as defined below in this subclause)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w:t>
      </w:r>
    </w:p>
    <w:p>
      <w:pPr>
        <w:spacing w:after="0" w:line="180" w:lineRule="exact"/>
        <w:rPr>
          <w:sz w:val="20"/>
          <w:szCs w:val="20"/>
          <w:color w:val="auto"/>
        </w:rPr>
      </w:pPr>
    </w:p>
    <w:p>
      <w:pPr>
        <w:jc w:val="center"/>
        <w:ind w:right="44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66675</wp:posOffset>
            </wp:positionV>
            <wp:extent cx="729107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980"/>
          </w:cols>
          <w:pgMar w:left="680" w:top="556" w:right="239" w:bottom="1440" w:gutter="0" w:footer="0" w:header="0"/>
        </w:sectPr>
      </w:pPr>
    </w:p>
    <w:bookmarkStart w:id="130" w:name="page131"/>
    <w:bookmarkEnd w:id="130"/>
    <w:p>
      <w:pPr>
        <w:jc w:val="both"/>
        <w:spacing w:after="0" w:line="266" w:lineRule="auto"/>
        <w:rPr>
          <w:sz w:val="20"/>
          <w:szCs w:val="20"/>
          <w:color w:val="auto"/>
        </w:rPr>
      </w:pPr>
      <w:r>
        <w:rPr>
          <w:rFonts w:ascii="Arial" w:cs="Arial" w:eastAsia="Arial" w:hAnsi="Arial"/>
          <w:sz w:val="19"/>
          <w:szCs w:val="19"/>
          <w:color w:val="auto"/>
        </w:rPr>
        <w:t>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the Committee, in its discretion, may rescind any option exercise made within the period commencing six months preceding the date of the optionee’s termination of employment and ending three months following such termination. For purposes of the Plan,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or its subsidiaries. For the avoidance of doubt, in no event shall the provisions of this Section 5(d)(iv) apply to any Stock Option held by an optionee whose employment terminated due to death or disability prior to January 17, 2008.</w:t>
      </w:r>
    </w:p>
    <w:p>
      <w:pPr>
        <w:spacing w:after="0" w:line="161" w:lineRule="exact"/>
        <w:rPr>
          <w:sz w:val="20"/>
          <w:szCs w:val="20"/>
          <w:color w:val="auto"/>
        </w:rPr>
      </w:pPr>
    </w:p>
    <w:p>
      <w:pPr>
        <w:ind w:left="880" w:hanging="876"/>
        <w:spacing w:after="0"/>
        <w:tabs>
          <w:tab w:leader="none" w:pos="880" w:val="left"/>
        </w:tabs>
        <w:numPr>
          <w:ilvl w:val="0"/>
          <w:numId w:val="108"/>
        </w:numPr>
        <w:rPr>
          <w:rFonts w:ascii="Arial" w:cs="Arial" w:eastAsia="Arial" w:hAnsi="Arial"/>
          <w:sz w:val="21"/>
          <w:szCs w:val="21"/>
          <w:color w:val="auto"/>
        </w:rPr>
      </w:pPr>
      <w:r>
        <w:rPr>
          <w:rFonts w:ascii="Arial" w:cs="Arial" w:eastAsia="Arial" w:hAnsi="Arial"/>
          <w:sz w:val="21"/>
          <w:szCs w:val="21"/>
          <w:i w:val="1"/>
          <w:iCs w:val="1"/>
          <w:color w:val="auto"/>
        </w:rPr>
        <w:t>Retirement, Disability and Subsequent Events.</w:t>
      </w:r>
    </w:p>
    <w:p>
      <w:pPr>
        <w:spacing w:after="0" w:line="209" w:lineRule="exact"/>
        <w:rPr>
          <w:rFonts w:ascii="Arial" w:cs="Arial" w:eastAsia="Arial" w:hAnsi="Arial"/>
          <w:sz w:val="21"/>
          <w:szCs w:val="21"/>
          <w:color w:val="auto"/>
        </w:rPr>
      </w:pPr>
    </w:p>
    <w:p>
      <w:pPr>
        <w:jc w:val="both"/>
        <w:ind w:firstLine="410"/>
        <w:spacing w:after="0" w:line="242" w:lineRule="auto"/>
        <w:tabs>
          <w:tab w:leader="none" w:pos="1337" w:val="left"/>
        </w:tabs>
        <w:numPr>
          <w:ilvl w:val="1"/>
          <w:numId w:val="108"/>
        </w:numPr>
        <w:rPr>
          <w:rFonts w:ascii="Arial" w:cs="Arial" w:eastAsia="Arial" w:hAnsi="Arial"/>
          <w:sz w:val="21"/>
          <w:szCs w:val="21"/>
          <w:color w:val="auto"/>
        </w:rPr>
      </w:pPr>
      <w:r>
        <w:rPr>
          <w:rFonts w:ascii="Arial" w:cs="Arial" w:eastAsia="Arial" w:hAnsi="Arial"/>
          <w:sz w:val="21"/>
          <w:szCs w:val="21"/>
          <w:color w:val="auto"/>
        </w:rPr>
        <w:t>If the optionee’s employment with the Company or any subsidiary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180" w:lineRule="exact"/>
        <w:rPr>
          <w:rFonts w:ascii="Arial" w:cs="Arial" w:eastAsia="Arial" w:hAnsi="Arial"/>
          <w:sz w:val="21"/>
          <w:szCs w:val="21"/>
          <w:color w:val="auto"/>
        </w:rPr>
      </w:pPr>
    </w:p>
    <w:p>
      <w:pPr>
        <w:jc w:val="both"/>
        <w:ind w:firstLine="410"/>
        <w:spacing w:after="0" w:line="254" w:lineRule="auto"/>
        <w:tabs>
          <w:tab w:leader="none" w:pos="1326" w:val="left"/>
        </w:tabs>
        <w:numPr>
          <w:ilvl w:val="1"/>
          <w:numId w:val="108"/>
        </w:numPr>
        <w:rPr>
          <w:rFonts w:ascii="Arial" w:cs="Arial" w:eastAsia="Arial" w:hAnsi="Arial"/>
          <w:sz w:val="20"/>
          <w:szCs w:val="20"/>
          <w:color w:val="auto"/>
        </w:rPr>
      </w:pPr>
      <w:r>
        <w:rPr>
          <w:rFonts w:ascii="Arial" w:cs="Arial" w:eastAsia="Arial" w:hAnsi="Arial"/>
          <w:sz w:val="20"/>
          <w:szCs w:val="20"/>
          <w:color w:val="auto"/>
        </w:rPr>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 period of sixty (60) months after such termination or the remainder of the Option Period, whichever is less (the “Disability Exercise Period”). For purposes of the Plan, “disability” means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172"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66675</wp:posOffset>
            </wp:positionV>
            <wp:extent cx="729107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540"/>
          </w:cols>
          <w:pgMar w:left="1120" w:top="556" w:right="239" w:bottom="1440" w:gutter="0" w:footer="0" w:header="0"/>
        </w:sectPr>
      </w:pPr>
    </w:p>
    <w:bookmarkStart w:id="131" w:name="page132"/>
    <w:bookmarkEnd w:id="131"/>
    <w:p>
      <w:pPr>
        <w:jc w:val="both"/>
        <w:ind w:left="880" w:firstLine="410"/>
        <w:spacing w:after="0" w:line="263" w:lineRule="auto"/>
        <w:tabs>
          <w:tab w:leader="none" w:pos="2206"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160" w:lineRule="exact"/>
        <w:rPr>
          <w:rFonts w:ascii="Arial" w:cs="Arial" w:eastAsia="Arial" w:hAnsi="Arial"/>
          <w:sz w:val="20"/>
          <w:szCs w:val="20"/>
          <w:color w:val="auto"/>
        </w:rPr>
      </w:pPr>
    </w:p>
    <w:p>
      <w:pPr>
        <w:jc w:val="both"/>
        <w:ind w:left="880" w:firstLine="410"/>
        <w:spacing w:after="0"/>
        <w:tabs>
          <w:tab w:leader="none" w:pos="2217" w:val="left"/>
        </w:tabs>
        <w:numPr>
          <w:ilvl w:val="0"/>
          <w:numId w:val="109"/>
        </w:numPr>
        <w:rPr>
          <w:rFonts w:ascii="Arial" w:cs="Arial" w:eastAsia="Arial" w:hAnsi="Arial"/>
          <w:sz w:val="21"/>
          <w:szCs w:val="21"/>
          <w:color w:val="auto"/>
        </w:rPr>
      </w:pPr>
      <w:r>
        <w:rPr>
          <w:rFonts w:ascii="Arial" w:cs="Arial" w:eastAsia="Arial" w:hAnsi="Arial"/>
          <w:sz w:val="21"/>
          <w:szCs w:val="21"/>
          <w:color w:val="auto"/>
        </w:rPr>
        <w:t>Notwithstanding the foregoing, if the optionee engages in “detrimental activity” (as defined in Section 5(d) (iv)(E))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or disability and ending one year following such termination.</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For the avoidance of doubt, in no event shall the provisions of this Section 5(d)(v) apply to any Stock Option held by an optionee whose employment terminated due to death or disability prior to January 17, 2008.</w:t>
      </w:r>
    </w:p>
    <w:p>
      <w:pPr>
        <w:spacing w:after="0" w:line="147" w:lineRule="exact"/>
        <w:rPr>
          <w:sz w:val="20"/>
          <w:szCs w:val="20"/>
          <w:color w:val="auto"/>
        </w:rPr>
      </w:pPr>
    </w:p>
    <w:p>
      <w:pPr>
        <w:ind w:left="440" w:hanging="434"/>
        <w:spacing w:after="0"/>
        <w:tabs>
          <w:tab w:leader="none" w:pos="440"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Stock Awards</w:t>
      </w:r>
    </w:p>
    <w:p>
      <w:pPr>
        <w:spacing w:after="0" w:line="216" w:lineRule="exact"/>
        <w:rPr>
          <w:sz w:val="20"/>
          <w:szCs w:val="20"/>
          <w:color w:val="auto"/>
        </w:rPr>
      </w:pPr>
    </w:p>
    <w:p>
      <w:pPr>
        <w:jc w:val="both"/>
        <w:ind w:firstLine="439"/>
        <w:spacing w:after="0" w:line="243" w:lineRule="auto"/>
        <w:rPr>
          <w:sz w:val="20"/>
          <w:szCs w:val="20"/>
          <w:color w:val="auto"/>
        </w:rPr>
      </w:pPr>
      <w:r>
        <w:rPr>
          <w:rFonts w:ascii="Arial" w:cs="Arial" w:eastAsia="Arial" w:hAnsi="Arial"/>
          <w:sz w:val="21"/>
          <w:szCs w:val="21"/>
          <w:color w:val="auto"/>
        </w:rPr>
        <w:t>An Award may be in the form of a Stock Award. The terms, conditions and limitations applicable to any Stock Awards granted pursuant to the Plan shall be determined by the Committee, subject to the limitations provided herein. Each Stock Award shall be subject to a vesting schedule, restriction period or holding period, or any combination thereof, totaling at least three years from the date of the Stock Award (the vesting, lapse, or termination of which may be no more rapid in combination than pro rata over three years), provided that the Committee may provide for earlier vesting, lapse of restriction or end of holding period upon a termination of employment by reason of death or disability.</w:t>
      </w:r>
    </w:p>
    <w:p>
      <w:pPr>
        <w:spacing w:after="0" w:line="179"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21"/>
          <w:szCs w:val="21"/>
          <w:color w:val="auto"/>
        </w:rPr>
        <w:t>Any Stock Award granted to a person who is an executive officer of the Company at the time of grant shall be performance-based and not eligible for vesting based solely on the passage of time.</w:t>
      </w:r>
    </w:p>
    <w:p>
      <w:pPr>
        <w:spacing w:after="0" w:line="153" w:lineRule="exact"/>
        <w:rPr>
          <w:sz w:val="20"/>
          <w:szCs w:val="20"/>
          <w:color w:val="auto"/>
        </w:rPr>
      </w:pPr>
    </w:p>
    <w:p>
      <w:pPr>
        <w:jc w:val="both"/>
        <w:ind w:firstLine="439"/>
        <w:spacing w:after="0" w:line="244" w:lineRule="auto"/>
        <w:rPr>
          <w:sz w:val="20"/>
          <w:szCs w:val="20"/>
          <w:color w:val="auto"/>
        </w:rPr>
      </w:pPr>
      <w:r>
        <w:rPr>
          <w:rFonts w:ascii="Arial" w:cs="Arial" w:eastAsia="Arial" w:hAnsi="Arial"/>
          <w:sz w:val="21"/>
          <w:szCs w:val="21"/>
          <w:color w:val="auto"/>
        </w:rPr>
        <w:t>Without limiting the type or number of Stock Awards that may be made under the other provisions of the Plan, a Stock Award may be in the form of a performance award. The terms, conditions and limitations applicable to any performance awards granted to participants pursuant to the Plan shall be determined by the Committee, subject to the limitations set forth below. The Committee shall set performance goals in its discretion which, depending on the extent to which they are met, will determine the amount of performance awards that will be paid out to the participant.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32" w:name="page133"/>
    <w:bookmarkEnd w:id="132"/>
    <w:p>
      <w:pPr>
        <w:jc w:val="both"/>
        <w:ind w:firstLine="446"/>
        <w:spacing w:after="0" w:line="252" w:lineRule="auto"/>
        <w:tabs>
          <w:tab w:leader="none" w:pos="1312"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Nonqualified Performance Awards.</w:t>
      </w:r>
      <w:r>
        <w:rPr>
          <w:rFonts w:ascii="Arial" w:cs="Arial" w:eastAsia="Arial" w:hAnsi="Arial"/>
          <w:sz w:val="21"/>
          <w:szCs w:val="21"/>
          <w:color w:val="auto"/>
        </w:rPr>
        <w:t xml:space="preserve"> Performance Awards granted to participants that are not intended to qualify as qualified performance-based compensation under Section 162(m) of the Code shall be based on achievement of such goals and be subject to such terms, conditions, and restrictions as the Committee or its delegate shall determine.</w:t>
      </w:r>
    </w:p>
    <w:p>
      <w:pPr>
        <w:spacing w:after="0" w:line="168" w:lineRule="exact"/>
        <w:rPr>
          <w:rFonts w:ascii="Arial" w:cs="Arial" w:eastAsia="Arial" w:hAnsi="Arial"/>
          <w:sz w:val="21"/>
          <w:szCs w:val="21"/>
          <w:color w:val="auto"/>
        </w:rPr>
      </w:pPr>
    </w:p>
    <w:p>
      <w:pPr>
        <w:jc w:val="both"/>
        <w:ind w:firstLine="446"/>
        <w:spacing w:after="0" w:line="251" w:lineRule="auto"/>
        <w:tabs>
          <w:tab w:leader="none" w:pos="1324"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Qualified Performance Awards.</w:t>
      </w:r>
      <w:r>
        <w:rPr>
          <w:rFonts w:ascii="Arial" w:cs="Arial" w:eastAsia="Arial" w:hAnsi="Arial"/>
          <w:sz w:val="20"/>
          <w:szCs w:val="20"/>
          <w:color w:val="auto"/>
        </w:rPr>
        <w:t xml:space="preserve"> Performance Awards granted to participants under the Plan that are intended to qualify as qualified performance based compensation under Section 162(m) of the Code shall be paid, vested, or otherwise deliverable solely on account of the attainment of one or more pre-established, objective performance goals established by the Committee prior to the earlier to occur of (i) 90 days after the commencement of the period of service to which the performance goal relates and (ii)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participant, one or more business units, divisions or sectors of the Company, or the Company as a whole, and if so desired by the Committee, by comparison with a peer group of companies. A performance goal may include one or more of the following: Revenue measures; Net income measures (including but not limited to income after capital costs and income before or after taxes); Stock price measures (including but not limited to growth measures and total shareholder return); Market share; Earnings per share (actual or targeted growth); Earnings before interest, taxes, depreciation, amortization and charges and credits; Economic value added (“EVA</w:t>
      </w:r>
      <w:r>
        <w:rPr>
          <w:rFonts w:ascii="Arial" w:cs="Arial" w:eastAsia="Arial" w:hAnsi="Arial"/>
          <w:sz w:val="17"/>
          <w:szCs w:val="17"/>
          <w:color w:val="auto"/>
        </w:rPr>
        <w:t>®</w:t>
      </w:r>
      <w:r>
        <w:rPr>
          <w:rFonts w:ascii="Arial" w:cs="Arial" w:eastAsia="Arial" w:hAnsi="Arial"/>
          <w:sz w:val="20"/>
          <w:szCs w:val="20"/>
          <w:color w:val="auto"/>
        </w:rPr>
        <w:t>”); Cash flow measures (including but not limited to net cash flow and net cash flow before financing activities); Return measures (including but not limited to return on equity, return on average assets, return on capital, risk-adjusted return on capital, return on investors’ capital and return on average equity); Operating measures (including operating income, funds from operations, cash from operations, after-tax operating income and sales volumes); Expense measures (including but not limited to overhead cost and general and administrative expense); Margins; Proceeds from divestitures; Total market value; and Corporate values measures (including ethics compliance, environmental, and safety).</w:t>
      </w:r>
    </w:p>
    <w:p>
      <w:pPr>
        <w:spacing w:after="0" w:line="184" w:lineRule="exact"/>
        <w:rPr>
          <w:sz w:val="20"/>
          <w:szCs w:val="20"/>
          <w:color w:val="auto"/>
        </w:rPr>
      </w:pPr>
    </w:p>
    <w:p>
      <w:pPr>
        <w:jc w:val="both"/>
        <w:ind w:firstLine="439"/>
        <w:spacing w:after="0"/>
        <w:rPr>
          <w:sz w:val="20"/>
          <w:szCs w:val="20"/>
          <w:color w:val="auto"/>
        </w:rPr>
      </w:pPr>
      <w:r>
        <w:rPr>
          <w:rFonts w:ascii="Arial" w:cs="Arial" w:eastAsia="Arial" w:hAnsi="Arial"/>
          <w:sz w:val="21"/>
          <w:szCs w:val="21"/>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qualified performance Awards, it is the intent of the Plan to conform with the standards of Section 162(m) of the Code and Treasury Regulation §1.162-27(e)(2)(i), as to grants to those participants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the Plan shall be determined by the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33" w:name="page134"/>
    <w:bookmarkEnd w:id="133"/>
    <w:p>
      <w:pPr>
        <w:ind w:left="440" w:hanging="434"/>
        <w:spacing w:after="0"/>
        <w:tabs>
          <w:tab w:leader="none" w:pos="440"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Assignability</w:t>
      </w:r>
    </w:p>
    <w:p>
      <w:pPr>
        <w:spacing w:after="0" w:line="216"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20"/>
          <w:szCs w:val="20"/>
          <w:color w:val="auto"/>
        </w:rPr>
        <w:t>Awards granted under the Plan shall not be assignable or otherwise transferable by the recipient except by will or the laws of descent and distribution. Otherwise, Awards granted under this Plan shall be exercisable during the lifetime of the recipient, to the extent applicable, (except as otherwise provided in the Plan or in the documentation of the grant for Awards other than “incentive stock options”) only by the recipient for his or her individual account, and no purported assignment or transfer of such Awards thereunder, whether voluntary or involuntary, by operation of law or otherwise, shall vest in the purported assignee or transferee any interest or right therein whatsoever but immediately upon any such purported assignment or transfer, or any attempt to make the same, such Awards thereunder shall terminate and become of no further effect.</w:t>
      </w:r>
    </w:p>
    <w:p>
      <w:pPr>
        <w:spacing w:after="0" w:line="162" w:lineRule="exact"/>
        <w:rPr>
          <w:sz w:val="20"/>
          <w:szCs w:val="20"/>
          <w:color w:val="auto"/>
        </w:rPr>
      </w:pPr>
    </w:p>
    <w:p>
      <w:pPr>
        <w:ind w:left="440" w:hanging="434"/>
        <w:spacing w:after="0"/>
        <w:tabs>
          <w:tab w:leader="none" w:pos="440"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Taxes</w:t>
      </w:r>
    </w:p>
    <w:p>
      <w:pPr>
        <w:spacing w:after="0" w:line="216"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20"/>
          <w:szCs w:val="20"/>
          <w:color w:val="auto"/>
        </w:rPr>
        <w:t>Withholding of any taxes may be satisfied by (i) transfer to the Company of shares of Common Stock theretofore and by the holder of the Award or (ii) withholding from the shares of Common Stock otherwise deliverable under the Award, in either case, with respect to which withholding is required, up to the maximum tax rate applicable to the participant, as determined by the Committee. If shares of Common Stock are used to satisfy tax withholding, such shares of Common Stock shall be valued based on the Fair Market Value when the tax withholding is required to be made. An optionee’s election pursuant to this section must be made on or before the date of exercise or vesting and must be irrevocable. The Committee may make such other provisions and rules as it may deem appropriate for the withholding of taxes in connection with any Awards granted under the Plan.</w:t>
      </w:r>
    </w:p>
    <w:p>
      <w:pPr>
        <w:spacing w:after="0" w:line="162" w:lineRule="exact"/>
        <w:rPr>
          <w:sz w:val="20"/>
          <w:szCs w:val="20"/>
          <w:color w:val="auto"/>
        </w:rPr>
      </w:pPr>
    </w:p>
    <w:p>
      <w:pPr>
        <w:ind w:left="440" w:hanging="434"/>
        <w:spacing w:after="0"/>
        <w:tabs>
          <w:tab w:leader="none" w:pos="440"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color w:val="auto"/>
        </w:rPr>
        <w:t>Reorganizations and Recapitalizations of the Company</w:t>
      </w:r>
    </w:p>
    <w:p>
      <w:pPr>
        <w:spacing w:after="0" w:line="215" w:lineRule="exact"/>
        <w:rPr>
          <w:rFonts w:ascii="Arial" w:cs="Arial" w:eastAsia="Arial" w:hAnsi="Arial"/>
          <w:sz w:val="21"/>
          <w:szCs w:val="21"/>
          <w:b w:val="1"/>
          <w:bCs w:val="1"/>
          <w:color w:val="auto"/>
        </w:rPr>
      </w:pPr>
    </w:p>
    <w:p>
      <w:pPr>
        <w:jc w:val="both"/>
        <w:ind w:firstLine="446"/>
        <w:spacing w:after="0" w:line="243" w:lineRule="auto"/>
        <w:tabs>
          <w:tab w:leader="none" w:pos="1312"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The existence of this Plan and Awards granted hereunder shall not affect in any way the right or power of the Company or its stockholders to make or authorize any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78" w:lineRule="exact"/>
        <w:rPr>
          <w:rFonts w:ascii="Arial" w:cs="Arial" w:eastAsia="Arial" w:hAnsi="Arial"/>
          <w:sz w:val="21"/>
          <w:szCs w:val="21"/>
          <w:color w:val="auto"/>
        </w:rPr>
      </w:pPr>
    </w:p>
    <w:p>
      <w:pPr>
        <w:jc w:val="both"/>
        <w:ind w:firstLine="446"/>
        <w:spacing w:after="0" w:line="244" w:lineRule="auto"/>
        <w:tabs>
          <w:tab w:leader="none" w:pos="1324" w:val="left"/>
        </w:tabs>
        <w:numPr>
          <w:ilvl w:val="1"/>
          <w:numId w:val="114"/>
        </w:numPr>
        <w:rPr>
          <w:rFonts w:ascii="Arial" w:cs="Arial" w:eastAsia="Arial" w:hAnsi="Arial"/>
          <w:sz w:val="21"/>
          <w:szCs w:val="21"/>
          <w:color w:val="auto"/>
        </w:rPr>
      </w:pPr>
      <w:r>
        <w:rPr>
          <w:rFonts w:ascii="Arial" w:cs="Arial" w:eastAsia="Arial" w:hAnsi="Arial"/>
          <w:sz w:val="21"/>
          <w:szCs w:val="21"/>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79" w:lineRule="exact"/>
        <w:rPr>
          <w:rFonts w:ascii="Arial" w:cs="Arial" w:eastAsia="Arial" w:hAnsi="Arial"/>
          <w:sz w:val="21"/>
          <w:szCs w:val="21"/>
          <w:color w:val="auto"/>
        </w:rPr>
      </w:pPr>
    </w:p>
    <w:p>
      <w:pPr>
        <w:jc w:val="both"/>
        <w:ind w:firstLine="446"/>
        <w:spacing w:after="0" w:line="291" w:lineRule="auto"/>
        <w:tabs>
          <w:tab w:leader="none" w:pos="1312" w:val="left"/>
        </w:tabs>
        <w:numPr>
          <w:ilvl w:val="1"/>
          <w:numId w:val="114"/>
        </w:numPr>
        <w:rPr>
          <w:rFonts w:ascii="Arial" w:cs="Arial" w:eastAsia="Arial" w:hAnsi="Arial"/>
          <w:sz w:val="19"/>
          <w:szCs w:val="19"/>
          <w:color w:val="auto"/>
        </w:rPr>
      </w:pPr>
      <w:r>
        <w:rPr>
          <w:rFonts w:ascii="Arial" w:cs="Arial" w:eastAsia="Arial" w:hAnsi="Arial"/>
          <w:sz w:val="19"/>
          <w:szCs w:val="19"/>
          <w:color w:val="auto"/>
        </w:rPr>
        <w:t>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34" w:name="page135"/>
    <w:bookmarkEnd w:id="134"/>
    <w:p>
      <w:pPr>
        <w:jc w:val="both"/>
        <w:spacing w:after="0" w:line="252" w:lineRule="auto"/>
        <w:rPr>
          <w:sz w:val="20"/>
          <w:szCs w:val="20"/>
          <w:color w:val="auto"/>
        </w:rPr>
      </w:pPr>
      <w:r>
        <w:rPr>
          <w:rFonts w:ascii="Arial" w:cs="Arial" w:eastAsia="Arial" w:hAnsi="Arial"/>
          <w:sz w:val="21"/>
          <w:szCs w:val="21"/>
          <w:color w:val="auto"/>
        </w:rPr>
        <w:t>outstanding without receiving compensation therefore in money, services or property, the number of shares of Common Stock subject to the Plan shall be proportionately adjusted and the number of shares of Common Stock with respect to which outstanding Awards or other property subject to an outstanding Award granted hereunder shall:</w:t>
      </w:r>
    </w:p>
    <w:p>
      <w:pPr>
        <w:spacing w:after="0" w:line="169" w:lineRule="exact"/>
        <w:rPr>
          <w:sz w:val="20"/>
          <w:szCs w:val="20"/>
          <w:color w:val="auto"/>
        </w:rPr>
      </w:pPr>
    </w:p>
    <w:p>
      <w:pPr>
        <w:ind w:left="440" w:firstLine="850"/>
        <w:spacing w:after="0" w:line="292" w:lineRule="auto"/>
        <w:tabs>
          <w:tab w:leader="none" w:pos="2122" w:val="left"/>
        </w:tabs>
        <w:numPr>
          <w:ilvl w:val="2"/>
          <w:numId w:val="115"/>
        </w:numPr>
        <w:rPr>
          <w:rFonts w:ascii="Arial" w:cs="Arial" w:eastAsia="Arial" w:hAnsi="Arial"/>
          <w:sz w:val="20"/>
          <w:szCs w:val="20"/>
          <w:color w:val="auto"/>
        </w:rPr>
      </w:pPr>
      <w:r>
        <w:rPr>
          <w:rFonts w:ascii="Arial" w:cs="Arial" w:eastAsia="Arial" w:hAnsi="Arial"/>
          <w:sz w:val="20"/>
          <w:szCs w:val="20"/>
          <w:color w:val="auto"/>
        </w:rPr>
        <w:t>in the event of an increase in the number of outstanding shares of Common Stock, be proportionately increased, and the cash consideration (if any) payable per share of Common Stock shall be proportionately reduced; and</w:t>
      </w:r>
    </w:p>
    <w:p>
      <w:pPr>
        <w:spacing w:after="0" w:line="130" w:lineRule="exact"/>
        <w:rPr>
          <w:rFonts w:ascii="Arial" w:cs="Arial" w:eastAsia="Arial" w:hAnsi="Arial"/>
          <w:sz w:val="20"/>
          <w:szCs w:val="20"/>
          <w:color w:val="auto"/>
        </w:rPr>
      </w:pPr>
    </w:p>
    <w:p>
      <w:pPr>
        <w:ind w:left="440" w:firstLine="850"/>
        <w:spacing w:after="0" w:line="292" w:lineRule="auto"/>
        <w:tabs>
          <w:tab w:leader="none" w:pos="2181" w:val="left"/>
        </w:tabs>
        <w:numPr>
          <w:ilvl w:val="2"/>
          <w:numId w:val="115"/>
        </w:numPr>
        <w:rPr>
          <w:rFonts w:ascii="Arial" w:cs="Arial" w:eastAsia="Arial" w:hAnsi="Arial"/>
          <w:sz w:val="20"/>
          <w:szCs w:val="20"/>
          <w:color w:val="auto"/>
        </w:rPr>
      </w:pPr>
      <w:r>
        <w:rPr>
          <w:rFonts w:ascii="Arial" w:cs="Arial" w:eastAsia="Arial" w:hAnsi="Arial"/>
          <w:sz w:val="20"/>
          <w:szCs w:val="20"/>
          <w:color w:val="auto"/>
        </w:rPr>
        <w:t>in the event of a reduction in the number of outstanding shares of Common Stock, be proportionately reduced, and the cash consideration (if any) payable per share of Common Stock shall be proportionately increased.</w:t>
      </w:r>
    </w:p>
    <w:p>
      <w:pPr>
        <w:spacing w:after="0" w:line="130" w:lineRule="exact"/>
        <w:rPr>
          <w:rFonts w:ascii="Arial" w:cs="Arial" w:eastAsia="Arial" w:hAnsi="Arial"/>
          <w:sz w:val="20"/>
          <w:szCs w:val="20"/>
          <w:color w:val="auto"/>
        </w:rPr>
      </w:pPr>
    </w:p>
    <w:p>
      <w:pPr>
        <w:jc w:val="both"/>
        <w:ind w:firstLine="446"/>
        <w:spacing w:after="0" w:line="253" w:lineRule="auto"/>
        <w:tabs>
          <w:tab w:leader="none" w:pos="132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If the Company merges with one or more corporations, or consolidates with one or more corporations and the Company shall be the surviving corporation, thereafter, upon any exercise of Awards granted hereunder, the recipient shall, at no additional cost (other than the option price, if any) be entitled to receive (subject to any required action by stockholders) in lieu of the number of shares of Common Stock as to which such Awards shall then be exercisable or vested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of Common Stock as to which such Awards shall be exercisable or vested. Upon any reorganization, merger or consolidation where the Company is not the surviving corporation or upon liquidation or dissolution of the Company, unless provisions are made in connection with such reorganization, merger or consolidation for the assumption of such Awards, all outstanding Awards shall be fully exercisable and vested by the Company and all holders given notice to permit exercise for 30 days prior to cancellation of the Awards as of the effective date of any such reorganization, merger or consolidation, or of any dissolution or liquidation of the Company.</w:t>
      </w:r>
    </w:p>
    <w:p>
      <w:pPr>
        <w:spacing w:after="0" w:line="170" w:lineRule="exact"/>
        <w:rPr>
          <w:rFonts w:ascii="Arial" w:cs="Arial" w:eastAsia="Arial" w:hAnsi="Arial"/>
          <w:sz w:val="20"/>
          <w:szCs w:val="20"/>
          <w:color w:val="auto"/>
        </w:rPr>
      </w:pPr>
    </w:p>
    <w:p>
      <w:pPr>
        <w:ind w:firstLine="446"/>
        <w:spacing w:after="0" w:line="267" w:lineRule="auto"/>
        <w:tabs>
          <w:tab w:leader="none" w:pos="1312" w:val="left"/>
        </w:tabs>
        <w:numPr>
          <w:ilvl w:val="1"/>
          <w:numId w:val="116"/>
        </w:numPr>
        <w:rPr>
          <w:rFonts w:ascii="Arial" w:cs="Arial" w:eastAsia="Arial" w:hAnsi="Arial"/>
          <w:sz w:val="21"/>
          <w:szCs w:val="21"/>
          <w:color w:val="auto"/>
        </w:rPr>
      </w:pPr>
      <w:r>
        <w:rPr>
          <w:rFonts w:ascii="Arial" w:cs="Arial" w:eastAsia="Arial" w:hAnsi="Arial"/>
          <w:sz w:val="21"/>
          <w:szCs w:val="21"/>
          <w:color w:val="auto"/>
        </w:rPr>
        <w:t>The Committee shall have the authority to determine whether this Section 9 applies to any transaction or event and to determine any adjustment or other action that it deems appropriate under this Section 9.</w:t>
      </w:r>
    </w:p>
    <w:p>
      <w:pPr>
        <w:spacing w:after="0" w:line="146" w:lineRule="exact"/>
        <w:rPr>
          <w:rFonts w:ascii="Arial" w:cs="Arial" w:eastAsia="Arial" w:hAnsi="Arial"/>
          <w:sz w:val="21"/>
          <w:szCs w:val="21"/>
          <w:color w:val="auto"/>
        </w:rPr>
      </w:pPr>
    </w:p>
    <w:p>
      <w:pPr>
        <w:ind w:left="440" w:hanging="434"/>
        <w:spacing w:after="0"/>
        <w:tabs>
          <w:tab w:leader="none" w:pos="440"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color w:val="auto"/>
        </w:rPr>
        <w:t>Registration under Securities Act of 1933 and Exchange Listing</w:t>
      </w:r>
    </w:p>
    <w:p>
      <w:pPr>
        <w:spacing w:after="0" w:line="216" w:lineRule="exact"/>
        <w:rPr>
          <w:sz w:val="20"/>
          <w:szCs w:val="20"/>
          <w:color w:val="auto"/>
        </w:rPr>
      </w:pPr>
    </w:p>
    <w:p>
      <w:pPr>
        <w:jc w:val="both"/>
        <w:ind w:firstLine="439"/>
        <w:spacing w:after="0" w:line="252" w:lineRule="auto"/>
        <w:rPr>
          <w:sz w:val="20"/>
          <w:szCs w:val="20"/>
          <w:color w:val="auto"/>
        </w:rPr>
      </w:pPr>
      <w:r>
        <w:rPr>
          <w:rFonts w:ascii="Arial" w:cs="Arial" w:eastAsia="Arial" w:hAnsi="Arial"/>
          <w:sz w:val="21"/>
          <w:szCs w:val="21"/>
          <w:color w:val="auto"/>
        </w:rPr>
        <w:t>It is intended that the Awards and shares of Common Stock covered by the Plan will be registered under the Securities Act of 1933, as amended. At the time any shares of Common Stock are issued or transferred pursuant to an Award, such shares of Common Stock will have been listed (or listed subject to notice of issuance) on the NYSE.</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9"/>
          <w:szCs w:val="19"/>
          <w:b w:val="1"/>
          <w:bCs w:val="1"/>
          <w:color w:val="auto"/>
        </w:rPr>
        <w:t>Plan Term</w:t>
      </w:r>
    </w:p>
    <w:p>
      <w:pPr>
        <w:spacing w:after="0" w:line="216" w:lineRule="exact"/>
        <w:rPr>
          <w:sz w:val="20"/>
          <w:szCs w:val="20"/>
          <w:color w:val="auto"/>
        </w:rPr>
      </w:pPr>
    </w:p>
    <w:p>
      <w:pPr>
        <w:jc w:val="both"/>
        <w:ind w:firstLine="439"/>
        <w:spacing w:after="0" w:line="252" w:lineRule="auto"/>
        <w:rPr>
          <w:sz w:val="20"/>
          <w:szCs w:val="20"/>
          <w:color w:val="auto"/>
        </w:rPr>
      </w:pPr>
      <w:r>
        <w:rPr>
          <w:rFonts w:ascii="Arial" w:cs="Arial" w:eastAsia="Arial" w:hAnsi="Arial"/>
          <w:sz w:val="21"/>
          <w:szCs w:val="21"/>
          <w:color w:val="auto"/>
        </w:rPr>
        <w:t>The Plan became effective January 20, 2005 upon stockholder approval at the 2005 annual general meeting of stockholders. The Plan was amended from time to time and was thereafter amended and restated effective as of July 19, 2017. No Awards shall be granted pursuant to the Plan after January 20, 2015.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35" w:name="page136"/>
    <w:bookmarkEnd w:id="135"/>
    <w:p>
      <w:pPr>
        <w:spacing w:after="0"/>
        <w:tabs>
          <w:tab w:leader="none" w:pos="420" w:val="left"/>
        </w:tabs>
        <w:rPr>
          <w:sz w:val="20"/>
          <w:szCs w:val="20"/>
          <w:color w:val="auto"/>
        </w:rPr>
      </w:pPr>
      <w:r>
        <w:rPr>
          <w:rFonts w:ascii="Arial" w:cs="Arial" w:eastAsia="Arial" w:hAnsi="Arial"/>
          <w:sz w:val="21"/>
          <w:szCs w:val="21"/>
          <w:b w:val="1"/>
          <w:bCs w:val="1"/>
          <w:color w:val="auto"/>
        </w:rPr>
        <w:t>12.</w:t>
      </w:r>
      <w:r>
        <w:rPr>
          <w:sz w:val="20"/>
          <w:szCs w:val="20"/>
          <w:color w:val="auto"/>
        </w:rPr>
        <w:tab/>
      </w:r>
      <w:r>
        <w:rPr>
          <w:rFonts w:ascii="Arial" w:cs="Arial" w:eastAsia="Arial" w:hAnsi="Arial"/>
          <w:sz w:val="19"/>
          <w:szCs w:val="19"/>
          <w:b w:val="1"/>
          <w:bCs w:val="1"/>
          <w:color w:val="auto"/>
        </w:rPr>
        <w:t>Amendment or Termination</w:t>
      </w:r>
    </w:p>
    <w:p>
      <w:pPr>
        <w:spacing w:after="0" w:line="216" w:lineRule="exact"/>
        <w:rPr>
          <w:sz w:val="20"/>
          <w:szCs w:val="20"/>
          <w:color w:val="auto"/>
        </w:rPr>
      </w:pPr>
    </w:p>
    <w:p>
      <w:pPr>
        <w:ind w:firstLine="439"/>
        <w:spacing w:after="0" w:line="267" w:lineRule="auto"/>
        <w:rPr>
          <w:sz w:val="20"/>
          <w:szCs w:val="20"/>
          <w:color w:val="auto"/>
        </w:rPr>
      </w:pPr>
      <w:r>
        <w:rPr>
          <w:rFonts w:ascii="Arial" w:cs="Arial" w:eastAsia="Arial" w:hAnsi="Arial"/>
          <w:sz w:val="21"/>
          <w:szCs w:val="21"/>
          <w:color w:val="auto"/>
        </w:rPr>
        <w:t>The Board may amend, alter, suspend or discontinue the Plan at any time insofar as permitted by law, but no amendment or alteration shall be made without the approval of the stockholders of the Company:</w:t>
      </w:r>
    </w:p>
    <w:p>
      <w:pPr>
        <w:spacing w:after="0" w:line="153" w:lineRule="exact"/>
        <w:rPr>
          <w:sz w:val="20"/>
          <w:szCs w:val="20"/>
          <w:color w:val="auto"/>
        </w:rPr>
      </w:pPr>
    </w:p>
    <w:p>
      <w:pPr>
        <w:jc w:val="both"/>
        <w:ind w:left="440" w:firstLine="428"/>
        <w:spacing w:after="0" w:line="252" w:lineRule="auto"/>
        <w:tabs>
          <w:tab w:leader="none" w:pos="173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if, except as contemplated by Section 9 hereof,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68" w:lineRule="exact"/>
        <w:rPr>
          <w:rFonts w:ascii="Arial" w:cs="Arial" w:eastAsia="Arial" w:hAnsi="Arial"/>
          <w:sz w:val="21"/>
          <w:szCs w:val="21"/>
          <w:color w:val="auto"/>
        </w:rPr>
      </w:pPr>
    </w:p>
    <w:p>
      <w:pPr>
        <w:jc w:val="both"/>
        <w:ind w:left="440" w:firstLine="428"/>
        <w:spacing w:after="0" w:line="252" w:lineRule="auto"/>
        <w:tabs>
          <w:tab w:leader="none" w:pos="1747"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if the amendment or alteration would constitute a material revision to the Plan requiring stockholder approval under applicable legal requirements or the applicable requirements of the NYSE or such other securities exchange on which the Company’s Common Stock is listed.</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No amendment of the Plan shall alter or impair any of the rights or obligations of any person, without his or her consent, under any Stock Option or right theretofore granted under the Plan.</w:t>
      </w:r>
    </w:p>
    <w:p>
      <w:pPr>
        <w:spacing w:after="0" w:line="147" w:lineRule="exact"/>
        <w:rPr>
          <w:sz w:val="20"/>
          <w:szCs w:val="20"/>
          <w:color w:val="auto"/>
        </w:rPr>
      </w:pPr>
    </w:p>
    <w:p>
      <w:pPr>
        <w:spacing w:after="0"/>
        <w:tabs>
          <w:tab w:leader="none" w:pos="420" w:val="left"/>
        </w:tabs>
        <w:rPr>
          <w:sz w:val="20"/>
          <w:szCs w:val="20"/>
          <w:color w:val="auto"/>
        </w:rPr>
      </w:pPr>
      <w:r>
        <w:rPr>
          <w:rFonts w:ascii="Arial" w:cs="Arial" w:eastAsia="Arial" w:hAnsi="Arial"/>
          <w:sz w:val="21"/>
          <w:szCs w:val="21"/>
          <w:b w:val="1"/>
          <w:bCs w:val="1"/>
          <w:color w:val="auto"/>
        </w:rPr>
        <w:t>13.</w:t>
      </w:r>
      <w:r>
        <w:rPr>
          <w:sz w:val="20"/>
          <w:szCs w:val="20"/>
          <w:color w:val="auto"/>
        </w:rPr>
        <w:tab/>
      </w:r>
      <w:r>
        <w:rPr>
          <w:rFonts w:ascii="Arial" w:cs="Arial" w:eastAsia="Arial" w:hAnsi="Arial"/>
          <w:sz w:val="19"/>
          <w:szCs w:val="19"/>
          <w:b w:val="1"/>
          <w:bCs w:val="1"/>
          <w:color w:val="auto"/>
        </w:rPr>
        <w:t>Government Regulations</w:t>
      </w:r>
    </w:p>
    <w:p>
      <w:pPr>
        <w:spacing w:after="0" w:line="216"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21"/>
          <w:szCs w:val="21"/>
          <w:color w:val="auto"/>
        </w:rPr>
        <w:t>Notwithstanding any of the provisions hereof or of any Award granted hereunder, the obligation of the Company or any subsidiary to sell and deliver shares of Common Stock under such Award to make cash payments in respect thereto shall be subject to all applicable laws, rules and regulations and to such approvals by any governmental agencies or national securities exchanges as may be required, and the recipient shall not exercise or convert any Award granted hereunder, and that neither the Company nor any subsidiary will be obligated to issue any shares of Common Stock or make any payments under any such Award if the exercise thereof or if the issuance of such shares of Common Stock or if the payment made constitutes, or may constitute, a violation by the recipient or the Company or any subsidiary of any provision of any applicable law, rule or regulation of any governmental authority or national securities exchanges.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36" w:name="page137"/>
    <w:bookmarkEnd w:id="136"/>
    <w:p>
      <w:pPr>
        <w:spacing w:after="0"/>
        <w:tabs>
          <w:tab w:leader="none" w:pos="420" w:val="left"/>
        </w:tabs>
        <w:rPr>
          <w:sz w:val="20"/>
          <w:szCs w:val="20"/>
          <w:color w:val="auto"/>
        </w:rPr>
      </w:pPr>
      <w:r>
        <w:rPr>
          <w:rFonts w:ascii="Arial" w:cs="Arial" w:eastAsia="Arial" w:hAnsi="Arial"/>
          <w:sz w:val="21"/>
          <w:szCs w:val="21"/>
          <w:b w:val="1"/>
          <w:bCs w:val="1"/>
          <w:color w:val="auto"/>
        </w:rPr>
        <w:t>14.</w:t>
      </w:r>
      <w:r>
        <w:rPr>
          <w:sz w:val="20"/>
          <w:szCs w:val="20"/>
          <w:color w:val="auto"/>
        </w:rPr>
        <w:tab/>
      </w:r>
      <w:r>
        <w:rPr>
          <w:rFonts w:ascii="Arial" w:cs="Arial" w:eastAsia="Arial" w:hAnsi="Arial"/>
          <w:sz w:val="19"/>
          <w:szCs w:val="19"/>
          <w:b w:val="1"/>
          <w:bCs w:val="1"/>
          <w:color w:val="auto"/>
        </w:rPr>
        <w:t>Non-United States Participants</w:t>
      </w:r>
    </w:p>
    <w:p>
      <w:pPr>
        <w:spacing w:after="0" w:line="216" w:lineRule="exact"/>
        <w:rPr>
          <w:sz w:val="20"/>
          <w:szCs w:val="20"/>
          <w:color w:val="auto"/>
        </w:rPr>
      </w:pPr>
    </w:p>
    <w:p>
      <w:pPr>
        <w:jc w:val="both"/>
        <w:ind w:firstLine="439"/>
        <w:spacing w:after="0" w:line="244" w:lineRule="auto"/>
        <w:rPr>
          <w:sz w:val="20"/>
          <w:szCs w:val="20"/>
          <w:color w:val="auto"/>
        </w:rPr>
      </w:pPr>
      <w:r>
        <w:rPr>
          <w:rFonts w:ascii="Arial" w:cs="Arial" w:eastAsia="Arial" w:hAnsi="Arial"/>
          <w:sz w:val="21"/>
          <w:szCs w:val="21"/>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IN WITNESS WHEREOF, the Company has caused this Plan to be executed by its duly authorized officer on the date first written above.</w:t>
      </w:r>
    </w:p>
    <w:p>
      <w:pPr>
        <w:spacing w:after="0" w:line="179" w:lineRule="exact"/>
        <w:rPr>
          <w:sz w:val="20"/>
          <w:szCs w:val="20"/>
          <w:color w:val="auto"/>
        </w:rPr>
      </w:pPr>
    </w:p>
    <w:p>
      <w:pPr>
        <w:ind w:left="7380"/>
        <w:spacing w:after="0"/>
        <w:rPr>
          <w:sz w:val="20"/>
          <w:szCs w:val="20"/>
          <w:color w:val="auto"/>
        </w:rPr>
      </w:pPr>
      <w:r>
        <w:rPr>
          <w:rFonts w:ascii="Arial" w:cs="Arial" w:eastAsia="Arial" w:hAnsi="Arial"/>
          <w:sz w:val="21"/>
          <w:szCs w:val="21"/>
          <w:color w:val="auto"/>
        </w:rPr>
        <w:t>SCHLUMBERGER LIMITED</w:t>
      </w:r>
    </w:p>
    <w:p>
      <w:pPr>
        <w:spacing w:after="0" w:line="236" w:lineRule="exact"/>
        <w:rPr>
          <w:sz w:val="20"/>
          <w:szCs w:val="20"/>
          <w:color w:val="auto"/>
        </w:rPr>
      </w:pPr>
    </w:p>
    <w:p>
      <w:pPr>
        <w:ind w:left="7380"/>
        <w:spacing w:after="0"/>
        <w:tabs>
          <w:tab w:leader="none" w:pos="80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12065</wp:posOffset>
            </wp:positionV>
            <wp:extent cx="21659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2165985" cy="8255"/>
                    </a:xfrm>
                    <a:prstGeom prst="rect">
                      <a:avLst/>
                    </a:prstGeom>
                    <a:noFill/>
                  </pic:spPr>
                </pic:pic>
              </a:graphicData>
            </a:graphic>
          </wp:anchor>
        </w:drawing>
      </w:r>
    </w:p>
    <w:p>
      <w:pPr>
        <w:spacing w:after="0" w:line="9" w:lineRule="exact"/>
        <w:rPr>
          <w:sz w:val="20"/>
          <w:szCs w:val="20"/>
          <w:color w:val="auto"/>
        </w:rPr>
      </w:pPr>
    </w:p>
    <w:p>
      <w:pPr>
        <w:ind w:left="8020"/>
        <w:spacing w:after="0"/>
        <w:rPr>
          <w:sz w:val="20"/>
          <w:szCs w:val="20"/>
          <w:color w:val="auto"/>
        </w:rPr>
      </w:pPr>
      <w:r>
        <w:rPr>
          <w:rFonts w:ascii="Arial" w:cs="Arial" w:eastAsia="Arial" w:hAnsi="Arial"/>
          <w:sz w:val="21"/>
          <w:szCs w:val="21"/>
          <w:color w:val="auto"/>
        </w:rPr>
        <w:t>Paal Kibsgaard</w:t>
      </w:r>
    </w:p>
    <w:p>
      <w:pPr>
        <w:spacing w:after="0" w:line="218" w:lineRule="exact"/>
        <w:rPr>
          <w:sz w:val="20"/>
          <w:szCs w:val="20"/>
          <w:color w:val="auto"/>
        </w:rPr>
      </w:pPr>
    </w:p>
    <w:p>
      <w:pPr>
        <w:ind w:left="7380"/>
        <w:spacing w:after="0"/>
        <w:tabs>
          <w:tab w:leader="none" w:pos="800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Chairman &amp; CEO</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420"/>
          </w:cols>
          <w:pgMar w:left="240" w:top="550" w:right="239" w:bottom="1440" w:gutter="0" w:footer="0" w:header="0"/>
        </w:sectPr>
      </w:pPr>
    </w:p>
    <w:bookmarkStart w:id="137" w:name="page138"/>
    <w:bookmarkEnd w:id="137"/>
    <w:p>
      <w:pPr>
        <w:ind w:left="10320"/>
        <w:spacing w:after="0"/>
        <w:rPr>
          <w:sz w:val="20"/>
          <w:szCs w:val="20"/>
          <w:color w:val="auto"/>
        </w:rPr>
      </w:pPr>
      <w:r>
        <w:rPr>
          <w:rFonts w:ascii="Arial" w:cs="Arial" w:eastAsia="Arial" w:hAnsi="Arial"/>
          <w:sz w:val="19"/>
          <w:szCs w:val="19"/>
          <w:b w:val="1"/>
          <w:bCs w:val="1"/>
          <w:color w:val="auto"/>
        </w:rPr>
        <w:t>Exhibit 10.7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SCHLUMBERGER 2008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as of July 19, 2017)</w:t>
      </w:r>
    </w:p>
    <w:p>
      <w:pPr>
        <w:spacing w:after="0" w:line="186" w:lineRule="exact"/>
        <w:rPr>
          <w:sz w:val="20"/>
          <w:szCs w:val="20"/>
          <w:color w:val="auto"/>
        </w:rPr>
      </w:pPr>
    </w:p>
    <w:p>
      <w:pPr>
        <w:ind w:left="580" w:hanging="574"/>
        <w:spacing w:after="0"/>
        <w:tabs>
          <w:tab w:leader="none" w:pos="580"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color w:val="auto"/>
        </w:rPr>
        <w:t>Purpose of the Plan</w:t>
      </w:r>
    </w:p>
    <w:p>
      <w:pPr>
        <w:spacing w:after="0" w:line="216" w:lineRule="exact"/>
        <w:rPr>
          <w:sz w:val="20"/>
          <w:szCs w:val="20"/>
          <w:color w:val="auto"/>
        </w:rPr>
      </w:pPr>
    </w:p>
    <w:p>
      <w:pPr>
        <w:jc w:val="both"/>
        <w:ind w:firstLine="583"/>
        <w:spacing w:after="0" w:line="244" w:lineRule="auto"/>
        <w:rPr>
          <w:sz w:val="20"/>
          <w:szCs w:val="20"/>
          <w:color w:val="auto"/>
        </w:rPr>
      </w:pPr>
      <w:r>
        <w:rPr>
          <w:rFonts w:ascii="Arial" w:cs="Arial" w:eastAsia="Arial" w:hAnsi="Arial"/>
          <w:sz w:val="21"/>
          <w:szCs w:val="21"/>
          <w:color w:val="auto"/>
        </w:rPr>
        <w:t>This Schlumberger 2008 Stock Incentive Plan (the “Plan”) was adopted by Schlumberger Limited (the “Company”) and is intended as an incentive to key employees of the Company and its subsidiaries (as defined in Section 3(a) below).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74" w:lineRule="exact"/>
        <w:rPr>
          <w:sz w:val="20"/>
          <w:szCs w:val="20"/>
          <w:color w:val="auto"/>
        </w:rPr>
      </w:pPr>
    </w:p>
    <w:p>
      <w:pPr>
        <w:ind w:left="580" w:hanging="574"/>
        <w:spacing w:after="0"/>
        <w:tabs>
          <w:tab w:leader="none" w:pos="580" w:val="left"/>
        </w:tabs>
        <w:numPr>
          <w:ilvl w:val="0"/>
          <w:numId w:val="120"/>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 of the Plan</w:t>
      </w:r>
    </w:p>
    <w:p>
      <w:pPr>
        <w:spacing w:after="0" w:line="233" w:lineRule="exact"/>
        <w:rPr>
          <w:rFonts w:ascii="Arial" w:cs="Arial" w:eastAsia="Arial" w:hAnsi="Arial"/>
          <w:sz w:val="21"/>
          <w:szCs w:val="21"/>
          <w:b w:val="1"/>
          <w:bCs w:val="1"/>
          <w:color w:val="auto"/>
        </w:rPr>
      </w:pPr>
    </w:p>
    <w:p>
      <w:pPr>
        <w:jc w:val="both"/>
        <w:ind w:firstLine="589"/>
        <w:spacing w:after="0" w:line="249" w:lineRule="auto"/>
        <w:tabs>
          <w:tab w:leader="none" w:pos="1448" w:val="left"/>
        </w:tabs>
        <w:numPr>
          <w:ilvl w:val="1"/>
          <w:numId w:val="120"/>
        </w:numPr>
        <w:rPr>
          <w:rFonts w:ascii="Arial" w:cs="Arial" w:eastAsia="Arial" w:hAnsi="Arial"/>
          <w:sz w:val="21"/>
          <w:szCs w:val="21"/>
          <w:color w:val="auto"/>
        </w:rPr>
      </w:pPr>
      <w:r>
        <w:rPr>
          <w:rFonts w:ascii="Arial" w:cs="Arial" w:eastAsia="Arial" w:hAnsi="Arial"/>
          <w:sz w:val="19"/>
          <w:szCs w:val="19"/>
          <w:u w:val="single" w:color="auto"/>
          <w:color w:val="auto"/>
        </w:rPr>
        <w:t>Compensation Committee</w:t>
      </w:r>
      <w:r>
        <w:rPr>
          <w:rFonts w:ascii="Arial" w:cs="Arial" w:eastAsia="Arial" w:hAnsi="Arial"/>
          <w:sz w:val="19"/>
          <w:szCs w:val="19"/>
          <w:color w:val="auto"/>
        </w:rPr>
        <w:t>. The Board of Directors of the Company (the “Board”) shall appoint and maintain a Compensation Committee (the “Committee”) consisting of at least three (3) members of the Board, none of whom is an officer or employee of the Company, who shall serve at the pleasure of the Board. No member of such Committee shall be eligible to receive Awards under the Plan during his or her tenure on the Committee.</w:t>
      </w:r>
    </w:p>
    <w:p>
      <w:pPr>
        <w:spacing w:after="0" w:line="179" w:lineRule="exact"/>
        <w:rPr>
          <w:rFonts w:ascii="Arial" w:cs="Arial" w:eastAsia="Arial" w:hAnsi="Arial"/>
          <w:sz w:val="21"/>
          <w:szCs w:val="21"/>
          <w:color w:val="auto"/>
        </w:rPr>
      </w:pPr>
    </w:p>
    <w:p>
      <w:pPr>
        <w:jc w:val="both"/>
        <w:ind w:firstLine="589"/>
        <w:spacing w:after="0" w:line="266" w:lineRule="auto"/>
        <w:tabs>
          <w:tab w:leader="none" w:pos="1460"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Committee Powers</w:t>
      </w:r>
      <w:r>
        <w:rPr>
          <w:rFonts w:ascii="Arial" w:cs="Arial" w:eastAsia="Arial" w:hAnsi="Arial"/>
          <w:sz w:val="19"/>
          <w:szCs w:val="19"/>
          <w:color w:val="auto"/>
        </w:rPr>
        <w:t>. The Committee shall have full power and authority to interpret the provisions of the Plan and supervise its administration. All decisions and selections made by the Committee pursuant to the provisions of the Plan shall be made by a majority of its members; provided, however, that the Committee may delegate its authority to grant awards hereunder to the chairperson of the Committee or any other member of the Committee to act in his or her absence, subject to such terms, conditions and limitations as the Committee may prescribe in its discretion. Any decision reduced to writing and signed by a majority of the members shall be fully effective as if adopted by a majority at a meeting duly held. The Committee may from time to time grant incentive stock options and non qualified stock options (“Stock Options”) and restricted stock and restricted stock units (“Stock Awards”) under the Plan to the persons described in Section 3 hereof. Subject to the provisions of the Plan, the Committee shall have full and final authority to determine the persons to whom Stock Options and Stock Awards (collectively referred to as “Awards”) hereunder shall be granted, the number of shares of common stock, par value $0.01 per share, of the Company (“Common Stock”) to be covered by each Award (except that no participant may be granted Stock Options or Stock Awards more than 750,000 shares of Common Stock during the life of the Plan), whether each Stock Option is designated an “incentive stock option” or a “non qualified stock option,” and all other terms of each Award consistent with the provisions of this Plan. If the exercise period of an outstanding Stock Option is continued following a holder’s termination of employment as provided in Section 5 hereof, and the holder engages in “detrimental activity” as defined in Section 5(d)(iv)(E), the Committee shall have the authority in its discretion to cause such option to be forfeited and certain option exercises thereunder to be rescinded as provided for in Section 5.</w:t>
      </w:r>
    </w:p>
    <w:p>
      <w:pPr>
        <w:spacing w:after="0" w:line="160" w:lineRule="exact"/>
        <w:rPr>
          <w:rFonts w:ascii="Arial" w:cs="Arial" w:eastAsia="Arial" w:hAnsi="Arial"/>
          <w:sz w:val="19"/>
          <w:szCs w:val="19"/>
          <w:color w:val="auto"/>
        </w:rPr>
      </w:pPr>
    </w:p>
    <w:p>
      <w:pPr>
        <w:jc w:val="both"/>
        <w:ind w:firstLine="589"/>
        <w:spacing w:after="0" w:line="242" w:lineRule="auto"/>
        <w:tabs>
          <w:tab w:leader="none" w:pos="1448" w:val="left"/>
        </w:tabs>
        <w:numPr>
          <w:ilvl w:val="1"/>
          <w:numId w:val="120"/>
        </w:numPr>
        <w:rPr>
          <w:rFonts w:ascii="Arial" w:cs="Arial" w:eastAsia="Arial" w:hAnsi="Arial"/>
          <w:sz w:val="21"/>
          <w:szCs w:val="21"/>
          <w:color w:val="auto"/>
        </w:rPr>
      </w:pPr>
      <w:r>
        <w:rPr>
          <w:rFonts w:ascii="Arial" w:cs="Arial" w:eastAsia="Arial" w:hAnsi="Arial"/>
          <w:sz w:val="21"/>
          <w:szCs w:val="21"/>
          <w:u w:val="single" w:color="auto"/>
          <w:color w:val="auto"/>
        </w:rPr>
        <w:t>Committee Liability</w:t>
      </w:r>
      <w:r>
        <w:rPr>
          <w:rFonts w:ascii="Arial" w:cs="Arial" w:eastAsia="Arial" w:hAnsi="Arial"/>
          <w:sz w:val="21"/>
          <w:szCs w:val="21"/>
          <w:color w:val="auto"/>
        </w:rPr>
        <w:t xml:space="preserve">. No member of the Committee shall be liable for anything done or omitted to be done by him or by her or any other member of the Committee in </w:t>
      </w:r>
      <w:r>
        <w:rPr>
          <w:rFonts w:ascii="Arial" w:cs="Arial" w:eastAsia="Arial" w:hAnsi="Arial"/>
          <w:sz w:val="19"/>
          <w:szCs w:val="19"/>
          <w:color w:val="auto"/>
        </w:rPr>
        <w:t>connection with the Plan, except for his or her own willful misconduct or as expressly provided by</w:t>
      </w:r>
      <w:r>
        <w:rPr>
          <w:rFonts w:ascii="Arial" w:cs="Arial" w:eastAsia="Arial" w:hAnsi="Arial"/>
          <w:sz w:val="21"/>
          <w:szCs w:val="21"/>
          <w:color w:val="auto"/>
        </w:rPr>
        <w:t xml:space="preserve"> </w:t>
      </w:r>
      <w:r>
        <w:rPr>
          <w:rFonts w:ascii="Arial" w:cs="Arial" w:eastAsia="Arial" w:hAnsi="Arial"/>
          <w:sz w:val="19"/>
          <w:szCs w:val="19"/>
          <w:color w:val="auto"/>
        </w:rPr>
        <w:t>statute.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38" w:name="page139"/>
    <w:bookmarkEnd w:id="138"/>
    <w:p>
      <w:pPr>
        <w:ind w:left="580" w:hanging="574"/>
        <w:spacing w:after="0"/>
        <w:tabs>
          <w:tab w:leader="none" w:pos="580"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color w:val="auto"/>
        </w:rPr>
        <w:t>Grants of Awards</w:t>
      </w:r>
    </w:p>
    <w:p>
      <w:pPr>
        <w:spacing w:after="0" w:line="215" w:lineRule="exact"/>
        <w:rPr>
          <w:rFonts w:ascii="Arial" w:cs="Arial" w:eastAsia="Arial" w:hAnsi="Arial"/>
          <w:sz w:val="21"/>
          <w:szCs w:val="21"/>
          <w:b w:val="1"/>
          <w:bCs w:val="1"/>
          <w:color w:val="auto"/>
        </w:rPr>
      </w:pPr>
    </w:p>
    <w:p>
      <w:pPr>
        <w:jc w:val="both"/>
        <w:ind w:firstLine="589"/>
        <w:spacing w:after="0" w:line="255" w:lineRule="auto"/>
        <w:tabs>
          <w:tab w:leader="none" w:pos="1448" w:val="left"/>
        </w:tabs>
        <w:numPr>
          <w:ilvl w:val="1"/>
          <w:numId w:val="121"/>
        </w:numPr>
        <w:rPr>
          <w:rFonts w:ascii="Arial" w:cs="Arial" w:eastAsia="Arial" w:hAnsi="Arial"/>
          <w:sz w:val="20"/>
          <w:szCs w:val="20"/>
          <w:color w:val="auto"/>
        </w:rPr>
      </w:pPr>
      <w:r>
        <w:rPr>
          <w:rFonts w:ascii="Arial" w:cs="Arial" w:eastAsia="Arial" w:hAnsi="Arial"/>
          <w:sz w:val="20"/>
          <w:szCs w:val="20"/>
          <w:u w:val="single" w:color="auto"/>
          <w:color w:val="auto"/>
        </w:rPr>
        <w:t>Eligibility for Awards</w:t>
      </w:r>
      <w:r>
        <w:rPr>
          <w:rFonts w:ascii="Arial" w:cs="Arial" w:eastAsia="Arial" w:hAnsi="Arial"/>
          <w:sz w:val="20"/>
          <w:szCs w:val="20"/>
          <w:color w:val="auto"/>
        </w:rPr>
        <w:t>. The persons eligible for participation in the Plan as recipients of Awards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Awards at the Committee’s discretion including simultaneous grants of different forms of Awards.</w:t>
      </w:r>
    </w:p>
    <w:p>
      <w:pPr>
        <w:spacing w:after="0" w:line="169" w:lineRule="exact"/>
        <w:rPr>
          <w:rFonts w:ascii="Arial" w:cs="Arial" w:eastAsia="Arial" w:hAnsi="Arial"/>
          <w:sz w:val="20"/>
          <w:szCs w:val="20"/>
          <w:color w:val="auto"/>
        </w:rPr>
      </w:pPr>
    </w:p>
    <w:p>
      <w:pPr>
        <w:jc w:val="both"/>
        <w:ind w:firstLine="589"/>
        <w:spacing w:after="0" w:line="244" w:lineRule="auto"/>
        <w:tabs>
          <w:tab w:leader="none" w:pos="1460" w:val="left"/>
        </w:tabs>
        <w:numPr>
          <w:ilvl w:val="1"/>
          <w:numId w:val="121"/>
        </w:numPr>
        <w:rPr>
          <w:rFonts w:ascii="Arial" w:cs="Arial" w:eastAsia="Arial" w:hAnsi="Arial"/>
          <w:sz w:val="21"/>
          <w:szCs w:val="21"/>
          <w:color w:val="auto"/>
        </w:rPr>
      </w:pPr>
      <w:r>
        <w:rPr>
          <w:rFonts w:ascii="Arial" w:cs="Arial" w:eastAsia="Arial" w:hAnsi="Arial"/>
          <w:sz w:val="21"/>
          <w:szCs w:val="21"/>
          <w:u w:val="single" w:color="auto"/>
          <w:color w:val="auto"/>
        </w:rPr>
        <w:t>Discretion in and Documentation of Awards</w:t>
      </w:r>
      <w:r>
        <w:rPr>
          <w:rFonts w:ascii="Arial" w:cs="Arial" w:eastAsia="Arial" w:hAnsi="Arial"/>
          <w:sz w:val="21"/>
          <w:szCs w:val="21"/>
          <w:color w:val="auto"/>
        </w:rPr>
        <w:t>. The Committee in granting Awards hereunder shall have discretion to determine the terms and conditions upon which such Awards may vest and become exercisable, subject to and as further described in Section 5 and 6 of this Plan. Each grant of an Award shall be communicated, in the form and manner decided by the Committee, to the person to whom such Award is granted. In addition, the Committee may require that the grant be confirmed by an agreement, and may require that the optionee execute such agreement.</w:t>
      </w:r>
    </w:p>
    <w:p>
      <w:pPr>
        <w:spacing w:after="0" w:line="179" w:lineRule="exact"/>
        <w:rPr>
          <w:rFonts w:ascii="Arial" w:cs="Arial" w:eastAsia="Arial" w:hAnsi="Arial"/>
          <w:sz w:val="21"/>
          <w:szCs w:val="21"/>
          <w:color w:val="auto"/>
        </w:rPr>
      </w:pPr>
    </w:p>
    <w:p>
      <w:pPr>
        <w:ind w:left="1460" w:hanging="871"/>
        <w:spacing w:after="0"/>
        <w:tabs>
          <w:tab w:leader="none" w:pos="1460" w:val="left"/>
        </w:tabs>
        <w:numPr>
          <w:ilvl w:val="1"/>
          <w:numId w:val="121"/>
        </w:numPr>
        <w:rPr>
          <w:rFonts w:ascii="Arial" w:cs="Arial" w:eastAsia="Arial" w:hAnsi="Arial"/>
          <w:sz w:val="21"/>
          <w:szCs w:val="21"/>
          <w:color w:val="auto"/>
        </w:rPr>
      </w:pPr>
      <w:r>
        <w:rPr>
          <w:rFonts w:ascii="Arial" w:cs="Arial" w:eastAsia="Arial" w:hAnsi="Arial"/>
          <w:sz w:val="21"/>
          <w:szCs w:val="21"/>
          <w:u w:val="single" w:color="auto"/>
          <w:color w:val="auto"/>
        </w:rPr>
        <w:t>Form of Awards</w:t>
      </w:r>
      <w:r>
        <w:rPr>
          <w:rFonts w:ascii="Arial" w:cs="Arial" w:eastAsia="Arial" w:hAnsi="Arial"/>
          <w:sz w:val="21"/>
          <w:szCs w:val="21"/>
          <w:color w:val="auto"/>
        </w:rPr>
        <w:t>. Awards may be granted in the following forms:</w:t>
      </w:r>
    </w:p>
    <w:p>
      <w:pPr>
        <w:spacing w:after="0" w:line="209" w:lineRule="exact"/>
        <w:rPr>
          <w:rFonts w:ascii="Arial" w:cs="Arial" w:eastAsia="Arial" w:hAnsi="Arial"/>
          <w:sz w:val="21"/>
          <w:szCs w:val="21"/>
          <w:color w:val="auto"/>
        </w:rPr>
      </w:pPr>
    </w:p>
    <w:p>
      <w:pPr>
        <w:ind w:left="1740" w:hanging="579"/>
        <w:spacing w:after="0"/>
        <w:tabs>
          <w:tab w:leader="none" w:pos="1740" w:val="left"/>
        </w:tabs>
        <w:numPr>
          <w:ilvl w:val="2"/>
          <w:numId w:val="121"/>
        </w:numPr>
        <w:rPr>
          <w:rFonts w:ascii="Arial" w:cs="Arial" w:eastAsia="Arial" w:hAnsi="Arial"/>
          <w:sz w:val="21"/>
          <w:szCs w:val="21"/>
          <w:color w:val="auto"/>
        </w:rPr>
      </w:pPr>
      <w:r>
        <w:rPr>
          <w:rFonts w:ascii="Arial" w:cs="Arial" w:eastAsia="Arial" w:hAnsi="Arial"/>
          <w:sz w:val="21"/>
          <w:szCs w:val="21"/>
          <w:color w:val="auto"/>
        </w:rPr>
        <w:t>a Stock Option, in accordance with Section 5, or</w:t>
      </w:r>
    </w:p>
    <w:p>
      <w:pPr>
        <w:spacing w:after="0" w:line="209" w:lineRule="exact"/>
        <w:rPr>
          <w:rFonts w:ascii="Arial" w:cs="Arial" w:eastAsia="Arial" w:hAnsi="Arial"/>
          <w:sz w:val="21"/>
          <w:szCs w:val="21"/>
          <w:color w:val="auto"/>
        </w:rPr>
      </w:pPr>
    </w:p>
    <w:p>
      <w:pPr>
        <w:ind w:left="1740" w:hanging="579"/>
        <w:spacing w:after="0"/>
        <w:tabs>
          <w:tab w:leader="none" w:pos="1740" w:val="left"/>
        </w:tabs>
        <w:numPr>
          <w:ilvl w:val="2"/>
          <w:numId w:val="121"/>
        </w:numPr>
        <w:rPr>
          <w:rFonts w:ascii="Arial" w:cs="Arial" w:eastAsia="Arial" w:hAnsi="Arial"/>
          <w:sz w:val="21"/>
          <w:szCs w:val="21"/>
          <w:color w:val="auto"/>
        </w:rPr>
      </w:pPr>
      <w:r>
        <w:rPr>
          <w:rFonts w:ascii="Arial" w:cs="Arial" w:eastAsia="Arial" w:hAnsi="Arial"/>
          <w:sz w:val="21"/>
          <w:szCs w:val="21"/>
          <w:color w:val="auto"/>
        </w:rPr>
        <w:t>a Stock Award in accordance with Section 6, or</w:t>
      </w:r>
    </w:p>
    <w:p>
      <w:pPr>
        <w:spacing w:after="0" w:line="209" w:lineRule="exact"/>
        <w:rPr>
          <w:rFonts w:ascii="Arial" w:cs="Arial" w:eastAsia="Arial" w:hAnsi="Arial"/>
          <w:sz w:val="21"/>
          <w:szCs w:val="21"/>
          <w:color w:val="auto"/>
        </w:rPr>
      </w:pPr>
    </w:p>
    <w:p>
      <w:pPr>
        <w:ind w:left="1740" w:hanging="579"/>
        <w:spacing w:after="0"/>
        <w:tabs>
          <w:tab w:leader="none" w:pos="1740" w:val="left"/>
        </w:tabs>
        <w:numPr>
          <w:ilvl w:val="2"/>
          <w:numId w:val="121"/>
        </w:numPr>
        <w:rPr>
          <w:rFonts w:ascii="Arial" w:cs="Arial" w:eastAsia="Arial" w:hAnsi="Arial"/>
          <w:sz w:val="21"/>
          <w:szCs w:val="21"/>
          <w:color w:val="auto"/>
        </w:rPr>
      </w:pPr>
      <w:r>
        <w:rPr>
          <w:rFonts w:ascii="Arial" w:cs="Arial" w:eastAsia="Arial" w:hAnsi="Arial"/>
          <w:sz w:val="21"/>
          <w:szCs w:val="21"/>
          <w:color w:val="auto"/>
        </w:rPr>
        <w:t>a combination of the foregoing.</w:t>
      </w:r>
    </w:p>
    <w:p>
      <w:pPr>
        <w:spacing w:after="0" w:line="209" w:lineRule="exact"/>
        <w:rPr>
          <w:rFonts w:ascii="Arial" w:cs="Arial" w:eastAsia="Arial" w:hAnsi="Arial"/>
          <w:sz w:val="21"/>
          <w:szCs w:val="21"/>
          <w:color w:val="auto"/>
        </w:rPr>
      </w:pPr>
    </w:p>
    <w:p>
      <w:pPr>
        <w:jc w:val="both"/>
        <w:ind w:firstLine="589"/>
        <w:spacing w:after="0" w:line="291" w:lineRule="auto"/>
        <w:tabs>
          <w:tab w:leader="none" w:pos="1460"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Employment for Plan Purposes</w:t>
      </w:r>
      <w:r>
        <w:rPr>
          <w:rFonts w:ascii="Arial" w:cs="Arial" w:eastAsia="Arial" w:hAnsi="Arial"/>
          <w:sz w:val="19"/>
          <w:szCs w:val="19"/>
          <w:color w:val="auto"/>
        </w:rPr>
        <w:t>. For purposes of the Plan, employment with the Company shall include employment with any subsidiary of the Company, and Awards granted under the Plan shall not be affected by an employee’s transfer of employment from the Company to a subsidiary, from a subsidiary to the Company or between subsidiaries of the Company.</w:t>
      </w:r>
    </w:p>
    <w:p>
      <w:pPr>
        <w:spacing w:after="0" w:line="134" w:lineRule="exact"/>
        <w:rPr>
          <w:rFonts w:ascii="Arial" w:cs="Arial" w:eastAsia="Arial" w:hAnsi="Arial"/>
          <w:sz w:val="19"/>
          <w:szCs w:val="19"/>
          <w:color w:val="auto"/>
        </w:rPr>
      </w:pPr>
    </w:p>
    <w:p>
      <w:pPr>
        <w:jc w:val="both"/>
        <w:ind w:firstLine="589"/>
        <w:spacing w:after="0" w:line="257" w:lineRule="auto"/>
        <w:tabs>
          <w:tab w:leader="none" w:pos="1448" w:val="left"/>
        </w:tabs>
        <w:numPr>
          <w:ilvl w:val="1"/>
          <w:numId w:val="121"/>
        </w:numPr>
        <w:rPr>
          <w:rFonts w:ascii="Arial" w:cs="Arial" w:eastAsia="Arial" w:hAnsi="Arial"/>
          <w:sz w:val="20"/>
          <w:szCs w:val="20"/>
          <w:color w:val="auto"/>
        </w:rPr>
      </w:pPr>
      <w:r>
        <w:rPr>
          <w:rFonts w:ascii="Arial" w:cs="Arial" w:eastAsia="Arial" w:hAnsi="Arial"/>
          <w:sz w:val="20"/>
          <w:szCs w:val="20"/>
          <w:u w:val="single" w:color="auto"/>
          <w:color w:val="auto"/>
        </w:rPr>
        <w:t>Payment of Purchase Price for Stock Options</w:t>
      </w:r>
      <w:r>
        <w:rPr>
          <w:rFonts w:ascii="Arial" w:cs="Arial" w:eastAsia="Arial" w:hAnsi="Arial"/>
          <w:sz w:val="20"/>
          <w:szCs w:val="20"/>
          <w:color w:val="auto"/>
        </w:rPr>
        <w:t>. The purchase price of the shares of Common Stock as to which a Stock Option is exercised shall be paid in full at the time of the exercise subject to such rules, procedures and restrictions as the Committee may prescribe from time to time: (i) in cash or by certified check; (ii) by the tender or delivery of shares of Common Stock; (iii) by authorizing the Company to withhold a number of shares of Common Stock otherwise deliverable on the exercise of the Stock Options, in either case, with a Fair Market Value (as determined according to Section 5(b) hereof) at the time of exercise equal to the total option price; or (iv) by a combination of the methods described in (i), (ii) and (iii).</w:t>
      </w:r>
    </w:p>
    <w:p>
      <w:pPr>
        <w:spacing w:after="0" w:line="162" w:lineRule="exact"/>
        <w:rPr>
          <w:rFonts w:ascii="Arial" w:cs="Arial" w:eastAsia="Arial" w:hAnsi="Arial"/>
          <w:sz w:val="20"/>
          <w:szCs w:val="20"/>
          <w:color w:val="auto"/>
        </w:rPr>
      </w:pPr>
    </w:p>
    <w:p>
      <w:pPr>
        <w:ind w:left="580" w:hanging="574"/>
        <w:spacing w:after="0"/>
        <w:tabs>
          <w:tab w:leader="none" w:pos="580"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color w:val="auto"/>
        </w:rPr>
        <w:t>Shares of Common Stock Subject to the Plan</w:t>
      </w:r>
    </w:p>
    <w:p>
      <w:pPr>
        <w:spacing w:after="0" w:line="216"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20"/>
          <w:szCs w:val="20"/>
          <w:color w:val="auto"/>
        </w:rPr>
        <w:t>Subject to adjustment as provided in Section 8 hereof, there shall be subject to the Plan 10,000,000 shares of Common Stock. All of the shares of Common Stock authorized for issuance may be issued pursuant to Stock Options, including “incentive stock options” for purposes of Section 422 of the Code. No more than 1,500,000 shares of Common Stock of the shares authorized shall be available for the Stock Awards. The shares of Common Stock subject to the Plan shall consist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39" w:name="page140"/>
    <w:bookmarkEnd w:id="139"/>
    <w:p>
      <w:pPr>
        <w:jc w:val="both"/>
        <w:spacing w:after="0" w:line="263" w:lineRule="auto"/>
        <w:rPr>
          <w:sz w:val="20"/>
          <w:szCs w:val="20"/>
          <w:color w:val="auto"/>
        </w:rPr>
      </w:pPr>
      <w:r>
        <w:rPr>
          <w:rFonts w:ascii="Arial" w:cs="Arial" w:eastAsia="Arial" w:hAnsi="Arial"/>
          <w:sz w:val="20"/>
          <w:szCs w:val="20"/>
          <w:color w:val="auto"/>
        </w:rPr>
        <w:t>authorized and unissued shares or previously-issued shares reacquired and held by the Company or any subsidiary. Until termination of the Plan, the Company shall at all times make available a sufficient number of shares of Common Stock to meet the requirements of the Plan. After termination of the Plan, the number of shares of Common Stock reserved for purposes of the Plan from time to time shall be only such number of shares of Common Stock as are issuable under then outstanding Awards.</w:t>
      </w:r>
    </w:p>
    <w:p>
      <w:pPr>
        <w:spacing w:after="0" w:line="160" w:lineRule="exact"/>
        <w:rPr>
          <w:sz w:val="20"/>
          <w:szCs w:val="20"/>
          <w:color w:val="auto"/>
        </w:rPr>
      </w:pPr>
    </w:p>
    <w:p>
      <w:pPr>
        <w:jc w:val="both"/>
        <w:ind w:firstLine="583"/>
        <w:spacing w:after="0" w:line="267" w:lineRule="auto"/>
        <w:rPr>
          <w:sz w:val="20"/>
          <w:szCs w:val="20"/>
          <w:color w:val="auto"/>
        </w:rPr>
      </w:pPr>
      <w:r>
        <w:rPr>
          <w:rFonts w:ascii="Arial" w:cs="Arial" w:eastAsia="Arial" w:hAnsi="Arial"/>
          <w:sz w:val="19"/>
          <w:szCs w:val="19"/>
          <w:color w:val="auto"/>
        </w:rPr>
        <w:t>The number of shares of Common Stock that are the subject of Awards under the Plan that are forfeited or terminated or expire unexercised shall not count against the aggregate plan maximum and shall again immediately become available for grants hereunder. Shares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(“NYSE”) for equity compensation plans applies. The Committee may from time to time adopt and observe such rules and procedures concerning the counting of shares of Common Stock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53" w:lineRule="exact"/>
        <w:rPr>
          <w:sz w:val="20"/>
          <w:szCs w:val="20"/>
          <w:color w:val="auto"/>
        </w:rPr>
      </w:pPr>
    </w:p>
    <w:p>
      <w:pPr>
        <w:ind w:left="580" w:hanging="574"/>
        <w:spacing w:after="0"/>
        <w:tabs>
          <w:tab w:leader="none" w:pos="580" w:val="left"/>
        </w:tabs>
        <w:numPr>
          <w:ilvl w:val="0"/>
          <w:numId w:val="122"/>
        </w:numPr>
        <w:rPr>
          <w:rFonts w:ascii="Arial" w:cs="Arial" w:eastAsia="Arial" w:hAnsi="Arial"/>
          <w:sz w:val="21"/>
          <w:szCs w:val="21"/>
          <w:b w:val="1"/>
          <w:bCs w:val="1"/>
          <w:color w:val="auto"/>
        </w:rPr>
      </w:pPr>
      <w:r>
        <w:rPr>
          <w:rFonts w:ascii="Arial" w:cs="Arial" w:eastAsia="Arial" w:hAnsi="Arial"/>
          <w:sz w:val="21"/>
          <w:szCs w:val="21"/>
          <w:b w:val="1"/>
          <w:bCs w:val="1"/>
          <w:color w:val="auto"/>
        </w:rPr>
        <w:t>Terms of Stock Options</w:t>
      </w:r>
    </w:p>
    <w:p>
      <w:pPr>
        <w:spacing w:after="0" w:line="215" w:lineRule="exact"/>
        <w:rPr>
          <w:rFonts w:ascii="Arial" w:cs="Arial" w:eastAsia="Arial" w:hAnsi="Arial"/>
          <w:sz w:val="21"/>
          <w:szCs w:val="21"/>
          <w:b w:val="1"/>
          <w:bCs w:val="1"/>
          <w:color w:val="auto"/>
        </w:rPr>
      </w:pPr>
    </w:p>
    <w:p>
      <w:pPr>
        <w:jc w:val="both"/>
        <w:ind w:firstLine="589"/>
        <w:spacing w:after="0" w:line="253" w:lineRule="auto"/>
        <w:tabs>
          <w:tab w:leader="none" w:pos="1448" w:val="left"/>
        </w:tabs>
        <w:numPr>
          <w:ilvl w:val="1"/>
          <w:numId w:val="122"/>
        </w:numPr>
        <w:rPr>
          <w:rFonts w:ascii="Arial" w:cs="Arial" w:eastAsia="Arial" w:hAnsi="Arial"/>
          <w:sz w:val="20"/>
          <w:szCs w:val="20"/>
          <w:color w:val="auto"/>
        </w:rPr>
      </w:pPr>
      <w:r>
        <w:rPr>
          <w:rFonts w:ascii="Arial" w:cs="Arial" w:eastAsia="Arial" w:hAnsi="Arial"/>
          <w:sz w:val="20"/>
          <w:szCs w:val="20"/>
          <w:u w:val="single" w:color="auto"/>
          <w:color w:val="auto"/>
        </w:rPr>
        <w:t>Incentive Stock Options</w:t>
      </w:r>
      <w:r>
        <w:rPr>
          <w:rFonts w:ascii="Arial" w:cs="Arial" w:eastAsia="Arial" w:hAnsi="Arial"/>
          <w:sz w:val="20"/>
          <w:szCs w:val="20"/>
          <w:color w:val="auto"/>
        </w:rPr>
        <w:t xml:space="preserve">. The Committee may designate a Stock Option as an “incentive stock option” for purposes of Section 422 of the Code, and any Stock Option that is not so designated shall not be an incentive stock option. Stock Options granted under this Plan that are designated as “incentive stock options” may be granted with respect to any number of shares of Common Stock, up to the full number of shares of Common Stock subject to the Plan, provided that the aggregate Fair Market Value of such shares of Common Stock (determined in accordance with Section 5(b) below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of Common Stock with respect to which incentive stock options (determined without regard to this subsection) are exercisable for </w:t>
      </w:r>
      <w:r>
        <w:rPr>
          <w:rFonts w:ascii="Arial" w:cs="Arial" w:eastAsia="Arial" w:hAnsi="Arial"/>
          <w:sz w:val="18"/>
          <w:szCs w:val="18"/>
          <w:color w:val="auto"/>
        </w:rPr>
        <w:t>the first time by any employee during any</w:t>
      </w:r>
      <w:r>
        <w:rPr>
          <w:rFonts w:ascii="Arial" w:cs="Arial" w:eastAsia="Arial" w:hAnsi="Arial"/>
          <w:sz w:val="20"/>
          <w:szCs w:val="20"/>
          <w:color w:val="auto"/>
        </w:rPr>
        <w:t xml:space="preserve"> </w:t>
      </w:r>
      <w:r>
        <w:rPr>
          <w:rFonts w:ascii="Arial" w:cs="Arial" w:eastAsia="Arial" w:hAnsi="Arial"/>
          <w:sz w:val="18"/>
          <w:szCs w:val="18"/>
          <w:color w:val="auto"/>
        </w:rPr>
        <w:t>calendar year (under all plans of the employer corporation and its parent and subsidiaries) exceeds $100,000, such options shall be treated as options which are not incentive stock options.</w:t>
      </w:r>
    </w:p>
    <w:p>
      <w:pPr>
        <w:spacing w:after="0" w:line="175" w:lineRule="exact"/>
        <w:rPr>
          <w:rFonts w:ascii="Arial" w:cs="Arial" w:eastAsia="Arial" w:hAnsi="Arial"/>
          <w:sz w:val="20"/>
          <w:szCs w:val="20"/>
          <w:color w:val="auto"/>
        </w:rPr>
      </w:pPr>
    </w:p>
    <w:p>
      <w:pPr>
        <w:jc w:val="both"/>
        <w:ind w:firstLine="589"/>
        <w:spacing w:after="0" w:line="244" w:lineRule="auto"/>
        <w:tabs>
          <w:tab w:leader="none" w:pos="1460" w:val="left"/>
        </w:tabs>
        <w:numPr>
          <w:ilvl w:val="1"/>
          <w:numId w:val="122"/>
        </w:numPr>
        <w:rPr>
          <w:rFonts w:ascii="Arial" w:cs="Arial" w:eastAsia="Arial" w:hAnsi="Arial"/>
          <w:sz w:val="21"/>
          <w:szCs w:val="21"/>
          <w:color w:val="auto"/>
        </w:rPr>
      </w:pPr>
      <w:r>
        <w:rPr>
          <w:rFonts w:ascii="Arial" w:cs="Arial" w:eastAsia="Arial" w:hAnsi="Arial"/>
          <w:sz w:val="21"/>
          <w:szCs w:val="21"/>
          <w:u w:val="single" w:color="auto"/>
          <w:color w:val="auto"/>
        </w:rPr>
        <w:t>Purchase Price; Fair Market Value</w:t>
      </w:r>
      <w:r>
        <w:rPr>
          <w:rFonts w:ascii="Arial" w:cs="Arial" w:eastAsia="Arial" w:hAnsi="Arial"/>
          <w:sz w:val="21"/>
          <w:szCs w:val="21"/>
          <w:color w:val="auto"/>
        </w:rPr>
        <w:t>. The purchase price of each share of Common Stock subject to a Stock Option shall be determined by the Committee prior to granting a Stock Option. The Committee shall set the purchase price for each share of Common Stock at either the fair market value (the “Fair Market Value”) of each share of Common Stock on the date the Stock Option is granted, or at such other price as the Committee in its sole discretion shall determine, but not less than one hundred percent (100%) of such Fair Market Value. After it is granted, no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40" w:name="page141"/>
    <w:bookmarkEnd w:id="140"/>
    <w:p>
      <w:pPr>
        <w:jc w:val="both"/>
        <w:spacing w:after="0" w:line="242" w:lineRule="auto"/>
        <w:rPr>
          <w:sz w:val="20"/>
          <w:szCs w:val="20"/>
          <w:color w:val="auto"/>
        </w:rPr>
      </w:pPr>
      <w:r>
        <w:rPr>
          <w:rFonts w:ascii="Arial" w:cs="Arial" w:eastAsia="Arial" w:hAnsi="Arial"/>
          <w:sz w:val="21"/>
          <w:szCs w:val="21"/>
          <w:color w:val="auto"/>
        </w:rPr>
        <w:t>Option may be amended to decrease the purchase price, no Stock Option may be granted in substitution for an outstanding Stock Option with a purchase price lower than the purchase price of an outstanding Stock Option and no Stock Option may be otherwise repriced directly or indirectly. The Fair Market Value of a share of Common Stock on a particular date shall be deemed to be the mean between the highest and lowest composite sales price per share of the Common Stock in the NYSE Composite Transactions Quotations, as reported for that date, or, if there is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180" w:lineRule="exact"/>
        <w:rPr>
          <w:sz w:val="20"/>
          <w:szCs w:val="20"/>
          <w:color w:val="auto"/>
        </w:rPr>
      </w:pPr>
    </w:p>
    <w:p>
      <w:pPr>
        <w:jc w:val="both"/>
        <w:ind w:firstLine="589"/>
        <w:spacing w:after="0" w:line="274" w:lineRule="auto"/>
        <w:tabs>
          <w:tab w:leader="none" w:pos="1448"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Permitted Restriction on Transfer of Option shares of Common Stock</w:t>
      </w:r>
      <w:r>
        <w:rPr>
          <w:rFonts w:ascii="Arial" w:cs="Arial" w:eastAsia="Arial" w:hAnsi="Arial"/>
          <w:sz w:val="19"/>
          <w:szCs w:val="19"/>
          <w:color w:val="auto"/>
        </w:rPr>
        <w:t>. At the time of the grant of a Stock Option, the Committee may determine that the shares of Common Stock covered by such option shall be restricted as to transferability when and if such shares of Common Stock are delivered upon exercise. If so restricted, such shares of Common Stock shall not be sold, transferred or disposed of in any manner, and such shares of Common Stock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 of Common Stock.</w:t>
      </w:r>
    </w:p>
    <w:p>
      <w:pPr>
        <w:spacing w:after="0" w:line="149" w:lineRule="exact"/>
        <w:rPr>
          <w:rFonts w:ascii="Arial" w:cs="Arial" w:eastAsia="Arial" w:hAnsi="Arial"/>
          <w:sz w:val="19"/>
          <w:szCs w:val="19"/>
          <w:color w:val="auto"/>
        </w:rPr>
      </w:pPr>
    </w:p>
    <w:p>
      <w:pPr>
        <w:ind w:left="1460" w:hanging="871"/>
        <w:spacing w:after="0"/>
        <w:tabs>
          <w:tab w:leader="none" w:pos="146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Terms Related to Exercise</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580" w:firstLine="563"/>
        <w:spacing w:after="0" w:line="270" w:lineRule="auto"/>
        <w:tabs>
          <w:tab w:leader="none" w:pos="1971" w:val="left"/>
        </w:tabs>
        <w:numPr>
          <w:ilvl w:val="1"/>
          <w:numId w:val="123"/>
        </w:numPr>
        <w:rPr>
          <w:rFonts w:ascii="Arial" w:cs="Arial" w:eastAsia="Arial" w:hAnsi="Arial"/>
          <w:sz w:val="20"/>
          <w:szCs w:val="20"/>
          <w:color w:val="auto"/>
        </w:rPr>
      </w:pPr>
      <w:r>
        <w:rPr>
          <w:rFonts w:ascii="Arial" w:cs="Arial" w:eastAsia="Arial" w:hAnsi="Arial"/>
          <w:sz w:val="20"/>
          <w:szCs w:val="20"/>
          <w:i w:val="1"/>
          <w:iCs w:val="1"/>
          <w:color w:val="auto"/>
        </w:rPr>
        <w:t>Exercise Schedule</w:t>
      </w:r>
      <w:r>
        <w:rPr>
          <w:rFonts w:ascii="Arial" w:cs="Arial" w:eastAsia="Arial" w:hAnsi="Arial"/>
          <w:sz w:val="20"/>
          <w:szCs w:val="20"/>
          <w:color w:val="auto"/>
        </w:rPr>
        <w:t>. Subject to the requirements of paragraphs (A) and (B) below, each Stock Option granted</w:t>
      </w:r>
      <w:r>
        <w:rPr>
          <w:rFonts w:ascii="Arial" w:cs="Arial" w:eastAsia="Arial" w:hAnsi="Arial"/>
          <w:sz w:val="20"/>
          <w:szCs w:val="20"/>
          <w:i w:val="1"/>
          <w:iCs w:val="1"/>
          <w:color w:val="auto"/>
        </w:rPr>
        <w:t xml:space="preserve"> </w:t>
      </w:r>
      <w:r>
        <w:rPr>
          <w:rFonts w:ascii="Arial" w:cs="Arial" w:eastAsia="Arial" w:hAnsi="Arial"/>
          <w:sz w:val="20"/>
          <w:szCs w:val="20"/>
          <w:color w:val="auto"/>
        </w:rPr>
        <w:t>hereunder shall be exercisable in one or more installments (annual or other) on such date or dates as the Committee may in its sole discretion determine and communicate to the optionee in communicating the grant of the option.</w:t>
      </w:r>
    </w:p>
    <w:p>
      <w:pPr>
        <w:spacing w:after="0" w:line="153" w:lineRule="exact"/>
        <w:rPr>
          <w:rFonts w:ascii="Arial" w:cs="Arial" w:eastAsia="Arial" w:hAnsi="Arial"/>
          <w:sz w:val="20"/>
          <w:szCs w:val="20"/>
          <w:color w:val="auto"/>
        </w:rPr>
      </w:pPr>
    </w:p>
    <w:p>
      <w:pPr>
        <w:jc w:val="both"/>
        <w:ind w:left="1180" w:firstLine="517"/>
        <w:spacing w:after="0" w:line="252" w:lineRule="auto"/>
        <w:tabs>
          <w:tab w:leader="none" w:pos="2630" w:val="left"/>
        </w:tabs>
        <w:numPr>
          <w:ilvl w:val="2"/>
          <w:numId w:val="123"/>
        </w:numPr>
        <w:rPr>
          <w:rFonts w:ascii="Arial" w:cs="Arial" w:eastAsia="Arial" w:hAnsi="Arial"/>
          <w:sz w:val="21"/>
          <w:szCs w:val="21"/>
          <w:color w:val="auto"/>
        </w:rPr>
      </w:pPr>
      <w:r>
        <w:rPr>
          <w:rFonts w:ascii="Arial" w:cs="Arial" w:eastAsia="Arial" w:hAnsi="Arial"/>
          <w:sz w:val="21"/>
          <w:szCs w:val="21"/>
          <w:color w:val="auto"/>
        </w:rPr>
        <w:t>No Stock Option may be exercised after the expiration of ten (10) years from the date such option is granted (the maximum term established by the Committee with respect to a particular Stock Option is hereinafter referred to as the “Option Period”).</w:t>
      </w:r>
    </w:p>
    <w:p>
      <w:pPr>
        <w:spacing w:after="0" w:line="168" w:lineRule="exact"/>
        <w:rPr>
          <w:rFonts w:ascii="Arial" w:cs="Arial" w:eastAsia="Arial" w:hAnsi="Arial"/>
          <w:sz w:val="21"/>
          <w:szCs w:val="21"/>
          <w:color w:val="auto"/>
        </w:rPr>
      </w:pPr>
    </w:p>
    <w:p>
      <w:pPr>
        <w:jc w:val="both"/>
        <w:ind w:left="1180" w:firstLine="517"/>
        <w:spacing w:after="0" w:line="242" w:lineRule="auto"/>
        <w:tabs>
          <w:tab w:leader="none" w:pos="2618" w:val="left"/>
        </w:tabs>
        <w:numPr>
          <w:ilvl w:val="2"/>
          <w:numId w:val="123"/>
        </w:numPr>
        <w:rPr>
          <w:rFonts w:ascii="Arial" w:cs="Arial" w:eastAsia="Arial" w:hAnsi="Arial"/>
          <w:sz w:val="21"/>
          <w:szCs w:val="21"/>
          <w:color w:val="auto"/>
        </w:rPr>
      </w:pPr>
      <w:r>
        <w:rPr>
          <w:rFonts w:ascii="Arial" w:cs="Arial" w:eastAsia="Arial" w:hAnsi="Arial"/>
          <w:sz w:val="21"/>
          <w:szCs w:val="21"/>
          <w:color w:val="auto"/>
        </w:rPr>
        <w:t xml:space="preserve">Except in the case of death or disability (as described in Section 5(d)(iv)(B) or 5(d)(v)(B)), no Stock Option shall vest or become exercisable with respect to any portion of the shares of Common Stock thereunder unless and until the recipient remains in the employment of the Company or a subsidiary for a </w:t>
      </w:r>
      <w:r>
        <w:rPr>
          <w:rFonts w:ascii="Arial" w:cs="Arial" w:eastAsia="Arial" w:hAnsi="Arial"/>
          <w:sz w:val="19"/>
          <w:szCs w:val="19"/>
          <w:color w:val="auto"/>
        </w:rPr>
        <w:t>period of at least one (1) year from</w:t>
      </w:r>
      <w:r>
        <w:rPr>
          <w:rFonts w:ascii="Arial" w:cs="Arial" w:eastAsia="Arial" w:hAnsi="Arial"/>
          <w:sz w:val="21"/>
          <w:szCs w:val="21"/>
          <w:color w:val="auto"/>
        </w:rPr>
        <w:t xml:space="preserve"> </w:t>
      </w:r>
      <w:r>
        <w:rPr>
          <w:rFonts w:ascii="Arial" w:cs="Arial" w:eastAsia="Arial" w:hAnsi="Arial"/>
          <w:sz w:val="19"/>
          <w:szCs w:val="19"/>
          <w:color w:val="auto"/>
        </w:rPr>
        <w:t>the date of grant of the option (which provision shall not be construed to impair in any way the right of the Company or subsidiary to terminate such employment).</w:t>
      </w:r>
    </w:p>
    <w:p>
      <w:pPr>
        <w:spacing w:after="0" w:line="186" w:lineRule="exact"/>
        <w:rPr>
          <w:rFonts w:ascii="Arial" w:cs="Arial" w:eastAsia="Arial" w:hAnsi="Arial"/>
          <w:sz w:val="21"/>
          <w:szCs w:val="21"/>
          <w:color w:val="auto"/>
        </w:rPr>
      </w:pPr>
    </w:p>
    <w:p>
      <w:pPr>
        <w:jc w:val="both"/>
        <w:ind w:left="580" w:firstLine="563"/>
        <w:spacing w:after="0" w:line="252" w:lineRule="auto"/>
        <w:tabs>
          <w:tab w:leader="none" w:pos="2030" w:val="left"/>
        </w:tabs>
        <w:numPr>
          <w:ilvl w:val="1"/>
          <w:numId w:val="123"/>
        </w:numPr>
        <w:rPr>
          <w:rFonts w:ascii="Arial" w:cs="Arial" w:eastAsia="Arial" w:hAnsi="Arial"/>
          <w:sz w:val="21"/>
          <w:szCs w:val="21"/>
          <w:color w:val="auto"/>
        </w:rPr>
      </w:pPr>
      <w:r>
        <w:rPr>
          <w:rFonts w:ascii="Arial" w:cs="Arial" w:eastAsia="Arial" w:hAnsi="Arial"/>
          <w:sz w:val="21"/>
          <w:szCs w:val="21"/>
          <w:i w:val="1"/>
          <w:iCs w:val="1"/>
          <w:color w:val="auto"/>
        </w:rPr>
        <w:t>Cumulative Exercise Rights</w:t>
      </w:r>
      <w:r>
        <w:rPr>
          <w:rFonts w:ascii="Arial" w:cs="Arial" w:eastAsia="Arial" w:hAnsi="Arial"/>
          <w:sz w:val="21"/>
          <w:szCs w:val="21"/>
          <w:color w:val="auto"/>
        </w:rPr>
        <w:t>. The right to purchase shares of Common Stock shall be cumulative so that when</w:t>
      </w:r>
      <w:r>
        <w:rPr>
          <w:rFonts w:ascii="Arial" w:cs="Arial" w:eastAsia="Arial" w:hAnsi="Arial"/>
          <w:sz w:val="21"/>
          <w:szCs w:val="21"/>
          <w:i w:val="1"/>
          <w:iCs w:val="1"/>
          <w:color w:val="auto"/>
        </w:rPr>
        <w:t xml:space="preserve"> </w:t>
      </w:r>
      <w:r>
        <w:rPr>
          <w:rFonts w:ascii="Arial" w:cs="Arial" w:eastAsia="Arial" w:hAnsi="Arial"/>
          <w:sz w:val="21"/>
          <w:szCs w:val="21"/>
          <w:color w:val="auto"/>
        </w:rPr>
        <w:t>the right to purchase any shares of Common Stock has accrued, such shares of Common Stock or any part thereof may be purchased at any time thereafter until the expiration or termination of the Stock Option.</w:t>
      </w:r>
    </w:p>
    <w:p>
      <w:pPr>
        <w:spacing w:after="0" w:line="168" w:lineRule="exact"/>
        <w:rPr>
          <w:rFonts w:ascii="Arial" w:cs="Arial" w:eastAsia="Arial" w:hAnsi="Arial"/>
          <w:sz w:val="21"/>
          <w:szCs w:val="21"/>
          <w:color w:val="auto"/>
        </w:rPr>
      </w:pPr>
    </w:p>
    <w:p>
      <w:pPr>
        <w:ind w:left="2100" w:hanging="957"/>
        <w:spacing w:after="0"/>
        <w:tabs>
          <w:tab w:leader="none" w:pos="2100" w:val="left"/>
        </w:tabs>
        <w:numPr>
          <w:ilvl w:val="1"/>
          <w:numId w:val="123"/>
        </w:numPr>
        <w:rPr>
          <w:rFonts w:ascii="Arial" w:cs="Arial" w:eastAsia="Arial" w:hAnsi="Arial"/>
          <w:sz w:val="21"/>
          <w:szCs w:val="21"/>
          <w:color w:val="auto"/>
        </w:rPr>
      </w:pPr>
      <w:r>
        <w:rPr>
          <w:rFonts w:ascii="Arial" w:cs="Arial" w:eastAsia="Arial" w:hAnsi="Arial"/>
          <w:sz w:val="21"/>
          <w:szCs w:val="21"/>
          <w:i w:val="1"/>
          <w:iCs w:val="1"/>
          <w:color w:val="auto"/>
        </w:rPr>
        <w:t>Reload</w:t>
      </w:r>
      <w:r>
        <w:rPr>
          <w:rFonts w:ascii="Arial" w:cs="Arial" w:eastAsia="Arial" w:hAnsi="Arial"/>
          <w:sz w:val="21"/>
          <w:szCs w:val="21"/>
          <w:color w:val="auto"/>
        </w:rPr>
        <w:t>. No Stock Option may include provisions that “reload” the option upon exercise.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41" w:name="page142"/>
    <w:bookmarkEnd w:id="141"/>
    <w:p>
      <w:pPr>
        <w:ind w:left="937" w:hanging="937"/>
        <w:spacing w:after="0"/>
        <w:tabs>
          <w:tab w:leader="none" w:pos="937" w:val="left"/>
        </w:tabs>
        <w:numPr>
          <w:ilvl w:val="0"/>
          <w:numId w:val="124"/>
        </w:numPr>
        <w:rPr>
          <w:rFonts w:ascii="Arial" w:cs="Arial" w:eastAsia="Arial" w:hAnsi="Arial"/>
          <w:sz w:val="21"/>
          <w:szCs w:val="21"/>
          <w:color w:val="auto"/>
        </w:rPr>
      </w:pPr>
      <w:r>
        <w:rPr>
          <w:rFonts w:ascii="Arial" w:cs="Arial" w:eastAsia="Arial" w:hAnsi="Arial"/>
          <w:sz w:val="21"/>
          <w:szCs w:val="21"/>
          <w:i w:val="1"/>
          <w:iCs w:val="1"/>
          <w:color w:val="auto"/>
        </w:rPr>
        <w:t>Termination of Employment and Subsequent Events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37" w:firstLine="517"/>
        <w:spacing w:after="0" w:line="260" w:lineRule="auto"/>
        <w:tabs>
          <w:tab w:leader="none" w:pos="1487" w:val="left"/>
        </w:tabs>
        <w:numPr>
          <w:ilvl w:val="2"/>
          <w:numId w:val="124"/>
        </w:numPr>
        <w:rPr>
          <w:rFonts w:ascii="Arial" w:cs="Arial" w:eastAsia="Arial" w:hAnsi="Arial"/>
          <w:sz w:val="20"/>
          <w:szCs w:val="20"/>
          <w:color w:val="auto"/>
        </w:rPr>
      </w:pPr>
      <w:r>
        <w:rPr>
          <w:rFonts w:ascii="Arial" w:cs="Arial" w:eastAsia="Arial" w:hAnsi="Arial"/>
          <w:sz w:val="20"/>
          <w:szCs w:val="20"/>
          <w:color w:val="auto"/>
        </w:rPr>
        <w:t>If the optionee’s employment with the Company or any subsidiary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161" w:lineRule="exact"/>
        <w:rPr>
          <w:rFonts w:ascii="Arial" w:cs="Arial" w:eastAsia="Arial" w:hAnsi="Arial"/>
          <w:sz w:val="20"/>
          <w:szCs w:val="20"/>
          <w:color w:val="auto"/>
        </w:rPr>
      </w:pPr>
    </w:p>
    <w:p>
      <w:pPr>
        <w:jc w:val="both"/>
        <w:ind w:left="37" w:firstLine="517"/>
        <w:spacing w:after="0" w:line="244" w:lineRule="auto"/>
        <w:tabs>
          <w:tab w:leader="none" w:pos="1476" w:val="left"/>
        </w:tabs>
        <w:numPr>
          <w:ilvl w:val="2"/>
          <w:numId w:val="124"/>
        </w:numPr>
        <w:rPr>
          <w:rFonts w:ascii="Arial" w:cs="Arial" w:eastAsia="Arial" w:hAnsi="Arial"/>
          <w:sz w:val="21"/>
          <w:szCs w:val="21"/>
          <w:color w:val="auto"/>
        </w:rPr>
      </w:pPr>
      <w:r>
        <w:rPr>
          <w:rFonts w:ascii="Arial" w:cs="Arial" w:eastAsia="Arial" w:hAnsi="Arial"/>
          <w:sz w:val="21"/>
          <w:szCs w:val="21"/>
          <w:color w:val="auto"/>
        </w:rPr>
        <w:t>In the event an optionee dies while in the employ of the Company or any subsidiary,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179" w:lineRule="exact"/>
        <w:rPr>
          <w:rFonts w:ascii="Arial" w:cs="Arial" w:eastAsia="Arial" w:hAnsi="Arial"/>
          <w:sz w:val="21"/>
          <w:szCs w:val="21"/>
          <w:color w:val="auto"/>
        </w:rPr>
      </w:pPr>
    </w:p>
    <w:p>
      <w:pPr>
        <w:jc w:val="both"/>
        <w:ind w:left="37" w:firstLine="517"/>
        <w:spacing w:after="0" w:line="266" w:lineRule="auto"/>
        <w:tabs>
          <w:tab w:leader="none" w:pos="1476" w:val="left"/>
        </w:tabs>
        <w:numPr>
          <w:ilvl w:val="2"/>
          <w:numId w:val="124"/>
        </w:numPr>
        <w:rPr>
          <w:rFonts w:ascii="Arial" w:cs="Arial" w:eastAsia="Arial" w:hAnsi="Arial"/>
          <w:sz w:val="19"/>
          <w:szCs w:val="19"/>
          <w:color w:val="auto"/>
        </w:rPr>
      </w:pPr>
      <w:r>
        <w:rPr>
          <w:rFonts w:ascii="Arial" w:cs="Arial" w:eastAsia="Arial" w:hAnsi="Arial"/>
          <w:sz w:val="19"/>
          <w:szCs w:val="19"/>
          <w:color w:val="auto"/>
        </w:rPr>
        <w:t>In the event an optionee dies after termination of employment but prior to the exercise in full of any Stock Option which was exercisable on the date of such termination, such option may be exercised by the person or persons entitled thereto under the optionee’s will or the laws of descent and distribution during the Post-Death Exercise Period but only to the extent exercisable by the optionee at the date of death. For purposes of this Section 5(d)(iv)(C), the Post- Death Exercise Period shall commence on the date of the optionee’s termination of employment and shall end sixty</w:t>
      </w:r>
    </w:p>
    <w:p>
      <w:pPr>
        <w:spacing w:after="0" w:line="1" w:lineRule="exact"/>
        <w:rPr>
          <w:rFonts w:ascii="Arial" w:cs="Arial" w:eastAsia="Arial" w:hAnsi="Arial"/>
          <w:sz w:val="19"/>
          <w:szCs w:val="19"/>
          <w:color w:val="auto"/>
        </w:rPr>
      </w:pPr>
    </w:p>
    <w:p>
      <w:pPr>
        <w:ind w:left="437" w:hanging="406"/>
        <w:spacing w:after="0"/>
        <w:tabs>
          <w:tab w:leader="none" w:pos="437" w:val="left"/>
        </w:tabs>
        <w:numPr>
          <w:ilvl w:val="1"/>
          <w:numId w:val="124"/>
        </w:numPr>
        <w:rPr>
          <w:rFonts w:ascii="Arial" w:cs="Arial" w:eastAsia="Arial" w:hAnsi="Arial"/>
          <w:sz w:val="21"/>
          <w:szCs w:val="21"/>
          <w:color w:val="auto"/>
        </w:rPr>
      </w:pPr>
      <w:r>
        <w:rPr>
          <w:rFonts w:ascii="Arial" w:cs="Arial" w:eastAsia="Arial" w:hAnsi="Arial"/>
          <w:sz w:val="21"/>
          <w:szCs w:val="21"/>
          <w:color w:val="auto"/>
        </w:rPr>
        <w:t>months thereafter or the remainder of the Option Period whichever is less.</w:t>
      </w:r>
    </w:p>
    <w:p>
      <w:pPr>
        <w:spacing w:after="0" w:line="191" w:lineRule="exact"/>
        <w:rPr>
          <w:rFonts w:ascii="Arial" w:cs="Arial" w:eastAsia="Arial" w:hAnsi="Arial"/>
          <w:sz w:val="21"/>
          <w:szCs w:val="21"/>
          <w:color w:val="auto"/>
        </w:rPr>
      </w:pPr>
    </w:p>
    <w:p>
      <w:pPr>
        <w:jc w:val="both"/>
        <w:ind w:left="37" w:firstLine="517"/>
        <w:spacing w:after="0" w:line="244" w:lineRule="auto"/>
        <w:tabs>
          <w:tab w:leader="none" w:pos="1487" w:val="left"/>
        </w:tabs>
        <w:numPr>
          <w:ilvl w:val="2"/>
          <w:numId w:val="125"/>
        </w:numPr>
        <w:rPr>
          <w:rFonts w:ascii="Arial" w:cs="Arial" w:eastAsia="Arial" w:hAnsi="Arial"/>
          <w:sz w:val="21"/>
          <w:szCs w:val="21"/>
          <w:color w:val="auto"/>
        </w:rPr>
      </w:pPr>
      <w:r>
        <w:rPr>
          <w:rFonts w:ascii="Arial" w:cs="Arial" w:eastAsia="Arial" w:hAnsi="Arial"/>
          <w:sz w:val="21"/>
          <w:szCs w:val="21"/>
          <w:color w:val="auto"/>
        </w:rPr>
        <w:t>If the optionee’s employment with the Company or any subsidiary is terminated without the consent of the Company for any reason other than the death of the optionee, or if the optionee’s employment with the Company or any subsidiary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79" w:lineRule="exact"/>
        <w:rPr>
          <w:rFonts w:ascii="Arial" w:cs="Arial" w:eastAsia="Arial" w:hAnsi="Arial"/>
          <w:sz w:val="21"/>
          <w:szCs w:val="21"/>
          <w:color w:val="auto"/>
        </w:rPr>
      </w:pPr>
    </w:p>
    <w:p>
      <w:pPr>
        <w:jc w:val="both"/>
        <w:ind w:left="37" w:firstLine="517"/>
        <w:spacing w:after="0" w:line="268" w:lineRule="auto"/>
        <w:tabs>
          <w:tab w:leader="none" w:pos="1464" w:val="left"/>
        </w:tabs>
        <w:numPr>
          <w:ilvl w:val="2"/>
          <w:numId w:val="125"/>
        </w:numPr>
        <w:rPr>
          <w:rFonts w:ascii="Arial" w:cs="Arial" w:eastAsia="Arial" w:hAnsi="Arial"/>
          <w:sz w:val="19"/>
          <w:szCs w:val="19"/>
          <w:color w:val="auto"/>
        </w:rPr>
      </w:pPr>
      <w:r>
        <w:rPr>
          <w:rFonts w:ascii="Arial" w:cs="Arial" w:eastAsia="Arial" w:hAnsi="Arial"/>
          <w:sz w:val="19"/>
          <w:szCs w:val="19"/>
          <w:color w:val="auto"/>
        </w:rPr>
        <w:t>Notwithstanding the foregoing, if the optionee engages in “detrimental activity” (as defined below in this subclause)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(which are addressed below in Section 5(d)(v)(D)), the Committee, in its discretion, may rescind any option exercise made within the period commencing six months preceding the date of the optionee’s termination of employment and ending three months following such termination. For purposes of the Plan,</w:t>
      </w:r>
    </w:p>
    <w:p>
      <w:pPr>
        <w:spacing w:after="0" w:line="157" w:lineRule="exact"/>
        <w:rPr>
          <w:sz w:val="20"/>
          <w:szCs w:val="20"/>
          <w:color w:val="auto"/>
        </w:rPr>
      </w:pPr>
    </w:p>
    <w:p>
      <w:pPr>
        <w:ind w:left="4457"/>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66675</wp:posOffset>
            </wp:positionV>
            <wp:extent cx="729107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77"/>
          </w:cols>
          <w:pgMar w:left="1383" w:top="556" w:right="239" w:bottom="1440" w:gutter="0" w:footer="0" w:header="0"/>
        </w:sectPr>
      </w:pPr>
    </w:p>
    <w:bookmarkStart w:id="142" w:name="page143"/>
    <w:bookmarkEnd w:id="142"/>
    <w:p>
      <w:pPr>
        <w:jc w:val="both"/>
        <w:ind w:left="37"/>
        <w:spacing w:after="0" w:line="253" w:lineRule="auto"/>
        <w:rPr>
          <w:sz w:val="20"/>
          <w:szCs w:val="20"/>
          <w:color w:val="auto"/>
        </w:rPr>
      </w:pPr>
      <w:r>
        <w:rPr>
          <w:rFonts w:ascii="Arial" w:cs="Arial" w:eastAsia="Arial" w:hAnsi="Arial"/>
          <w:sz w:val="20"/>
          <w:szCs w:val="20"/>
          <w:color w:val="auto"/>
        </w:rPr>
        <w:t xml:space="preserve">“detrimental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w:t>
      </w:r>
      <w:r>
        <w:rPr>
          <w:rFonts w:ascii="Arial" w:cs="Arial" w:eastAsia="Arial" w:hAnsi="Arial"/>
          <w:sz w:val="18"/>
          <w:szCs w:val="18"/>
          <w:color w:val="auto"/>
        </w:rPr>
        <w:t>(4) is determined to have engaged (whether or not prior to termination) in</w:t>
      </w:r>
      <w:r>
        <w:rPr>
          <w:rFonts w:ascii="Arial" w:cs="Arial" w:eastAsia="Arial" w:hAnsi="Arial"/>
          <w:sz w:val="20"/>
          <w:szCs w:val="20"/>
          <w:color w:val="auto"/>
        </w:rPr>
        <w:t xml:space="preserve"> </w:t>
      </w:r>
      <w:r>
        <w:rPr>
          <w:rFonts w:ascii="Arial" w:cs="Arial" w:eastAsia="Arial" w:hAnsi="Arial"/>
          <w:sz w:val="18"/>
          <w:szCs w:val="18"/>
          <w:color w:val="auto"/>
        </w:rPr>
        <w:t>either gross misconduct or criminal activity harmful to the Company, or (5) takes any action that harms the business interests, reputation, or goodwill of the Company or its subsidiaries.</w:t>
      </w:r>
    </w:p>
    <w:p>
      <w:pPr>
        <w:spacing w:after="0" w:line="179" w:lineRule="exact"/>
        <w:rPr>
          <w:sz w:val="20"/>
          <w:szCs w:val="20"/>
          <w:color w:val="auto"/>
        </w:rPr>
      </w:pPr>
    </w:p>
    <w:p>
      <w:pPr>
        <w:ind w:left="877" w:hanging="877"/>
        <w:spacing w:after="0"/>
        <w:tabs>
          <w:tab w:leader="none" w:pos="877" w:val="left"/>
        </w:tabs>
        <w:numPr>
          <w:ilvl w:val="0"/>
          <w:numId w:val="126"/>
        </w:numPr>
        <w:rPr>
          <w:rFonts w:ascii="Arial" w:cs="Arial" w:eastAsia="Arial" w:hAnsi="Arial"/>
          <w:sz w:val="21"/>
          <w:szCs w:val="21"/>
          <w:color w:val="auto"/>
        </w:rPr>
      </w:pPr>
      <w:r>
        <w:rPr>
          <w:rFonts w:ascii="Arial" w:cs="Arial" w:eastAsia="Arial" w:hAnsi="Arial"/>
          <w:sz w:val="21"/>
          <w:szCs w:val="21"/>
          <w:i w:val="1"/>
          <w:iCs w:val="1"/>
          <w:color w:val="auto"/>
        </w:rPr>
        <w:t>Retirement, Disability and Subsequent Events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37" w:firstLine="517"/>
        <w:spacing w:after="0" w:line="242" w:lineRule="auto"/>
        <w:tabs>
          <w:tab w:leader="none" w:pos="1487" w:val="left"/>
        </w:tabs>
        <w:numPr>
          <w:ilvl w:val="1"/>
          <w:numId w:val="126"/>
        </w:numPr>
        <w:rPr>
          <w:rFonts w:ascii="Arial" w:cs="Arial" w:eastAsia="Arial" w:hAnsi="Arial"/>
          <w:sz w:val="21"/>
          <w:szCs w:val="21"/>
          <w:color w:val="auto"/>
        </w:rPr>
      </w:pPr>
      <w:r>
        <w:rPr>
          <w:rFonts w:ascii="Arial" w:cs="Arial" w:eastAsia="Arial" w:hAnsi="Arial"/>
          <w:sz w:val="21"/>
          <w:szCs w:val="21"/>
          <w:color w:val="auto"/>
        </w:rPr>
        <w:t>If the optionee’s employment with the Company or any subsidiary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180" w:lineRule="exact"/>
        <w:rPr>
          <w:rFonts w:ascii="Arial" w:cs="Arial" w:eastAsia="Arial" w:hAnsi="Arial"/>
          <w:sz w:val="21"/>
          <w:szCs w:val="21"/>
          <w:color w:val="auto"/>
        </w:rPr>
      </w:pPr>
    </w:p>
    <w:p>
      <w:pPr>
        <w:jc w:val="both"/>
        <w:ind w:left="37" w:firstLine="517"/>
        <w:spacing w:after="0" w:line="260" w:lineRule="auto"/>
        <w:tabs>
          <w:tab w:leader="none" w:pos="1476" w:val="left"/>
        </w:tabs>
        <w:numPr>
          <w:ilvl w:val="1"/>
          <w:numId w:val="126"/>
        </w:numPr>
        <w:rPr>
          <w:rFonts w:ascii="Arial" w:cs="Arial" w:eastAsia="Arial" w:hAnsi="Arial"/>
          <w:sz w:val="20"/>
          <w:szCs w:val="20"/>
          <w:color w:val="auto"/>
        </w:rPr>
      </w:pPr>
      <w:r>
        <w:rPr>
          <w:rFonts w:ascii="Arial" w:cs="Arial" w:eastAsia="Arial" w:hAnsi="Arial"/>
          <w:sz w:val="20"/>
          <w:szCs w:val="20"/>
          <w:color w:val="auto"/>
        </w:rPr>
        <w:t xml:space="preserve">If the optionee’s employment with the Company is terminated due to disability, such Stock Option shall automatically become fully vested and exercisable. Such optionee may exercise the outstanding Stock Option at any time </w:t>
      </w:r>
      <w:r>
        <w:rPr>
          <w:rFonts w:ascii="Arial" w:cs="Arial" w:eastAsia="Arial" w:hAnsi="Arial"/>
          <w:sz w:val="18"/>
          <w:szCs w:val="18"/>
          <w:color w:val="auto"/>
        </w:rPr>
        <w:t>during the period of sixty (60) months after such termination or the remainder of the Option Period, whichever is less (the “Disability Exercise Period”). For purposes of the Plan, “disability” means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172" w:lineRule="exact"/>
        <w:rPr>
          <w:rFonts w:ascii="Arial" w:cs="Arial" w:eastAsia="Arial" w:hAnsi="Arial"/>
          <w:sz w:val="20"/>
          <w:szCs w:val="20"/>
          <w:color w:val="auto"/>
        </w:rPr>
      </w:pPr>
    </w:p>
    <w:p>
      <w:pPr>
        <w:jc w:val="both"/>
        <w:ind w:left="37" w:firstLine="517"/>
        <w:spacing w:after="0" w:line="263" w:lineRule="auto"/>
        <w:tabs>
          <w:tab w:leader="none" w:pos="1476" w:val="left"/>
        </w:tabs>
        <w:numPr>
          <w:ilvl w:val="1"/>
          <w:numId w:val="126"/>
        </w:numPr>
        <w:rPr>
          <w:rFonts w:ascii="Arial" w:cs="Arial" w:eastAsia="Arial" w:hAnsi="Arial"/>
          <w:sz w:val="20"/>
          <w:szCs w:val="20"/>
          <w:color w:val="auto"/>
        </w:rPr>
      </w:pPr>
      <w:r>
        <w:rPr>
          <w:rFonts w:ascii="Arial" w:cs="Arial" w:eastAsia="Arial" w:hAnsi="Arial"/>
          <w:sz w:val="20"/>
          <w:szCs w:val="20"/>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160" w:lineRule="exact"/>
        <w:rPr>
          <w:sz w:val="20"/>
          <w:szCs w:val="20"/>
          <w:color w:val="auto"/>
        </w:rPr>
      </w:pPr>
    </w:p>
    <w:p>
      <w:pPr>
        <w:ind w:left="4457"/>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66675</wp:posOffset>
            </wp:positionV>
            <wp:extent cx="729107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77"/>
          </w:cols>
          <w:pgMar w:left="1383" w:top="556" w:right="239" w:bottom="1440" w:gutter="0" w:footer="0" w:header="0"/>
        </w:sectPr>
      </w:pPr>
    </w:p>
    <w:bookmarkStart w:id="143" w:name="page144"/>
    <w:bookmarkEnd w:id="143"/>
    <w:p>
      <w:pPr>
        <w:jc w:val="both"/>
        <w:ind w:left="1180" w:firstLine="517"/>
        <w:spacing w:after="0" w:line="268" w:lineRule="auto"/>
        <w:tabs>
          <w:tab w:leader="none" w:pos="263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Notwithstanding the foregoing, if the optionee engages in “detrimental activity” (as defined in Section 5(d)(iv)(E))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and ending one year following such termination.</w:t>
      </w:r>
    </w:p>
    <w:p>
      <w:pPr>
        <w:spacing w:after="0" w:line="155" w:lineRule="exact"/>
        <w:rPr>
          <w:rFonts w:ascii="Arial" w:cs="Arial" w:eastAsia="Arial" w:hAnsi="Arial"/>
          <w:sz w:val="19"/>
          <w:szCs w:val="19"/>
          <w:color w:val="auto"/>
        </w:rPr>
      </w:pPr>
    </w:p>
    <w:p>
      <w:pPr>
        <w:ind w:left="580" w:hanging="574"/>
        <w:spacing w:after="0"/>
        <w:tabs>
          <w:tab w:leader="none" w:pos="580" w:val="left"/>
        </w:tabs>
        <w:numPr>
          <w:ilvl w:val="0"/>
          <w:numId w:val="128"/>
        </w:numPr>
        <w:rPr>
          <w:rFonts w:ascii="Arial" w:cs="Arial" w:eastAsia="Arial" w:hAnsi="Arial"/>
          <w:sz w:val="21"/>
          <w:szCs w:val="21"/>
          <w:b w:val="1"/>
          <w:bCs w:val="1"/>
          <w:color w:val="auto"/>
        </w:rPr>
      </w:pPr>
      <w:r>
        <w:rPr>
          <w:rFonts w:ascii="Arial" w:cs="Arial" w:eastAsia="Arial" w:hAnsi="Arial"/>
          <w:sz w:val="21"/>
          <w:szCs w:val="21"/>
          <w:b w:val="1"/>
          <w:bCs w:val="1"/>
          <w:color w:val="auto"/>
        </w:rPr>
        <w:t>Stock Awards</w:t>
      </w:r>
    </w:p>
    <w:p>
      <w:pPr>
        <w:spacing w:after="0" w:line="215" w:lineRule="exact"/>
        <w:rPr>
          <w:rFonts w:ascii="Arial" w:cs="Arial" w:eastAsia="Arial" w:hAnsi="Arial"/>
          <w:sz w:val="21"/>
          <w:szCs w:val="21"/>
          <w:b w:val="1"/>
          <w:bCs w:val="1"/>
          <w:color w:val="auto"/>
        </w:rPr>
      </w:pPr>
    </w:p>
    <w:p>
      <w:pPr>
        <w:ind w:left="580"/>
        <w:spacing w:after="0"/>
        <w:rPr>
          <w:rFonts w:ascii="Arial" w:cs="Arial" w:eastAsia="Arial" w:hAnsi="Arial"/>
          <w:sz w:val="21"/>
          <w:szCs w:val="21"/>
          <w:b w:val="1"/>
          <w:bCs w:val="1"/>
          <w:color w:val="auto"/>
        </w:rPr>
      </w:pPr>
      <w:r>
        <w:rPr>
          <w:rFonts w:ascii="Arial" w:cs="Arial" w:eastAsia="Arial" w:hAnsi="Arial"/>
          <w:sz w:val="19"/>
          <w:szCs w:val="19"/>
          <w:color w:val="auto"/>
        </w:rPr>
        <w:t>An Award may be in the form of a Stock Award. The terms, conditions and limitations applicable to any Stock Awards granted</w:t>
      </w:r>
    </w:p>
    <w:p>
      <w:pPr>
        <w:spacing w:after="0" w:line="3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pursuant to the Plan shall be determined by the Committee, subject to the limitations provided herein. Each Stock Award shall be subject to a vesting schedule, restriction period or holding period, or any combination thereof, totaling at least three years from the date of the Stock Award, provided that the Committee may provide for earlier vesting, lapse of restriction or end of holding period upon a termination of employment by reason of death or disability.</w:t>
      </w:r>
    </w:p>
    <w:p>
      <w:pPr>
        <w:spacing w:after="0" w:line="180" w:lineRule="exact"/>
        <w:rPr>
          <w:sz w:val="20"/>
          <w:szCs w:val="20"/>
          <w:color w:val="auto"/>
        </w:rPr>
      </w:pPr>
    </w:p>
    <w:p>
      <w:pPr>
        <w:jc w:val="both"/>
        <w:ind w:firstLine="583"/>
        <w:spacing w:after="0" w:line="267" w:lineRule="auto"/>
        <w:rPr>
          <w:sz w:val="20"/>
          <w:szCs w:val="20"/>
          <w:color w:val="auto"/>
        </w:rPr>
      </w:pPr>
      <w:r>
        <w:rPr>
          <w:rFonts w:ascii="Arial" w:cs="Arial" w:eastAsia="Arial" w:hAnsi="Arial"/>
          <w:sz w:val="21"/>
          <w:szCs w:val="21"/>
          <w:color w:val="auto"/>
        </w:rPr>
        <w:t>Any Stock Award granted to a person who is an executive officer of the Company at the time of grant shall be performance-based and not eligible for vesting based solely on the passage of time.</w:t>
      </w:r>
    </w:p>
    <w:p>
      <w:pPr>
        <w:spacing w:after="0" w:line="153" w:lineRule="exact"/>
        <w:rPr>
          <w:sz w:val="20"/>
          <w:szCs w:val="20"/>
          <w:color w:val="auto"/>
        </w:rPr>
      </w:pPr>
    </w:p>
    <w:p>
      <w:pPr>
        <w:jc w:val="both"/>
        <w:ind w:firstLine="583"/>
        <w:spacing w:after="0" w:line="244" w:lineRule="auto"/>
        <w:rPr>
          <w:sz w:val="20"/>
          <w:szCs w:val="20"/>
          <w:color w:val="auto"/>
        </w:rPr>
      </w:pPr>
      <w:r>
        <w:rPr>
          <w:rFonts w:ascii="Arial" w:cs="Arial" w:eastAsia="Arial" w:hAnsi="Arial"/>
          <w:sz w:val="21"/>
          <w:szCs w:val="21"/>
          <w:color w:val="auto"/>
        </w:rPr>
        <w:t>Without limiting the type or number of Stock Awards that may be made under the other provisions of the Plan, a Stock Award may be in the form of a performance award. The terms, conditions and limitations applicable to any performance awards granted to participants pursuant to the Plan shall be determined by the Committee, subject to the limitations set forth below. The Committee shall set performance goals in its discretion which, depending on the extent to which they are met, will determine the amount of performance awards that will be paid out to the participant.</w:t>
      </w:r>
    </w:p>
    <w:p>
      <w:pPr>
        <w:spacing w:after="0" w:line="180" w:lineRule="exact"/>
        <w:rPr>
          <w:sz w:val="20"/>
          <w:szCs w:val="20"/>
          <w:color w:val="auto"/>
        </w:rPr>
      </w:pPr>
    </w:p>
    <w:p>
      <w:pPr>
        <w:jc w:val="both"/>
        <w:ind w:firstLine="589"/>
        <w:spacing w:after="0" w:line="252" w:lineRule="auto"/>
        <w:tabs>
          <w:tab w:leader="none" w:pos="1448"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Nonqualified Performance Awards</w:t>
      </w:r>
      <w:r>
        <w:rPr>
          <w:rFonts w:ascii="Arial" w:cs="Arial" w:eastAsia="Arial" w:hAnsi="Arial"/>
          <w:sz w:val="21"/>
          <w:szCs w:val="21"/>
          <w:color w:val="auto"/>
        </w:rPr>
        <w:t>. Performance Awards granted to participants that are not intended to qualify as qualified performance-based compensation under Section 162(m) of the Code shall be based on achievement of such goals and be subject to such terms, conditions, and restrictions as the Committee or its delegate shall determine.</w:t>
      </w:r>
    </w:p>
    <w:p>
      <w:pPr>
        <w:spacing w:after="0" w:line="168" w:lineRule="exact"/>
        <w:rPr>
          <w:rFonts w:ascii="Arial" w:cs="Arial" w:eastAsia="Arial" w:hAnsi="Arial"/>
          <w:sz w:val="21"/>
          <w:szCs w:val="21"/>
          <w:color w:val="auto"/>
        </w:rPr>
      </w:pPr>
    </w:p>
    <w:p>
      <w:pPr>
        <w:jc w:val="both"/>
        <w:ind w:firstLine="589"/>
        <w:spacing w:after="0" w:line="274" w:lineRule="auto"/>
        <w:tabs>
          <w:tab w:leader="none" w:pos="146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Qualified Performance Awards</w:t>
      </w:r>
      <w:r>
        <w:rPr>
          <w:rFonts w:ascii="Arial" w:cs="Arial" w:eastAsia="Arial" w:hAnsi="Arial"/>
          <w:sz w:val="19"/>
          <w:szCs w:val="19"/>
          <w:color w:val="auto"/>
        </w:rPr>
        <w:t>. Performance Awards granted to participants under the Plan that are intended to qualify as qualified performance based compensation under Section 162(m) of the Code shall be paid, vested, or otherwise deliverable solely on account of the attainment of one or more pre-established, objective performance goals established by the Committee prior to the earlier to occur of (i) 90 days after the commencement of the period of service to which the performance goal relates and (ii) the lapse of 25% of the period of service (as scheduled in good faith at the time the goal is established), and in any event while the outcome is substantially uncertain. A performance goal is objective if a third party having knowledge of the relevant facts could determine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44" w:name="page145"/>
    <w:bookmarkEnd w:id="144"/>
    <w:p>
      <w:pPr>
        <w:jc w:val="both"/>
        <w:spacing w:after="0" w:line="267" w:lineRule="auto"/>
        <w:rPr>
          <w:sz w:val="20"/>
          <w:szCs w:val="20"/>
          <w:color w:val="auto"/>
        </w:rPr>
      </w:pPr>
      <w:r>
        <w:rPr>
          <w:rFonts w:ascii="Arial" w:cs="Arial" w:eastAsia="Arial" w:hAnsi="Arial"/>
          <w:sz w:val="19"/>
          <w:szCs w:val="19"/>
          <w:color w:val="auto"/>
        </w:rPr>
        <w:t>whether the goal is met. Such a performance goal may be based on one or more business criteria that apply to the participant, one or more business units, divisions or sectors of the Company, or the Company as a whole, and if so desired by the Committee, by comparison with a peer group of companies. A performance goal may include one or more of the following: Increased revenue; Net income measures (including but not limited to income after capital costs and income before or after taxes); Stock price measures (including but not limited to growth measures and total shareholder return); Market share; Earnings per share (actual or targeted growth); Earnings before interest, taxes, depreciation, and amortization (“EBITDA”); Economic value added (“EVA®”); Cash flow measures (including but not limited to net cash flow and net cash flow before financing activities); Return measures (including but not limited to return on equity, return on average assets, return on capital, risk-adjusted return on capital, return on investors’ capital and return on average equity); Operating measures (including operating income, funds from operations, cash from operations, after-tax operating income and sales volumes); Expense measures (including but not limited to finding and development costs, overhead cost and general and administrative expense); Margins; Proceeds from dispositions; Total market value; and Corporate values measures (including ethics compliance, environmental, and safety).</w:t>
      </w:r>
    </w:p>
    <w:p>
      <w:pPr>
        <w:spacing w:after="0" w:line="163" w:lineRule="exact"/>
        <w:rPr>
          <w:sz w:val="20"/>
          <w:szCs w:val="20"/>
          <w:color w:val="auto"/>
        </w:rPr>
      </w:pPr>
    </w:p>
    <w:p>
      <w:pPr>
        <w:jc w:val="both"/>
        <w:ind w:firstLine="583"/>
        <w:spacing w:after="0"/>
        <w:rPr>
          <w:sz w:val="20"/>
          <w:szCs w:val="20"/>
          <w:color w:val="auto"/>
        </w:rPr>
      </w:pPr>
      <w:r>
        <w:rPr>
          <w:rFonts w:ascii="Arial" w:cs="Arial" w:eastAsia="Arial" w:hAnsi="Arial"/>
          <w:sz w:val="21"/>
          <w:szCs w:val="21"/>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qualified performance Awards, it is the intent of the Plan to conform with the standards of Section 162(m) of the Code and Treasury Regulation §1.162-27(e)(2)(i), as to grants to those participants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the Plan shall be determined by the Committee.</w:t>
      </w:r>
    </w:p>
    <w:p>
      <w:pPr>
        <w:spacing w:after="0" w:line="181" w:lineRule="exact"/>
        <w:rPr>
          <w:sz w:val="20"/>
          <w:szCs w:val="20"/>
          <w:color w:val="auto"/>
        </w:rPr>
      </w:pPr>
    </w:p>
    <w:p>
      <w:pPr>
        <w:ind w:left="580" w:hanging="574"/>
        <w:spacing w:after="0"/>
        <w:tabs>
          <w:tab w:leader="none" w:pos="580" w:val="left"/>
        </w:tabs>
        <w:numPr>
          <w:ilvl w:val="0"/>
          <w:numId w:val="130"/>
        </w:numPr>
        <w:rPr>
          <w:rFonts w:ascii="Arial" w:cs="Arial" w:eastAsia="Arial" w:hAnsi="Arial"/>
          <w:sz w:val="21"/>
          <w:szCs w:val="21"/>
          <w:b w:val="1"/>
          <w:bCs w:val="1"/>
          <w:color w:val="auto"/>
        </w:rPr>
      </w:pPr>
      <w:r>
        <w:rPr>
          <w:rFonts w:ascii="Arial" w:cs="Arial" w:eastAsia="Arial" w:hAnsi="Arial"/>
          <w:sz w:val="21"/>
          <w:szCs w:val="21"/>
          <w:b w:val="1"/>
          <w:bCs w:val="1"/>
          <w:color w:val="auto"/>
        </w:rPr>
        <w:t>Assignability</w:t>
      </w:r>
    </w:p>
    <w:p>
      <w:pPr>
        <w:spacing w:after="0" w:line="216" w:lineRule="exact"/>
        <w:rPr>
          <w:sz w:val="20"/>
          <w:szCs w:val="20"/>
          <w:color w:val="auto"/>
        </w:rPr>
      </w:pPr>
    </w:p>
    <w:p>
      <w:pPr>
        <w:jc w:val="both"/>
        <w:ind w:firstLine="583"/>
        <w:spacing w:after="0" w:line="256" w:lineRule="auto"/>
        <w:rPr>
          <w:sz w:val="20"/>
          <w:szCs w:val="20"/>
          <w:color w:val="auto"/>
        </w:rPr>
      </w:pPr>
      <w:r>
        <w:rPr>
          <w:rFonts w:ascii="Arial" w:cs="Arial" w:eastAsia="Arial" w:hAnsi="Arial"/>
          <w:sz w:val="20"/>
          <w:szCs w:val="20"/>
          <w:color w:val="auto"/>
        </w:rPr>
        <w:t>Awards granted under the Plan shall not be assignable or otherwise transferable by the recipient except by will or the laws of descent and distribution. Otherwise, Awards granted under this Plan shall be exercisable during the lifetime of the recipient, to the extent applicable, (except as otherwise provided in the Plan or in the documentation of the grant for Awards other than “incentive stock options”) only by the recipient for his or her individual account, and no purported assignment or transfer of such Awards thereunder, whether voluntary or involuntary, by operation of law or otherwise, shall vest in the purported assignee or transferee any interest or right therein whatsoever but immediately upon any such purported assignment or transfer, or any attempt to make the same, such Awards thereunder shall terminate and become of no further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45" w:name="page146"/>
    <w:bookmarkEnd w:id="145"/>
    <w:p>
      <w:pPr>
        <w:ind w:left="580" w:hanging="574"/>
        <w:spacing w:after="0"/>
        <w:tabs>
          <w:tab w:leader="none" w:pos="580" w:val="left"/>
        </w:tabs>
        <w:numPr>
          <w:ilvl w:val="0"/>
          <w:numId w:val="131"/>
        </w:numPr>
        <w:rPr>
          <w:rFonts w:ascii="Arial" w:cs="Arial" w:eastAsia="Arial" w:hAnsi="Arial"/>
          <w:sz w:val="21"/>
          <w:szCs w:val="21"/>
          <w:b w:val="1"/>
          <w:bCs w:val="1"/>
          <w:color w:val="auto"/>
        </w:rPr>
      </w:pPr>
      <w:r>
        <w:rPr>
          <w:rFonts w:ascii="Arial" w:cs="Arial" w:eastAsia="Arial" w:hAnsi="Arial"/>
          <w:sz w:val="21"/>
          <w:szCs w:val="21"/>
          <w:b w:val="1"/>
          <w:bCs w:val="1"/>
          <w:color w:val="auto"/>
        </w:rPr>
        <w:t>Taxes</w:t>
      </w:r>
    </w:p>
    <w:p>
      <w:pPr>
        <w:spacing w:after="0" w:line="216" w:lineRule="exact"/>
        <w:rPr>
          <w:sz w:val="20"/>
          <w:szCs w:val="20"/>
          <w:color w:val="auto"/>
        </w:rPr>
      </w:pPr>
    </w:p>
    <w:p>
      <w:pPr>
        <w:jc w:val="both"/>
        <w:ind w:firstLine="583"/>
        <w:spacing w:after="0" w:line="272" w:lineRule="auto"/>
        <w:rPr>
          <w:sz w:val="20"/>
          <w:szCs w:val="20"/>
          <w:color w:val="auto"/>
        </w:rPr>
      </w:pPr>
      <w:r>
        <w:rPr>
          <w:rFonts w:ascii="Arial" w:cs="Arial" w:eastAsia="Arial" w:hAnsi="Arial"/>
          <w:sz w:val="19"/>
          <w:szCs w:val="19"/>
          <w:color w:val="auto"/>
        </w:rPr>
        <w:t>Withholding of any taxes may be satisfied by (i) transfer to the Company of shares of Common Stock theretofore and by the holder of the Award or (ii) withholding from the shares of Common Stock otherwise deliverable under the Award, in either case, with respect to which withholding is required, up to the maximum tax rate applicable to the participant, as determined by the Committee. If shares of Common Stock are used to satisfy tax withholding, such shares of Common Stock shall be valued based on the Fair Market Value when the tax withholding is required to be made. An optionee’s election pursuant to this section must be made on or before the date of exercise or vesting and must be irrevocable. The Committee may make such other provisions and rules as it may deem appropriate for the withholding of taxes in connection with any Awards granted under the Plan.</w:t>
      </w:r>
    </w:p>
    <w:p>
      <w:pPr>
        <w:spacing w:after="0" w:line="146" w:lineRule="exact"/>
        <w:rPr>
          <w:sz w:val="20"/>
          <w:szCs w:val="20"/>
          <w:color w:val="auto"/>
        </w:rPr>
      </w:pPr>
    </w:p>
    <w:p>
      <w:pPr>
        <w:ind w:left="580" w:hanging="574"/>
        <w:spacing w:after="0"/>
        <w:tabs>
          <w:tab w:leader="none" w:pos="580" w:val="left"/>
        </w:tabs>
        <w:numPr>
          <w:ilvl w:val="0"/>
          <w:numId w:val="132"/>
        </w:numPr>
        <w:rPr>
          <w:rFonts w:ascii="Arial" w:cs="Arial" w:eastAsia="Arial" w:hAnsi="Arial"/>
          <w:sz w:val="21"/>
          <w:szCs w:val="21"/>
          <w:b w:val="1"/>
          <w:bCs w:val="1"/>
          <w:color w:val="auto"/>
        </w:rPr>
      </w:pPr>
      <w:r>
        <w:rPr>
          <w:rFonts w:ascii="Arial" w:cs="Arial" w:eastAsia="Arial" w:hAnsi="Arial"/>
          <w:sz w:val="21"/>
          <w:szCs w:val="21"/>
          <w:b w:val="1"/>
          <w:bCs w:val="1"/>
          <w:color w:val="auto"/>
        </w:rPr>
        <w:t>Reorganizations and Recapitalizations of the Company</w:t>
      </w:r>
    </w:p>
    <w:p>
      <w:pPr>
        <w:spacing w:after="0" w:line="215" w:lineRule="exact"/>
        <w:rPr>
          <w:rFonts w:ascii="Arial" w:cs="Arial" w:eastAsia="Arial" w:hAnsi="Arial"/>
          <w:sz w:val="21"/>
          <w:szCs w:val="21"/>
          <w:b w:val="1"/>
          <w:bCs w:val="1"/>
          <w:color w:val="auto"/>
        </w:rPr>
      </w:pPr>
    </w:p>
    <w:p>
      <w:pPr>
        <w:jc w:val="both"/>
        <w:ind w:firstLine="589"/>
        <w:spacing w:after="0" w:line="243" w:lineRule="auto"/>
        <w:tabs>
          <w:tab w:leader="none" w:pos="1448" w:val="left"/>
        </w:tabs>
        <w:numPr>
          <w:ilvl w:val="1"/>
          <w:numId w:val="132"/>
        </w:numPr>
        <w:rPr>
          <w:rFonts w:ascii="Arial" w:cs="Arial" w:eastAsia="Arial" w:hAnsi="Arial"/>
          <w:sz w:val="21"/>
          <w:szCs w:val="21"/>
          <w:color w:val="auto"/>
        </w:rPr>
      </w:pPr>
      <w:r>
        <w:rPr>
          <w:rFonts w:ascii="Arial" w:cs="Arial" w:eastAsia="Arial" w:hAnsi="Arial"/>
          <w:sz w:val="21"/>
          <w:szCs w:val="21"/>
          <w:color w:val="auto"/>
        </w:rPr>
        <w:t>The existence of this Plan and Awards granted hereunder shall not affect in any way the right or power of the Company or its stockholders to make or authorize any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78" w:lineRule="exact"/>
        <w:rPr>
          <w:rFonts w:ascii="Arial" w:cs="Arial" w:eastAsia="Arial" w:hAnsi="Arial"/>
          <w:sz w:val="21"/>
          <w:szCs w:val="21"/>
          <w:color w:val="auto"/>
        </w:rPr>
      </w:pPr>
    </w:p>
    <w:p>
      <w:pPr>
        <w:jc w:val="both"/>
        <w:ind w:firstLine="589"/>
        <w:spacing w:after="0" w:line="305" w:lineRule="auto"/>
        <w:tabs>
          <w:tab w:leader="none" w:pos="14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w:t>
      </w:r>
      <w:r>
        <w:rPr>
          <w:rFonts w:ascii="Arial" w:cs="Arial" w:eastAsia="Arial" w:hAnsi="Arial"/>
          <w:sz w:val="16"/>
          <w:szCs w:val="16"/>
          <w:color w:val="auto"/>
        </w:rPr>
        <w:t>shares or other securities, shall not</w:t>
      </w:r>
      <w:r>
        <w:rPr>
          <w:rFonts w:ascii="Arial" w:cs="Arial" w:eastAsia="Arial" w:hAnsi="Arial"/>
          <w:sz w:val="18"/>
          <w:szCs w:val="18"/>
          <w:color w:val="auto"/>
        </w:rPr>
        <w:t xml:space="preserve"> </w:t>
      </w:r>
      <w:r>
        <w:rPr>
          <w:rFonts w:ascii="Arial" w:cs="Arial" w:eastAsia="Arial" w:hAnsi="Arial"/>
          <w:sz w:val="16"/>
          <w:szCs w:val="16"/>
          <w:color w:val="auto"/>
        </w:rPr>
        <w:t>affect, and no adjustment by reason thereof shall be made with respect to, the number of shares of Common Stock subject to Awards granted hereunder.</w:t>
      </w:r>
    </w:p>
    <w:p>
      <w:pPr>
        <w:spacing w:after="0" w:line="131" w:lineRule="exact"/>
        <w:rPr>
          <w:rFonts w:ascii="Arial" w:cs="Arial" w:eastAsia="Arial" w:hAnsi="Arial"/>
          <w:sz w:val="18"/>
          <w:szCs w:val="18"/>
          <w:color w:val="auto"/>
        </w:rPr>
      </w:pPr>
    </w:p>
    <w:p>
      <w:pPr>
        <w:jc w:val="both"/>
        <w:ind w:firstLine="589"/>
        <w:spacing w:after="0" w:line="257" w:lineRule="auto"/>
        <w:tabs>
          <w:tab w:leader="none" w:pos="1448" w:val="left"/>
        </w:tabs>
        <w:numPr>
          <w:ilvl w:val="1"/>
          <w:numId w:val="132"/>
        </w:numPr>
        <w:rPr>
          <w:rFonts w:ascii="Arial" w:cs="Arial" w:eastAsia="Arial" w:hAnsi="Arial"/>
          <w:sz w:val="20"/>
          <w:szCs w:val="20"/>
          <w:color w:val="auto"/>
        </w:rPr>
      </w:pPr>
      <w:r>
        <w:rPr>
          <w:rFonts w:ascii="Arial" w:cs="Arial" w:eastAsia="Arial" w:hAnsi="Arial"/>
          <w:sz w:val="20"/>
          <w:szCs w:val="20"/>
          <w:color w:val="auto"/>
        </w:rPr>
        <w:t>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shall be proportionately adjusted and the number of shares of Common Stock with respect to which outstanding Awards or other property subject to an outstanding Award granted hereunder shall:</w:t>
      </w:r>
    </w:p>
    <w:p>
      <w:pPr>
        <w:spacing w:after="0" w:line="168" w:lineRule="exact"/>
        <w:rPr>
          <w:rFonts w:ascii="Arial" w:cs="Arial" w:eastAsia="Arial" w:hAnsi="Arial"/>
          <w:sz w:val="20"/>
          <w:szCs w:val="20"/>
          <w:color w:val="auto"/>
        </w:rPr>
      </w:pPr>
    </w:p>
    <w:p>
      <w:pPr>
        <w:ind w:left="580" w:firstLine="563"/>
        <w:spacing w:after="0" w:line="292" w:lineRule="auto"/>
        <w:tabs>
          <w:tab w:leader="none" w:pos="1971" w:val="left"/>
        </w:tabs>
        <w:numPr>
          <w:ilvl w:val="2"/>
          <w:numId w:val="132"/>
        </w:numPr>
        <w:rPr>
          <w:rFonts w:ascii="Arial" w:cs="Arial" w:eastAsia="Arial" w:hAnsi="Arial"/>
          <w:sz w:val="20"/>
          <w:szCs w:val="20"/>
          <w:color w:val="auto"/>
        </w:rPr>
      </w:pPr>
      <w:r>
        <w:rPr>
          <w:rFonts w:ascii="Arial" w:cs="Arial" w:eastAsia="Arial" w:hAnsi="Arial"/>
          <w:sz w:val="20"/>
          <w:szCs w:val="20"/>
          <w:color w:val="auto"/>
        </w:rPr>
        <w:t>in the event of an increase in the number of outstanding shares of Common Stock, be proportionately increased, and the cash consideration (if any) payable per share of Common Stock shall be proportionately reduced; and</w:t>
      </w:r>
    </w:p>
    <w:p>
      <w:pPr>
        <w:spacing w:after="0" w:line="130" w:lineRule="exact"/>
        <w:rPr>
          <w:rFonts w:ascii="Arial" w:cs="Arial" w:eastAsia="Arial" w:hAnsi="Arial"/>
          <w:sz w:val="20"/>
          <w:szCs w:val="20"/>
          <w:color w:val="auto"/>
        </w:rPr>
      </w:pPr>
    </w:p>
    <w:p>
      <w:pPr>
        <w:ind w:left="580" w:firstLine="563"/>
        <w:spacing w:after="0" w:line="267" w:lineRule="auto"/>
        <w:tabs>
          <w:tab w:leader="none" w:pos="2030" w:val="left"/>
        </w:tabs>
        <w:numPr>
          <w:ilvl w:val="2"/>
          <w:numId w:val="132"/>
        </w:numPr>
        <w:rPr>
          <w:rFonts w:ascii="Arial" w:cs="Arial" w:eastAsia="Arial" w:hAnsi="Arial"/>
          <w:sz w:val="21"/>
          <w:szCs w:val="21"/>
          <w:color w:val="auto"/>
        </w:rPr>
      </w:pPr>
      <w:r>
        <w:rPr>
          <w:rFonts w:ascii="Arial" w:cs="Arial" w:eastAsia="Arial" w:hAnsi="Arial"/>
          <w:sz w:val="21"/>
          <w:szCs w:val="21"/>
          <w:color w:val="auto"/>
        </w:rPr>
        <w:t>in the event of a reduction in the number of outstanding shares of Common Stock, be proportionately reduced, and the cash consideration (if any) payable per share of Common Stock shall be proportionately increased.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46" w:name="page147"/>
    <w:bookmarkEnd w:id="146"/>
    <w:p>
      <w:pPr>
        <w:jc w:val="both"/>
        <w:ind w:firstLine="589"/>
        <w:spacing w:after="0" w:line="284" w:lineRule="auto"/>
        <w:tabs>
          <w:tab w:leader="none" w:pos="14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the Company merges with one or more corporations, or consolidates with one or more corporations and the Company shall be the surviving corporation, thereafter, upon any exercise of Awards granted hereunder, the recipient shall, at no additional cost (other than the option price, if any) be entitled to receive (subject to any required action by stockholders) in lieu of the number of shares of Common Stock as to which such Awards shall then be exercisable or vested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of Common Stock as to which such Awards shall be exercisable or vested. Upon any reorganization, merger or consolidation where the Company is not the surviving corporation or upon liquidation or dissolution of the Company, unless provisions are made in connection with such reorganization, merger or consolidation for the assumption of such Awards, all outstanding Awards shall be fully exercisable and vested by the Company and all holders given notice to permit exercise for 30 days prior to cancellation of the Awards as of the effective date of any such reorganization, merger or consolidation, or of any dissolution or liquidation of the Company.</w:t>
      </w:r>
    </w:p>
    <w:p>
      <w:pPr>
        <w:spacing w:after="0" w:line="146" w:lineRule="exact"/>
        <w:rPr>
          <w:rFonts w:ascii="Arial" w:cs="Arial" w:eastAsia="Arial" w:hAnsi="Arial"/>
          <w:sz w:val="18"/>
          <w:szCs w:val="18"/>
          <w:color w:val="auto"/>
        </w:rPr>
      </w:pPr>
    </w:p>
    <w:p>
      <w:pPr>
        <w:ind w:firstLine="589"/>
        <w:spacing w:after="0" w:line="267" w:lineRule="auto"/>
        <w:tabs>
          <w:tab w:leader="none" w:pos="1448" w:val="left"/>
        </w:tabs>
        <w:numPr>
          <w:ilvl w:val="1"/>
          <w:numId w:val="133"/>
        </w:numPr>
        <w:rPr>
          <w:rFonts w:ascii="Arial" w:cs="Arial" w:eastAsia="Arial" w:hAnsi="Arial"/>
          <w:sz w:val="21"/>
          <w:szCs w:val="21"/>
          <w:color w:val="auto"/>
        </w:rPr>
      </w:pPr>
      <w:r>
        <w:rPr>
          <w:rFonts w:ascii="Arial" w:cs="Arial" w:eastAsia="Arial" w:hAnsi="Arial"/>
          <w:sz w:val="21"/>
          <w:szCs w:val="21"/>
          <w:color w:val="auto"/>
        </w:rPr>
        <w:t>The Committee shall have the authority to determine whether this Section 9 applies to any transaction or event and to determine any adjustment or other action that it deems appropriate under this Section 9.</w:t>
      </w:r>
    </w:p>
    <w:p>
      <w:pPr>
        <w:spacing w:after="0" w:line="146" w:lineRule="exact"/>
        <w:rPr>
          <w:rFonts w:ascii="Arial" w:cs="Arial" w:eastAsia="Arial" w:hAnsi="Arial"/>
          <w:sz w:val="21"/>
          <w:szCs w:val="21"/>
          <w:color w:val="auto"/>
        </w:rPr>
      </w:pPr>
    </w:p>
    <w:p>
      <w:pPr>
        <w:ind w:left="580" w:hanging="574"/>
        <w:spacing w:after="0"/>
        <w:tabs>
          <w:tab w:leader="none" w:pos="580" w:val="left"/>
        </w:tabs>
        <w:numPr>
          <w:ilvl w:val="0"/>
          <w:numId w:val="134"/>
        </w:numPr>
        <w:rPr>
          <w:rFonts w:ascii="Arial" w:cs="Arial" w:eastAsia="Arial" w:hAnsi="Arial"/>
          <w:sz w:val="21"/>
          <w:szCs w:val="21"/>
          <w:b w:val="1"/>
          <w:bCs w:val="1"/>
          <w:color w:val="auto"/>
        </w:rPr>
      </w:pPr>
      <w:r>
        <w:rPr>
          <w:rFonts w:ascii="Arial" w:cs="Arial" w:eastAsia="Arial" w:hAnsi="Arial"/>
          <w:sz w:val="21"/>
          <w:szCs w:val="21"/>
          <w:b w:val="1"/>
          <w:bCs w:val="1"/>
          <w:color w:val="auto"/>
        </w:rPr>
        <w:t>Registration under Securities Act of 1933 and Exchange Listing</w:t>
      </w:r>
    </w:p>
    <w:p>
      <w:pPr>
        <w:spacing w:after="0" w:line="216" w:lineRule="exact"/>
        <w:rPr>
          <w:sz w:val="20"/>
          <w:szCs w:val="20"/>
          <w:color w:val="auto"/>
        </w:rPr>
      </w:pPr>
    </w:p>
    <w:p>
      <w:pPr>
        <w:jc w:val="both"/>
        <w:ind w:firstLine="583"/>
        <w:spacing w:after="0" w:line="252" w:lineRule="auto"/>
        <w:rPr>
          <w:sz w:val="20"/>
          <w:szCs w:val="20"/>
          <w:color w:val="auto"/>
        </w:rPr>
      </w:pPr>
      <w:r>
        <w:rPr>
          <w:rFonts w:ascii="Arial" w:cs="Arial" w:eastAsia="Arial" w:hAnsi="Arial"/>
          <w:sz w:val="21"/>
          <w:szCs w:val="21"/>
          <w:color w:val="auto"/>
        </w:rPr>
        <w:t>It is intended that the Awards and shares of Common Stock covered by the Plan will be registered under the Securities Act of 1933, as amended. At the time any shares of Common Stock are issued or transferred pursuant to an Award, such shares of Common Stock will have been listed (or listed subject to notice of issuance) on the NYSE.</w:t>
      </w:r>
    </w:p>
    <w:p>
      <w:pPr>
        <w:spacing w:after="0" w:line="163" w:lineRule="exact"/>
        <w:rPr>
          <w:sz w:val="20"/>
          <w:szCs w:val="20"/>
          <w:color w:val="auto"/>
        </w:rPr>
      </w:pPr>
    </w:p>
    <w:p>
      <w:pPr>
        <w:ind w:left="580" w:hanging="574"/>
        <w:spacing w:after="0"/>
        <w:tabs>
          <w:tab w:leader="none" w:pos="580" w:val="left"/>
        </w:tabs>
        <w:numPr>
          <w:ilvl w:val="0"/>
          <w:numId w:val="135"/>
        </w:numPr>
        <w:rPr>
          <w:rFonts w:ascii="Arial" w:cs="Arial" w:eastAsia="Arial" w:hAnsi="Arial"/>
          <w:sz w:val="21"/>
          <w:szCs w:val="21"/>
          <w:b w:val="1"/>
          <w:bCs w:val="1"/>
          <w:color w:val="auto"/>
        </w:rPr>
      </w:pPr>
      <w:r>
        <w:rPr>
          <w:rFonts w:ascii="Arial" w:cs="Arial" w:eastAsia="Arial" w:hAnsi="Arial"/>
          <w:sz w:val="21"/>
          <w:szCs w:val="21"/>
          <w:b w:val="1"/>
          <w:bCs w:val="1"/>
          <w:color w:val="auto"/>
        </w:rPr>
        <w:t>Plan Term</w:t>
      </w:r>
    </w:p>
    <w:p>
      <w:pPr>
        <w:spacing w:after="0" w:line="216" w:lineRule="exact"/>
        <w:rPr>
          <w:sz w:val="20"/>
          <w:szCs w:val="20"/>
          <w:color w:val="auto"/>
        </w:rPr>
      </w:pPr>
    </w:p>
    <w:p>
      <w:pPr>
        <w:jc w:val="both"/>
        <w:ind w:firstLine="583"/>
        <w:spacing w:after="0" w:line="270" w:lineRule="auto"/>
        <w:rPr>
          <w:sz w:val="20"/>
          <w:szCs w:val="20"/>
          <w:color w:val="auto"/>
        </w:rPr>
      </w:pPr>
      <w:r>
        <w:rPr>
          <w:rFonts w:ascii="Arial" w:cs="Arial" w:eastAsia="Arial" w:hAnsi="Arial"/>
          <w:sz w:val="20"/>
          <w:szCs w:val="20"/>
          <w:color w:val="auto"/>
        </w:rPr>
        <w:t>The Plan became effective January 17, 2008 upon stockholder approval at the Company’s 2008 annual general meeting of stockholders. The Plan was amended by the Committee effective as of April 17, 2008 and June 30, 2013 and was thereafter amended and restated effective as of July 19, 2017. No Awards shall be granted pursuant to the Plan after January 17, 2018.</w:t>
      </w:r>
    </w:p>
    <w:p>
      <w:pPr>
        <w:spacing w:after="0" w:line="147" w:lineRule="exact"/>
        <w:rPr>
          <w:sz w:val="20"/>
          <w:szCs w:val="20"/>
          <w:color w:val="auto"/>
        </w:rPr>
      </w:pPr>
    </w:p>
    <w:p>
      <w:pPr>
        <w:ind w:left="580" w:hanging="574"/>
        <w:spacing w:after="0"/>
        <w:tabs>
          <w:tab w:leader="none" w:pos="580" w:val="left"/>
        </w:tabs>
        <w:numPr>
          <w:ilvl w:val="0"/>
          <w:numId w:val="136"/>
        </w:numPr>
        <w:rPr>
          <w:rFonts w:ascii="Arial" w:cs="Arial" w:eastAsia="Arial" w:hAnsi="Arial"/>
          <w:sz w:val="21"/>
          <w:szCs w:val="21"/>
          <w:b w:val="1"/>
          <w:bCs w:val="1"/>
          <w:color w:val="auto"/>
        </w:rPr>
      </w:pPr>
      <w:r>
        <w:rPr>
          <w:rFonts w:ascii="Arial" w:cs="Arial" w:eastAsia="Arial" w:hAnsi="Arial"/>
          <w:sz w:val="21"/>
          <w:szCs w:val="21"/>
          <w:b w:val="1"/>
          <w:bCs w:val="1"/>
          <w:color w:val="auto"/>
        </w:rPr>
        <w:t>Amendment or Termination</w:t>
      </w:r>
    </w:p>
    <w:p>
      <w:pPr>
        <w:spacing w:after="0" w:line="216" w:lineRule="exact"/>
        <w:rPr>
          <w:sz w:val="20"/>
          <w:szCs w:val="20"/>
          <w:color w:val="auto"/>
        </w:rPr>
      </w:pPr>
    </w:p>
    <w:p>
      <w:pPr>
        <w:ind w:firstLine="583"/>
        <w:spacing w:after="0" w:line="267" w:lineRule="auto"/>
        <w:rPr>
          <w:sz w:val="20"/>
          <w:szCs w:val="20"/>
          <w:color w:val="auto"/>
        </w:rPr>
      </w:pPr>
      <w:r>
        <w:rPr>
          <w:rFonts w:ascii="Arial" w:cs="Arial" w:eastAsia="Arial" w:hAnsi="Arial"/>
          <w:sz w:val="21"/>
          <w:szCs w:val="21"/>
          <w:color w:val="auto"/>
        </w:rPr>
        <w:t>The Board may amend, alter, suspend or discontinue the Plan at any time insofar as permitted by law, but no amendment or alteration shall be made without the approval of the stockholders of the Company:</w:t>
      </w:r>
    </w:p>
    <w:p>
      <w:pPr>
        <w:spacing w:after="0" w:line="153" w:lineRule="exact"/>
        <w:rPr>
          <w:sz w:val="20"/>
          <w:szCs w:val="20"/>
          <w:color w:val="auto"/>
        </w:rPr>
      </w:pPr>
    </w:p>
    <w:p>
      <w:pPr>
        <w:jc w:val="both"/>
        <w:ind w:left="580" w:firstLine="563"/>
        <w:spacing w:after="0" w:line="252" w:lineRule="auto"/>
        <w:tabs>
          <w:tab w:leader="none" w:pos="199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if, except as contemplated by Section 9 hereof,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47" w:name="page148"/>
    <w:bookmarkEnd w:id="147"/>
    <w:p>
      <w:pPr>
        <w:jc w:val="both"/>
        <w:ind w:left="580" w:firstLine="563"/>
        <w:spacing w:after="0" w:line="252" w:lineRule="auto"/>
        <w:tabs>
          <w:tab w:leader="none" w:pos="201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if the amendment or alteration would constitute a material revision to the Plan requiring stockholder approval under applicable legal requirements or the applicable requirements of the NYSE or such other securities exchange on which the Company’s Common Stock is listed.</w:t>
      </w:r>
    </w:p>
    <w:p>
      <w:pPr>
        <w:spacing w:after="0" w:line="169" w:lineRule="exact"/>
        <w:rPr>
          <w:sz w:val="20"/>
          <w:szCs w:val="20"/>
          <w:color w:val="auto"/>
        </w:rPr>
      </w:pPr>
    </w:p>
    <w:p>
      <w:pPr>
        <w:ind w:firstLine="583"/>
        <w:spacing w:after="0" w:line="267" w:lineRule="auto"/>
        <w:rPr>
          <w:sz w:val="20"/>
          <w:szCs w:val="20"/>
          <w:color w:val="auto"/>
        </w:rPr>
      </w:pPr>
      <w:r>
        <w:rPr>
          <w:rFonts w:ascii="Arial" w:cs="Arial" w:eastAsia="Arial" w:hAnsi="Arial"/>
          <w:sz w:val="21"/>
          <w:szCs w:val="21"/>
          <w:color w:val="auto"/>
        </w:rPr>
        <w:t>No amendment of the Plan shall alter or impair any of the rights or obligations of any person, without his or her consent, under any Stock Option or right theretofore granted under the Plan.</w:t>
      </w:r>
    </w:p>
    <w:p>
      <w:pPr>
        <w:spacing w:after="0" w:line="147" w:lineRule="exact"/>
        <w:rPr>
          <w:sz w:val="20"/>
          <w:szCs w:val="20"/>
          <w:color w:val="auto"/>
        </w:rPr>
      </w:pPr>
    </w:p>
    <w:p>
      <w:pPr>
        <w:ind w:left="580" w:hanging="574"/>
        <w:spacing w:after="0"/>
        <w:tabs>
          <w:tab w:leader="none" w:pos="580" w:val="left"/>
        </w:tabs>
        <w:numPr>
          <w:ilvl w:val="0"/>
          <w:numId w:val="139"/>
        </w:numPr>
        <w:rPr>
          <w:rFonts w:ascii="Arial" w:cs="Arial" w:eastAsia="Arial" w:hAnsi="Arial"/>
          <w:sz w:val="21"/>
          <w:szCs w:val="21"/>
          <w:b w:val="1"/>
          <w:bCs w:val="1"/>
          <w:color w:val="auto"/>
        </w:rPr>
      </w:pPr>
      <w:r>
        <w:rPr>
          <w:rFonts w:ascii="Arial" w:cs="Arial" w:eastAsia="Arial" w:hAnsi="Arial"/>
          <w:sz w:val="21"/>
          <w:szCs w:val="21"/>
          <w:b w:val="1"/>
          <w:bCs w:val="1"/>
          <w:color w:val="auto"/>
        </w:rPr>
        <w:t>Government Regulations</w:t>
      </w:r>
    </w:p>
    <w:p>
      <w:pPr>
        <w:spacing w:after="0" w:line="216" w:lineRule="exact"/>
        <w:rPr>
          <w:sz w:val="20"/>
          <w:szCs w:val="20"/>
          <w:color w:val="auto"/>
        </w:rPr>
      </w:pPr>
    </w:p>
    <w:p>
      <w:pPr>
        <w:jc w:val="both"/>
        <w:ind w:firstLine="583"/>
        <w:spacing w:after="0" w:line="241" w:lineRule="auto"/>
        <w:rPr>
          <w:sz w:val="20"/>
          <w:szCs w:val="20"/>
          <w:color w:val="auto"/>
        </w:rPr>
      </w:pPr>
      <w:r>
        <w:rPr>
          <w:rFonts w:ascii="Arial" w:cs="Arial" w:eastAsia="Arial" w:hAnsi="Arial"/>
          <w:sz w:val="21"/>
          <w:szCs w:val="21"/>
          <w:color w:val="auto"/>
        </w:rPr>
        <w:t>Notwithstanding any of the provisions hereof or of any Award granted hereunder, the obligation of the Company or any subsidiary to sell and deliver shares of Common Stock under such Award to make cash payments in respect thereto shall be subject to all applicable laws, rules and regulations and to such approvals by any governmental agencies or national securities exchanges as may be required, and the recipient shall not exercise or convert any Award granted hereunder, and that neither the Company nor any subsidiary will be obligated to issue any shares of Common Stock or make any payments under any such Award if the exercise thereof or if the issuance of such shares of Common Stock or if the payment made constitutes, or may constitute a violation by the recipient or the Company or any subsidiary of any provision of any applicable law, rule or regulation of any governmental authority or national securities exchanges.</w:t>
      </w:r>
    </w:p>
    <w:p>
      <w:pPr>
        <w:spacing w:after="0" w:line="178" w:lineRule="exact"/>
        <w:rPr>
          <w:sz w:val="20"/>
          <w:szCs w:val="20"/>
          <w:color w:val="auto"/>
        </w:rPr>
      </w:pPr>
    </w:p>
    <w:p>
      <w:pPr>
        <w:ind w:left="580" w:hanging="574"/>
        <w:spacing w:after="0"/>
        <w:tabs>
          <w:tab w:leader="none" w:pos="580" w:val="left"/>
        </w:tabs>
        <w:numPr>
          <w:ilvl w:val="0"/>
          <w:numId w:val="140"/>
        </w:numPr>
        <w:rPr>
          <w:rFonts w:ascii="Arial" w:cs="Arial" w:eastAsia="Arial" w:hAnsi="Arial"/>
          <w:sz w:val="21"/>
          <w:szCs w:val="21"/>
          <w:b w:val="1"/>
          <w:bCs w:val="1"/>
          <w:color w:val="auto"/>
        </w:rPr>
      </w:pPr>
      <w:r>
        <w:rPr>
          <w:rFonts w:ascii="Arial" w:cs="Arial" w:eastAsia="Arial" w:hAnsi="Arial"/>
          <w:sz w:val="21"/>
          <w:szCs w:val="21"/>
          <w:b w:val="1"/>
          <w:bCs w:val="1"/>
          <w:color w:val="auto"/>
        </w:rPr>
        <w:t>Non-United States Participants</w:t>
      </w:r>
    </w:p>
    <w:p>
      <w:pPr>
        <w:spacing w:after="0" w:line="216" w:lineRule="exact"/>
        <w:rPr>
          <w:sz w:val="20"/>
          <w:szCs w:val="20"/>
          <w:color w:val="auto"/>
        </w:rPr>
      </w:pPr>
    </w:p>
    <w:p>
      <w:pPr>
        <w:jc w:val="both"/>
        <w:ind w:firstLine="583"/>
        <w:spacing w:after="0" w:line="244" w:lineRule="auto"/>
        <w:rPr>
          <w:sz w:val="20"/>
          <w:szCs w:val="20"/>
          <w:color w:val="auto"/>
        </w:rPr>
      </w:pPr>
      <w:r>
        <w:rPr>
          <w:rFonts w:ascii="Arial" w:cs="Arial" w:eastAsia="Arial" w:hAnsi="Arial"/>
          <w:sz w:val="21"/>
          <w:szCs w:val="21"/>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IN WITNESS WHEREOF, the Company has caused this Plan to be executed by its duly authorized officer on the date first written above.</w:t>
      </w:r>
    </w:p>
    <w:p>
      <w:pPr>
        <w:spacing w:after="0" w:line="179" w:lineRule="exact"/>
        <w:rPr>
          <w:sz w:val="20"/>
          <w:szCs w:val="20"/>
          <w:color w:val="auto"/>
        </w:rPr>
      </w:pPr>
    </w:p>
    <w:p>
      <w:pPr>
        <w:ind w:left="6760"/>
        <w:spacing w:after="0"/>
        <w:rPr>
          <w:sz w:val="20"/>
          <w:szCs w:val="20"/>
          <w:color w:val="auto"/>
        </w:rPr>
      </w:pPr>
      <w:r>
        <w:rPr>
          <w:rFonts w:ascii="Arial" w:cs="Arial" w:eastAsia="Arial" w:hAnsi="Arial"/>
          <w:sz w:val="21"/>
          <w:szCs w:val="21"/>
          <w:color w:val="auto"/>
        </w:rPr>
        <w:t>SCHLUMBERGER LIMITED</w:t>
      </w:r>
    </w:p>
    <w:p>
      <w:pPr>
        <w:spacing w:after="0" w:line="236" w:lineRule="exact"/>
        <w:rPr>
          <w:sz w:val="20"/>
          <w:szCs w:val="20"/>
          <w:color w:val="auto"/>
        </w:rPr>
      </w:pPr>
    </w:p>
    <w:p>
      <w:pPr>
        <w:ind w:left="6760"/>
        <w:spacing w:after="0"/>
        <w:tabs>
          <w:tab w:leader="none" w:pos="7320" w:val="left"/>
        </w:tabs>
        <w:rPr>
          <w:sz w:val="20"/>
          <w:szCs w:val="20"/>
          <w:color w:val="auto"/>
        </w:rPr>
      </w:pPr>
      <w:r>
        <w:rPr>
          <w:rFonts w:ascii="Arial" w:cs="Arial" w:eastAsia="Arial" w:hAnsi="Arial"/>
          <w:sz w:val="21"/>
          <w:szCs w:val="21"/>
          <w:color w:val="auto"/>
        </w:rPr>
        <w:t>By:</w:t>
        <w:tab/>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4656455</wp:posOffset>
            </wp:positionH>
            <wp:positionV relativeFrom="paragraph">
              <wp:posOffset>12065</wp:posOffset>
            </wp:positionV>
            <wp:extent cx="25958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9" w:lineRule="exact"/>
        <w:rPr>
          <w:sz w:val="20"/>
          <w:szCs w:val="20"/>
          <w:color w:val="auto"/>
        </w:rPr>
      </w:pPr>
    </w:p>
    <w:p>
      <w:pPr>
        <w:ind w:left="7340"/>
        <w:spacing w:after="0"/>
        <w:rPr>
          <w:sz w:val="20"/>
          <w:szCs w:val="20"/>
          <w:color w:val="auto"/>
        </w:rPr>
      </w:pPr>
      <w:r>
        <w:rPr>
          <w:rFonts w:ascii="Arial" w:cs="Arial" w:eastAsia="Arial" w:hAnsi="Arial"/>
          <w:sz w:val="21"/>
          <w:szCs w:val="21"/>
          <w:color w:val="auto"/>
        </w:rPr>
        <w:t>Paal Kibsgaard</w:t>
      </w:r>
    </w:p>
    <w:p>
      <w:pPr>
        <w:spacing w:after="0" w:line="218" w:lineRule="exact"/>
        <w:rPr>
          <w:sz w:val="20"/>
          <w:szCs w:val="20"/>
          <w:color w:val="auto"/>
        </w:rPr>
      </w:pPr>
    </w:p>
    <w:p>
      <w:pPr>
        <w:ind w:left="6760"/>
        <w:spacing w:after="0"/>
        <w:rPr>
          <w:sz w:val="20"/>
          <w:szCs w:val="20"/>
          <w:color w:val="auto"/>
        </w:rPr>
      </w:pPr>
      <w:r>
        <w:rPr>
          <w:rFonts w:ascii="Arial" w:cs="Arial" w:eastAsia="Arial" w:hAnsi="Arial"/>
          <w:sz w:val="21"/>
          <w:szCs w:val="21"/>
          <w:color w:val="auto"/>
        </w:rPr>
        <w:t>Title: Chairman &amp; CEO</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420"/>
          </w:cols>
          <w:pgMar w:left="240" w:top="556"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1"/>
          <w:szCs w:val="21"/>
          <w:b w:val="1"/>
          <w:bCs w:val="1"/>
          <w:color w:val="auto"/>
        </w:rPr>
        <w:t>Exhibit 10.8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SCHLUMBERGER</w:t>
      </w:r>
    </w:p>
    <w:p>
      <w:pPr>
        <w:jc w:val="center"/>
        <w:spacing w:after="0" w:line="237" w:lineRule="auto"/>
        <w:rPr>
          <w:sz w:val="20"/>
          <w:szCs w:val="20"/>
          <w:color w:val="auto"/>
        </w:rPr>
      </w:pPr>
      <w:r>
        <w:rPr>
          <w:rFonts w:ascii="Arial" w:cs="Arial" w:eastAsia="Arial" w:hAnsi="Arial"/>
          <w:sz w:val="21"/>
          <w:szCs w:val="21"/>
          <w:b w:val="1"/>
          <w:bCs w:val="1"/>
          <w:color w:val="auto"/>
        </w:rPr>
        <w:t>2010 OMNIBUS STOCK INCENTIVE PLAN</w:t>
      </w:r>
    </w:p>
    <w:p>
      <w:pPr>
        <w:jc w:val="center"/>
        <w:spacing w:after="0"/>
        <w:rPr>
          <w:sz w:val="20"/>
          <w:szCs w:val="20"/>
          <w:color w:val="auto"/>
        </w:rPr>
      </w:pPr>
      <w:r>
        <w:rPr>
          <w:rFonts w:ascii="Arial" w:cs="Arial" w:eastAsia="Arial" w:hAnsi="Arial"/>
          <w:sz w:val="21"/>
          <w:szCs w:val="21"/>
          <w:b w:val="1"/>
          <w:bCs w:val="1"/>
          <w:color w:val="auto"/>
        </w:rPr>
        <w:t>(Amended and Restated as of July 19, 2017)</w:t>
      </w:r>
    </w:p>
    <w:p>
      <w:pPr>
        <w:spacing w:after="0" w:line="192" w:lineRule="exact"/>
        <w:rPr>
          <w:sz w:val="20"/>
          <w:szCs w:val="20"/>
          <w:color w:val="auto"/>
        </w:rPr>
      </w:pPr>
    </w:p>
    <w:p>
      <w:pPr>
        <w:jc w:val="both"/>
        <w:ind w:firstLine="626"/>
        <w:spacing w:after="0" w:line="243" w:lineRule="auto"/>
        <w:tabs>
          <w:tab w:leader="none" w:pos="845" w:val="left"/>
        </w:tabs>
        <w:numPr>
          <w:ilvl w:val="0"/>
          <w:numId w:val="141"/>
        </w:numPr>
        <w:rPr>
          <w:rFonts w:ascii="Arial" w:cs="Arial" w:eastAsia="Arial" w:hAnsi="Arial"/>
          <w:sz w:val="21"/>
          <w:szCs w:val="21"/>
          <w:color w:val="auto"/>
        </w:rPr>
      </w:pPr>
      <w:r>
        <w:rPr>
          <w:rFonts w:ascii="Arial" w:cs="Arial" w:eastAsia="Arial" w:hAnsi="Arial"/>
          <w:sz w:val="21"/>
          <w:szCs w:val="21"/>
          <w:i w:val="1"/>
          <w:iCs w:val="1"/>
          <w:color w:val="auto"/>
        </w:rPr>
        <w:t>Objectives</w:t>
      </w:r>
      <w:r>
        <w:rPr>
          <w:rFonts w:ascii="Arial" w:cs="Arial" w:eastAsia="Arial" w:hAnsi="Arial"/>
          <w:sz w:val="21"/>
          <w:szCs w:val="21"/>
          <w:color w:val="auto"/>
        </w:rPr>
        <w:t>. This Schlumberger 2010 Omnibus Stock Incentive Plan (this “Plan”) was adopted by Schlumberger Limited</w:t>
      </w:r>
      <w:r>
        <w:rPr>
          <w:rFonts w:ascii="Arial" w:cs="Arial" w:eastAsia="Arial" w:hAnsi="Arial"/>
          <w:sz w:val="21"/>
          <w:szCs w:val="21"/>
          <w:i w:val="1"/>
          <w:iCs w:val="1"/>
          <w:color w:val="auto"/>
        </w:rPr>
        <w:t xml:space="preserve"> </w:t>
      </w:r>
      <w:r>
        <w:rPr>
          <w:rFonts w:ascii="Arial" w:cs="Arial" w:eastAsia="Arial" w:hAnsi="Arial"/>
          <w:sz w:val="21"/>
          <w:szCs w:val="21"/>
          <w:color w:val="auto"/>
        </w:rPr>
        <w:t>(the “Company”)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178" w:lineRule="exact"/>
        <w:rPr>
          <w:rFonts w:ascii="Arial" w:cs="Arial" w:eastAsia="Arial" w:hAnsi="Arial"/>
          <w:sz w:val="21"/>
          <w:szCs w:val="21"/>
          <w:color w:val="auto"/>
        </w:rPr>
      </w:pPr>
    </w:p>
    <w:p>
      <w:pPr>
        <w:ind w:left="840" w:hanging="214"/>
        <w:spacing w:after="0"/>
        <w:tabs>
          <w:tab w:leader="none" w:pos="840" w:val="left"/>
        </w:tabs>
        <w:numPr>
          <w:ilvl w:val="0"/>
          <w:numId w:val="141"/>
        </w:numPr>
        <w:rPr>
          <w:rFonts w:ascii="Arial" w:cs="Arial" w:eastAsia="Arial" w:hAnsi="Arial"/>
          <w:sz w:val="21"/>
          <w:szCs w:val="21"/>
          <w:color w:val="auto"/>
        </w:rPr>
      </w:pPr>
      <w:r>
        <w:rPr>
          <w:rFonts w:ascii="Arial" w:cs="Arial" w:eastAsia="Arial" w:hAnsi="Arial"/>
          <w:sz w:val="21"/>
          <w:szCs w:val="21"/>
          <w:i w:val="1"/>
          <w:iCs w:val="1"/>
          <w:color w:val="auto"/>
        </w:rPr>
        <w:t>Definitions</w:t>
      </w:r>
      <w:r>
        <w:rPr>
          <w:rFonts w:ascii="Arial" w:cs="Arial" w:eastAsia="Arial" w:hAnsi="Arial"/>
          <w:sz w:val="21"/>
          <w:szCs w:val="21"/>
          <w:color w:val="auto"/>
        </w:rPr>
        <w:t>. As used herein, the terms set forth below shall have the following respective meanings:</w:t>
      </w:r>
    </w:p>
    <w:p>
      <w:pPr>
        <w:spacing w:after="0" w:line="210" w:lineRule="exact"/>
        <w:rPr>
          <w:sz w:val="20"/>
          <w:szCs w:val="20"/>
          <w:color w:val="auto"/>
        </w:rPr>
      </w:pPr>
    </w:p>
    <w:p>
      <w:pPr>
        <w:jc w:val="both"/>
        <w:ind w:firstLine="620"/>
        <w:spacing w:after="0" w:line="252" w:lineRule="auto"/>
        <w:rPr>
          <w:sz w:val="20"/>
          <w:szCs w:val="20"/>
          <w:color w:val="auto"/>
        </w:rPr>
      </w:pPr>
      <w:r>
        <w:rPr>
          <w:rFonts w:ascii="Arial" w:cs="Arial" w:eastAsia="Arial" w:hAnsi="Arial"/>
          <w:sz w:val="21"/>
          <w:szCs w:val="21"/>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169" w:lineRule="exact"/>
        <w:rPr>
          <w:sz w:val="20"/>
          <w:szCs w:val="20"/>
          <w:color w:val="auto"/>
        </w:rPr>
      </w:pPr>
    </w:p>
    <w:p>
      <w:pPr>
        <w:jc w:val="both"/>
        <w:ind w:firstLine="620"/>
        <w:spacing w:after="0" w:line="244" w:lineRule="auto"/>
        <w:rPr>
          <w:sz w:val="20"/>
          <w:szCs w:val="20"/>
          <w:color w:val="auto"/>
        </w:rPr>
      </w:pPr>
      <w:r>
        <w:rPr>
          <w:rFonts w:ascii="Arial" w:cs="Arial" w:eastAsia="Arial" w:hAnsi="Arial"/>
          <w:sz w:val="21"/>
          <w:szCs w:val="21"/>
          <w:color w:val="auto"/>
        </w:rPr>
        <w:t>“Award Agreement” means the document (in written or electronic form) communicating the terms, conditions and limitations applicable of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shall be deemed to have accepted the terms of Award as embodied in the Award Agreement.</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“Board” means the board of directors of the Company.</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“Cash Award” means an Award denominated in cash.</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“Code” means the Internal Revenue Code of 1986, as amended from time to time.</w:t>
      </w:r>
    </w:p>
    <w:p>
      <w:pPr>
        <w:spacing w:after="0" w:line="210" w:lineRule="exact"/>
        <w:rPr>
          <w:sz w:val="20"/>
          <w:szCs w:val="20"/>
          <w:color w:val="auto"/>
        </w:rPr>
      </w:pPr>
    </w:p>
    <w:p>
      <w:pPr>
        <w:jc w:val="both"/>
        <w:ind w:firstLine="620"/>
        <w:spacing w:after="0" w:line="252" w:lineRule="auto"/>
        <w:rPr>
          <w:sz w:val="20"/>
          <w:szCs w:val="20"/>
          <w:color w:val="auto"/>
        </w:rPr>
      </w:pPr>
      <w:r>
        <w:rPr>
          <w:rFonts w:ascii="Arial" w:cs="Arial" w:eastAsia="Arial" w:hAnsi="Arial"/>
          <w:sz w:val="21"/>
          <w:szCs w:val="21"/>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“Common Stock” means the Common Stock, par value $0.01 per share, of the Company.</w:t>
      </w:r>
    </w:p>
    <w:p>
      <w:pPr>
        <w:spacing w:after="0" w:line="210" w:lineRule="exact"/>
        <w:rPr>
          <w:sz w:val="20"/>
          <w:szCs w:val="20"/>
          <w:color w:val="auto"/>
        </w:rPr>
      </w:pPr>
    </w:p>
    <w:p>
      <w:pPr>
        <w:jc w:val="both"/>
        <w:ind w:firstLine="620"/>
        <w:spacing w:after="0" w:line="247" w:lineRule="auto"/>
        <w:rPr>
          <w:sz w:val="20"/>
          <w:szCs w:val="20"/>
          <w:color w:val="auto"/>
        </w:rPr>
      </w:pPr>
      <w:r>
        <w:rPr>
          <w:rFonts w:ascii="Arial" w:cs="Arial" w:eastAsia="Arial" w:hAnsi="Arial"/>
          <w:sz w:val="21"/>
          <w:szCs w:val="21"/>
          <w:color w:val="auto"/>
        </w:rPr>
        <w:t>“Dividend Equivalents” means, with respect to shares of Restricted Stock or Restricted Stock Units, with respect to which shares are to be issued at the end of the Restriction Period, an amount equal to all dividends and other distributions (or the economic equivalent thereof) that are payable to shareholders of record during the Restriction Period on a like number of shares of Common Stock.</w:t>
      </w:r>
    </w:p>
    <w:p>
      <w:pPr>
        <w:spacing w:after="0" w:line="174" w:lineRule="exact"/>
        <w:rPr>
          <w:sz w:val="20"/>
          <w:szCs w:val="20"/>
          <w:color w:val="auto"/>
        </w:rPr>
      </w:pPr>
    </w:p>
    <w:p>
      <w:pPr>
        <w:jc w:val="both"/>
        <w:ind w:right="20" w:firstLine="620"/>
        <w:spacing w:after="0" w:line="292" w:lineRule="auto"/>
        <w:rPr>
          <w:sz w:val="20"/>
          <w:szCs w:val="20"/>
          <w:color w:val="auto"/>
        </w:rPr>
      </w:pPr>
      <w:r>
        <w:rPr>
          <w:rFonts w:ascii="Arial" w:cs="Arial" w:eastAsia="Arial" w:hAnsi="Arial"/>
          <w:sz w:val="20"/>
          <w:szCs w:val="20"/>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294640</wp:posOffset>
            </wp:positionV>
            <wp:extent cx="729107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49" w:name="page150"/>
    <w:bookmarkEnd w:id="149"/>
    <w:p>
      <w:pPr>
        <w:jc w:val="both"/>
        <w:ind w:firstLine="620"/>
        <w:spacing w:after="0" w:line="252" w:lineRule="auto"/>
        <w:rPr>
          <w:sz w:val="20"/>
          <w:szCs w:val="20"/>
          <w:color w:val="auto"/>
        </w:rPr>
      </w:pPr>
      <w:r>
        <w:rPr>
          <w:rFonts w:ascii="Arial" w:cs="Arial" w:eastAsia="Arial" w:hAnsi="Arial"/>
          <w:sz w:val="21"/>
          <w:szCs w:val="21"/>
          <w:color w:val="auto"/>
        </w:rPr>
        <w:t>“Executive Officer” means a “covered employee” within the meaning of Section 162(m)(3) or any other executive officer designated by the Committee for purposes of exempting compensation payable under this Plan from the deduction limitations of Section 162(m).</w:t>
      </w:r>
    </w:p>
    <w:p>
      <w:pPr>
        <w:spacing w:after="0" w:line="169" w:lineRule="exact"/>
        <w:rPr>
          <w:sz w:val="20"/>
          <w:szCs w:val="20"/>
          <w:color w:val="auto"/>
        </w:rPr>
      </w:pPr>
    </w:p>
    <w:p>
      <w:pPr>
        <w:jc w:val="both"/>
        <w:ind w:firstLine="620"/>
        <w:spacing w:after="0" w:line="244" w:lineRule="auto"/>
        <w:rPr>
          <w:sz w:val="20"/>
          <w:szCs w:val="20"/>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180" w:lineRule="exact"/>
        <w:rPr>
          <w:sz w:val="20"/>
          <w:szCs w:val="20"/>
          <w:color w:val="auto"/>
        </w:rPr>
      </w:pPr>
    </w:p>
    <w:p>
      <w:pPr>
        <w:ind w:left="620"/>
        <w:spacing w:after="0" w:line="388" w:lineRule="auto"/>
        <w:rPr>
          <w:sz w:val="20"/>
          <w:szCs w:val="20"/>
          <w:color w:val="auto"/>
        </w:rPr>
      </w:pPr>
      <w:r>
        <w:rPr>
          <w:rFonts w:ascii="Arial" w:cs="Arial" w:eastAsia="Arial" w:hAnsi="Arial"/>
          <w:sz w:val="19"/>
          <w:szCs w:val="19"/>
          <w:color w:val="auto"/>
        </w:rPr>
        <w:t>“Incentive Option” means an Option that is intended to comply with the requirements set forth in Section 422 of the Code. “Non-Qualified Option” means an Option that is not intended to comply with the requirements set forth in Section 422 of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Code.</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“Option” means a right to purchase a specified number of shares of Common Stock at a specified price.</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“Participant” means an Employee to whom an Award has been made under this Plan.</w:t>
      </w:r>
    </w:p>
    <w:p>
      <w:pPr>
        <w:spacing w:after="0" w:line="210" w:lineRule="exact"/>
        <w:rPr>
          <w:sz w:val="20"/>
          <w:szCs w:val="20"/>
          <w:color w:val="auto"/>
        </w:rPr>
      </w:pPr>
    </w:p>
    <w:p>
      <w:pPr>
        <w:jc w:val="both"/>
        <w:ind w:firstLine="620"/>
        <w:spacing w:after="0" w:line="267" w:lineRule="auto"/>
        <w:rPr>
          <w:sz w:val="20"/>
          <w:szCs w:val="20"/>
          <w:color w:val="auto"/>
        </w:rPr>
      </w:pPr>
      <w:r>
        <w:rPr>
          <w:rFonts w:ascii="Arial" w:cs="Arial" w:eastAsia="Arial" w:hAnsi="Arial"/>
          <w:sz w:val="21"/>
          <w:szCs w:val="21"/>
          <w:color w:val="auto"/>
        </w:rPr>
        <w:t>“Performance Award” means an award made pursuant to this Plan to a Participant, which Award is subject to the attainment of one or more Performance Goals.</w:t>
      </w:r>
    </w:p>
    <w:p>
      <w:pPr>
        <w:spacing w:after="0" w:line="153" w:lineRule="exact"/>
        <w:rPr>
          <w:sz w:val="20"/>
          <w:szCs w:val="20"/>
          <w:color w:val="auto"/>
        </w:rPr>
      </w:pPr>
    </w:p>
    <w:p>
      <w:pPr>
        <w:jc w:val="both"/>
        <w:ind w:firstLine="620"/>
        <w:spacing w:after="0" w:line="267" w:lineRule="auto"/>
        <w:rPr>
          <w:sz w:val="20"/>
          <w:szCs w:val="20"/>
          <w:color w:val="auto"/>
        </w:rPr>
      </w:pPr>
      <w:r>
        <w:rPr>
          <w:rFonts w:ascii="Arial" w:cs="Arial" w:eastAsia="Arial" w:hAnsi="Arial"/>
          <w:sz w:val="21"/>
          <w:szCs w:val="21"/>
          <w:color w:val="auto"/>
        </w:rPr>
        <w:t>“Performance Goal” means a standard established by the Committee, to determine in whole or in part whether a Performance Award shall be earned.</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“Restricted Stock” means any Common Stock that is restricted or subject to forfeiture provisions.</w:t>
      </w:r>
    </w:p>
    <w:p>
      <w:pPr>
        <w:spacing w:after="0" w:line="210" w:lineRule="exact"/>
        <w:rPr>
          <w:sz w:val="20"/>
          <w:szCs w:val="20"/>
          <w:color w:val="auto"/>
        </w:rPr>
      </w:pPr>
    </w:p>
    <w:p>
      <w:pPr>
        <w:jc w:val="both"/>
        <w:ind w:firstLine="620"/>
        <w:spacing w:after="0" w:line="267" w:lineRule="auto"/>
        <w:rPr>
          <w:sz w:val="20"/>
          <w:szCs w:val="20"/>
          <w:color w:val="auto"/>
        </w:rPr>
      </w:pPr>
      <w:r>
        <w:rPr>
          <w:rFonts w:ascii="Arial" w:cs="Arial" w:eastAsia="Arial" w:hAnsi="Arial"/>
          <w:sz w:val="21"/>
          <w:szCs w:val="21"/>
          <w:color w:val="auto"/>
        </w:rPr>
        <w:t>“Restricted Stock Unit” means a unit evidencing the right to receive one share of Common Stock or equivalent value (as determined by the Committee) that is restricted or subject to forfeiture provisions.</w:t>
      </w:r>
    </w:p>
    <w:p>
      <w:pPr>
        <w:spacing w:after="0" w:line="153" w:lineRule="exact"/>
        <w:rPr>
          <w:sz w:val="20"/>
          <w:szCs w:val="20"/>
          <w:color w:val="auto"/>
        </w:rPr>
      </w:pPr>
    </w:p>
    <w:p>
      <w:pPr>
        <w:jc w:val="both"/>
        <w:ind w:firstLine="620"/>
        <w:spacing w:after="0" w:line="252" w:lineRule="auto"/>
        <w:rPr>
          <w:sz w:val="20"/>
          <w:szCs w:val="20"/>
          <w:color w:val="auto"/>
        </w:rPr>
      </w:pPr>
      <w:r>
        <w:rPr>
          <w:rFonts w:ascii="Arial" w:cs="Arial" w:eastAsia="Arial" w:hAnsi="Arial"/>
          <w:sz w:val="21"/>
          <w:szCs w:val="21"/>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“Section 162(m)” means Section 162(m) of the Code and any Treasury Regulations and guidance promulgated thereunder.</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“Section 409A” means Section 409A of the Code and any Treasury Regulations and guidance promulgated thereunder.</w:t>
      </w:r>
    </w:p>
    <w:p>
      <w:pPr>
        <w:spacing w:after="0" w:line="221" w:lineRule="exact"/>
        <w:rPr>
          <w:sz w:val="20"/>
          <w:szCs w:val="20"/>
          <w:color w:val="auto"/>
        </w:rPr>
      </w:pPr>
    </w:p>
    <w:p>
      <w:pPr>
        <w:jc w:val="both"/>
        <w:ind w:firstLine="620"/>
        <w:spacing w:after="0" w:line="252" w:lineRule="auto"/>
        <w:rPr>
          <w:sz w:val="20"/>
          <w:szCs w:val="20"/>
          <w:color w:val="auto"/>
        </w:rPr>
      </w:pPr>
      <w:r>
        <w:rPr>
          <w:rFonts w:ascii="Arial" w:cs="Arial" w:eastAsia="Arial" w:hAnsi="Arial"/>
          <w:sz w:val="21"/>
          <w:szCs w:val="21"/>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0" w:name="page151"/>
    <w:bookmarkEnd w:id="150"/>
    <w:p>
      <w:pPr>
        <w:ind w:left="620"/>
        <w:spacing w:after="0"/>
        <w:rPr>
          <w:sz w:val="20"/>
          <w:szCs w:val="20"/>
          <w:color w:val="auto"/>
        </w:rPr>
      </w:pPr>
      <w:r>
        <w:rPr>
          <w:rFonts w:ascii="Arial" w:cs="Arial" w:eastAsia="Arial" w:hAnsi="Arial"/>
          <w:sz w:val="19"/>
          <w:szCs w:val="19"/>
          <w:color w:val="auto"/>
        </w:rPr>
        <w:t>“Stock Award” means an award in the form of shares of Common Stock or units denominated in shares of Common Stock.</w:t>
      </w:r>
    </w:p>
    <w:p>
      <w:pPr>
        <w:spacing w:after="0" w:line="233" w:lineRule="exact"/>
        <w:rPr>
          <w:sz w:val="20"/>
          <w:szCs w:val="20"/>
          <w:color w:val="auto"/>
        </w:rPr>
      </w:pPr>
    </w:p>
    <w:p>
      <w:pPr>
        <w:jc w:val="both"/>
        <w:ind w:firstLine="620"/>
        <w:spacing w:after="0" w:line="247" w:lineRule="auto"/>
        <w:rPr>
          <w:sz w:val="20"/>
          <w:szCs w:val="20"/>
          <w:color w:val="auto"/>
        </w:rPr>
      </w:pPr>
      <w:r>
        <w:rPr>
          <w:rFonts w:ascii="Arial" w:cs="Arial" w:eastAsia="Arial" w:hAnsi="Arial"/>
          <w:sz w:val="21"/>
          <w:szCs w:val="21"/>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4" w:lineRule="exact"/>
        <w:rPr>
          <w:sz w:val="20"/>
          <w:szCs w:val="20"/>
          <w:color w:val="auto"/>
        </w:rPr>
      </w:pPr>
    </w:p>
    <w:p>
      <w:pPr>
        <w:jc w:val="both"/>
        <w:ind w:firstLine="626"/>
        <w:spacing w:after="0" w:line="247" w:lineRule="auto"/>
        <w:tabs>
          <w:tab w:leader="none" w:pos="832" w:val="left"/>
        </w:tabs>
        <w:numPr>
          <w:ilvl w:val="0"/>
          <w:numId w:val="142"/>
        </w:numPr>
        <w:rPr>
          <w:rFonts w:ascii="Arial" w:cs="Arial" w:eastAsia="Arial" w:hAnsi="Arial"/>
          <w:sz w:val="21"/>
          <w:szCs w:val="21"/>
          <w:color w:val="auto"/>
        </w:rPr>
      </w:pPr>
      <w:r>
        <w:rPr>
          <w:rFonts w:ascii="Arial" w:cs="Arial" w:eastAsia="Arial" w:hAnsi="Arial"/>
          <w:sz w:val="21"/>
          <w:szCs w:val="21"/>
          <w:i w:val="1"/>
          <w:iCs w:val="1"/>
          <w:color w:val="auto"/>
        </w:rPr>
        <w:t>Eligibility</w:t>
      </w:r>
      <w:r>
        <w:rPr>
          <w:rFonts w:ascii="Arial" w:cs="Arial" w:eastAsia="Arial" w:hAnsi="Arial"/>
          <w:sz w:val="21"/>
          <w:szCs w:val="21"/>
          <w:color w:val="auto"/>
        </w:rPr>
        <w:t>. All Employees of the Company or a Subsidiary are eligible for Awards under this Plan in the sole discretion of</w:t>
      </w:r>
      <w:r>
        <w:rPr>
          <w:rFonts w:ascii="Arial" w:cs="Arial" w:eastAsia="Arial" w:hAnsi="Arial"/>
          <w:sz w:val="21"/>
          <w:szCs w:val="21"/>
          <w:i w:val="1"/>
          <w:iCs w:val="1"/>
          <w:color w:val="auto"/>
        </w:rPr>
        <w:t xml:space="preserve"> </w:t>
      </w:r>
      <w:r>
        <w:rPr>
          <w:rFonts w:ascii="Arial" w:cs="Arial" w:eastAsia="Arial" w:hAnsi="Arial"/>
          <w:sz w:val="21"/>
          <w:szCs w:val="21"/>
          <w:color w:val="auto"/>
        </w:rPr>
        <w:t>the Committee.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174" w:lineRule="exact"/>
        <w:rPr>
          <w:rFonts w:ascii="Arial" w:cs="Arial" w:eastAsia="Arial" w:hAnsi="Arial"/>
          <w:sz w:val="21"/>
          <w:szCs w:val="21"/>
          <w:color w:val="auto"/>
        </w:rPr>
      </w:pPr>
    </w:p>
    <w:p>
      <w:pPr>
        <w:jc w:val="both"/>
        <w:ind w:firstLine="626"/>
        <w:spacing w:after="0" w:line="244" w:lineRule="auto"/>
        <w:tabs>
          <w:tab w:leader="none" w:pos="832" w:val="left"/>
        </w:tabs>
        <w:numPr>
          <w:ilvl w:val="0"/>
          <w:numId w:val="142"/>
        </w:numPr>
        <w:rPr>
          <w:rFonts w:ascii="Arial" w:cs="Arial" w:eastAsia="Arial" w:hAnsi="Arial"/>
          <w:sz w:val="21"/>
          <w:szCs w:val="21"/>
          <w:color w:val="auto"/>
        </w:rPr>
      </w:pPr>
      <w:r>
        <w:rPr>
          <w:rFonts w:ascii="Arial" w:cs="Arial" w:eastAsia="Arial" w:hAnsi="Arial"/>
          <w:sz w:val="21"/>
          <w:szCs w:val="21"/>
          <w:i w:val="1"/>
          <w:iCs w:val="1"/>
          <w:color w:val="auto"/>
        </w:rPr>
        <w:t>Common Stock Available for Awards</w:t>
      </w:r>
      <w:r>
        <w:rPr>
          <w:rFonts w:ascii="Arial" w:cs="Arial" w:eastAsia="Arial" w:hAnsi="Arial"/>
          <w:sz w:val="21"/>
          <w:szCs w:val="21"/>
          <w:color w:val="auto"/>
        </w:rPr>
        <w:t>. Subject to the provisions of paragraph 13 hereof, there shall be available for Awards</w:t>
      </w:r>
      <w:r>
        <w:rPr>
          <w:rFonts w:ascii="Arial" w:cs="Arial" w:eastAsia="Arial" w:hAnsi="Arial"/>
          <w:sz w:val="21"/>
          <w:szCs w:val="21"/>
          <w:i w:val="1"/>
          <w:iCs w:val="1"/>
          <w:color w:val="auto"/>
        </w:rPr>
        <w:t xml:space="preserve"> </w:t>
      </w:r>
      <w:r>
        <w:rPr>
          <w:rFonts w:ascii="Arial" w:cs="Arial" w:eastAsia="Arial" w:hAnsi="Arial"/>
          <w:sz w:val="21"/>
          <w:szCs w:val="21"/>
          <w:color w:val="auto"/>
        </w:rPr>
        <w:t>under this Plan granted wholly or partly in Common Stock (including rights or options that may be exercised for or settled in Common Stock) an aggregate of 30 million shares of Common Stock. No more than 3 million shares of Common Stock may be the subject of Awards that are not Options or Stock Appreciation Rights. In the sole discretion of the Committee, 30 million shares of Common Stock may be granted as Incentive Options.</w:t>
      </w:r>
    </w:p>
    <w:p>
      <w:pPr>
        <w:spacing w:after="0" w:line="180" w:lineRule="exact"/>
        <w:rPr>
          <w:sz w:val="20"/>
          <w:szCs w:val="20"/>
          <w:color w:val="auto"/>
        </w:rPr>
      </w:pPr>
    </w:p>
    <w:p>
      <w:pPr>
        <w:jc w:val="both"/>
        <w:ind w:firstLine="626"/>
        <w:spacing w:after="0" w:line="255" w:lineRule="auto"/>
        <w:tabs>
          <w:tab w:leader="none" w:pos="94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In connection with the granting of an Option or other Award, the number of shares of Common Stock available for issuance under this Plan shall be reduced by the number of shares of Common Stock in respect of which the Option or Award is granted or denominated. For example, upon the grant of stock-settled SARs, the number of shares of Common Stock available for issuance under this Plan shall be reduced by the full number of SARs granted, and the number of shares of Common Stock available for issuance under this Plan shall not 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shall not reduce the number of shares of Common Stock available for issuance under this Plan.</w:t>
      </w:r>
    </w:p>
    <w:p>
      <w:pPr>
        <w:spacing w:after="0" w:line="169" w:lineRule="exact"/>
        <w:rPr>
          <w:rFonts w:ascii="Arial" w:cs="Arial" w:eastAsia="Arial" w:hAnsi="Arial"/>
          <w:sz w:val="20"/>
          <w:szCs w:val="20"/>
          <w:color w:val="auto"/>
        </w:rPr>
      </w:pPr>
    </w:p>
    <w:p>
      <w:pPr>
        <w:jc w:val="both"/>
        <w:ind w:firstLine="626"/>
        <w:spacing w:after="0" w:line="252" w:lineRule="auto"/>
        <w:tabs>
          <w:tab w:leader="none" w:pos="936" w:val="left"/>
        </w:tabs>
        <w:numPr>
          <w:ilvl w:val="0"/>
          <w:numId w:val="143"/>
        </w:numPr>
        <w:rPr>
          <w:rFonts w:ascii="Arial" w:cs="Arial" w:eastAsia="Arial" w:hAnsi="Arial"/>
          <w:sz w:val="21"/>
          <w:szCs w:val="21"/>
          <w:color w:val="auto"/>
        </w:rPr>
      </w:pPr>
      <w:r>
        <w:rPr>
          <w:rFonts w:ascii="Arial" w:cs="Arial" w:eastAsia="Arial" w:hAnsi="Arial"/>
          <w:sz w:val="21"/>
          <w:szCs w:val="21"/>
          <w:color w:val="auto"/>
        </w:rPr>
        <w:t>Any shares of Common Stock that are tendered by a Participant or withheld as full or partial payment of withholding or other taxes or as payment for the exercise or conversion price of an Award under this Plan shall not be added back to the number of shares of Common Stock available for issuance under this Plan.</w:t>
      </w:r>
    </w:p>
    <w:p>
      <w:pPr>
        <w:spacing w:after="0" w:line="168" w:lineRule="exact"/>
        <w:rPr>
          <w:rFonts w:ascii="Arial" w:cs="Arial" w:eastAsia="Arial" w:hAnsi="Arial"/>
          <w:sz w:val="21"/>
          <w:szCs w:val="21"/>
          <w:color w:val="auto"/>
        </w:rPr>
      </w:pPr>
    </w:p>
    <w:p>
      <w:pPr>
        <w:jc w:val="both"/>
        <w:ind w:right="20" w:firstLine="626"/>
        <w:spacing w:after="0" w:line="252" w:lineRule="auto"/>
        <w:tabs>
          <w:tab w:leader="none" w:pos="93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Whenever any outstanding Option or other Award (or portion thereof) expires, is cancelled or forfeited or is otherwise terminated for any reason without having been exercised or payment having been made in the form of shares of Common Stock, the number of shares of</w:t>
      </w:r>
    </w:p>
    <w:p>
      <w:pPr>
        <w:spacing w:after="0" w:line="169" w:lineRule="exact"/>
        <w:rPr>
          <w:sz w:val="20"/>
          <w:szCs w:val="20"/>
          <w:color w:val="auto"/>
        </w:rPr>
      </w:pPr>
    </w:p>
    <w:p>
      <w:pPr>
        <w:jc w:val="both"/>
        <w:ind w:firstLine="620"/>
        <w:spacing w:after="0" w:line="247" w:lineRule="auto"/>
        <w:rPr>
          <w:sz w:val="20"/>
          <w:szCs w:val="20"/>
          <w:color w:val="auto"/>
        </w:rPr>
      </w:pPr>
      <w:r>
        <w:rPr>
          <w:rFonts w:ascii="Arial" w:cs="Arial" w:eastAsia="Arial" w:hAnsi="Arial"/>
          <w:sz w:val="21"/>
          <w:szCs w:val="21"/>
          <w:color w:val="auto"/>
        </w:rPr>
        <w:t>Common Stock available for issuance under this Plan shall be increased by the number of shares of Common Stock allocable to the expired, forfeited, cancelled or otherwise terminated Option or other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1" w:name="page152"/>
    <w:bookmarkEnd w:id="151"/>
    <w:p>
      <w:pPr>
        <w:jc w:val="both"/>
        <w:ind w:firstLine="626"/>
        <w:spacing w:after="0" w:line="243" w:lineRule="auto"/>
        <w:tabs>
          <w:tab w:leader="none" w:pos="934" w:val="left"/>
        </w:tabs>
        <w:numPr>
          <w:ilvl w:val="0"/>
          <w:numId w:val="144"/>
        </w:numPr>
        <w:rPr>
          <w:rFonts w:ascii="Arial" w:cs="Arial" w:eastAsia="Arial" w:hAnsi="Arial"/>
          <w:sz w:val="21"/>
          <w:szCs w:val="21"/>
          <w:color w:val="auto"/>
        </w:rPr>
      </w:pPr>
      <w:r>
        <w:rPr>
          <w:rFonts w:ascii="Arial" w:cs="Arial" w:eastAsia="Arial" w:hAnsi="Arial"/>
          <w:sz w:val="21"/>
          <w:szCs w:val="21"/>
          <w:color w:val="auto"/>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w:t>
      </w:r>
    </w:p>
    <w:p>
      <w:pPr>
        <w:spacing w:after="0" w:line="178" w:lineRule="exact"/>
        <w:rPr>
          <w:rFonts w:ascii="Arial" w:cs="Arial" w:eastAsia="Arial" w:hAnsi="Arial"/>
          <w:sz w:val="21"/>
          <w:szCs w:val="21"/>
          <w:color w:val="auto"/>
        </w:rPr>
      </w:pPr>
    </w:p>
    <w:p>
      <w:pPr>
        <w:ind w:firstLine="626"/>
        <w:spacing w:after="0" w:line="267" w:lineRule="auto"/>
        <w:tabs>
          <w:tab w:leader="none" w:pos="95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Awards valued by reference to Common Stock that may be settled in equivalent cash value will count as shares of Common Stock delivered to the same extent as if the Award were settled in shares of Common Stock.</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shall be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168" w:lineRule="exact"/>
        <w:rPr>
          <w:sz w:val="20"/>
          <w:szCs w:val="20"/>
          <w:color w:val="auto"/>
        </w:rPr>
      </w:pPr>
    </w:p>
    <w:p>
      <w:pPr>
        <w:ind w:left="840" w:hanging="214"/>
        <w:spacing w:after="0"/>
        <w:tabs>
          <w:tab w:leader="none" w:pos="840" w:val="left"/>
        </w:tabs>
        <w:numPr>
          <w:ilvl w:val="0"/>
          <w:numId w:val="145"/>
        </w:numPr>
        <w:rPr>
          <w:rFonts w:ascii="Arial" w:cs="Arial" w:eastAsia="Arial" w:hAnsi="Arial"/>
          <w:sz w:val="21"/>
          <w:szCs w:val="21"/>
          <w:color w:val="auto"/>
        </w:rPr>
      </w:pPr>
      <w:r>
        <w:rPr>
          <w:rFonts w:ascii="Arial" w:cs="Arial" w:eastAsia="Arial" w:hAnsi="Arial"/>
          <w:sz w:val="21"/>
          <w:szCs w:val="21"/>
          <w:i w:val="1"/>
          <w:iCs w:val="1"/>
          <w:color w:val="auto"/>
        </w:rPr>
        <w:t>Administration</w:t>
      </w:r>
      <w:r>
        <w:rPr>
          <w:rFonts w:ascii="Arial" w:cs="Arial" w:eastAsia="Arial" w:hAnsi="Arial"/>
          <w:sz w:val="21"/>
          <w:szCs w:val="21"/>
          <w:color w:val="auto"/>
        </w:rPr>
        <w:t>.</w:t>
      </w:r>
    </w:p>
    <w:p>
      <w:pPr>
        <w:spacing w:after="0" w:line="210" w:lineRule="exact"/>
        <w:rPr>
          <w:sz w:val="20"/>
          <w:szCs w:val="20"/>
          <w:color w:val="auto"/>
        </w:rPr>
      </w:pPr>
    </w:p>
    <w:p>
      <w:pPr>
        <w:ind w:firstLine="626"/>
        <w:spacing w:after="0" w:line="267" w:lineRule="auto"/>
        <w:tabs>
          <w:tab w:leader="none" w:pos="908" w:val="left"/>
        </w:tabs>
        <w:numPr>
          <w:ilvl w:val="1"/>
          <w:numId w:val="146"/>
        </w:numPr>
        <w:rPr>
          <w:rFonts w:ascii="Arial" w:cs="Arial" w:eastAsia="Arial" w:hAnsi="Arial"/>
          <w:sz w:val="21"/>
          <w:szCs w:val="21"/>
          <w:color w:val="auto"/>
        </w:rPr>
      </w:pPr>
      <w:r>
        <w:rPr>
          <w:rFonts w:ascii="Arial" w:cs="Arial" w:eastAsia="Arial" w:hAnsi="Arial"/>
          <w:sz w:val="21"/>
          <w:szCs w:val="21"/>
          <w:i w:val="1"/>
          <w:iCs w:val="1"/>
          <w:color w:val="auto"/>
        </w:rPr>
        <w:t>Authority of the Committee</w:t>
      </w:r>
      <w:r>
        <w:rPr>
          <w:rFonts w:ascii="Arial" w:cs="Arial" w:eastAsia="Arial" w:hAnsi="Arial"/>
          <w:sz w:val="21"/>
          <w:szCs w:val="21"/>
          <w:color w:val="auto"/>
        </w:rPr>
        <w:t>. This Plan shall be administered by the Committee, which shall have the powers vested in it by</w:t>
      </w:r>
      <w:r>
        <w:rPr>
          <w:rFonts w:ascii="Arial" w:cs="Arial" w:eastAsia="Arial" w:hAnsi="Arial"/>
          <w:sz w:val="21"/>
          <w:szCs w:val="21"/>
          <w:i w:val="1"/>
          <w:iCs w:val="1"/>
          <w:color w:val="auto"/>
        </w:rPr>
        <w:t xml:space="preserve"> </w:t>
      </w:r>
      <w:r>
        <w:rPr>
          <w:rFonts w:ascii="Arial" w:cs="Arial" w:eastAsia="Arial" w:hAnsi="Arial"/>
          <w:sz w:val="21"/>
          <w:szCs w:val="21"/>
          <w:color w:val="auto"/>
        </w:rPr>
        <w:t>the terms of this Plan, such powers to include the authority (within the limitations described in this Plan):</w:t>
      </w:r>
    </w:p>
    <w:p>
      <w:pPr>
        <w:spacing w:after="0" w:line="152" w:lineRule="exact"/>
        <w:rPr>
          <w:rFonts w:ascii="Arial" w:cs="Arial" w:eastAsia="Arial" w:hAnsi="Arial"/>
          <w:sz w:val="21"/>
          <w:szCs w:val="21"/>
          <w:color w:val="auto"/>
        </w:rPr>
      </w:pPr>
    </w:p>
    <w:p>
      <w:pPr>
        <w:ind w:left="1060" w:hanging="443"/>
        <w:spacing w:after="0"/>
        <w:tabs>
          <w:tab w:leader="none" w:pos="106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to select the Employees to be granted Awards under this Plan;</w:t>
      </w:r>
    </w:p>
    <w:p>
      <w:pPr>
        <w:spacing w:after="0" w:line="209" w:lineRule="exact"/>
        <w:rPr>
          <w:rFonts w:ascii="Arial" w:cs="Arial" w:eastAsia="Arial" w:hAnsi="Arial"/>
          <w:sz w:val="21"/>
          <w:szCs w:val="21"/>
          <w:color w:val="auto"/>
        </w:rPr>
      </w:pPr>
    </w:p>
    <w:p>
      <w:pPr>
        <w:ind w:left="1060" w:hanging="443"/>
        <w:spacing w:after="0"/>
        <w:tabs>
          <w:tab w:leader="none" w:pos="106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to determine the terms of Awards to be made to each Participant;</w:t>
      </w:r>
    </w:p>
    <w:p>
      <w:pPr>
        <w:spacing w:after="0" w:line="209" w:lineRule="exact"/>
        <w:rPr>
          <w:rFonts w:ascii="Arial" w:cs="Arial" w:eastAsia="Arial" w:hAnsi="Arial"/>
          <w:sz w:val="21"/>
          <w:szCs w:val="21"/>
          <w:color w:val="auto"/>
        </w:rPr>
      </w:pPr>
    </w:p>
    <w:p>
      <w:pPr>
        <w:ind w:left="1060" w:hanging="443"/>
        <w:spacing w:after="0" w:line="267" w:lineRule="auto"/>
        <w:tabs>
          <w:tab w:leader="none" w:pos="106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to determine the time when Awards are to be granted and any conditions that must be satisfied before an Award is granted;</w:t>
      </w:r>
    </w:p>
    <w:p>
      <w:pPr>
        <w:spacing w:after="0" w:line="152" w:lineRule="exact"/>
        <w:rPr>
          <w:rFonts w:ascii="Arial" w:cs="Arial" w:eastAsia="Arial" w:hAnsi="Arial"/>
          <w:sz w:val="21"/>
          <w:szCs w:val="21"/>
          <w:color w:val="auto"/>
        </w:rPr>
      </w:pPr>
    </w:p>
    <w:p>
      <w:pPr>
        <w:ind w:left="1060" w:hanging="443"/>
        <w:spacing w:after="0"/>
        <w:tabs>
          <w:tab w:leader="none" w:pos="106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to establish objectives and conditions for earning Awards;</w:t>
      </w:r>
    </w:p>
    <w:p>
      <w:pPr>
        <w:spacing w:after="0" w:line="209" w:lineRule="exact"/>
        <w:rPr>
          <w:rFonts w:ascii="Arial" w:cs="Arial" w:eastAsia="Arial" w:hAnsi="Arial"/>
          <w:sz w:val="21"/>
          <w:szCs w:val="21"/>
          <w:color w:val="auto"/>
        </w:rPr>
      </w:pPr>
    </w:p>
    <w:p>
      <w:pPr>
        <w:ind w:left="1060" w:hanging="443"/>
        <w:spacing w:after="0" w:line="267" w:lineRule="auto"/>
        <w:tabs>
          <w:tab w:leader="none" w:pos="106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to determine the terms and conditions of Award Agreements (which shall not be inconsistent with this Plan) and which parties must sign each Award Agreement;</w:t>
      </w:r>
    </w:p>
    <w:p>
      <w:pPr>
        <w:spacing w:after="0" w:line="152" w:lineRule="exact"/>
        <w:rPr>
          <w:rFonts w:ascii="Arial" w:cs="Arial" w:eastAsia="Arial" w:hAnsi="Arial"/>
          <w:sz w:val="21"/>
          <w:szCs w:val="21"/>
          <w:color w:val="auto"/>
        </w:rPr>
      </w:pPr>
    </w:p>
    <w:p>
      <w:pPr>
        <w:ind w:left="1060" w:hanging="443"/>
        <w:spacing w:after="0" w:line="267" w:lineRule="auto"/>
        <w:tabs>
          <w:tab w:leader="none" w:pos="106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to determine whether the conditions for earning an Award have been met and whether a Performance Award will be paid at the end of an applicable performance period;</w:t>
      </w:r>
    </w:p>
    <w:p>
      <w:pPr>
        <w:spacing w:after="0" w:line="152" w:lineRule="exact"/>
        <w:rPr>
          <w:rFonts w:ascii="Arial" w:cs="Arial" w:eastAsia="Arial" w:hAnsi="Arial"/>
          <w:sz w:val="21"/>
          <w:szCs w:val="21"/>
          <w:color w:val="auto"/>
        </w:rPr>
      </w:pPr>
    </w:p>
    <w:p>
      <w:pPr>
        <w:ind w:left="1060" w:hanging="443"/>
        <w:spacing w:after="0"/>
        <w:tabs>
          <w:tab w:leader="none" w:pos="106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except as otherwise provided in paragraphs 7(a) and 11, to modify the terms of Awards made under this Plan;</w:t>
      </w:r>
    </w:p>
    <w:p>
      <w:pPr>
        <w:spacing w:after="0" w:line="209" w:lineRule="exact"/>
        <w:rPr>
          <w:rFonts w:ascii="Arial" w:cs="Arial" w:eastAsia="Arial" w:hAnsi="Arial"/>
          <w:sz w:val="21"/>
          <w:szCs w:val="21"/>
          <w:color w:val="auto"/>
        </w:rPr>
      </w:pPr>
    </w:p>
    <w:p>
      <w:pPr>
        <w:ind w:left="1060" w:hanging="443"/>
        <w:spacing w:after="0"/>
        <w:tabs>
          <w:tab w:leader="none" w:pos="106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to determine if, when and under what conditions payment of all or any part of an Award may be deferred;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2" w:name="page153"/>
    <w:bookmarkEnd w:id="152"/>
    <w:p>
      <w:pPr>
        <w:ind w:left="1060" w:hanging="443"/>
        <w:spacing w:after="0"/>
        <w:tabs>
          <w:tab w:leader="none" w:pos="106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to determine whether the amount or payment of an Award should be reduced or eliminated;</w:t>
      </w:r>
    </w:p>
    <w:p>
      <w:pPr>
        <w:spacing w:after="0" w:line="209" w:lineRule="exact"/>
        <w:rPr>
          <w:rFonts w:ascii="Arial" w:cs="Arial" w:eastAsia="Arial" w:hAnsi="Arial"/>
          <w:sz w:val="21"/>
          <w:szCs w:val="21"/>
          <w:color w:val="auto"/>
        </w:rPr>
      </w:pPr>
    </w:p>
    <w:p>
      <w:pPr>
        <w:ind w:left="1060" w:hanging="443"/>
        <w:spacing w:after="0"/>
        <w:tabs>
          <w:tab w:leader="none" w:pos="106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to determine the guidelines and/or procedures for the payment or exercise of Awards; and</w:t>
      </w:r>
    </w:p>
    <w:p>
      <w:pPr>
        <w:spacing w:after="0" w:line="209" w:lineRule="exact"/>
        <w:rPr>
          <w:rFonts w:ascii="Arial" w:cs="Arial" w:eastAsia="Arial" w:hAnsi="Arial"/>
          <w:sz w:val="21"/>
          <w:szCs w:val="21"/>
          <w:color w:val="auto"/>
        </w:rPr>
      </w:pPr>
    </w:p>
    <w:p>
      <w:pPr>
        <w:jc w:val="both"/>
        <w:ind w:left="1060" w:hanging="443"/>
        <w:spacing w:after="0" w:line="252" w:lineRule="auto"/>
        <w:tabs>
          <w:tab w:leader="none" w:pos="106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Committee may correct any defect or supply any omission or reconcile any inconsistency in this Plan or in any Award in the manner and to the extent the Committee deems necessary or desirable to further Plan purposes. Any decision of the Committee in the interpretation and administration of this Plan shall lie within its sole discretion and shall be final, conclusive and binding on all parties concerned. All decisions and selections made by the Committee pursuant to the provisions of the Plan shall be made by a majority of its members unless subject to the Committee’s delegation of authority pursuant to paragraph 6 herein.</w:t>
      </w:r>
    </w:p>
    <w:p>
      <w:pPr>
        <w:spacing w:after="0" w:line="161" w:lineRule="exact"/>
        <w:rPr>
          <w:sz w:val="20"/>
          <w:szCs w:val="20"/>
          <w:color w:val="auto"/>
        </w:rPr>
      </w:pPr>
    </w:p>
    <w:p>
      <w:pPr>
        <w:jc w:val="both"/>
        <w:ind w:firstLine="626"/>
        <w:spacing w:after="0" w:line="247" w:lineRule="auto"/>
        <w:tabs>
          <w:tab w:leader="none" w:pos="934" w:val="left"/>
        </w:tabs>
        <w:numPr>
          <w:ilvl w:val="0"/>
          <w:numId w:val="148"/>
        </w:numPr>
        <w:rPr>
          <w:rFonts w:ascii="Arial" w:cs="Arial" w:eastAsia="Arial" w:hAnsi="Arial"/>
          <w:sz w:val="21"/>
          <w:szCs w:val="21"/>
          <w:color w:val="auto"/>
        </w:rPr>
      </w:pPr>
      <w:r>
        <w:rPr>
          <w:rFonts w:ascii="Arial" w:cs="Arial" w:eastAsia="Arial" w:hAnsi="Arial"/>
          <w:sz w:val="21"/>
          <w:szCs w:val="21"/>
          <w:i w:val="1"/>
          <w:iCs w:val="1"/>
          <w:color w:val="auto"/>
        </w:rPr>
        <w:t>Limitation of Liability</w:t>
      </w:r>
      <w:r>
        <w:rPr>
          <w:rFonts w:ascii="Arial" w:cs="Arial" w:eastAsia="Arial" w:hAnsi="Arial"/>
          <w:sz w:val="21"/>
          <w:szCs w:val="21"/>
          <w:color w:val="auto"/>
        </w:rPr>
        <w:t>. No member of the Committee or officer of the Company to whom the Committee has delegated</w:t>
      </w:r>
      <w:r>
        <w:rPr>
          <w:rFonts w:ascii="Arial" w:cs="Arial" w:eastAsia="Arial" w:hAnsi="Arial"/>
          <w:sz w:val="21"/>
          <w:szCs w:val="21"/>
          <w:i w:val="1"/>
          <w:iCs w:val="1"/>
          <w:color w:val="auto"/>
        </w:rPr>
        <w:t xml:space="preserve"> </w:t>
      </w:r>
      <w:r>
        <w:rPr>
          <w:rFonts w:ascii="Arial" w:cs="Arial" w:eastAsia="Arial" w:hAnsi="Arial"/>
          <w:sz w:val="21"/>
          <w:szCs w:val="21"/>
          <w:color w:val="auto"/>
        </w:rPr>
        <w:t>authority in accordance with the provisions of paragraph 6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74" w:lineRule="exact"/>
        <w:rPr>
          <w:rFonts w:ascii="Arial" w:cs="Arial" w:eastAsia="Arial" w:hAnsi="Arial"/>
          <w:sz w:val="21"/>
          <w:szCs w:val="21"/>
          <w:color w:val="auto"/>
        </w:rPr>
      </w:pPr>
    </w:p>
    <w:p>
      <w:pPr>
        <w:jc w:val="both"/>
        <w:ind w:firstLine="626"/>
        <w:spacing w:after="0" w:line="252" w:lineRule="auto"/>
        <w:tabs>
          <w:tab w:leader="none" w:pos="935" w:val="left"/>
        </w:tabs>
        <w:numPr>
          <w:ilvl w:val="0"/>
          <w:numId w:val="148"/>
        </w:numPr>
        <w:rPr>
          <w:rFonts w:ascii="Arial" w:cs="Arial" w:eastAsia="Arial" w:hAnsi="Arial"/>
          <w:sz w:val="21"/>
          <w:szCs w:val="21"/>
          <w:color w:val="auto"/>
        </w:rPr>
      </w:pPr>
      <w:r>
        <w:rPr>
          <w:rFonts w:ascii="Arial" w:cs="Arial" w:eastAsia="Arial" w:hAnsi="Arial"/>
          <w:sz w:val="21"/>
          <w:szCs w:val="21"/>
          <w:i w:val="1"/>
          <w:iCs w:val="1"/>
          <w:color w:val="auto"/>
        </w:rPr>
        <w:t>Prohibition on Repricing of Awards</w:t>
      </w:r>
      <w:r>
        <w:rPr>
          <w:rFonts w:ascii="Arial" w:cs="Arial" w:eastAsia="Arial" w:hAnsi="Arial"/>
          <w:sz w:val="21"/>
          <w:szCs w:val="21"/>
          <w:color w:val="auto"/>
        </w:rPr>
        <w:t>. No Option or SAR may be repriced, replaced, regranted through cancellation or</w:t>
      </w:r>
      <w:r>
        <w:rPr>
          <w:rFonts w:ascii="Arial" w:cs="Arial" w:eastAsia="Arial" w:hAnsi="Arial"/>
          <w:sz w:val="21"/>
          <w:szCs w:val="21"/>
          <w:i w:val="1"/>
          <w:iCs w:val="1"/>
          <w:color w:val="auto"/>
        </w:rPr>
        <w:t xml:space="preserve"> </w:t>
      </w:r>
      <w:r>
        <w:rPr>
          <w:rFonts w:ascii="Arial" w:cs="Arial" w:eastAsia="Arial" w:hAnsi="Arial"/>
          <w:sz w:val="21"/>
          <w:szCs w:val="21"/>
          <w:color w:val="auto"/>
        </w:rPr>
        <w:t>modified without shareholder approval (except in connection with a change in the Company’s capitalization), if the effect would be to reduce the exercise price for the shares underlying such Option or SAR.</w:t>
      </w:r>
    </w:p>
    <w:p>
      <w:pPr>
        <w:spacing w:after="0" w:line="169" w:lineRule="exact"/>
        <w:rPr>
          <w:sz w:val="20"/>
          <w:szCs w:val="20"/>
          <w:color w:val="auto"/>
        </w:rPr>
      </w:pPr>
    </w:p>
    <w:p>
      <w:pPr>
        <w:jc w:val="both"/>
        <w:ind w:firstLine="626"/>
        <w:spacing w:after="0" w:line="247" w:lineRule="auto"/>
        <w:tabs>
          <w:tab w:leader="none" w:pos="832" w:val="left"/>
        </w:tabs>
        <w:numPr>
          <w:ilvl w:val="0"/>
          <w:numId w:val="149"/>
        </w:numPr>
        <w:rPr>
          <w:rFonts w:ascii="Arial" w:cs="Arial" w:eastAsia="Arial" w:hAnsi="Arial"/>
          <w:sz w:val="21"/>
          <w:szCs w:val="21"/>
          <w:color w:val="auto"/>
        </w:rPr>
      </w:pPr>
      <w:r>
        <w:rPr>
          <w:rFonts w:ascii="Arial" w:cs="Arial" w:eastAsia="Arial" w:hAnsi="Arial"/>
          <w:sz w:val="21"/>
          <w:szCs w:val="21"/>
          <w:i w:val="1"/>
          <w:iCs w:val="1"/>
          <w:color w:val="auto"/>
        </w:rPr>
        <w:t>Delegation of Authority</w:t>
      </w:r>
      <w:r>
        <w:rPr>
          <w:rFonts w:ascii="Arial" w:cs="Arial" w:eastAsia="Arial" w:hAnsi="Arial"/>
          <w:sz w:val="21"/>
          <w:szCs w:val="21"/>
          <w:color w:val="auto"/>
        </w:rPr>
        <w:t>. Except with respect to matters related to Awards to Executive Officers or other Awards intended to</w:t>
      </w:r>
      <w:r>
        <w:rPr>
          <w:rFonts w:ascii="Arial" w:cs="Arial" w:eastAsia="Arial" w:hAnsi="Arial"/>
          <w:sz w:val="21"/>
          <w:szCs w:val="21"/>
          <w:i w:val="1"/>
          <w:iCs w:val="1"/>
          <w:color w:val="auto"/>
        </w:rPr>
        <w:t xml:space="preserve"> </w:t>
      </w:r>
      <w:r>
        <w:rPr>
          <w:rFonts w:ascii="Arial" w:cs="Arial" w:eastAsia="Arial" w:hAnsi="Arial"/>
          <w:sz w:val="21"/>
          <w:szCs w:val="21"/>
          <w:color w:val="auto"/>
        </w:rPr>
        <w:t>qualify as qualified performance-based compensation under Section 162(m), the Committee may delegate to the Chief Executive Officer and to other senior officers of the Company or to such other committee of the Board its duties under this Plan pursuant to such conditions or limitations as the Committee may establish.</w:t>
      </w:r>
    </w:p>
    <w:p>
      <w:pPr>
        <w:spacing w:after="0" w:line="174" w:lineRule="exact"/>
        <w:rPr>
          <w:rFonts w:ascii="Arial" w:cs="Arial" w:eastAsia="Arial" w:hAnsi="Arial"/>
          <w:sz w:val="21"/>
          <w:szCs w:val="21"/>
          <w:color w:val="auto"/>
        </w:rPr>
      </w:pPr>
    </w:p>
    <w:p>
      <w:pPr>
        <w:ind w:left="840" w:hanging="214"/>
        <w:spacing w:after="0"/>
        <w:tabs>
          <w:tab w:leader="none" w:pos="840" w:val="left"/>
        </w:tabs>
        <w:numPr>
          <w:ilvl w:val="0"/>
          <w:numId w:val="149"/>
        </w:numPr>
        <w:rPr>
          <w:rFonts w:ascii="Arial" w:cs="Arial" w:eastAsia="Arial" w:hAnsi="Arial"/>
          <w:sz w:val="21"/>
          <w:szCs w:val="21"/>
          <w:color w:val="auto"/>
        </w:rPr>
      </w:pPr>
      <w:r>
        <w:rPr>
          <w:rFonts w:ascii="Arial" w:cs="Arial" w:eastAsia="Arial" w:hAnsi="Arial"/>
          <w:sz w:val="21"/>
          <w:szCs w:val="21"/>
          <w:i w:val="1"/>
          <w:iCs w:val="1"/>
          <w:color w:val="auto"/>
        </w:rPr>
        <w:t>Awards</w:t>
      </w:r>
      <w:r>
        <w:rPr>
          <w:rFonts w:ascii="Arial" w:cs="Arial" w:eastAsia="Arial" w:hAnsi="Arial"/>
          <w:sz w:val="21"/>
          <w:szCs w:val="21"/>
          <w:color w:val="auto"/>
        </w:rPr>
        <w:t>.</w:t>
      </w:r>
    </w:p>
    <w:p>
      <w:pPr>
        <w:spacing w:after="0" w:line="210" w:lineRule="exact"/>
        <w:rPr>
          <w:sz w:val="20"/>
          <w:szCs w:val="20"/>
          <w:color w:val="auto"/>
        </w:rPr>
      </w:pPr>
    </w:p>
    <w:p>
      <w:pPr>
        <w:jc w:val="both"/>
        <w:ind w:firstLine="626"/>
        <w:spacing w:after="0" w:line="254" w:lineRule="auto"/>
        <w:tabs>
          <w:tab w:leader="none" w:pos="92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Committee shall determine the type or types of Awards to be made under this Plan and shall designate from time to time the Participants who are to be the recipients of such Awards. Each Award shall be embodied in an Award Agreement, which shall contain such terms, conditions and limitations as shall be determined by the Committee in its sole discretion. Awards may consist of those listed in this paragraph 7(a) and may be granted singly, in combination or in tandem. Awards may also be made in combination or in tandem with, in replacement of, or as alternatives to, grants or rights under this Plan or any other plan of the Company or any of its Subsidiaries, including the plan of any acquired entity; provided that, except as contemplated in paragraph 13 hereof, no Option may be issued in exchange for the cancellation of an Option with a higher exercise price nor may the exercise price of any Option be reduced. No Option may include provisions that “reload” the option upon exercise or that extend the term of an Option beyond what is the maximum period is specified in the Plan and/or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3" w:name="page154"/>
    <w:bookmarkEnd w:id="153"/>
    <w:p>
      <w:pPr>
        <w:jc w:val="both"/>
        <w:spacing w:after="0" w:line="244" w:lineRule="auto"/>
        <w:rPr>
          <w:sz w:val="20"/>
          <w:szCs w:val="20"/>
          <w:color w:val="auto"/>
        </w:rPr>
      </w:pPr>
      <w:r>
        <w:rPr>
          <w:rFonts w:ascii="Arial" w:cs="Arial" w:eastAsia="Arial" w:hAnsi="Arial"/>
          <w:sz w:val="21"/>
          <w:szCs w:val="21"/>
          <w:color w:val="auto"/>
        </w:rPr>
        <w:t>Award Agreement.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shall be treated as set forth in the applicable Award Agreement. Subject to the provisions below applicable to each type of Award, the terms, conditions and limitations applicable to any Awards shall be determined by the Committee.</w:t>
      </w:r>
    </w:p>
    <w:p>
      <w:pPr>
        <w:spacing w:after="0" w:line="180" w:lineRule="exact"/>
        <w:rPr>
          <w:sz w:val="20"/>
          <w:szCs w:val="20"/>
          <w:color w:val="auto"/>
        </w:rPr>
      </w:pPr>
    </w:p>
    <w:p>
      <w:pPr>
        <w:jc w:val="both"/>
        <w:ind w:firstLine="626"/>
        <w:spacing w:after="0" w:line="247" w:lineRule="auto"/>
        <w:tabs>
          <w:tab w:leader="none" w:pos="873" w:val="left"/>
        </w:tabs>
        <w:numPr>
          <w:ilvl w:val="0"/>
          <w:numId w:val="151"/>
        </w:numPr>
        <w:rPr>
          <w:rFonts w:ascii="Arial" w:cs="Arial" w:eastAsia="Arial" w:hAnsi="Arial"/>
          <w:sz w:val="21"/>
          <w:szCs w:val="21"/>
          <w:color w:val="auto"/>
        </w:rPr>
      </w:pPr>
      <w:r>
        <w:rPr>
          <w:rFonts w:ascii="Arial" w:cs="Arial" w:eastAsia="Arial" w:hAnsi="Arial"/>
          <w:sz w:val="21"/>
          <w:szCs w:val="21"/>
          <w:i w:val="1"/>
          <w:iCs w:val="1"/>
          <w:color w:val="auto"/>
        </w:rPr>
        <w:t>Option</w:t>
      </w:r>
      <w:r>
        <w:rPr>
          <w:rFonts w:ascii="Arial" w:cs="Arial" w:eastAsia="Arial" w:hAnsi="Arial"/>
          <w:sz w:val="21"/>
          <w:szCs w:val="21"/>
          <w:color w:val="auto"/>
        </w:rPr>
        <w:t>. An Award may be in the form of an Option. An Option awarded pursuant to this Plan may consist of an Incentive</w:t>
      </w:r>
      <w:r>
        <w:rPr>
          <w:rFonts w:ascii="Arial" w:cs="Arial" w:eastAsia="Arial" w:hAnsi="Arial"/>
          <w:sz w:val="21"/>
          <w:szCs w:val="21"/>
          <w:i w:val="1"/>
          <w:iCs w:val="1"/>
          <w:color w:val="auto"/>
        </w:rPr>
        <w:t xml:space="preserve"> </w:t>
      </w:r>
      <w:r>
        <w:rPr>
          <w:rFonts w:ascii="Arial" w:cs="Arial" w:eastAsia="Arial" w:hAnsi="Arial"/>
          <w:sz w:val="21"/>
          <w:szCs w:val="21"/>
          <w:color w:val="auto"/>
        </w:rPr>
        <w:t>Option or a Non-Qualified Option and will be designated accordingly at the time of grant. The price at which shares of Common Stock may be purchased upon the exercise of an Option shall be not less than the Fair Market Value of the Common Stock on the date of grant. The term of an Option shall not exceed ten years from the date of grant.</w:t>
      </w:r>
    </w:p>
    <w:p>
      <w:pPr>
        <w:spacing w:after="0" w:line="174" w:lineRule="exact"/>
        <w:rPr>
          <w:rFonts w:ascii="Arial" w:cs="Arial" w:eastAsia="Arial" w:hAnsi="Arial"/>
          <w:sz w:val="21"/>
          <w:szCs w:val="21"/>
          <w:color w:val="auto"/>
        </w:rPr>
      </w:pPr>
    </w:p>
    <w:p>
      <w:pPr>
        <w:jc w:val="both"/>
        <w:ind w:firstLine="626"/>
        <w:spacing w:after="0" w:line="252" w:lineRule="auto"/>
        <w:tabs>
          <w:tab w:leader="none" w:pos="946" w:val="left"/>
        </w:tabs>
        <w:numPr>
          <w:ilvl w:val="0"/>
          <w:numId w:val="151"/>
        </w:numPr>
        <w:rPr>
          <w:rFonts w:ascii="Arial" w:cs="Arial" w:eastAsia="Arial" w:hAnsi="Arial"/>
          <w:sz w:val="21"/>
          <w:szCs w:val="21"/>
          <w:color w:val="auto"/>
        </w:rPr>
      </w:pPr>
      <w:r>
        <w:rPr>
          <w:rFonts w:ascii="Arial" w:cs="Arial" w:eastAsia="Arial" w:hAnsi="Arial"/>
          <w:sz w:val="21"/>
          <w:szCs w:val="21"/>
          <w:i w:val="1"/>
          <w:iCs w:val="1"/>
          <w:color w:val="auto"/>
        </w:rPr>
        <w:t>Stock Appreciation Right</w:t>
      </w:r>
      <w:r>
        <w:rPr>
          <w:rFonts w:ascii="Arial" w:cs="Arial" w:eastAsia="Arial" w:hAnsi="Arial"/>
          <w:sz w:val="21"/>
          <w:szCs w:val="21"/>
          <w:color w:val="auto"/>
        </w:rPr>
        <w:t>. An Award may be in the form of a Stock Appreciation Right. The strike price for a Stock</w:t>
      </w:r>
      <w:r>
        <w:rPr>
          <w:rFonts w:ascii="Arial" w:cs="Arial" w:eastAsia="Arial" w:hAnsi="Arial"/>
          <w:sz w:val="21"/>
          <w:szCs w:val="21"/>
          <w:i w:val="1"/>
          <w:iCs w:val="1"/>
          <w:color w:val="auto"/>
        </w:rPr>
        <w:t xml:space="preserve"> </w:t>
      </w:r>
      <w:r>
        <w:rPr>
          <w:rFonts w:ascii="Arial" w:cs="Arial" w:eastAsia="Arial" w:hAnsi="Arial"/>
          <w:sz w:val="21"/>
          <w:szCs w:val="21"/>
          <w:color w:val="auto"/>
        </w:rPr>
        <w:t>Appreciation Right shall not be less than the Fair Market Value of the Common Stock on the date on which the Stock Appreciation Right is granted. The term of a Stock Appreciation Right shall not exceed ten years from the date of grant.</w:t>
      </w:r>
    </w:p>
    <w:p>
      <w:pPr>
        <w:spacing w:after="0" w:line="168" w:lineRule="exact"/>
        <w:rPr>
          <w:rFonts w:ascii="Arial" w:cs="Arial" w:eastAsia="Arial" w:hAnsi="Arial"/>
          <w:sz w:val="21"/>
          <w:szCs w:val="21"/>
          <w:color w:val="auto"/>
        </w:rPr>
      </w:pPr>
    </w:p>
    <w:p>
      <w:pPr>
        <w:jc w:val="both"/>
        <w:ind w:firstLine="626"/>
        <w:spacing w:after="0" w:line="257" w:lineRule="auto"/>
        <w:tabs>
          <w:tab w:leader="none" w:pos="991" w:val="left"/>
        </w:tabs>
        <w:numPr>
          <w:ilvl w:val="0"/>
          <w:numId w:val="151"/>
        </w:numPr>
        <w:rPr>
          <w:rFonts w:ascii="Arial" w:cs="Arial" w:eastAsia="Arial" w:hAnsi="Arial"/>
          <w:sz w:val="20"/>
          <w:szCs w:val="20"/>
          <w:color w:val="auto"/>
        </w:rPr>
      </w:pPr>
      <w:r>
        <w:rPr>
          <w:rFonts w:ascii="Arial" w:cs="Arial" w:eastAsia="Arial" w:hAnsi="Arial"/>
          <w:sz w:val="20"/>
          <w:szCs w:val="20"/>
          <w:i w:val="1"/>
          <w:iCs w:val="1"/>
          <w:color w:val="auto"/>
        </w:rPr>
        <w:t>Stock Award</w:t>
      </w:r>
      <w:r>
        <w:rPr>
          <w:rFonts w:ascii="Arial" w:cs="Arial" w:eastAsia="Arial" w:hAnsi="Arial"/>
          <w:sz w:val="20"/>
          <w:szCs w:val="20"/>
          <w:color w:val="auto"/>
        </w:rPr>
        <w:t>. An Award may be in the form of a Stock Award. Any Stock Award which is not a Performance Award shall</w:t>
      </w:r>
      <w:r>
        <w:rPr>
          <w:rFonts w:ascii="Arial" w:cs="Arial" w:eastAsia="Arial" w:hAnsi="Arial"/>
          <w:sz w:val="20"/>
          <w:szCs w:val="20"/>
          <w:i w:val="1"/>
          <w:iCs w:val="1"/>
          <w:color w:val="auto"/>
        </w:rPr>
        <w:t xml:space="preserve"> </w:t>
      </w:r>
      <w:r>
        <w:rPr>
          <w:rFonts w:ascii="Arial" w:cs="Arial" w:eastAsia="Arial" w:hAnsi="Arial"/>
          <w:sz w:val="20"/>
          <w:szCs w:val="20"/>
          <w:color w:val="auto"/>
        </w:rPr>
        <w:t>have a minimum Restriction Period of three years from the date of grant, provided that (i) the Committee may provide for earlier vesting following a change of control or other specified events involving the Company or upon an Employee’s termination of employment by reason of death, disability or retirement, and (ii) vesting of a Stock Award may occur incrementally over the three-year minimum Restricted Period; provided, that up to 1.5 million shares of Common Stock shall be available for issuance as Stock Awards having a time-based Restriction Period of up to three years but not less than one year.</w:t>
      </w:r>
    </w:p>
    <w:p>
      <w:pPr>
        <w:spacing w:after="0" w:line="168" w:lineRule="exact"/>
        <w:rPr>
          <w:rFonts w:ascii="Arial" w:cs="Arial" w:eastAsia="Arial" w:hAnsi="Arial"/>
          <w:sz w:val="20"/>
          <w:szCs w:val="20"/>
          <w:color w:val="auto"/>
        </w:rPr>
      </w:pPr>
    </w:p>
    <w:p>
      <w:pPr>
        <w:ind w:left="980" w:hanging="354"/>
        <w:spacing w:after="0"/>
        <w:tabs>
          <w:tab w:leader="none" w:pos="980" w:val="left"/>
        </w:tabs>
        <w:numPr>
          <w:ilvl w:val="0"/>
          <w:numId w:val="151"/>
        </w:numPr>
        <w:rPr>
          <w:rFonts w:ascii="Arial" w:cs="Arial" w:eastAsia="Arial" w:hAnsi="Arial"/>
          <w:sz w:val="21"/>
          <w:szCs w:val="21"/>
          <w:color w:val="auto"/>
        </w:rPr>
      </w:pPr>
      <w:r>
        <w:rPr>
          <w:rFonts w:ascii="Arial" w:cs="Arial" w:eastAsia="Arial" w:hAnsi="Arial"/>
          <w:sz w:val="21"/>
          <w:szCs w:val="21"/>
          <w:i w:val="1"/>
          <w:iCs w:val="1"/>
          <w:color w:val="auto"/>
        </w:rPr>
        <w:t>Cash Awards</w:t>
      </w:r>
      <w:r>
        <w:rPr>
          <w:rFonts w:ascii="Arial" w:cs="Arial" w:eastAsia="Arial" w:hAnsi="Arial"/>
          <w:sz w:val="21"/>
          <w:szCs w:val="21"/>
          <w:color w:val="auto"/>
        </w:rPr>
        <w:t>. An Award may be in the form of a Cash Award.</w:t>
      </w:r>
    </w:p>
    <w:p>
      <w:pPr>
        <w:spacing w:after="0" w:line="209" w:lineRule="exact"/>
        <w:rPr>
          <w:rFonts w:ascii="Arial" w:cs="Arial" w:eastAsia="Arial" w:hAnsi="Arial"/>
          <w:sz w:val="21"/>
          <w:szCs w:val="21"/>
          <w:color w:val="auto"/>
        </w:rPr>
      </w:pPr>
    </w:p>
    <w:p>
      <w:pPr>
        <w:jc w:val="both"/>
        <w:ind w:firstLine="626"/>
        <w:spacing w:after="0" w:line="256" w:lineRule="auto"/>
        <w:tabs>
          <w:tab w:leader="none" w:pos="920" w:val="left"/>
        </w:tabs>
        <w:numPr>
          <w:ilvl w:val="0"/>
          <w:numId w:val="151"/>
        </w:numPr>
        <w:rPr>
          <w:rFonts w:ascii="Arial" w:cs="Arial" w:eastAsia="Arial" w:hAnsi="Arial"/>
          <w:sz w:val="20"/>
          <w:szCs w:val="20"/>
          <w:color w:val="auto"/>
        </w:rPr>
      </w:pPr>
      <w:r>
        <w:rPr>
          <w:rFonts w:ascii="Arial" w:cs="Arial" w:eastAsia="Arial" w:hAnsi="Arial"/>
          <w:sz w:val="20"/>
          <w:szCs w:val="20"/>
          <w:i w:val="1"/>
          <w:iCs w:val="1"/>
          <w:color w:val="auto"/>
        </w:rPr>
        <w:t>Performance Award</w:t>
      </w:r>
      <w:r>
        <w:rPr>
          <w:rFonts w:ascii="Arial" w:cs="Arial" w:eastAsia="Arial" w:hAnsi="Arial"/>
          <w:sz w:val="20"/>
          <w:szCs w:val="20"/>
          <w:color w:val="auto"/>
        </w:rPr>
        <w:t>. Without limiting the type or number of Awards that may be made under the other provisions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Plan, an Award may be in the form of a Performance Award. Any Stock Award which is a Performance Award shall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shall set Performance Goals in its sole discretion which, depending on the extent to which they are met, will determine the value and/or amount of Performance Awards that will be paid out to the Participant and/or the portion of an Award that may be exercised.</w:t>
      </w:r>
    </w:p>
    <w:p>
      <w:pPr>
        <w:spacing w:after="0" w:line="168" w:lineRule="exact"/>
        <w:rPr>
          <w:sz w:val="20"/>
          <w:szCs w:val="20"/>
          <w:color w:val="auto"/>
        </w:rPr>
      </w:pPr>
    </w:p>
    <w:p>
      <w:pPr>
        <w:jc w:val="both"/>
        <w:ind w:firstLine="626"/>
        <w:spacing w:after="0" w:line="252" w:lineRule="auto"/>
        <w:tabs>
          <w:tab w:leader="none" w:pos="1007" w:val="left"/>
        </w:tabs>
        <w:numPr>
          <w:ilvl w:val="0"/>
          <w:numId w:val="152"/>
        </w:numPr>
        <w:rPr>
          <w:rFonts w:ascii="Arial" w:cs="Arial" w:eastAsia="Arial" w:hAnsi="Arial"/>
          <w:sz w:val="21"/>
          <w:szCs w:val="21"/>
          <w:color w:val="auto"/>
        </w:rPr>
      </w:pPr>
      <w:r>
        <w:rPr>
          <w:rFonts w:ascii="Arial" w:cs="Arial" w:eastAsia="Arial" w:hAnsi="Arial"/>
          <w:sz w:val="21"/>
          <w:szCs w:val="21"/>
          <w:i w:val="1"/>
          <w:iCs w:val="1"/>
          <w:color w:val="auto"/>
        </w:rPr>
        <w:t>Non-Qualified Performance Awards</w:t>
      </w:r>
      <w:r>
        <w:rPr>
          <w:rFonts w:ascii="Arial" w:cs="Arial" w:eastAsia="Arial" w:hAnsi="Arial"/>
          <w:sz w:val="21"/>
          <w:szCs w:val="21"/>
          <w:color w:val="auto"/>
        </w:rPr>
        <w:t>. Performance Awards granted to Employees that are not intended to qualify as</w:t>
      </w:r>
      <w:r>
        <w:rPr>
          <w:rFonts w:ascii="Arial" w:cs="Arial" w:eastAsia="Arial" w:hAnsi="Arial"/>
          <w:sz w:val="21"/>
          <w:szCs w:val="21"/>
          <w:i w:val="1"/>
          <w:iCs w:val="1"/>
          <w:color w:val="auto"/>
        </w:rPr>
        <w:t xml:space="preserve"> </w:t>
      </w:r>
      <w:r>
        <w:rPr>
          <w:rFonts w:ascii="Arial" w:cs="Arial" w:eastAsia="Arial" w:hAnsi="Arial"/>
          <w:sz w:val="21"/>
          <w:szCs w:val="21"/>
          <w:color w:val="auto"/>
        </w:rPr>
        <w:t>qualified performance-based compensation under Section 162(m) shall be based on achievement of such Performance Goals and be subject to such terms, conditions and restrictions as the Committee or its delegate shall determine.</w:t>
      </w:r>
    </w:p>
    <w:p>
      <w:pPr>
        <w:spacing w:after="0" w:line="168" w:lineRule="exact"/>
        <w:rPr>
          <w:rFonts w:ascii="Arial" w:cs="Arial" w:eastAsia="Arial" w:hAnsi="Arial"/>
          <w:sz w:val="21"/>
          <w:szCs w:val="21"/>
          <w:color w:val="auto"/>
        </w:rPr>
      </w:pPr>
    </w:p>
    <w:p>
      <w:pPr>
        <w:jc w:val="both"/>
        <w:ind w:firstLine="626"/>
        <w:spacing w:after="0" w:line="252" w:lineRule="auto"/>
        <w:tabs>
          <w:tab w:leader="none" w:pos="1009" w:val="left"/>
        </w:tabs>
        <w:numPr>
          <w:ilvl w:val="0"/>
          <w:numId w:val="152"/>
        </w:numPr>
        <w:rPr>
          <w:rFonts w:ascii="Arial" w:cs="Arial" w:eastAsia="Arial" w:hAnsi="Arial"/>
          <w:sz w:val="21"/>
          <w:szCs w:val="21"/>
          <w:color w:val="auto"/>
        </w:rPr>
      </w:pPr>
      <w:r>
        <w:rPr>
          <w:rFonts w:ascii="Arial" w:cs="Arial" w:eastAsia="Arial" w:hAnsi="Arial"/>
          <w:sz w:val="21"/>
          <w:szCs w:val="21"/>
          <w:i w:val="1"/>
          <w:iCs w:val="1"/>
          <w:color w:val="auto"/>
        </w:rPr>
        <w:t>Qualified Performance Awards</w:t>
      </w:r>
      <w:r>
        <w:rPr>
          <w:rFonts w:ascii="Arial" w:cs="Arial" w:eastAsia="Arial" w:hAnsi="Arial"/>
          <w:sz w:val="21"/>
          <w:szCs w:val="21"/>
          <w:color w:val="auto"/>
        </w:rPr>
        <w:t>. Performance Awards that are intended to qualify as qualified performance-based</w:t>
      </w:r>
      <w:r>
        <w:rPr>
          <w:rFonts w:ascii="Arial" w:cs="Arial" w:eastAsia="Arial" w:hAnsi="Arial"/>
          <w:sz w:val="21"/>
          <w:szCs w:val="21"/>
          <w:i w:val="1"/>
          <w:iCs w:val="1"/>
          <w:color w:val="auto"/>
        </w:rPr>
        <w:t xml:space="preserve"> </w:t>
      </w:r>
      <w:r>
        <w:rPr>
          <w:rFonts w:ascii="Arial" w:cs="Arial" w:eastAsia="Arial" w:hAnsi="Arial"/>
          <w:sz w:val="21"/>
          <w:szCs w:val="21"/>
          <w:color w:val="auto"/>
        </w:rPr>
        <w:t>compensation under Section 162(m) shall be paid, vested or otherwise deliverable solely on account of the attainment of one or more pre-established,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4" w:name="page155"/>
    <w:bookmarkEnd w:id="154"/>
    <w:p>
      <w:pPr>
        <w:jc w:val="both"/>
        <w:spacing w:after="0" w:line="241" w:lineRule="auto"/>
        <w:rPr>
          <w:sz w:val="20"/>
          <w:szCs w:val="20"/>
          <w:color w:val="auto"/>
        </w:rPr>
      </w:pPr>
      <w:r>
        <w:rPr>
          <w:rFonts w:ascii="Arial" w:cs="Arial" w:eastAsia="Arial" w:hAnsi="Arial"/>
          <w:sz w:val="21"/>
          <w:szCs w:val="21"/>
          <w:color w:val="auto"/>
        </w:rPr>
        <w:t>objective Performance Goals established and administered by the Committee in accordance with Section 162(m)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a Participant, one or more business units, divisions or sectors of the Company, or the Company as a whole, and if so desired by the Committee, by comparison with a peer group of companies. A Performance Goal may include one or more of the following and need not be the same for each Participant.</w:t>
      </w:r>
    </w:p>
    <w:p>
      <w:pPr>
        <w:spacing w:after="0" w:line="184" w:lineRule="exact"/>
        <w:rPr>
          <w:sz w:val="20"/>
          <w:szCs w:val="20"/>
          <w:color w:val="auto"/>
        </w:rPr>
      </w:pPr>
    </w:p>
    <w:p>
      <w:pPr>
        <w:jc w:val="both"/>
        <w:ind w:left="1060" w:hanging="443"/>
        <w:spacing w:after="0" w:line="252" w:lineRule="auto"/>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revenue and income measures (which include revenue, gross margin, income from operations, net income, net sales, earnings per share, earnings before interest, taxes, depreciation and amortization (“EBIDTA”), and economic value added (“EVA”);</w:t>
      </w:r>
    </w:p>
    <w:p>
      <w:pPr>
        <w:spacing w:after="0" w:line="168" w:lineRule="exact"/>
        <w:rPr>
          <w:rFonts w:ascii="Arial" w:cs="Arial" w:eastAsia="Arial" w:hAnsi="Arial"/>
          <w:sz w:val="21"/>
          <w:szCs w:val="21"/>
          <w:color w:val="auto"/>
        </w:rPr>
      </w:pPr>
    </w:p>
    <w:p>
      <w:pPr>
        <w:ind w:left="1060" w:hanging="443"/>
        <w:spacing w:after="0" w:line="267" w:lineRule="auto"/>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expense measures (which include costs of goods sold, selling, finding and development costs, general and administrative expenses and overhead costs);</w:t>
      </w:r>
    </w:p>
    <w:p>
      <w:pPr>
        <w:spacing w:after="0" w:line="152" w:lineRule="exact"/>
        <w:rPr>
          <w:rFonts w:ascii="Arial" w:cs="Arial" w:eastAsia="Arial" w:hAnsi="Arial"/>
          <w:sz w:val="21"/>
          <w:szCs w:val="21"/>
          <w:color w:val="auto"/>
        </w:rPr>
      </w:pPr>
    </w:p>
    <w:p>
      <w:pPr>
        <w:ind w:left="1060" w:hanging="443"/>
        <w:spacing w:after="0" w:line="267" w:lineRule="auto"/>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operating measures (which include productivity, operating income, funds from operations, cash from operations, after-tax operating income, market share, margin and sales volumes);</w:t>
      </w:r>
    </w:p>
    <w:p>
      <w:pPr>
        <w:spacing w:after="0" w:line="152" w:lineRule="exact"/>
        <w:rPr>
          <w:rFonts w:ascii="Arial" w:cs="Arial" w:eastAsia="Arial" w:hAnsi="Arial"/>
          <w:sz w:val="21"/>
          <w:szCs w:val="21"/>
          <w:color w:val="auto"/>
        </w:rPr>
      </w:pPr>
    </w:p>
    <w:p>
      <w:pPr>
        <w:ind w:left="1060" w:hanging="443"/>
        <w:spacing w:after="0"/>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cash flow measures (which include net cash flow from operating activities and working capital);</w:t>
      </w:r>
    </w:p>
    <w:p>
      <w:pPr>
        <w:spacing w:after="0" w:line="209" w:lineRule="exact"/>
        <w:rPr>
          <w:rFonts w:ascii="Arial" w:cs="Arial" w:eastAsia="Arial" w:hAnsi="Arial"/>
          <w:sz w:val="21"/>
          <w:szCs w:val="21"/>
          <w:color w:val="auto"/>
        </w:rPr>
      </w:pPr>
    </w:p>
    <w:p>
      <w:pPr>
        <w:ind w:left="1060" w:hanging="443"/>
        <w:spacing w:after="0" w:line="267" w:lineRule="auto"/>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liquidity measures (which include earnings before or after the effect of certain items such as interest, taxes, depreciation and amortization, and free cash flow);</w:t>
      </w:r>
    </w:p>
    <w:p>
      <w:pPr>
        <w:spacing w:after="0" w:line="152" w:lineRule="exact"/>
        <w:rPr>
          <w:rFonts w:ascii="Arial" w:cs="Arial" w:eastAsia="Arial" w:hAnsi="Arial"/>
          <w:sz w:val="21"/>
          <w:szCs w:val="21"/>
          <w:color w:val="auto"/>
        </w:rPr>
      </w:pPr>
    </w:p>
    <w:p>
      <w:pPr>
        <w:ind w:left="1060" w:hanging="443"/>
        <w:spacing w:after="0"/>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leverage measures (which include debt-to-equity ratio and net debt);</w:t>
      </w:r>
    </w:p>
    <w:p>
      <w:pPr>
        <w:spacing w:after="0" w:line="209" w:lineRule="exact"/>
        <w:rPr>
          <w:rFonts w:ascii="Arial" w:cs="Arial" w:eastAsia="Arial" w:hAnsi="Arial"/>
          <w:sz w:val="21"/>
          <w:szCs w:val="21"/>
          <w:color w:val="auto"/>
        </w:rPr>
      </w:pPr>
    </w:p>
    <w:p>
      <w:pPr>
        <w:ind w:left="1060" w:hanging="443"/>
        <w:spacing w:after="0" w:line="267" w:lineRule="auto"/>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market measures (which include market share, stock price, growth measure, total shareholder return and market capitalization measures);</w:t>
      </w:r>
    </w:p>
    <w:p>
      <w:pPr>
        <w:spacing w:after="0" w:line="152" w:lineRule="exact"/>
        <w:rPr>
          <w:rFonts w:ascii="Arial" w:cs="Arial" w:eastAsia="Arial" w:hAnsi="Arial"/>
          <w:sz w:val="21"/>
          <w:szCs w:val="21"/>
          <w:color w:val="auto"/>
        </w:rPr>
      </w:pPr>
    </w:p>
    <w:p>
      <w:pPr>
        <w:ind w:left="1060" w:hanging="443"/>
        <w:spacing w:after="0"/>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return measures (which include return on equity, return on assets and return on invested capital);</w:t>
      </w:r>
    </w:p>
    <w:p>
      <w:pPr>
        <w:spacing w:after="0" w:line="209" w:lineRule="exact"/>
        <w:rPr>
          <w:rFonts w:ascii="Arial" w:cs="Arial" w:eastAsia="Arial" w:hAnsi="Arial"/>
          <w:sz w:val="21"/>
          <w:szCs w:val="21"/>
          <w:color w:val="auto"/>
        </w:rPr>
      </w:pPr>
    </w:p>
    <w:p>
      <w:pPr>
        <w:ind w:left="1060" w:hanging="443"/>
        <w:spacing w:after="0"/>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corporate value measures (which include compliance, safety, environmental and personnel matters); and</w:t>
      </w:r>
    </w:p>
    <w:p>
      <w:pPr>
        <w:spacing w:after="0" w:line="209" w:lineRule="exact"/>
        <w:rPr>
          <w:rFonts w:ascii="Arial" w:cs="Arial" w:eastAsia="Arial" w:hAnsi="Arial"/>
          <w:sz w:val="21"/>
          <w:szCs w:val="21"/>
          <w:color w:val="auto"/>
        </w:rPr>
      </w:pPr>
    </w:p>
    <w:p>
      <w:pPr>
        <w:ind w:left="1060" w:hanging="443"/>
        <w:spacing w:after="0"/>
        <w:tabs>
          <w:tab w:leader="none" w:pos="106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other measures such as those relating to acquisitions, dispositions or customer satisfaction.</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Unless otherwise stated, such a Performance Goal need not be based upon an increase or positive result under a particular business criterion and could include, for example, maintaining the status quo, performance relative to a peer group determined by the Committee or limiting economic losses (measured, in each case, by reference to specific business criteria). In interpreting Plan provisions applicable to Performance Goals and qualified Performance Awards, it is the intent of this Plan to conform with Section 162(m), including, without limitation, Treasury Regulation §1.162-27(e)(2)(i), as to grants pursuant to this subsection and the Committee in establishing such goals and interpreting the Plan shall be guided by such provisions. Prior to the payment of any compensation based on the achievement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5" w:name="page156"/>
    <w:bookmarkEnd w:id="155"/>
    <w:p>
      <w:pPr>
        <w:jc w:val="both"/>
        <w:spacing w:after="0" w:line="247" w:lineRule="auto"/>
        <w:rPr>
          <w:sz w:val="20"/>
          <w:szCs w:val="20"/>
          <w:color w:val="auto"/>
        </w:rPr>
      </w:pPr>
      <w:r>
        <w:rPr>
          <w:rFonts w:ascii="Arial" w:cs="Arial" w:eastAsia="Arial" w:hAnsi="Arial"/>
          <w:sz w:val="21"/>
          <w:szCs w:val="21"/>
          <w:color w:val="auto"/>
        </w:rPr>
        <w:t>Performance Goals applicable to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to the extent permitted by Section 162(m).</w:t>
      </w:r>
    </w:p>
    <w:p>
      <w:pPr>
        <w:spacing w:after="0" w:line="174" w:lineRule="exact"/>
        <w:rPr>
          <w:sz w:val="20"/>
          <w:szCs w:val="20"/>
          <w:color w:val="auto"/>
        </w:rPr>
      </w:pPr>
    </w:p>
    <w:p>
      <w:pPr>
        <w:jc w:val="both"/>
        <w:ind w:firstLine="626"/>
        <w:spacing w:after="0" w:line="242" w:lineRule="auto"/>
        <w:tabs>
          <w:tab w:leader="none" w:pos="946"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Committee shall adjust the Performance Goals (either up or down) and the level of the Performance Award that a Participant may earn under this Plan, but only to the extent permitted pursuant to Section 162(m),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shall be calculated without regard to any changes in accounting standards that may be required by the Financial Accounting Standards Board after such Performance Goals are established.</w:t>
      </w:r>
    </w:p>
    <w:p>
      <w:pPr>
        <w:spacing w:after="0" w:line="180" w:lineRule="exact"/>
        <w:rPr>
          <w:rFonts w:ascii="Arial" w:cs="Arial" w:eastAsia="Arial" w:hAnsi="Arial"/>
          <w:sz w:val="21"/>
          <w:szCs w:val="21"/>
          <w:color w:val="auto"/>
        </w:rPr>
      </w:pPr>
    </w:p>
    <w:p>
      <w:pPr>
        <w:jc w:val="both"/>
        <w:ind w:firstLine="626"/>
        <w:spacing w:after="0" w:line="243" w:lineRule="auto"/>
        <w:tabs>
          <w:tab w:leader="none" w:pos="946" w:val="left"/>
        </w:tabs>
        <w:numPr>
          <w:ilvl w:val="0"/>
          <w:numId w:val="154"/>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Plan, no Participant may be granted, during any one-year period, Awards collectively consisting of (i) Options or Stock Appreciation Rights that are exercisable for or (ii) Stock Awards covering or relating to more than 1,000,000 shares of Common Stock (the limitation referred to as the “Stock-based Awards Limitations”). No Plan Participant who is an employee may be granted Awards consisting of cash (including Cash Awards that are granted as Performance Awards) in respect of any calendar year having a value determined on the Grant Date in excess of $20,000,000.</w:t>
      </w:r>
    </w:p>
    <w:p>
      <w:pPr>
        <w:spacing w:after="0" w:line="179" w:lineRule="exact"/>
        <w:rPr>
          <w:sz w:val="20"/>
          <w:szCs w:val="20"/>
          <w:color w:val="auto"/>
        </w:rPr>
      </w:pPr>
    </w:p>
    <w:p>
      <w:pPr>
        <w:ind w:left="840" w:hanging="214"/>
        <w:spacing w:after="0"/>
        <w:tabs>
          <w:tab w:leader="none" w:pos="840" w:val="left"/>
        </w:tabs>
        <w:numPr>
          <w:ilvl w:val="0"/>
          <w:numId w:val="155"/>
        </w:numPr>
        <w:rPr>
          <w:rFonts w:ascii="Arial" w:cs="Arial" w:eastAsia="Arial" w:hAnsi="Arial"/>
          <w:sz w:val="21"/>
          <w:szCs w:val="21"/>
          <w:color w:val="auto"/>
        </w:rPr>
      </w:pPr>
      <w:r>
        <w:rPr>
          <w:rFonts w:ascii="Arial" w:cs="Arial" w:eastAsia="Arial" w:hAnsi="Arial"/>
          <w:sz w:val="21"/>
          <w:szCs w:val="21"/>
          <w:i w:val="1"/>
          <w:iCs w:val="1"/>
          <w:color w:val="auto"/>
        </w:rPr>
        <w:t>Award Payment; Dividends; Substitution; Fractional Shares</w:t>
      </w:r>
      <w:r>
        <w:rPr>
          <w:rFonts w:ascii="Arial" w:cs="Arial" w:eastAsia="Arial" w:hAnsi="Arial"/>
          <w:sz w:val="21"/>
          <w:szCs w:val="21"/>
          <w:color w:val="auto"/>
        </w:rPr>
        <w:t>.</w:t>
      </w:r>
    </w:p>
    <w:p>
      <w:pPr>
        <w:spacing w:after="0" w:line="210" w:lineRule="exact"/>
        <w:rPr>
          <w:sz w:val="20"/>
          <w:szCs w:val="20"/>
          <w:color w:val="auto"/>
        </w:rPr>
      </w:pPr>
    </w:p>
    <w:p>
      <w:pPr>
        <w:jc w:val="both"/>
        <w:ind w:firstLine="626"/>
        <w:spacing w:after="0" w:line="270" w:lineRule="auto"/>
        <w:tabs>
          <w:tab w:leader="none" w:pos="922" w:val="left"/>
        </w:tabs>
        <w:numPr>
          <w:ilvl w:val="0"/>
          <w:numId w:val="156"/>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Payment of Awards may be made in the form of cash or Common Stock, or a combination thereof, and may</w:t>
      </w:r>
      <w:r>
        <w:rPr>
          <w:rFonts w:ascii="Arial" w:cs="Arial" w:eastAsia="Arial" w:hAnsi="Arial"/>
          <w:sz w:val="19"/>
          <w:szCs w:val="19"/>
          <w:i w:val="1"/>
          <w:iCs w:val="1"/>
          <w:color w:val="auto"/>
        </w:rPr>
        <w:t xml:space="preserve"> </w:t>
      </w:r>
      <w:r>
        <w:rPr>
          <w:rFonts w:ascii="Arial" w:cs="Arial" w:eastAsia="Arial" w:hAnsi="Arial"/>
          <w:sz w:val="19"/>
          <w:szCs w:val="19"/>
          <w:color w:val="auto"/>
        </w:rPr>
        <w:t>include such restrictions as the Committee shall determine, including, in the case of Common Stock, restrictions on transfer and forfeiture provisions. If payment of an Award is made in the form of Restricted Stock, the applicable Award Agreement relating to such shares shall specify whether they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157" w:lineRule="exact"/>
        <w:rPr>
          <w:rFonts w:ascii="Arial" w:cs="Arial" w:eastAsia="Arial" w:hAnsi="Arial"/>
          <w:sz w:val="19"/>
          <w:szCs w:val="19"/>
          <w:color w:val="auto"/>
        </w:rPr>
      </w:pPr>
    </w:p>
    <w:p>
      <w:pPr>
        <w:jc w:val="both"/>
        <w:ind w:firstLine="626"/>
        <w:spacing w:after="0" w:line="270" w:lineRule="auto"/>
        <w:tabs>
          <w:tab w:leader="none" w:pos="947" w:val="left"/>
        </w:tabs>
        <w:numPr>
          <w:ilvl w:val="0"/>
          <w:numId w:val="156"/>
        </w:numPr>
        <w:rPr>
          <w:rFonts w:ascii="Arial" w:cs="Arial" w:eastAsia="Arial" w:hAnsi="Arial"/>
          <w:sz w:val="20"/>
          <w:szCs w:val="20"/>
          <w:color w:val="auto"/>
        </w:rPr>
      </w:pPr>
      <w:r>
        <w:rPr>
          <w:rFonts w:ascii="Arial" w:cs="Arial" w:eastAsia="Arial" w:hAnsi="Arial"/>
          <w:sz w:val="20"/>
          <w:szCs w:val="20"/>
          <w:i w:val="1"/>
          <w:iCs w:val="1"/>
          <w:color w:val="auto"/>
        </w:rPr>
        <w:t>Dividends and Interest</w:t>
      </w:r>
      <w:r>
        <w:rPr>
          <w:rFonts w:ascii="Arial" w:cs="Arial" w:eastAsia="Arial" w:hAnsi="Arial"/>
          <w:sz w:val="20"/>
          <w:szCs w:val="20"/>
          <w:color w:val="auto"/>
        </w:rPr>
        <w:t>. Rights to dividends or Dividend Equivalents may be extended to and made part of any Stock</w:t>
      </w:r>
      <w:r>
        <w:rPr>
          <w:rFonts w:ascii="Arial" w:cs="Arial" w:eastAsia="Arial" w:hAnsi="Arial"/>
          <w:sz w:val="20"/>
          <w:szCs w:val="20"/>
          <w:i w:val="1"/>
          <w:iCs w:val="1"/>
          <w:color w:val="auto"/>
        </w:rPr>
        <w:t xml:space="preserve"> </w:t>
      </w:r>
      <w:r>
        <w:rPr>
          <w:rFonts w:ascii="Arial" w:cs="Arial" w:eastAsia="Arial" w:hAnsi="Arial"/>
          <w:sz w:val="20"/>
          <w:szCs w:val="20"/>
          <w:color w:val="auto"/>
        </w:rPr>
        <w:t>Awards, subject to such terms, conditions and restrictions as the Committee may establish. The Committee may also establish rules and procedures for the crediting of interest on deferred cash payments and Dividend Equivalents for Stock Awards.</w:t>
      </w:r>
    </w:p>
    <w:p>
      <w:pPr>
        <w:spacing w:after="0" w:line="153" w:lineRule="exact"/>
        <w:rPr>
          <w:rFonts w:ascii="Arial" w:cs="Arial" w:eastAsia="Arial" w:hAnsi="Arial"/>
          <w:sz w:val="20"/>
          <w:szCs w:val="20"/>
          <w:color w:val="auto"/>
        </w:rPr>
      </w:pPr>
    </w:p>
    <w:p>
      <w:pPr>
        <w:jc w:val="both"/>
        <w:ind w:firstLine="626"/>
        <w:spacing w:after="0" w:line="252" w:lineRule="auto"/>
        <w:tabs>
          <w:tab w:leader="none" w:pos="948" w:val="left"/>
        </w:tabs>
        <w:numPr>
          <w:ilvl w:val="0"/>
          <w:numId w:val="156"/>
        </w:numPr>
        <w:rPr>
          <w:rFonts w:ascii="Arial" w:cs="Arial" w:eastAsia="Arial" w:hAnsi="Arial"/>
          <w:sz w:val="21"/>
          <w:szCs w:val="21"/>
          <w:color w:val="auto"/>
        </w:rPr>
      </w:pPr>
      <w:r>
        <w:rPr>
          <w:rFonts w:ascii="Arial" w:cs="Arial" w:eastAsia="Arial" w:hAnsi="Arial"/>
          <w:sz w:val="21"/>
          <w:szCs w:val="21"/>
          <w:i w:val="1"/>
          <w:iCs w:val="1"/>
          <w:color w:val="auto"/>
        </w:rPr>
        <w:t>Fractional Shares</w:t>
      </w:r>
      <w:r>
        <w:rPr>
          <w:rFonts w:ascii="Arial" w:cs="Arial" w:eastAsia="Arial" w:hAnsi="Arial"/>
          <w:sz w:val="21"/>
          <w:szCs w:val="21"/>
          <w:color w:val="auto"/>
        </w:rPr>
        <w:t>. No fractional shares shall be issued or delivered pursuant to any Award under this Plan. The</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shall determine whether cash, Awards or other property shall be issued or paid in lieu of fractional shares, or whether fractional shares or any rights thereto shall be forfeited or otherwise eliminated.</w:t>
      </w:r>
    </w:p>
    <w:p>
      <w:pPr>
        <w:spacing w:after="0" w:line="169" w:lineRule="exact"/>
        <w:rPr>
          <w:sz w:val="20"/>
          <w:szCs w:val="20"/>
          <w:color w:val="auto"/>
        </w:rPr>
      </w:pPr>
    </w:p>
    <w:p>
      <w:pPr>
        <w:jc w:val="both"/>
        <w:ind w:firstLine="626"/>
        <w:spacing w:after="0" w:line="252" w:lineRule="auto"/>
        <w:tabs>
          <w:tab w:leader="none" w:pos="832" w:val="left"/>
        </w:tabs>
        <w:numPr>
          <w:ilvl w:val="0"/>
          <w:numId w:val="157"/>
        </w:numPr>
        <w:rPr>
          <w:rFonts w:ascii="Arial" w:cs="Arial" w:eastAsia="Arial" w:hAnsi="Arial"/>
          <w:sz w:val="21"/>
          <w:szCs w:val="21"/>
          <w:color w:val="auto"/>
        </w:rPr>
      </w:pPr>
      <w:r>
        <w:rPr>
          <w:rFonts w:ascii="Arial" w:cs="Arial" w:eastAsia="Arial" w:hAnsi="Arial"/>
          <w:sz w:val="21"/>
          <w:szCs w:val="21"/>
          <w:i w:val="1"/>
          <w:iCs w:val="1"/>
          <w:color w:val="auto"/>
        </w:rPr>
        <w:t>Stock Option Exercise</w:t>
      </w:r>
      <w:r>
        <w:rPr>
          <w:rFonts w:ascii="Arial" w:cs="Arial" w:eastAsia="Arial" w:hAnsi="Arial"/>
          <w:sz w:val="21"/>
          <w:szCs w:val="21"/>
          <w:color w:val="auto"/>
        </w:rPr>
        <w:t>. The price at which shares of Common Stock may be purchased under an Option shall be paid in full</w:t>
      </w:r>
      <w:r>
        <w:rPr>
          <w:rFonts w:ascii="Arial" w:cs="Arial" w:eastAsia="Arial" w:hAnsi="Arial"/>
          <w:sz w:val="21"/>
          <w:szCs w:val="21"/>
          <w:i w:val="1"/>
          <w:iCs w:val="1"/>
          <w:color w:val="auto"/>
        </w:rPr>
        <w:t xml:space="preserve"> </w:t>
      </w:r>
      <w:r>
        <w:rPr>
          <w:rFonts w:ascii="Arial" w:cs="Arial" w:eastAsia="Arial" w:hAnsi="Arial"/>
          <w:sz w:val="21"/>
          <w:szCs w:val="21"/>
          <w:color w:val="auto"/>
        </w:rPr>
        <w:t>at the time of exercise in cash or, if elected by the Participant, the Participant may purchase such shares either by means of tendering Common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6" w:name="page157"/>
    <w:bookmarkEnd w:id="156"/>
    <w:p>
      <w:pPr>
        <w:jc w:val="both"/>
        <w:spacing w:after="0" w:line="276" w:lineRule="auto"/>
        <w:rPr>
          <w:sz w:val="20"/>
          <w:szCs w:val="20"/>
          <w:color w:val="auto"/>
        </w:rPr>
      </w:pPr>
      <w:r>
        <w:rPr>
          <w:rFonts w:ascii="Arial" w:cs="Arial" w:eastAsia="Arial" w:hAnsi="Arial"/>
          <w:sz w:val="19"/>
          <w:szCs w:val="19"/>
          <w:color w:val="auto"/>
        </w:rPr>
        <w:t>Stock or by authorizing the Company to withhold a number of shares of Common Stock otherwise deliverable on the exercise of the Options, in either case valued at Fair Market Value on the date of exercise, or any combination thereof. The Committee, in its sole discretion, shall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151" w:lineRule="exact"/>
        <w:rPr>
          <w:sz w:val="20"/>
          <w:szCs w:val="20"/>
          <w:color w:val="auto"/>
        </w:rPr>
      </w:pPr>
    </w:p>
    <w:p>
      <w:pPr>
        <w:jc w:val="both"/>
        <w:ind w:firstLine="626"/>
        <w:spacing w:after="0" w:line="270" w:lineRule="auto"/>
        <w:tabs>
          <w:tab w:leader="none" w:pos="938" w:val="left"/>
        </w:tabs>
        <w:numPr>
          <w:ilvl w:val="0"/>
          <w:numId w:val="158"/>
        </w:numPr>
        <w:rPr>
          <w:rFonts w:ascii="Arial" w:cs="Arial" w:eastAsia="Arial" w:hAnsi="Arial"/>
          <w:sz w:val="19"/>
          <w:szCs w:val="19"/>
          <w:color w:val="auto"/>
        </w:rPr>
      </w:pPr>
      <w:r>
        <w:rPr>
          <w:rFonts w:ascii="Arial" w:cs="Arial" w:eastAsia="Arial" w:hAnsi="Arial"/>
          <w:sz w:val="19"/>
          <w:szCs w:val="19"/>
          <w:i w:val="1"/>
          <w:iCs w:val="1"/>
          <w:color w:val="auto"/>
        </w:rPr>
        <w:t>Taxes</w:t>
      </w:r>
      <w:r>
        <w:rPr>
          <w:rFonts w:ascii="Arial" w:cs="Arial" w:eastAsia="Arial" w:hAnsi="Arial"/>
          <w:sz w:val="19"/>
          <w:szCs w:val="19"/>
          <w:color w:val="auto"/>
        </w:rPr>
        <w:t>. The Company shall have the right to deduct applicable taxes from any Award payment and withhold, at the time of</w:t>
      </w:r>
      <w:r>
        <w:rPr>
          <w:rFonts w:ascii="Arial" w:cs="Arial" w:eastAsia="Arial" w:hAnsi="Arial"/>
          <w:sz w:val="19"/>
          <w:szCs w:val="19"/>
          <w:i w:val="1"/>
          <w:iCs w:val="1"/>
          <w:color w:val="auto"/>
        </w:rPr>
        <w:t xml:space="preserve"> </w:t>
      </w:r>
      <w:r>
        <w:rPr>
          <w:rFonts w:ascii="Arial" w:cs="Arial" w:eastAsia="Arial" w:hAnsi="Arial"/>
          <w:sz w:val="19"/>
          <w:szCs w:val="19"/>
          <w:color w:val="auto"/>
        </w:rPr>
        <w:t>delivery or vesting of cash or 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Withholding of any taxes may be satisfied by (i) the transfer to the Company of shares of Common Stock theretofore owned by the holder of the Award or (ii) withholding from the shares of Common Stock otherwise deliverable under the Award, in either case, with respect to which withholding is required, up to the maximum tax rate applicable to the Participant, as determined by the Committee. If shares of Common Stock are used to satisfy tax withholding, such shares shall be valued based on the Fair Market Value when the tax withholding is required to be made.</w:t>
      </w:r>
    </w:p>
    <w:p>
      <w:pPr>
        <w:spacing w:after="0" w:line="157" w:lineRule="exact"/>
        <w:rPr>
          <w:rFonts w:ascii="Arial" w:cs="Arial" w:eastAsia="Arial" w:hAnsi="Arial"/>
          <w:sz w:val="19"/>
          <w:szCs w:val="19"/>
          <w:color w:val="auto"/>
        </w:rPr>
      </w:pPr>
    </w:p>
    <w:p>
      <w:pPr>
        <w:jc w:val="both"/>
        <w:ind w:firstLine="626"/>
        <w:spacing w:after="0" w:line="269" w:lineRule="auto"/>
        <w:tabs>
          <w:tab w:leader="none" w:pos="957" w:val="left"/>
        </w:tabs>
        <w:numPr>
          <w:ilvl w:val="0"/>
          <w:numId w:val="158"/>
        </w:numPr>
        <w:rPr>
          <w:rFonts w:ascii="Arial" w:cs="Arial" w:eastAsia="Arial" w:hAnsi="Arial"/>
          <w:sz w:val="19"/>
          <w:szCs w:val="19"/>
          <w:color w:val="auto"/>
        </w:rPr>
      </w:pPr>
      <w:r>
        <w:rPr>
          <w:rFonts w:ascii="Arial" w:cs="Arial" w:eastAsia="Arial" w:hAnsi="Arial"/>
          <w:sz w:val="19"/>
          <w:szCs w:val="19"/>
          <w:i w:val="1"/>
          <w:iCs w:val="1"/>
          <w:color w:val="auto"/>
        </w:rPr>
        <w:t>Amendment, Modification, Suspension or Termination</w:t>
      </w:r>
      <w:r>
        <w:rPr>
          <w:rFonts w:ascii="Arial" w:cs="Arial" w:eastAsia="Arial" w:hAnsi="Arial"/>
          <w:sz w:val="19"/>
          <w:szCs w:val="19"/>
          <w:color w:val="auto"/>
        </w:rPr>
        <w:t>. The Board or the Committee may amend, modify, suspend or</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 this Plan for the purpose of meeting or addressing any changes in legal requirements or for any other purpose permitted by law, except that (i) no amendment or alteration that would materially adversely affect the rights of any Participant under any Award previously granted to such Participant shall be made without the consent of such Participant and (ii) no amendment or alteration shall be effective prior to its approval by the shareholders of the Company to the extent shareholder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shareholder approval (except in connection with a change in the Company’s capitalization as provided in paragraph 13), if the effect of such amendment would be to reduce the exercise price for the shares underlying such Option or SAR.</w:t>
      </w:r>
    </w:p>
    <w:p>
      <w:pPr>
        <w:spacing w:after="0" w:line="158" w:lineRule="exact"/>
        <w:rPr>
          <w:rFonts w:ascii="Arial" w:cs="Arial" w:eastAsia="Arial" w:hAnsi="Arial"/>
          <w:sz w:val="19"/>
          <w:szCs w:val="19"/>
          <w:color w:val="auto"/>
        </w:rPr>
      </w:pPr>
    </w:p>
    <w:p>
      <w:pPr>
        <w:jc w:val="both"/>
        <w:ind w:firstLine="626"/>
        <w:spacing w:after="0" w:line="252" w:lineRule="auto"/>
        <w:tabs>
          <w:tab w:leader="none" w:pos="952" w:val="left"/>
        </w:tabs>
        <w:numPr>
          <w:ilvl w:val="0"/>
          <w:numId w:val="158"/>
        </w:numPr>
        <w:rPr>
          <w:rFonts w:ascii="Arial" w:cs="Arial" w:eastAsia="Arial" w:hAnsi="Arial"/>
          <w:sz w:val="21"/>
          <w:szCs w:val="21"/>
          <w:color w:val="auto"/>
        </w:rPr>
      </w:pPr>
      <w:r>
        <w:rPr>
          <w:rFonts w:ascii="Arial" w:cs="Arial" w:eastAsia="Arial" w:hAnsi="Arial"/>
          <w:sz w:val="21"/>
          <w:szCs w:val="21"/>
          <w:i w:val="1"/>
          <w:iCs w:val="1"/>
          <w:color w:val="auto"/>
        </w:rPr>
        <w:t>Assignability</w:t>
      </w:r>
      <w:r>
        <w:rPr>
          <w:rFonts w:ascii="Arial" w:cs="Arial" w:eastAsia="Arial" w:hAnsi="Arial"/>
          <w:sz w:val="21"/>
          <w:szCs w:val="21"/>
          <w:color w:val="auto"/>
        </w:rPr>
        <w:t>. Unless otherwise determined by the Committee in the Award Agreement, no Award or any other benefit</w:t>
      </w:r>
      <w:r>
        <w:rPr>
          <w:rFonts w:ascii="Arial" w:cs="Arial" w:eastAsia="Arial" w:hAnsi="Arial"/>
          <w:sz w:val="21"/>
          <w:szCs w:val="21"/>
          <w:i w:val="1"/>
          <w:iCs w:val="1"/>
          <w:color w:val="auto"/>
        </w:rPr>
        <w:t xml:space="preserve"> </w:t>
      </w:r>
      <w:r>
        <w:rPr>
          <w:rFonts w:ascii="Arial" w:cs="Arial" w:eastAsia="Arial" w:hAnsi="Arial"/>
          <w:sz w:val="21"/>
          <w:szCs w:val="21"/>
          <w:color w:val="auto"/>
        </w:rPr>
        <w:t>under this Plan shall be assignable or otherwise transferable. Any attempted assignment of an Award or any other benefit under this Plan in violation of this paragraph 12 shall be null and void.</w:t>
      </w:r>
    </w:p>
    <w:p>
      <w:pPr>
        <w:spacing w:after="0" w:line="168" w:lineRule="exact"/>
        <w:rPr>
          <w:rFonts w:ascii="Arial" w:cs="Arial" w:eastAsia="Arial" w:hAnsi="Arial"/>
          <w:sz w:val="21"/>
          <w:szCs w:val="21"/>
          <w:color w:val="auto"/>
        </w:rPr>
      </w:pPr>
    </w:p>
    <w:p>
      <w:pPr>
        <w:ind w:left="940" w:hanging="314"/>
        <w:spacing w:after="0"/>
        <w:tabs>
          <w:tab w:leader="none" w:pos="940" w:val="left"/>
        </w:tabs>
        <w:numPr>
          <w:ilvl w:val="0"/>
          <w:numId w:val="158"/>
        </w:numPr>
        <w:rPr>
          <w:rFonts w:ascii="Arial" w:cs="Arial" w:eastAsia="Arial" w:hAnsi="Arial"/>
          <w:sz w:val="21"/>
          <w:szCs w:val="21"/>
          <w:color w:val="auto"/>
        </w:rPr>
      </w:pPr>
      <w:r>
        <w:rPr>
          <w:rFonts w:ascii="Arial" w:cs="Arial" w:eastAsia="Arial" w:hAnsi="Arial"/>
          <w:sz w:val="21"/>
          <w:szCs w:val="21"/>
          <w:i w:val="1"/>
          <w:iCs w:val="1"/>
          <w:color w:val="auto"/>
        </w:rPr>
        <w:t>Adjustments</w:t>
      </w:r>
      <w:r>
        <w:rPr>
          <w:rFonts w:ascii="Arial" w:cs="Arial" w:eastAsia="Arial" w:hAnsi="Arial"/>
          <w:sz w:val="21"/>
          <w:szCs w:val="21"/>
          <w:color w:val="auto"/>
        </w:rPr>
        <w:t>.</w:t>
      </w:r>
    </w:p>
    <w:p>
      <w:pPr>
        <w:spacing w:after="0" w:line="210" w:lineRule="exact"/>
        <w:rPr>
          <w:sz w:val="20"/>
          <w:szCs w:val="20"/>
          <w:color w:val="auto"/>
        </w:rPr>
      </w:pPr>
    </w:p>
    <w:p>
      <w:pPr>
        <w:jc w:val="both"/>
        <w:ind w:firstLine="626"/>
        <w:spacing w:after="0" w:line="243" w:lineRule="auto"/>
        <w:tabs>
          <w:tab w:leader="none" w:pos="91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existence of this Plan and Awards granted hereunder shall not affect in any way the right or power of the Company or its shareholders to make or authorize any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7" w:name="page158"/>
    <w:bookmarkEnd w:id="157"/>
    <w:p>
      <w:pPr>
        <w:jc w:val="both"/>
        <w:ind w:firstLine="626"/>
        <w:spacing w:after="0" w:line="244" w:lineRule="auto"/>
        <w:tabs>
          <w:tab w:leader="none" w:pos="934" w:val="left"/>
        </w:tabs>
        <w:numPr>
          <w:ilvl w:val="0"/>
          <w:numId w:val="160"/>
        </w:numPr>
        <w:rPr>
          <w:rFonts w:ascii="Arial" w:cs="Arial" w:eastAsia="Arial" w:hAnsi="Arial"/>
          <w:sz w:val="21"/>
          <w:szCs w:val="21"/>
          <w:color w:val="auto"/>
        </w:rPr>
      </w:pPr>
      <w:r>
        <w:rPr>
          <w:rFonts w:ascii="Arial" w:cs="Arial" w:eastAsia="Arial" w:hAnsi="Arial"/>
          <w:sz w:val="21"/>
          <w:szCs w:val="21"/>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79" w:lineRule="exact"/>
        <w:rPr>
          <w:rFonts w:ascii="Arial" w:cs="Arial" w:eastAsia="Arial" w:hAnsi="Arial"/>
          <w:sz w:val="21"/>
          <w:szCs w:val="21"/>
          <w:color w:val="auto"/>
        </w:rPr>
      </w:pPr>
    </w:p>
    <w:p>
      <w:pPr>
        <w:jc w:val="both"/>
        <w:ind w:firstLine="626"/>
        <w:spacing w:after="0" w:line="255" w:lineRule="auto"/>
        <w:tabs>
          <w:tab w:leader="none" w:pos="91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169" w:lineRule="exact"/>
        <w:rPr>
          <w:rFonts w:ascii="Arial" w:cs="Arial" w:eastAsia="Arial" w:hAnsi="Arial"/>
          <w:sz w:val="20"/>
          <w:szCs w:val="20"/>
          <w:color w:val="auto"/>
        </w:rPr>
      </w:pPr>
    </w:p>
    <w:p>
      <w:pPr>
        <w:ind w:left="620" w:firstLine="592"/>
        <w:spacing w:after="0" w:line="267" w:lineRule="auto"/>
        <w:tabs>
          <w:tab w:leader="none" w:pos="1513" w:val="left"/>
        </w:tabs>
        <w:numPr>
          <w:ilvl w:val="1"/>
          <w:numId w:val="160"/>
        </w:numPr>
        <w:rPr>
          <w:rFonts w:ascii="Arial" w:cs="Arial" w:eastAsia="Arial" w:hAnsi="Arial"/>
          <w:sz w:val="21"/>
          <w:szCs w:val="21"/>
          <w:color w:val="auto"/>
        </w:rPr>
      </w:pPr>
      <w:r>
        <w:rPr>
          <w:rFonts w:ascii="Arial" w:cs="Arial" w:eastAsia="Arial" w:hAnsi="Arial"/>
          <w:sz w:val="21"/>
          <w:szCs w:val="21"/>
          <w:color w:val="auto"/>
        </w:rPr>
        <w:t>in the event of an increase in the number of outstanding shares, be proportionately increased, and the cash consideration (if any) payable per share of Common Stock shall be proportionately reduced; and</w:t>
      </w:r>
    </w:p>
    <w:p>
      <w:pPr>
        <w:spacing w:after="0" w:line="152" w:lineRule="exact"/>
        <w:rPr>
          <w:rFonts w:ascii="Arial" w:cs="Arial" w:eastAsia="Arial" w:hAnsi="Arial"/>
          <w:sz w:val="21"/>
          <w:szCs w:val="21"/>
          <w:color w:val="auto"/>
        </w:rPr>
      </w:pPr>
    </w:p>
    <w:p>
      <w:pPr>
        <w:ind w:left="620" w:firstLine="592"/>
        <w:spacing w:after="0" w:line="267" w:lineRule="auto"/>
        <w:tabs>
          <w:tab w:leader="none" w:pos="1575" w:val="left"/>
        </w:tabs>
        <w:numPr>
          <w:ilvl w:val="1"/>
          <w:numId w:val="160"/>
        </w:numPr>
        <w:rPr>
          <w:rFonts w:ascii="Arial" w:cs="Arial" w:eastAsia="Arial" w:hAnsi="Arial"/>
          <w:sz w:val="21"/>
          <w:szCs w:val="21"/>
          <w:color w:val="auto"/>
        </w:rPr>
      </w:pPr>
      <w:r>
        <w:rPr>
          <w:rFonts w:ascii="Arial" w:cs="Arial" w:eastAsia="Arial" w:hAnsi="Arial"/>
          <w:sz w:val="21"/>
          <w:szCs w:val="21"/>
          <w:color w:val="auto"/>
        </w:rPr>
        <w:t>in the event of a reduction in the number of outstanding shares, be proportionately reduced, and the cash consideration (if any) payable per share of Common Stock shall be proportionately increased.</w:t>
      </w:r>
    </w:p>
    <w:p>
      <w:pPr>
        <w:spacing w:after="0" w:line="152" w:lineRule="exact"/>
        <w:rPr>
          <w:rFonts w:ascii="Arial" w:cs="Arial" w:eastAsia="Arial" w:hAnsi="Arial"/>
          <w:sz w:val="21"/>
          <w:szCs w:val="21"/>
          <w:color w:val="auto"/>
        </w:rPr>
      </w:pPr>
    </w:p>
    <w:p>
      <w:pPr>
        <w:jc w:val="both"/>
        <w:ind w:firstLine="626"/>
        <w:spacing w:after="0" w:line="268" w:lineRule="auto"/>
        <w:tabs>
          <w:tab w:leader="none" w:pos="941"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Common Stock on such date over the exercise price of such Award (for the avoidance of doubt, if the exercise price is less than Fair Market Value the Option or Stock Appreciation Right may be canceled for no consideration).</w:t>
      </w:r>
    </w:p>
    <w:p>
      <w:pPr>
        <w:spacing w:after="0" w:line="161" w:lineRule="exact"/>
        <w:rPr>
          <w:rFonts w:ascii="Arial" w:cs="Arial" w:eastAsia="Arial" w:hAnsi="Arial"/>
          <w:sz w:val="19"/>
          <w:szCs w:val="19"/>
          <w:color w:val="auto"/>
        </w:rPr>
      </w:pPr>
    </w:p>
    <w:p>
      <w:pPr>
        <w:jc w:val="both"/>
        <w:ind w:firstLine="626"/>
        <w:spacing w:after="0" w:line="256" w:lineRule="auto"/>
        <w:tabs>
          <w:tab w:leader="none" w:pos="911" w:val="left"/>
        </w:tabs>
        <w:numPr>
          <w:ilvl w:val="0"/>
          <w:numId w:val="160"/>
        </w:numPr>
        <w:rPr>
          <w:rFonts w:ascii="Arial" w:cs="Arial" w:eastAsia="Arial" w:hAnsi="Arial"/>
          <w:sz w:val="20"/>
          <w:szCs w:val="20"/>
          <w:color w:val="auto"/>
        </w:rPr>
      </w:pPr>
      <w:r>
        <w:rPr>
          <w:rFonts w:ascii="Arial" w:cs="Arial" w:eastAsia="Arial" w:hAnsi="Arial"/>
          <w:sz w:val="20"/>
          <w:szCs w:val="20"/>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 (ii) 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 (iii) in any event, neither the Committee nor the Board shall have the authority to make any adjustments pursuant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8" w:name="page159"/>
    <w:bookmarkEnd w:id="158"/>
    <w:p>
      <w:pPr>
        <w:spacing w:after="0" w:line="267" w:lineRule="auto"/>
        <w:rPr>
          <w:sz w:val="20"/>
          <w:szCs w:val="20"/>
          <w:color w:val="auto"/>
        </w:rPr>
      </w:pPr>
      <w:r>
        <w:rPr>
          <w:rFonts w:ascii="Arial" w:cs="Arial" w:eastAsia="Arial" w:hAnsi="Arial"/>
          <w:sz w:val="21"/>
          <w:szCs w:val="21"/>
          <w:color w:val="auto"/>
        </w:rPr>
        <w:t>to paragraph 13 to the extent the existence of such authority would cause an Award that is not intended to be subject to Section 409A of the Code at the date of grant to be subject thereto as of the date of grant.</w:t>
      </w:r>
    </w:p>
    <w:p>
      <w:pPr>
        <w:spacing w:after="0" w:line="153" w:lineRule="exact"/>
        <w:rPr>
          <w:sz w:val="20"/>
          <w:szCs w:val="20"/>
          <w:color w:val="auto"/>
        </w:rPr>
      </w:pPr>
    </w:p>
    <w:p>
      <w:pPr>
        <w:jc w:val="both"/>
        <w:ind w:firstLine="626"/>
        <w:spacing w:after="0" w:line="253" w:lineRule="auto"/>
        <w:tabs>
          <w:tab w:leader="none" w:pos="938" w:val="left"/>
        </w:tabs>
        <w:numPr>
          <w:ilvl w:val="0"/>
          <w:numId w:val="161"/>
        </w:numPr>
        <w:rPr>
          <w:rFonts w:ascii="Arial" w:cs="Arial" w:eastAsia="Arial" w:hAnsi="Arial"/>
          <w:sz w:val="20"/>
          <w:szCs w:val="20"/>
          <w:color w:val="auto"/>
        </w:rPr>
      </w:pPr>
      <w:r>
        <w:rPr>
          <w:rFonts w:ascii="Arial" w:cs="Arial" w:eastAsia="Arial" w:hAnsi="Arial"/>
          <w:sz w:val="20"/>
          <w:szCs w:val="20"/>
          <w:i w:val="1"/>
          <w:iCs w:val="1"/>
          <w:color w:val="auto"/>
        </w:rPr>
        <w:t>Restrictions</w:t>
      </w:r>
      <w:r>
        <w:rPr>
          <w:rFonts w:ascii="Arial" w:cs="Arial" w:eastAsia="Arial" w:hAnsi="Arial"/>
          <w:sz w:val="20"/>
          <w:szCs w:val="20"/>
          <w:color w:val="auto"/>
        </w:rPr>
        <w:t>. No Common Stock or other form of payment shall be issued with respect to any Award unless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satisfied based on the 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70" w:lineRule="exact"/>
        <w:rPr>
          <w:rFonts w:ascii="Arial" w:cs="Arial" w:eastAsia="Arial" w:hAnsi="Arial"/>
          <w:sz w:val="20"/>
          <w:szCs w:val="20"/>
          <w:color w:val="auto"/>
        </w:rPr>
      </w:pPr>
    </w:p>
    <w:p>
      <w:pPr>
        <w:jc w:val="both"/>
        <w:ind w:firstLine="626"/>
        <w:spacing w:after="0" w:line="268" w:lineRule="auto"/>
        <w:tabs>
          <w:tab w:leader="none" w:pos="991" w:val="left"/>
        </w:tabs>
        <w:numPr>
          <w:ilvl w:val="0"/>
          <w:numId w:val="161"/>
        </w:numPr>
        <w:rPr>
          <w:rFonts w:ascii="Arial" w:cs="Arial" w:eastAsia="Arial" w:hAnsi="Arial"/>
          <w:sz w:val="19"/>
          <w:szCs w:val="19"/>
          <w:color w:val="auto"/>
        </w:rPr>
      </w:pPr>
      <w:r>
        <w:rPr>
          <w:rFonts w:ascii="Arial" w:cs="Arial" w:eastAsia="Arial" w:hAnsi="Arial"/>
          <w:sz w:val="19"/>
          <w:szCs w:val="19"/>
          <w:i w:val="1"/>
          <w:iCs w:val="1"/>
          <w:color w:val="auto"/>
        </w:rPr>
        <w:t>Unfunded Plan</w:t>
      </w:r>
      <w:r>
        <w:rPr>
          <w:rFonts w:ascii="Arial" w:cs="Arial" w:eastAsia="Arial" w:hAnsi="Arial"/>
          <w:sz w:val="19"/>
          <w:szCs w:val="19"/>
          <w:color w:val="auto"/>
        </w:rPr>
        <w:t>. Insofar as it provides for Awards of cash, Common Stock or rights thereto, this Plan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unfunded. Although bookkeeping 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61" w:lineRule="exact"/>
        <w:rPr>
          <w:rFonts w:ascii="Arial" w:cs="Arial" w:eastAsia="Arial" w:hAnsi="Arial"/>
          <w:sz w:val="19"/>
          <w:szCs w:val="19"/>
          <w:color w:val="auto"/>
        </w:rPr>
      </w:pPr>
    </w:p>
    <w:p>
      <w:pPr>
        <w:jc w:val="both"/>
        <w:ind w:firstLine="626"/>
        <w:spacing w:after="0" w:line="254" w:lineRule="auto"/>
        <w:tabs>
          <w:tab w:leader="none" w:pos="938" w:val="left"/>
        </w:tabs>
        <w:numPr>
          <w:ilvl w:val="0"/>
          <w:numId w:val="161"/>
        </w:numPr>
        <w:rPr>
          <w:rFonts w:ascii="Arial" w:cs="Arial" w:eastAsia="Arial" w:hAnsi="Arial"/>
          <w:sz w:val="20"/>
          <w:szCs w:val="20"/>
          <w:color w:val="auto"/>
        </w:rPr>
      </w:pPr>
      <w:r>
        <w:rPr>
          <w:rFonts w:ascii="Arial" w:cs="Arial" w:eastAsia="Arial" w:hAnsi="Arial"/>
          <w:sz w:val="20"/>
          <w:szCs w:val="20"/>
          <w:i w:val="1"/>
          <w:iCs w:val="1"/>
          <w:color w:val="auto"/>
        </w:rPr>
        <w:t>Section 409A</w:t>
      </w:r>
      <w:r>
        <w:rPr>
          <w:rFonts w:ascii="Arial" w:cs="Arial" w:eastAsia="Arial" w:hAnsi="Arial"/>
          <w:sz w:val="20"/>
          <w:szCs w:val="20"/>
          <w:color w:val="auto"/>
        </w:rPr>
        <w:t>. This Plan is intended to provide compensation which is exempt from or which complies with Section 409A,</w:t>
      </w:r>
      <w:r>
        <w:rPr>
          <w:rFonts w:ascii="Arial" w:cs="Arial" w:eastAsia="Arial" w:hAnsi="Arial"/>
          <w:sz w:val="20"/>
          <w:szCs w:val="20"/>
          <w:i w:val="1"/>
          <w:iCs w:val="1"/>
          <w:color w:val="auto"/>
        </w:rPr>
        <w:t xml:space="preserve"> </w:t>
      </w:r>
      <w:r>
        <w:rPr>
          <w:rFonts w:ascii="Arial" w:cs="Arial" w:eastAsia="Arial" w:hAnsi="Arial"/>
          <w:sz w:val="20"/>
          <w:szCs w:val="20"/>
          <w:color w:val="auto"/>
        </w:rPr>
        <w:t>and ambiguous provisions, if 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 Notwithstanding any provision of this Plan to the contrary, if the Participant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59" w:name="page160"/>
    <w:bookmarkEnd w:id="159"/>
    <w:p>
      <w:pPr>
        <w:jc w:val="both"/>
        <w:spacing w:after="0" w:line="242" w:lineRule="auto"/>
        <w:rPr>
          <w:sz w:val="20"/>
          <w:szCs w:val="20"/>
          <w:color w:val="auto"/>
        </w:rPr>
      </w:pPr>
      <w:r>
        <w:rPr>
          <w:rFonts w:ascii="Arial" w:cs="Arial" w:eastAsia="Arial" w:hAnsi="Arial"/>
          <w:sz w:val="21"/>
          <w:szCs w:val="21"/>
          <w:color w:val="auto"/>
        </w:rPr>
        <w:t>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the Participant’s death.</w:t>
      </w:r>
    </w:p>
    <w:p>
      <w:pPr>
        <w:spacing w:after="0" w:line="180" w:lineRule="exact"/>
        <w:rPr>
          <w:sz w:val="20"/>
          <w:szCs w:val="20"/>
          <w:color w:val="auto"/>
        </w:rPr>
      </w:pPr>
    </w:p>
    <w:p>
      <w:pPr>
        <w:jc w:val="both"/>
        <w:ind w:firstLine="626"/>
        <w:spacing w:after="0" w:line="252" w:lineRule="auto"/>
        <w:tabs>
          <w:tab w:leader="none" w:pos="952" w:val="left"/>
        </w:tabs>
        <w:numPr>
          <w:ilvl w:val="0"/>
          <w:numId w:val="162"/>
        </w:numPr>
        <w:rPr>
          <w:rFonts w:ascii="Arial" w:cs="Arial" w:eastAsia="Arial" w:hAnsi="Arial"/>
          <w:sz w:val="21"/>
          <w:szCs w:val="21"/>
          <w:color w:val="auto"/>
        </w:rPr>
      </w:pPr>
      <w:r>
        <w:rPr>
          <w:rFonts w:ascii="Arial" w:cs="Arial" w:eastAsia="Arial" w:hAnsi="Arial"/>
          <w:sz w:val="21"/>
          <w:szCs w:val="21"/>
          <w:i w:val="1"/>
          <w:iCs w:val="1"/>
          <w:color w:val="auto"/>
        </w:rPr>
        <w:t>Governing Law</w:t>
      </w:r>
      <w:r>
        <w:rPr>
          <w:rFonts w:ascii="Arial" w:cs="Arial" w:eastAsia="Arial" w:hAnsi="Arial"/>
          <w:sz w:val="21"/>
          <w:szCs w:val="21"/>
          <w:color w:val="auto"/>
        </w:rPr>
        <w:t>. This Plan and all determinations made and actions taken pursuant hereto, to the extent not otherwise</w:t>
      </w:r>
      <w:r>
        <w:rPr>
          <w:rFonts w:ascii="Arial" w:cs="Arial" w:eastAsia="Arial" w:hAnsi="Arial"/>
          <w:sz w:val="21"/>
          <w:szCs w:val="21"/>
          <w:i w:val="1"/>
          <w:iCs w:val="1"/>
          <w:color w:val="auto"/>
        </w:rPr>
        <w:t xml:space="preserve"> </w:t>
      </w:r>
      <w:r>
        <w:rPr>
          <w:rFonts w:ascii="Arial" w:cs="Arial" w:eastAsia="Arial" w:hAnsi="Arial"/>
          <w:sz w:val="21"/>
          <w:szCs w:val="21"/>
          <w:color w:val="auto"/>
        </w:rPr>
        <w:t>governed by mandatory provisions of the Code or the securities laws of the United States, shall be governed by and construed in accordance with the laws of the State of Texas.</w:t>
      </w:r>
    </w:p>
    <w:p>
      <w:pPr>
        <w:spacing w:after="0" w:line="168" w:lineRule="exact"/>
        <w:rPr>
          <w:rFonts w:ascii="Arial" w:cs="Arial" w:eastAsia="Arial" w:hAnsi="Arial"/>
          <w:sz w:val="21"/>
          <w:szCs w:val="21"/>
          <w:color w:val="auto"/>
        </w:rPr>
      </w:pPr>
    </w:p>
    <w:p>
      <w:pPr>
        <w:jc w:val="both"/>
        <w:ind w:firstLine="626"/>
        <w:spacing w:after="0" w:line="291" w:lineRule="auto"/>
        <w:tabs>
          <w:tab w:leader="none" w:pos="938" w:val="left"/>
        </w:tabs>
        <w:numPr>
          <w:ilvl w:val="0"/>
          <w:numId w:val="162"/>
        </w:numPr>
        <w:rPr>
          <w:rFonts w:ascii="Arial" w:cs="Arial" w:eastAsia="Arial" w:hAnsi="Arial"/>
          <w:sz w:val="19"/>
          <w:szCs w:val="19"/>
          <w:color w:val="auto"/>
        </w:rPr>
      </w:pPr>
      <w:r>
        <w:rPr>
          <w:rFonts w:ascii="Arial" w:cs="Arial" w:eastAsia="Arial" w:hAnsi="Arial"/>
          <w:sz w:val="19"/>
          <w:szCs w:val="19"/>
          <w:i w:val="1"/>
          <w:iCs w:val="1"/>
          <w:color w:val="auto"/>
        </w:rPr>
        <w:t>No Right to Employment</w:t>
      </w:r>
      <w:r>
        <w:rPr>
          <w:rFonts w:ascii="Arial" w:cs="Arial" w:eastAsia="Arial" w:hAnsi="Arial"/>
          <w:sz w:val="19"/>
          <w:szCs w:val="19"/>
          <w:color w:val="auto"/>
        </w:rPr>
        <w:t>. Nothing in this Plan or an Award Agreement shall interfere with or limit in any way the right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or a Subsidiary to terminate any Participant’s employment or other service relationship at any time, nor confer upon any Participant any right to continue in the capacity in which he or she is employed or otherwise serves the Company or any Subsidiary.</w:t>
      </w:r>
    </w:p>
    <w:p>
      <w:pPr>
        <w:spacing w:after="0" w:line="134" w:lineRule="exact"/>
        <w:rPr>
          <w:rFonts w:ascii="Arial" w:cs="Arial" w:eastAsia="Arial" w:hAnsi="Arial"/>
          <w:sz w:val="19"/>
          <w:szCs w:val="19"/>
          <w:color w:val="auto"/>
        </w:rPr>
      </w:pPr>
    </w:p>
    <w:p>
      <w:pPr>
        <w:jc w:val="both"/>
        <w:ind w:firstLine="626"/>
        <w:spacing w:after="0" w:line="252" w:lineRule="auto"/>
        <w:tabs>
          <w:tab w:leader="none" w:pos="938" w:val="left"/>
        </w:tabs>
        <w:numPr>
          <w:ilvl w:val="0"/>
          <w:numId w:val="162"/>
        </w:numPr>
        <w:rPr>
          <w:rFonts w:ascii="Arial" w:cs="Arial" w:eastAsia="Arial" w:hAnsi="Arial"/>
          <w:sz w:val="21"/>
          <w:szCs w:val="21"/>
          <w:color w:val="auto"/>
        </w:rPr>
      </w:pPr>
      <w:r>
        <w:rPr>
          <w:rFonts w:ascii="Arial" w:cs="Arial" w:eastAsia="Arial" w:hAnsi="Arial"/>
          <w:sz w:val="21"/>
          <w:szCs w:val="21"/>
          <w:i w:val="1"/>
          <w:iCs w:val="1"/>
          <w:color w:val="auto"/>
        </w:rPr>
        <w:t>Successors</w:t>
      </w:r>
      <w:r>
        <w:rPr>
          <w:rFonts w:ascii="Arial" w:cs="Arial" w:eastAsia="Arial" w:hAnsi="Arial"/>
          <w:sz w:val="21"/>
          <w:szCs w:val="21"/>
          <w:color w:val="auto"/>
        </w:rPr>
        <w:t>. All obligations of the Company under this Plan with respect to Awards granted hereunder shall be binding on</w:t>
      </w:r>
      <w:r>
        <w:rPr>
          <w:rFonts w:ascii="Arial" w:cs="Arial" w:eastAsia="Arial" w:hAnsi="Arial"/>
          <w:sz w:val="21"/>
          <w:szCs w:val="21"/>
          <w:i w:val="1"/>
          <w:iCs w:val="1"/>
          <w:color w:val="auto"/>
        </w:rPr>
        <w:t xml:space="preserve"> </w:t>
      </w:r>
      <w:r>
        <w:rPr>
          <w:rFonts w:ascii="Arial" w:cs="Arial" w:eastAsia="Arial" w:hAnsi="Arial"/>
          <w:sz w:val="21"/>
          <w:szCs w:val="21"/>
          <w:color w:val="auto"/>
        </w:rPr>
        <w:t>any successor to the Company, whether the existence of such successor is the result of a direct or indirect purchase, merger, consolidation, or otherwise, of all or substantially all of the business and/or assets of the Company.</w:t>
      </w:r>
    </w:p>
    <w:p>
      <w:pPr>
        <w:spacing w:after="0" w:line="168" w:lineRule="exact"/>
        <w:rPr>
          <w:rFonts w:ascii="Arial" w:cs="Arial" w:eastAsia="Arial" w:hAnsi="Arial"/>
          <w:sz w:val="21"/>
          <w:szCs w:val="21"/>
          <w:color w:val="auto"/>
        </w:rPr>
      </w:pPr>
    </w:p>
    <w:p>
      <w:pPr>
        <w:jc w:val="both"/>
        <w:ind w:firstLine="626"/>
        <w:spacing w:after="0" w:line="243" w:lineRule="auto"/>
        <w:tabs>
          <w:tab w:leader="none" w:pos="952" w:val="left"/>
        </w:tabs>
        <w:numPr>
          <w:ilvl w:val="0"/>
          <w:numId w:val="162"/>
        </w:numPr>
        <w:rPr>
          <w:rFonts w:ascii="Arial" w:cs="Arial" w:eastAsia="Arial" w:hAnsi="Arial"/>
          <w:sz w:val="21"/>
          <w:szCs w:val="21"/>
          <w:color w:val="auto"/>
        </w:rPr>
      </w:pPr>
      <w:r>
        <w:rPr>
          <w:rFonts w:ascii="Arial" w:cs="Arial" w:eastAsia="Arial" w:hAnsi="Arial"/>
          <w:sz w:val="21"/>
          <w:szCs w:val="21"/>
          <w:i w:val="1"/>
          <w:iCs w:val="1"/>
          <w:color w:val="auto"/>
        </w:rPr>
        <w:t>Tax Consequences</w:t>
      </w:r>
      <w:r>
        <w:rPr>
          <w:rFonts w:ascii="Arial" w:cs="Arial" w:eastAsia="Arial" w:hAnsi="Arial"/>
          <w:sz w:val="21"/>
          <w:szCs w:val="21"/>
          <w:color w:val="auto"/>
        </w:rPr>
        <w:t>. Nothing in this Plan or an Award Agreement shall constitute a representation by the Company to a</w:t>
      </w:r>
      <w:r>
        <w:rPr>
          <w:rFonts w:ascii="Arial" w:cs="Arial" w:eastAsia="Arial" w:hAnsi="Arial"/>
          <w:sz w:val="21"/>
          <w:szCs w:val="21"/>
          <w:i w:val="1"/>
          <w:iCs w:val="1"/>
          <w:color w:val="auto"/>
        </w:rPr>
        <w:t xml:space="preserve"> </w:t>
      </w:r>
      <w:r>
        <w:rPr>
          <w:rFonts w:ascii="Arial" w:cs="Arial" w:eastAsia="Arial" w:hAnsi="Arial"/>
          <w:sz w:val="21"/>
          <w:szCs w:val="21"/>
          <w:color w:val="auto"/>
        </w:rPr>
        <w:t>Participant regarding the tax consequences of any Award received by a Participant under this Plan. Although the Company may endeavor to (i) qualify a Performance Award for favorable U.S. or foreign tax treatment or (ii) avoid adverse tax treatment (e.g. under Section 409A), the Company makes no representation to that effect and expressly disavows any covenant to maintain favorable or unavoidable tax treatment. The Company shall be unconstrained in its corporate activities without regard to the potential negative tax impact on holders of Performance Awards under this Plan.</w:t>
      </w:r>
    </w:p>
    <w:p>
      <w:pPr>
        <w:spacing w:after="0" w:line="178" w:lineRule="exact"/>
        <w:rPr>
          <w:rFonts w:ascii="Arial" w:cs="Arial" w:eastAsia="Arial" w:hAnsi="Arial"/>
          <w:sz w:val="21"/>
          <w:szCs w:val="21"/>
          <w:color w:val="auto"/>
        </w:rPr>
      </w:pPr>
    </w:p>
    <w:p>
      <w:pPr>
        <w:jc w:val="both"/>
        <w:ind w:firstLine="626"/>
        <w:spacing w:after="0" w:line="276" w:lineRule="auto"/>
        <w:tabs>
          <w:tab w:leader="none" w:pos="938" w:val="left"/>
        </w:tabs>
        <w:numPr>
          <w:ilvl w:val="0"/>
          <w:numId w:val="162"/>
        </w:numPr>
        <w:rPr>
          <w:rFonts w:ascii="Arial" w:cs="Arial" w:eastAsia="Arial" w:hAnsi="Arial"/>
          <w:sz w:val="19"/>
          <w:szCs w:val="19"/>
          <w:color w:val="auto"/>
        </w:rPr>
      </w:pPr>
      <w:r>
        <w:rPr>
          <w:rFonts w:ascii="Arial" w:cs="Arial" w:eastAsia="Arial" w:hAnsi="Arial"/>
          <w:sz w:val="19"/>
          <w:szCs w:val="19"/>
          <w:i w:val="1"/>
          <w:iCs w:val="1"/>
          <w:color w:val="auto"/>
        </w:rPr>
        <w:t>Non-United States Participants</w:t>
      </w:r>
      <w:r>
        <w:rPr>
          <w:rFonts w:ascii="Arial" w:cs="Arial" w:eastAsia="Arial" w:hAnsi="Arial"/>
          <w:sz w:val="19"/>
          <w:szCs w:val="19"/>
          <w:color w:val="auto"/>
        </w:rPr>
        <w:t>. The Committee may grant awards to persons outside the United States under such terms</w:t>
      </w:r>
      <w:r>
        <w:rPr>
          <w:rFonts w:ascii="Arial" w:cs="Arial" w:eastAsia="Arial" w:hAnsi="Arial"/>
          <w:sz w:val="19"/>
          <w:szCs w:val="19"/>
          <w:i w:val="1"/>
          <w:iCs w:val="1"/>
          <w:color w:val="auto"/>
        </w:rPr>
        <w:t xml:space="preserve"> </w:t>
      </w:r>
      <w:r>
        <w:rPr>
          <w:rFonts w:ascii="Arial" w:cs="Arial" w:eastAsia="Arial" w:hAnsi="Arial"/>
          <w:sz w:val="19"/>
          <w:szCs w:val="19"/>
          <w:color w:val="auto"/>
        </w:rPr>
        <w:t>and conditions as may, in the judgment of the Committee, be necessary or advisable to comply with the laws of the applicable foreign jurisdictions and, to that end, may establish sub-plans, modified vesting, exercise or settlement procedures and other terms and procedures. Notwithstanding the above, the Committee may not take any actions hereunder, and no Awards shall be granted, that would violate the Securities Exchange Act of 1934, the Code, any securities law, any governing statute, or any other applicable law.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60" w:name="page161"/>
    <w:bookmarkEnd w:id="160"/>
    <w:p>
      <w:pPr>
        <w:jc w:val="both"/>
        <w:ind w:firstLine="626"/>
        <w:spacing w:after="0" w:line="263" w:lineRule="auto"/>
        <w:tabs>
          <w:tab w:leader="none" w:pos="938" w:val="left"/>
        </w:tabs>
        <w:numPr>
          <w:ilvl w:val="0"/>
          <w:numId w:val="163"/>
        </w:numPr>
        <w:rPr>
          <w:rFonts w:ascii="Arial" w:cs="Arial" w:eastAsia="Arial" w:hAnsi="Arial"/>
          <w:sz w:val="20"/>
          <w:szCs w:val="20"/>
          <w:color w:val="auto"/>
        </w:rPr>
      </w:pPr>
      <w:r>
        <w:rPr>
          <w:rFonts w:ascii="Arial" w:cs="Arial" w:eastAsia="Arial" w:hAnsi="Arial"/>
          <w:sz w:val="20"/>
          <w:szCs w:val="20"/>
          <w:i w:val="1"/>
          <w:iCs w:val="1"/>
          <w:color w:val="auto"/>
        </w:rPr>
        <w:t>Effectiveness</w:t>
      </w:r>
      <w:r>
        <w:rPr>
          <w:rFonts w:ascii="Arial" w:cs="Arial" w:eastAsia="Arial" w:hAnsi="Arial"/>
          <w:sz w:val="20"/>
          <w:szCs w:val="20"/>
          <w:color w:val="auto"/>
        </w:rPr>
        <w:t>. This Plan became effective January 21, 2010 upon its approval by the stockholders of the Company at the</w:t>
      </w:r>
      <w:r>
        <w:rPr>
          <w:rFonts w:ascii="Arial" w:cs="Arial" w:eastAsia="Arial" w:hAnsi="Arial"/>
          <w:sz w:val="20"/>
          <w:szCs w:val="20"/>
          <w:i w:val="1"/>
          <w:iCs w:val="1"/>
          <w:color w:val="auto"/>
        </w:rPr>
        <w:t xml:space="preserve"> </w:t>
      </w:r>
      <w:r>
        <w:rPr>
          <w:rFonts w:ascii="Arial" w:cs="Arial" w:eastAsia="Arial" w:hAnsi="Arial"/>
          <w:sz w:val="20"/>
          <w:szCs w:val="20"/>
          <w:color w:val="auto"/>
        </w:rPr>
        <w:t>2010 annual general meeting of stockholders. This Plan was amended by the Committee effective as of June 30, 2013 and was thereafter amended and restated effective as of July 19, 2017. This Plan shall continue in effect for a term of ten years after the date on which the stockholders of the Company approve this Plan, unless sooner terminated by action of the Board.</w:t>
      </w:r>
    </w:p>
    <w:p>
      <w:pPr>
        <w:spacing w:after="0" w:line="160"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IN WITNESS WHEREOF, the Company has caused this Plan to be executed by its duly authorized officer on the date first written above.</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SCHLUMBERGER LIMITED</w:t>
      </w:r>
    </w:p>
    <w:p>
      <w:pPr>
        <w:spacing w:after="0" w:line="236"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21"/>
          <w:szCs w:val="21"/>
          <w:color w:val="auto"/>
        </w:rPr>
        <w:t>By:</w:t>
        <w:tab/>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4749165</wp:posOffset>
            </wp:positionH>
            <wp:positionV relativeFrom="paragraph">
              <wp:posOffset>12065</wp:posOffset>
            </wp:positionV>
            <wp:extent cx="25031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9" w:lineRule="exact"/>
        <w:rPr>
          <w:sz w:val="20"/>
          <w:szCs w:val="20"/>
          <w:color w:val="auto"/>
        </w:rPr>
      </w:pPr>
    </w:p>
    <w:p>
      <w:pPr>
        <w:ind w:left="7480"/>
        <w:spacing w:after="0"/>
        <w:rPr>
          <w:sz w:val="20"/>
          <w:szCs w:val="20"/>
          <w:color w:val="auto"/>
        </w:rPr>
      </w:pPr>
      <w:r>
        <w:rPr>
          <w:rFonts w:ascii="Arial" w:cs="Arial" w:eastAsia="Arial" w:hAnsi="Arial"/>
          <w:sz w:val="21"/>
          <w:szCs w:val="21"/>
          <w:color w:val="auto"/>
        </w:rPr>
        <w:t>Paal Kibsgaard</w:t>
      </w:r>
    </w:p>
    <w:p>
      <w:pPr>
        <w:spacing w:after="0" w:line="218"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9"/>
          <w:szCs w:val="19"/>
          <w:color w:val="auto"/>
        </w:rPr>
        <w:t>Chairman &amp; CEO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556"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1"/>
          <w:szCs w:val="21"/>
          <w:b w:val="1"/>
          <w:bCs w:val="1"/>
          <w:color w:val="auto"/>
        </w:rPr>
        <w:t>Exhibit 10.15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SCHLUMBERGER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2013 OMNIBUS STOCK INCENTIVE PLAN</w:t>
      </w:r>
    </w:p>
    <w:p>
      <w:pPr>
        <w:jc w:val="center"/>
        <w:spacing w:after="0"/>
        <w:rPr>
          <w:sz w:val="20"/>
          <w:szCs w:val="20"/>
          <w:color w:val="auto"/>
        </w:rPr>
      </w:pPr>
      <w:r>
        <w:rPr>
          <w:rFonts w:ascii="Arial" w:cs="Arial" w:eastAsia="Arial" w:hAnsi="Arial"/>
          <w:sz w:val="21"/>
          <w:szCs w:val="21"/>
          <w:b w:val="1"/>
          <w:bCs w:val="1"/>
          <w:color w:val="auto"/>
        </w:rPr>
        <w:t>(Amended and Restated as of July 19, 2017)</w:t>
      </w:r>
    </w:p>
    <w:p>
      <w:pPr>
        <w:spacing w:after="0" w:line="192" w:lineRule="exact"/>
        <w:rPr>
          <w:sz w:val="20"/>
          <w:szCs w:val="20"/>
          <w:color w:val="auto"/>
        </w:rPr>
      </w:pPr>
    </w:p>
    <w:p>
      <w:pPr>
        <w:jc w:val="both"/>
        <w:ind w:firstLine="576"/>
        <w:spacing w:after="0" w:line="243" w:lineRule="auto"/>
        <w:tabs>
          <w:tab w:leader="none" w:pos="782" w:val="left"/>
        </w:tabs>
        <w:numPr>
          <w:ilvl w:val="0"/>
          <w:numId w:val="164"/>
        </w:numPr>
        <w:rPr>
          <w:rFonts w:ascii="Arial" w:cs="Arial" w:eastAsia="Arial" w:hAnsi="Arial"/>
          <w:sz w:val="21"/>
          <w:szCs w:val="21"/>
          <w:color w:val="auto"/>
        </w:rPr>
      </w:pPr>
      <w:r>
        <w:rPr>
          <w:rFonts w:ascii="Arial" w:cs="Arial" w:eastAsia="Arial" w:hAnsi="Arial"/>
          <w:sz w:val="21"/>
          <w:szCs w:val="21"/>
          <w:i w:val="1"/>
          <w:iCs w:val="1"/>
          <w:color w:val="auto"/>
        </w:rPr>
        <w:t>Objectives</w:t>
      </w:r>
      <w:r>
        <w:rPr>
          <w:rFonts w:ascii="Arial" w:cs="Arial" w:eastAsia="Arial" w:hAnsi="Arial"/>
          <w:sz w:val="21"/>
          <w:szCs w:val="21"/>
          <w:color w:val="auto"/>
        </w:rPr>
        <w:t>. This Schlumberger 2013 Omnibus Stock Incentive Plan (this “Plan”) was adopted by Schlumberger Limited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178" w:lineRule="exact"/>
        <w:rPr>
          <w:rFonts w:ascii="Arial" w:cs="Arial" w:eastAsia="Arial" w:hAnsi="Arial"/>
          <w:sz w:val="21"/>
          <w:szCs w:val="21"/>
          <w:color w:val="auto"/>
        </w:rPr>
      </w:pPr>
    </w:p>
    <w:p>
      <w:pPr>
        <w:ind w:left="780" w:hanging="204"/>
        <w:spacing w:after="0"/>
        <w:tabs>
          <w:tab w:leader="none" w:pos="780" w:val="left"/>
        </w:tabs>
        <w:numPr>
          <w:ilvl w:val="0"/>
          <w:numId w:val="164"/>
        </w:numPr>
        <w:rPr>
          <w:rFonts w:ascii="Arial" w:cs="Arial" w:eastAsia="Arial" w:hAnsi="Arial"/>
          <w:sz w:val="21"/>
          <w:szCs w:val="21"/>
          <w:color w:val="auto"/>
        </w:rPr>
      </w:pPr>
      <w:r>
        <w:rPr>
          <w:rFonts w:ascii="Arial" w:cs="Arial" w:eastAsia="Arial" w:hAnsi="Arial"/>
          <w:sz w:val="21"/>
          <w:szCs w:val="21"/>
          <w:i w:val="1"/>
          <w:iCs w:val="1"/>
          <w:color w:val="auto"/>
        </w:rPr>
        <w:t>Definitions</w:t>
      </w:r>
      <w:r>
        <w:rPr>
          <w:rFonts w:ascii="Arial" w:cs="Arial" w:eastAsia="Arial" w:hAnsi="Arial"/>
          <w:sz w:val="21"/>
          <w:szCs w:val="21"/>
          <w:color w:val="auto"/>
        </w:rPr>
        <w:t>. As used herein, the terms set forth below shall have the following respective meanings:</w:t>
      </w:r>
    </w:p>
    <w:p>
      <w:pPr>
        <w:spacing w:after="0" w:line="210"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21"/>
          <w:szCs w:val="21"/>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169" w:lineRule="exact"/>
        <w:rPr>
          <w:sz w:val="20"/>
          <w:szCs w:val="20"/>
          <w:color w:val="auto"/>
        </w:rPr>
      </w:pPr>
    </w:p>
    <w:p>
      <w:pPr>
        <w:jc w:val="both"/>
        <w:ind w:firstLine="570"/>
        <w:spacing w:after="0" w:line="244" w:lineRule="auto"/>
        <w:rPr>
          <w:sz w:val="20"/>
          <w:szCs w:val="20"/>
          <w:color w:val="auto"/>
        </w:rPr>
      </w:pPr>
      <w:r>
        <w:rPr>
          <w:rFonts w:ascii="Arial" w:cs="Arial" w:eastAsia="Arial" w:hAnsi="Arial"/>
          <w:sz w:val="21"/>
          <w:szCs w:val="21"/>
          <w:color w:val="auto"/>
        </w:rPr>
        <w:t xml:space="preserve">“Award Agreement” means the document (in written or electronic form) communicating the terms, conditions and limitations applicable of an Award. </w:t>
      </w:r>
      <w:r>
        <w:rPr>
          <w:rFonts w:ascii="Arial" w:cs="Arial" w:eastAsia="Arial" w:hAnsi="Arial"/>
          <w:sz w:val="21"/>
          <w:szCs w:val="21"/>
          <w:color w:val="191919"/>
        </w:rPr>
        <w:t>The Committee may, in its discretion, require that the Participant execute such Award Agreement, or may</w:t>
      </w:r>
      <w:r>
        <w:rPr>
          <w:rFonts w:ascii="Arial" w:cs="Arial" w:eastAsia="Arial" w:hAnsi="Arial"/>
          <w:sz w:val="21"/>
          <w:szCs w:val="21"/>
          <w:color w:val="auto"/>
        </w:rPr>
        <w:t xml:space="preserve"> </w:t>
      </w:r>
      <w:r>
        <w:rPr>
          <w:rFonts w:ascii="Arial" w:cs="Arial" w:eastAsia="Arial" w:hAnsi="Arial"/>
          <w:sz w:val="21"/>
          <w:szCs w:val="21"/>
          <w:color w:val="191919"/>
        </w:rPr>
        <w:t>provide for procedures through which Award Agreements are made available but not executed</w:t>
      </w:r>
      <w:r>
        <w:rPr>
          <w:rFonts w:ascii="Arial" w:cs="Arial" w:eastAsia="Arial" w:hAnsi="Arial"/>
          <w:sz w:val="21"/>
          <w:szCs w:val="21"/>
          <w:color w:val="000000"/>
        </w:rPr>
        <w:t>. Any Participant who is granted an</w:t>
      </w:r>
      <w:r>
        <w:rPr>
          <w:rFonts w:ascii="Arial" w:cs="Arial" w:eastAsia="Arial" w:hAnsi="Arial"/>
          <w:sz w:val="21"/>
          <w:szCs w:val="21"/>
          <w:color w:val="191919"/>
        </w:rPr>
        <w:t xml:space="preserve"> </w:t>
      </w:r>
      <w:r>
        <w:rPr>
          <w:rFonts w:ascii="Arial" w:cs="Arial" w:eastAsia="Arial" w:hAnsi="Arial"/>
          <w:sz w:val="21"/>
          <w:szCs w:val="21"/>
          <w:color w:val="000000"/>
        </w:rPr>
        <w:t>Award and who does not affirmatively reject the applicable Award Agreement shall be deemed to have accepted the terms of Award as embodied in the Award Agreement.</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“Board” means the board of directors of the Company.</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“Cash Award” means an Award denominated in cash.</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“Code” means the Internal Revenue Code of 1986, as amended.</w:t>
      </w:r>
    </w:p>
    <w:p>
      <w:pPr>
        <w:spacing w:after="0" w:line="210"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21"/>
          <w:szCs w:val="21"/>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169" w:lineRule="exact"/>
        <w:rPr>
          <w:sz w:val="20"/>
          <w:szCs w:val="20"/>
          <w:color w:val="auto"/>
        </w:rPr>
      </w:pPr>
    </w:p>
    <w:p>
      <w:pPr>
        <w:jc w:val="both"/>
        <w:ind w:firstLine="570"/>
        <w:spacing w:after="0" w:line="267" w:lineRule="auto"/>
        <w:rPr>
          <w:sz w:val="20"/>
          <w:szCs w:val="20"/>
          <w:color w:val="auto"/>
        </w:rPr>
      </w:pPr>
      <w:r>
        <w:rPr>
          <w:rFonts w:ascii="Arial" w:cs="Arial" w:eastAsia="Arial" w:hAnsi="Arial"/>
          <w:sz w:val="21"/>
          <w:szCs w:val="21"/>
          <w:color w:val="auto"/>
        </w:rPr>
        <w:t>“Common Stock” means the Common Stock, par value $0.01 per share, of the Company. “Dividend Equivalents” means, with respect to shares of Restricted Stock or Restricted</w:t>
      </w:r>
    </w:p>
    <w:p>
      <w:pPr>
        <w:spacing w:after="0" w:line="153"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21"/>
          <w:szCs w:val="21"/>
          <w:color w:val="auto"/>
        </w:rPr>
        <w:t>Stock Units, with respect to which shares are to be issued at the end of the Restriction Period, an amount equal to all dividends and other distributions (or the economic equivalent thereof) that are payable to shareholders of record during the Restriction Period on a like number of shares of Common Stock.</w:t>
      </w:r>
    </w:p>
    <w:p>
      <w:pPr>
        <w:spacing w:after="0" w:line="169" w:lineRule="exact"/>
        <w:rPr>
          <w:sz w:val="20"/>
          <w:szCs w:val="20"/>
          <w:color w:val="auto"/>
        </w:rPr>
      </w:pPr>
    </w:p>
    <w:p>
      <w:pPr>
        <w:jc w:val="both"/>
        <w:ind w:firstLine="570"/>
        <w:spacing w:after="0" w:line="292" w:lineRule="auto"/>
        <w:rPr>
          <w:sz w:val="20"/>
          <w:szCs w:val="20"/>
          <w:color w:val="auto"/>
        </w:rPr>
      </w:pPr>
      <w:r>
        <w:rPr>
          <w:rFonts w:ascii="Arial" w:cs="Arial" w:eastAsia="Arial" w:hAnsi="Arial"/>
          <w:sz w:val="20"/>
          <w:szCs w:val="20"/>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294640</wp:posOffset>
            </wp:positionV>
            <wp:extent cx="729107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62" w:name="page163"/>
    <w:bookmarkEnd w:id="162"/>
    <w:p>
      <w:pPr>
        <w:jc w:val="both"/>
        <w:ind w:firstLine="570"/>
        <w:spacing w:after="0" w:line="252" w:lineRule="auto"/>
        <w:rPr>
          <w:sz w:val="20"/>
          <w:szCs w:val="20"/>
          <w:color w:val="auto"/>
        </w:rPr>
      </w:pPr>
      <w:r>
        <w:rPr>
          <w:rFonts w:ascii="Arial" w:cs="Arial" w:eastAsia="Arial" w:hAnsi="Arial"/>
          <w:sz w:val="21"/>
          <w:szCs w:val="21"/>
          <w:color w:val="auto"/>
        </w:rPr>
        <w:t>“Executive Officer” means a “covered employee” within the meaning of Section 162(m)(3) or any other executive officer designated by the Committee for purposes of exempting compensation payable under this Plan from the deduction limitations of Section 162(m).</w:t>
      </w:r>
    </w:p>
    <w:p>
      <w:pPr>
        <w:spacing w:after="0" w:line="169" w:lineRule="exact"/>
        <w:rPr>
          <w:sz w:val="20"/>
          <w:szCs w:val="20"/>
          <w:color w:val="auto"/>
        </w:rPr>
      </w:pPr>
    </w:p>
    <w:p>
      <w:pPr>
        <w:jc w:val="both"/>
        <w:ind w:firstLine="570"/>
        <w:spacing w:after="0" w:line="244" w:lineRule="auto"/>
        <w:rPr>
          <w:sz w:val="20"/>
          <w:szCs w:val="20"/>
          <w:color w:val="auto"/>
        </w:rPr>
      </w:pPr>
      <w:r>
        <w:rPr>
          <w:rFonts w:ascii="Arial" w:cs="Arial" w:eastAsia="Arial" w:hAnsi="Arial"/>
          <w:sz w:val="21"/>
          <w:szCs w:val="21"/>
          <w:color w:val="auto"/>
        </w:rPr>
        <w:t xml:space="preserve">“Fair Market Value” means, with respect to a share of Common Stock on a particular date, the mean between the highest and lowest composite sales price per share of the </w:t>
      </w:r>
      <w:r>
        <w:rPr>
          <w:rFonts w:ascii="Arial" w:cs="Arial" w:eastAsia="Arial" w:hAnsi="Arial"/>
          <w:sz w:val="21"/>
          <w:szCs w:val="21"/>
          <w:color w:val="191919"/>
        </w:rPr>
        <w:t>Common Stock, as reported on the</w:t>
      </w:r>
      <w:r>
        <w:rPr>
          <w:rFonts w:ascii="Arial" w:cs="Arial" w:eastAsia="Arial" w:hAnsi="Arial"/>
          <w:sz w:val="21"/>
          <w:szCs w:val="21"/>
          <w:color w:val="auto"/>
        </w:rPr>
        <w:t xml:space="preserve"> consolidated transaction reporting system </w:t>
      </w:r>
      <w:r>
        <w:rPr>
          <w:rFonts w:ascii="Arial" w:cs="Arial" w:eastAsia="Arial" w:hAnsi="Arial"/>
          <w:sz w:val="21"/>
          <w:szCs w:val="21"/>
          <w:color w:val="191919"/>
        </w:rPr>
        <w:t>for the</w:t>
      </w:r>
      <w:r>
        <w:rPr>
          <w:rFonts w:ascii="Arial" w:cs="Arial" w:eastAsia="Arial" w:hAnsi="Arial"/>
          <w:sz w:val="21"/>
          <w:szCs w:val="21"/>
          <w:color w:val="auto"/>
        </w:rPr>
        <w:t xml:space="preserve"> </w:t>
      </w:r>
      <w:r>
        <w:rPr>
          <w:rFonts w:ascii="Arial" w:cs="Arial" w:eastAsia="Arial" w:hAnsi="Arial"/>
          <w:sz w:val="21"/>
          <w:szCs w:val="21"/>
          <w:color w:val="191919"/>
        </w:rPr>
        <w:t xml:space="preserve">New York Stock Exchange for </w:t>
      </w:r>
      <w:r>
        <w:rPr>
          <w:rFonts w:ascii="Arial" w:cs="Arial" w:eastAsia="Arial" w:hAnsi="Arial"/>
          <w:sz w:val="21"/>
          <w:szCs w:val="21"/>
          <w:color w:val="000000"/>
        </w:rPr>
        <w:t>that date, or, if there shall have been no such reported prices for that date, the reported mean price on</w:t>
      </w:r>
      <w:r>
        <w:rPr>
          <w:rFonts w:ascii="Arial" w:cs="Arial" w:eastAsia="Arial" w:hAnsi="Arial"/>
          <w:sz w:val="21"/>
          <w:szCs w:val="21"/>
          <w:color w:val="191919"/>
        </w:rPr>
        <w:t xml:space="preserve"> </w:t>
      </w:r>
      <w:r>
        <w:rPr>
          <w:rFonts w:ascii="Arial" w:cs="Arial" w:eastAsia="Arial" w:hAnsi="Arial"/>
          <w:sz w:val="21"/>
          <w:szCs w:val="21"/>
          <w:color w:val="000000"/>
        </w:rPr>
        <w:t>the last preceding date on which a composite sale or sales were effected on one or more of the exchanges on which the shares of Common Stock were traded shall be the Fair Market Value.</w:t>
      </w:r>
    </w:p>
    <w:p>
      <w:pPr>
        <w:spacing w:after="0" w:line="180" w:lineRule="exact"/>
        <w:rPr>
          <w:sz w:val="20"/>
          <w:szCs w:val="20"/>
          <w:color w:val="auto"/>
        </w:rPr>
      </w:pPr>
    </w:p>
    <w:p>
      <w:pPr>
        <w:ind w:left="580"/>
        <w:spacing w:after="0" w:line="388" w:lineRule="auto"/>
        <w:rPr>
          <w:sz w:val="20"/>
          <w:szCs w:val="20"/>
          <w:color w:val="auto"/>
        </w:rPr>
      </w:pPr>
      <w:r>
        <w:rPr>
          <w:rFonts w:ascii="Arial" w:cs="Arial" w:eastAsia="Arial" w:hAnsi="Arial"/>
          <w:sz w:val="19"/>
          <w:szCs w:val="19"/>
          <w:color w:val="auto"/>
        </w:rPr>
        <w:t>“Incentive Option” means an Option that is intended to comply with the requirements set forth in Section 422 of the Code. “Non-Qualified Option” means an Option that is not intended to comply with the requirements set forth in Section 422 of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Code.</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21"/>
          <w:szCs w:val="21"/>
          <w:color w:val="auto"/>
        </w:rPr>
        <w:t>“Option” means a right to purchase a specified number of shares of Common Stock at a specified price.</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“Participant” means an Employee to whom an Award has been made under this Plan.</w:t>
      </w:r>
    </w:p>
    <w:p>
      <w:pPr>
        <w:spacing w:after="0" w:line="210" w:lineRule="exact"/>
        <w:rPr>
          <w:sz w:val="20"/>
          <w:szCs w:val="20"/>
          <w:color w:val="auto"/>
        </w:rPr>
      </w:pPr>
    </w:p>
    <w:p>
      <w:pPr>
        <w:jc w:val="both"/>
        <w:ind w:firstLine="570"/>
        <w:spacing w:after="0" w:line="267" w:lineRule="auto"/>
        <w:rPr>
          <w:sz w:val="20"/>
          <w:szCs w:val="20"/>
          <w:color w:val="auto"/>
        </w:rPr>
      </w:pPr>
      <w:r>
        <w:rPr>
          <w:rFonts w:ascii="Arial" w:cs="Arial" w:eastAsia="Arial" w:hAnsi="Arial"/>
          <w:sz w:val="21"/>
          <w:szCs w:val="21"/>
          <w:color w:val="auto"/>
        </w:rPr>
        <w:t>“Performance Award” means an award made pursuant to this Plan to a Participant, which Award is subject to the attainment of one or more Performance Goals.</w:t>
      </w:r>
    </w:p>
    <w:p>
      <w:pPr>
        <w:spacing w:after="0" w:line="153" w:lineRule="exact"/>
        <w:rPr>
          <w:sz w:val="20"/>
          <w:szCs w:val="20"/>
          <w:color w:val="auto"/>
        </w:rPr>
      </w:pPr>
    </w:p>
    <w:p>
      <w:pPr>
        <w:jc w:val="both"/>
        <w:ind w:firstLine="570"/>
        <w:spacing w:after="0" w:line="267" w:lineRule="auto"/>
        <w:rPr>
          <w:sz w:val="20"/>
          <w:szCs w:val="20"/>
          <w:color w:val="auto"/>
        </w:rPr>
      </w:pPr>
      <w:r>
        <w:rPr>
          <w:rFonts w:ascii="Arial" w:cs="Arial" w:eastAsia="Arial" w:hAnsi="Arial"/>
          <w:sz w:val="21"/>
          <w:szCs w:val="21"/>
          <w:color w:val="auto"/>
        </w:rPr>
        <w:t>“Performance Goal” means one or more standards established by the Committee to determine in whole or in part whether a Performance Award shall be earned.</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21"/>
          <w:szCs w:val="21"/>
          <w:color w:val="auto"/>
        </w:rPr>
        <w:t>“Restricted Stock” means any Common Stock that is restricted or subject to forfeiture provisions.</w:t>
      </w:r>
    </w:p>
    <w:p>
      <w:pPr>
        <w:spacing w:after="0" w:line="210" w:lineRule="exact"/>
        <w:rPr>
          <w:sz w:val="20"/>
          <w:szCs w:val="20"/>
          <w:color w:val="auto"/>
        </w:rPr>
      </w:pPr>
    </w:p>
    <w:p>
      <w:pPr>
        <w:jc w:val="both"/>
        <w:ind w:firstLine="570"/>
        <w:spacing w:after="0" w:line="267" w:lineRule="auto"/>
        <w:rPr>
          <w:sz w:val="20"/>
          <w:szCs w:val="20"/>
          <w:color w:val="auto"/>
        </w:rPr>
      </w:pPr>
      <w:r>
        <w:rPr>
          <w:rFonts w:ascii="Arial" w:cs="Arial" w:eastAsia="Arial" w:hAnsi="Arial"/>
          <w:sz w:val="21"/>
          <w:szCs w:val="21"/>
          <w:color w:val="auto"/>
        </w:rPr>
        <w:t>“Restricted Stock Unit” means a unit evidencing the right to receive one share of Common Stock or equivalent value (as determined by the Committee) that is restricted or subject to forfeiture provisions.</w:t>
      </w:r>
    </w:p>
    <w:p>
      <w:pPr>
        <w:spacing w:after="0" w:line="153"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21"/>
          <w:szCs w:val="21"/>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“Section 162(m)” means Section 162(m) of the Code and any Treasury Regulations and guidance promulgated thereunder.</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20"/>
          <w:szCs w:val="20"/>
          <w:color w:val="auto"/>
        </w:rPr>
        <w:t>“Section 409A” means Section 409A of the Code and any Treasury Regulations and guidance promulgated thereunder.</w:t>
      </w:r>
    </w:p>
    <w:p>
      <w:pPr>
        <w:spacing w:after="0" w:line="221"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21"/>
          <w:szCs w:val="21"/>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63" w:name="page164"/>
    <w:bookmarkEnd w:id="163"/>
    <w:p>
      <w:pPr>
        <w:ind w:left="580"/>
        <w:spacing w:after="0"/>
        <w:rPr>
          <w:sz w:val="20"/>
          <w:szCs w:val="20"/>
          <w:color w:val="auto"/>
        </w:rPr>
      </w:pPr>
      <w:r>
        <w:rPr>
          <w:rFonts w:ascii="Arial" w:cs="Arial" w:eastAsia="Arial" w:hAnsi="Arial"/>
          <w:sz w:val="20"/>
          <w:szCs w:val="20"/>
          <w:color w:val="auto"/>
        </w:rPr>
        <w:t>“Stock Award” means an award in the form of shares of Common Stock or units denominated in shares of Common Stock.</w:t>
      </w:r>
    </w:p>
    <w:p>
      <w:pPr>
        <w:spacing w:after="0" w:line="221" w:lineRule="exact"/>
        <w:rPr>
          <w:sz w:val="20"/>
          <w:szCs w:val="20"/>
          <w:color w:val="auto"/>
        </w:rPr>
      </w:pPr>
    </w:p>
    <w:p>
      <w:pPr>
        <w:jc w:val="both"/>
        <w:ind w:firstLine="570"/>
        <w:spacing w:after="0" w:line="247" w:lineRule="auto"/>
        <w:rPr>
          <w:sz w:val="20"/>
          <w:szCs w:val="20"/>
          <w:color w:val="auto"/>
        </w:rPr>
      </w:pPr>
      <w:r>
        <w:rPr>
          <w:rFonts w:ascii="Arial" w:cs="Arial" w:eastAsia="Arial" w:hAnsi="Arial"/>
          <w:sz w:val="21"/>
          <w:szCs w:val="21"/>
          <w:color w:val="191919"/>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4" w:lineRule="exact"/>
        <w:rPr>
          <w:sz w:val="20"/>
          <w:szCs w:val="20"/>
          <w:color w:val="auto"/>
        </w:rPr>
      </w:pPr>
    </w:p>
    <w:p>
      <w:pPr>
        <w:jc w:val="both"/>
        <w:ind w:firstLine="576"/>
        <w:spacing w:after="0" w:line="247" w:lineRule="auto"/>
        <w:tabs>
          <w:tab w:leader="none" w:pos="782" w:val="left"/>
        </w:tabs>
        <w:numPr>
          <w:ilvl w:val="0"/>
          <w:numId w:val="165"/>
        </w:numPr>
        <w:rPr>
          <w:rFonts w:ascii="Arial" w:cs="Arial" w:eastAsia="Arial" w:hAnsi="Arial"/>
          <w:sz w:val="21"/>
          <w:szCs w:val="21"/>
          <w:color w:val="auto"/>
        </w:rPr>
      </w:pPr>
      <w:r>
        <w:rPr>
          <w:rFonts w:ascii="Arial" w:cs="Arial" w:eastAsia="Arial" w:hAnsi="Arial"/>
          <w:sz w:val="21"/>
          <w:szCs w:val="21"/>
          <w:i w:val="1"/>
          <w:iCs w:val="1"/>
          <w:color w:val="auto"/>
        </w:rPr>
        <w:t>Eligibility</w:t>
      </w:r>
      <w:r>
        <w:rPr>
          <w:rFonts w:ascii="Arial" w:cs="Arial" w:eastAsia="Arial" w:hAnsi="Arial"/>
          <w:sz w:val="21"/>
          <w:szCs w:val="21"/>
          <w:color w:val="auto"/>
        </w:rPr>
        <w:t>. All Employees of the Company or a Subsidiary are eligible for Awards under this Plan in the sole discretion of</w:t>
      </w:r>
      <w:r>
        <w:rPr>
          <w:rFonts w:ascii="Arial" w:cs="Arial" w:eastAsia="Arial" w:hAnsi="Arial"/>
          <w:sz w:val="21"/>
          <w:szCs w:val="21"/>
          <w:i w:val="1"/>
          <w:iCs w:val="1"/>
          <w:color w:val="auto"/>
        </w:rPr>
        <w:t xml:space="preserve"> </w:t>
      </w:r>
      <w:r>
        <w:rPr>
          <w:rFonts w:ascii="Arial" w:cs="Arial" w:eastAsia="Arial" w:hAnsi="Arial"/>
          <w:sz w:val="21"/>
          <w:szCs w:val="21"/>
          <w:color w:val="auto"/>
        </w:rPr>
        <w:t>the Committee.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174" w:lineRule="exact"/>
        <w:rPr>
          <w:rFonts w:ascii="Arial" w:cs="Arial" w:eastAsia="Arial" w:hAnsi="Arial"/>
          <w:sz w:val="21"/>
          <w:szCs w:val="21"/>
          <w:color w:val="auto"/>
        </w:rPr>
      </w:pPr>
    </w:p>
    <w:p>
      <w:pPr>
        <w:jc w:val="both"/>
        <w:ind w:firstLine="576"/>
        <w:spacing w:after="0" w:line="244" w:lineRule="auto"/>
        <w:tabs>
          <w:tab w:leader="none" w:pos="795" w:val="left"/>
        </w:tabs>
        <w:numPr>
          <w:ilvl w:val="0"/>
          <w:numId w:val="165"/>
        </w:numPr>
        <w:rPr>
          <w:rFonts w:ascii="Arial" w:cs="Arial" w:eastAsia="Arial" w:hAnsi="Arial"/>
          <w:sz w:val="21"/>
          <w:szCs w:val="21"/>
          <w:color w:val="auto"/>
        </w:rPr>
      </w:pPr>
      <w:r>
        <w:rPr>
          <w:rFonts w:ascii="Arial" w:cs="Arial" w:eastAsia="Arial" w:hAnsi="Arial"/>
          <w:sz w:val="21"/>
          <w:szCs w:val="21"/>
          <w:i w:val="1"/>
          <w:iCs w:val="1"/>
          <w:color w:val="auto"/>
        </w:rPr>
        <w:t>Common Stock Available for Awards</w:t>
      </w:r>
      <w:r>
        <w:rPr>
          <w:rFonts w:ascii="Arial" w:cs="Arial" w:eastAsia="Arial" w:hAnsi="Arial"/>
          <w:sz w:val="21"/>
          <w:szCs w:val="21"/>
          <w:color w:val="auto"/>
        </w:rPr>
        <w:t>. Subject to the provisions of paragraph 13 hereof, there shall be available for Awards</w:t>
      </w:r>
      <w:r>
        <w:rPr>
          <w:rFonts w:ascii="Arial" w:cs="Arial" w:eastAsia="Arial" w:hAnsi="Arial"/>
          <w:sz w:val="21"/>
          <w:szCs w:val="21"/>
          <w:i w:val="1"/>
          <w:iCs w:val="1"/>
          <w:color w:val="auto"/>
        </w:rPr>
        <w:t xml:space="preserve"> </w:t>
      </w:r>
      <w:r>
        <w:rPr>
          <w:rFonts w:ascii="Arial" w:cs="Arial" w:eastAsia="Arial" w:hAnsi="Arial"/>
          <w:sz w:val="21"/>
          <w:szCs w:val="21"/>
          <w:color w:val="auto"/>
        </w:rPr>
        <w:t>under this Plan granted wholly or partly in Common Stock (including rights or options that may be exercised for or settled in Common Stock) an aggregate of 35 million shares of Common Stock. No more than 7.5 million shares of Common Stock may be the subject of Awards that are not Options or Stock Appreciation Rights. In the sole discretion of the Committee, 35 million shares of Common Stock may be granted as Incentive Options.</w:t>
      </w:r>
    </w:p>
    <w:p>
      <w:pPr>
        <w:spacing w:after="0" w:line="180" w:lineRule="exact"/>
        <w:rPr>
          <w:sz w:val="20"/>
          <w:szCs w:val="20"/>
          <w:color w:val="auto"/>
        </w:rPr>
      </w:pPr>
    </w:p>
    <w:p>
      <w:pPr>
        <w:jc w:val="both"/>
        <w:ind w:firstLine="576"/>
        <w:spacing w:after="0" w:line="255" w:lineRule="auto"/>
        <w:tabs>
          <w:tab w:leader="none" w:pos="86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 connection with the granting of an Option or other Award, the number of shares of Common Stock available for issuance under this Plan shall be reduced by the number of shares of Common Stock in respect of which the Option or Award is granted or denominated. For example, upon the grant of stock-settled SARs, the number of shares of Common Stock available for issuance under this Plan shall be reduced by the full number of SARs granted, and the number of shares of Common Stock available for issuance under this Plan shall not 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shall not reduce the number of shares of Common Stock available for issuance under this Plan.</w:t>
      </w:r>
    </w:p>
    <w:p>
      <w:pPr>
        <w:spacing w:after="0" w:line="169" w:lineRule="exact"/>
        <w:rPr>
          <w:rFonts w:ascii="Arial" w:cs="Arial" w:eastAsia="Arial" w:hAnsi="Arial"/>
          <w:sz w:val="20"/>
          <w:szCs w:val="20"/>
          <w:color w:val="auto"/>
        </w:rPr>
      </w:pPr>
    </w:p>
    <w:p>
      <w:pPr>
        <w:jc w:val="both"/>
        <w:ind w:firstLine="576"/>
        <w:spacing w:after="0" w:line="252" w:lineRule="auto"/>
        <w:tabs>
          <w:tab w:leader="none" w:pos="870" w:val="left"/>
        </w:tabs>
        <w:numPr>
          <w:ilvl w:val="0"/>
          <w:numId w:val="166"/>
        </w:numPr>
        <w:rPr>
          <w:rFonts w:ascii="Arial" w:cs="Arial" w:eastAsia="Arial" w:hAnsi="Arial"/>
          <w:sz w:val="21"/>
          <w:szCs w:val="21"/>
          <w:color w:val="auto"/>
        </w:rPr>
      </w:pPr>
      <w:r>
        <w:rPr>
          <w:rFonts w:ascii="Arial" w:cs="Arial" w:eastAsia="Arial" w:hAnsi="Arial"/>
          <w:sz w:val="21"/>
          <w:szCs w:val="21"/>
          <w:color w:val="auto"/>
        </w:rPr>
        <w:t>Any shares of Common Stock that are tendered by a Participant or withheld as full or partial payment of withholding or other taxes or as payment for the exercise or conversion price of an Option or SAR under this Plan shall not be added back to the number of shares of Common Stock available for issuance under this Plan.</w:t>
      </w:r>
    </w:p>
    <w:p>
      <w:pPr>
        <w:spacing w:after="0" w:line="168" w:lineRule="exact"/>
        <w:rPr>
          <w:rFonts w:ascii="Arial" w:cs="Arial" w:eastAsia="Arial" w:hAnsi="Arial"/>
          <w:sz w:val="21"/>
          <w:szCs w:val="21"/>
          <w:color w:val="auto"/>
        </w:rPr>
      </w:pPr>
    </w:p>
    <w:p>
      <w:pPr>
        <w:jc w:val="both"/>
        <w:ind w:firstLine="576"/>
        <w:spacing w:after="0" w:line="257" w:lineRule="auto"/>
        <w:tabs>
          <w:tab w:leader="none" w:pos="89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Whenever any outstanding Option or other Award (or portion thereof) expires, is cancelled or forfeited or is otherwise terminated for any reason without having been exercised or payment having been made in the form of shares of Common Stock, the number of shares of Common Stock available for issuance under this Plan shall be increased by the number of shares of Common Stock allocable to the expired, forfeited, cancelled or otherwise terminated Option or other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64" w:name="page165"/>
    <w:bookmarkEnd w:id="164"/>
    <w:p>
      <w:pPr>
        <w:jc w:val="both"/>
        <w:ind w:firstLine="576"/>
        <w:spacing w:after="0" w:line="243" w:lineRule="auto"/>
        <w:tabs>
          <w:tab w:leader="none" w:pos="899" w:val="left"/>
        </w:tabs>
        <w:numPr>
          <w:ilvl w:val="0"/>
          <w:numId w:val="167"/>
        </w:numPr>
        <w:rPr>
          <w:rFonts w:ascii="Arial" w:cs="Arial" w:eastAsia="Arial" w:hAnsi="Arial"/>
          <w:sz w:val="21"/>
          <w:szCs w:val="21"/>
          <w:color w:val="auto"/>
        </w:rPr>
      </w:pPr>
      <w:r>
        <w:rPr>
          <w:rFonts w:ascii="Arial" w:cs="Arial" w:eastAsia="Arial" w:hAnsi="Arial"/>
          <w:sz w:val="21"/>
          <w:szCs w:val="21"/>
          <w:color w:val="auto"/>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w:t>
      </w:r>
    </w:p>
    <w:p>
      <w:pPr>
        <w:spacing w:after="0" w:line="178" w:lineRule="exact"/>
        <w:rPr>
          <w:rFonts w:ascii="Arial" w:cs="Arial" w:eastAsia="Arial" w:hAnsi="Arial"/>
          <w:sz w:val="21"/>
          <w:szCs w:val="21"/>
          <w:color w:val="auto"/>
        </w:rPr>
      </w:pPr>
    </w:p>
    <w:p>
      <w:pPr>
        <w:ind w:firstLine="576"/>
        <w:spacing w:after="0" w:line="267" w:lineRule="auto"/>
        <w:tabs>
          <w:tab w:leader="none" w:pos="865"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Awards valued by reference to Common Stock that may be settled in equivalent cash value will count as shares of Common Stock delivered to the same extent as if the Award were settled in shares of Common Stock.</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shall be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168" w:lineRule="exact"/>
        <w:rPr>
          <w:sz w:val="20"/>
          <w:szCs w:val="20"/>
          <w:color w:val="auto"/>
        </w:rPr>
      </w:pPr>
    </w:p>
    <w:p>
      <w:pPr>
        <w:ind w:left="780" w:hanging="204"/>
        <w:spacing w:after="0"/>
        <w:tabs>
          <w:tab w:leader="none" w:pos="780" w:val="left"/>
        </w:tabs>
        <w:numPr>
          <w:ilvl w:val="0"/>
          <w:numId w:val="168"/>
        </w:numPr>
        <w:rPr>
          <w:rFonts w:ascii="Arial" w:cs="Arial" w:eastAsia="Arial" w:hAnsi="Arial"/>
          <w:sz w:val="21"/>
          <w:szCs w:val="21"/>
          <w:color w:val="auto"/>
        </w:rPr>
      </w:pPr>
      <w:r>
        <w:rPr>
          <w:rFonts w:ascii="Arial" w:cs="Arial" w:eastAsia="Arial" w:hAnsi="Arial"/>
          <w:sz w:val="21"/>
          <w:szCs w:val="21"/>
          <w:i w:val="1"/>
          <w:iCs w:val="1"/>
          <w:color w:val="auto"/>
        </w:rPr>
        <w:t>Administration</w:t>
      </w:r>
      <w:r>
        <w:rPr>
          <w:rFonts w:ascii="Arial" w:cs="Arial" w:eastAsia="Arial" w:hAnsi="Arial"/>
          <w:sz w:val="21"/>
          <w:szCs w:val="21"/>
          <w:color w:val="auto"/>
        </w:rPr>
        <w:t>.</w:t>
      </w:r>
    </w:p>
    <w:p>
      <w:pPr>
        <w:spacing w:after="0" w:line="210" w:lineRule="exact"/>
        <w:rPr>
          <w:sz w:val="20"/>
          <w:szCs w:val="20"/>
          <w:color w:val="auto"/>
        </w:rPr>
      </w:pPr>
    </w:p>
    <w:p>
      <w:pPr>
        <w:ind w:firstLine="576"/>
        <w:spacing w:after="0" w:line="267" w:lineRule="auto"/>
        <w:tabs>
          <w:tab w:leader="none" w:pos="848" w:val="left"/>
        </w:tabs>
        <w:numPr>
          <w:ilvl w:val="1"/>
          <w:numId w:val="169"/>
        </w:numPr>
        <w:rPr>
          <w:rFonts w:ascii="Arial" w:cs="Arial" w:eastAsia="Arial" w:hAnsi="Arial"/>
          <w:sz w:val="21"/>
          <w:szCs w:val="21"/>
          <w:color w:val="auto"/>
        </w:rPr>
      </w:pPr>
      <w:r>
        <w:rPr>
          <w:rFonts w:ascii="Arial" w:cs="Arial" w:eastAsia="Arial" w:hAnsi="Arial"/>
          <w:sz w:val="21"/>
          <w:szCs w:val="21"/>
          <w:i w:val="1"/>
          <w:iCs w:val="1"/>
          <w:color w:val="auto"/>
        </w:rPr>
        <w:t>Authority of the Committee</w:t>
      </w:r>
      <w:r>
        <w:rPr>
          <w:rFonts w:ascii="Arial" w:cs="Arial" w:eastAsia="Arial" w:hAnsi="Arial"/>
          <w:sz w:val="21"/>
          <w:szCs w:val="21"/>
          <w:color w:val="auto"/>
        </w:rPr>
        <w:t>. This Plan shall be administered by the Committee, which shall have the powers vested in it by the</w:t>
      </w:r>
      <w:r>
        <w:rPr>
          <w:rFonts w:ascii="Arial" w:cs="Arial" w:eastAsia="Arial" w:hAnsi="Arial"/>
          <w:sz w:val="21"/>
          <w:szCs w:val="21"/>
          <w:i w:val="1"/>
          <w:iCs w:val="1"/>
          <w:color w:val="auto"/>
        </w:rPr>
        <w:t xml:space="preserve"> </w:t>
      </w:r>
      <w:r>
        <w:rPr>
          <w:rFonts w:ascii="Arial" w:cs="Arial" w:eastAsia="Arial" w:hAnsi="Arial"/>
          <w:sz w:val="21"/>
          <w:szCs w:val="21"/>
          <w:color w:val="auto"/>
        </w:rPr>
        <w:t>terms of this Plan, such powers to include the authority (within the limitations described in this Plan):</w:t>
      </w:r>
    </w:p>
    <w:p>
      <w:pPr>
        <w:spacing w:after="0" w:line="152" w:lineRule="exact"/>
        <w:rPr>
          <w:rFonts w:ascii="Arial" w:cs="Arial" w:eastAsia="Arial" w:hAnsi="Arial"/>
          <w:sz w:val="21"/>
          <w:szCs w:val="21"/>
          <w:color w:val="auto"/>
        </w:rPr>
      </w:pPr>
    </w:p>
    <w:p>
      <w:pPr>
        <w:ind w:left="980" w:hanging="416"/>
        <w:spacing w:after="0"/>
        <w:tabs>
          <w:tab w:leader="none" w:pos="98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to select the Employees to be granted Awards under this Plan;</w:t>
      </w:r>
    </w:p>
    <w:p>
      <w:pPr>
        <w:spacing w:after="0" w:line="209" w:lineRule="exact"/>
        <w:rPr>
          <w:rFonts w:ascii="Arial" w:cs="Arial" w:eastAsia="Arial" w:hAnsi="Arial"/>
          <w:sz w:val="21"/>
          <w:szCs w:val="21"/>
          <w:color w:val="auto"/>
        </w:rPr>
      </w:pPr>
    </w:p>
    <w:p>
      <w:pPr>
        <w:ind w:left="980" w:hanging="416"/>
        <w:spacing w:after="0"/>
        <w:tabs>
          <w:tab w:leader="none" w:pos="98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to determine the terms of Awards to be made to each Participant;</w:t>
      </w:r>
    </w:p>
    <w:p>
      <w:pPr>
        <w:spacing w:after="0" w:line="209" w:lineRule="exact"/>
        <w:rPr>
          <w:rFonts w:ascii="Arial" w:cs="Arial" w:eastAsia="Arial" w:hAnsi="Arial"/>
          <w:sz w:val="21"/>
          <w:szCs w:val="21"/>
          <w:color w:val="auto"/>
        </w:rPr>
      </w:pPr>
    </w:p>
    <w:p>
      <w:pPr>
        <w:ind w:left="980" w:hanging="416"/>
        <w:spacing w:after="0"/>
        <w:tabs>
          <w:tab w:leader="none" w:pos="98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to determine the time when Awards are to be granted and any conditions that must be satisfied before an Award is granted;</w:t>
      </w:r>
    </w:p>
    <w:p>
      <w:pPr>
        <w:spacing w:after="0" w:line="232" w:lineRule="exact"/>
        <w:rPr>
          <w:rFonts w:ascii="Arial" w:cs="Arial" w:eastAsia="Arial" w:hAnsi="Arial"/>
          <w:sz w:val="19"/>
          <w:szCs w:val="19"/>
          <w:color w:val="auto"/>
        </w:rPr>
      </w:pPr>
    </w:p>
    <w:p>
      <w:pPr>
        <w:ind w:left="980" w:hanging="416"/>
        <w:spacing w:after="0"/>
        <w:tabs>
          <w:tab w:leader="none" w:pos="98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to establish objectives and conditions for earning Awards;</w:t>
      </w:r>
    </w:p>
    <w:p>
      <w:pPr>
        <w:spacing w:after="0" w:line="209" w:lineRule="exact"/>
        <w:rPr>
          <w:rFonts w:ascii="Arial" w:cs="Arial" w:eastAsia="Arial" w:hAnsi="Arial"/>
          <w:sz w:val="21"/>
          <w:szCs w:val="21"/>
          <w:color w:val="auto"/>
        </w:rPr>
      </w:pPr>
    </w:p>
    <w:p>
      <w:pPr>
        <w:ind w:left="980" w:hanging="416"/>
        <w:spacing w:after="0" w:line="267" w:lineRule="auto"/>
        <w:tabs>
          <w:tab w:leader="none" w:pos="98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to determine the terms and conditions of Award Agreements (which shall not be inconsistent with this Plan) and which parties must sign each Award Agreement;</w:t>
      </w:r>
    </w:p>
    <w:p>
      <w:pPr>
        <w:spacing w:after="0" w:line="152" w:lineRule="exact"/>
        <w:rPr>
          <w:rFonts w:ascii="Arial" w:cs="Arial" w:eastAsia="Arial" w:hAnsi="Arial"/>
          <w:sz w:val="21"/>
          <w:szCs w:val="21"/>
          <w:color w:val="auto"/>
        </w:rPr>
      </w:pPr>
    </w:p>
    <w:p>
      <w:pPr>
        <w:ind w:left="980" w:hanging="416"/>
        <w:spacing w:after="0" w:line="267" w:lineRule="auto"/>
        <w:tabs>
          <w:tab w:leader="none" w:pos="98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to determine whether the conditions for earning an Award have been met and whether a Performance Award will be paid at the end of an applicable performance period;</w:t>
      </w:r>
    </w:p>
    <w:p>
      <w:pPr>
        <w:spacing w:after="0" w:line="152" w:lineRule="exact"/>
        <w:rPr>
          <w:rFonts w:ascii="Arial" w:cs="Arial" w:eastAsia="Arial" w:hAnsi="Arial"/>
          <w:sz w:val="21"/>
          <w:szCs w:val="21"/>
          <w:color w:val="auto"/>
        </w:rPr>
      </w:pPr>
    </w:p>
    <w:p>
      <w:pPr>
        <w:ind w:left="980" w:hanging="416"/>
        <w:spacing w:after="0"/>
        <w:tabs>
          <w:tab w:leader="none" w:pos="98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except as otherwise provided in paragraphs 7(a) and 11, to modify the terms of Awards made under this Plan;</w:t>
      </w:r>
    </w:p>
    <w:p>
      <w:pPr>
        <w:spacing w:after="0" w:line="209" w:lineRule="exact"/>
        <w:rPr>
          <w:rFonts w:ascii="Arial" w:cs="Arial" w:eastAsia="Arial" w:hAnsi="Arial"/>
          <w:sz w:val="21"/>
          <w:szCs w:val="21"/>
          <w:color w:val="auto"/>
        </w:rPr>
      </w:pPr>
    </w:p>
    <w:p>
      <w:pPr>
        <w:ind w:left="980" w:hanging="416"/>
        <w:spacing w:after="0"/>
        <w:tabs>
          <w:tab w:leader="none" w:pos="98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to determine if, when and under what conditions payment of all or any part of an Award may be deferred;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65" w:name="page166"/>
    <w:bookmarkEnd w:id="165"/>
    <w:p>
      <w:pPr>
        <w:ind w:left="980" w:hanging="416"/>
        <w:spacing w:after="0"/>
        <w:tabs>
          <w:tab w:leader="none" w:pos="98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to determine whether the amount or payment of an Award should be reduced or eliminated;</w:t>
      </w:r>
    </w:p>
    <w:p>
      <w:pPr>
        <w:spacing w:after="0" w:line="209" w:lineRule="exact"/>
        <w:rPr>
          <w:rFonts w:ascii="Arial" w:cs="Arial" w:eastAsia="Arial" w:hAnsi="Arial"/>
          <w:sz w:val="21"/>
          <w:szCs w:val="21"/>
          <w:color w:val="auto"/>
        </w:rPr>
      </w:pPr>
    </w:p>
    <w:p>
      <w:pPr>
        <w:ind w:left="980" w:hanging="416"/>
        <w:spacing w:after="0"/>
        <w:tabs>
          <w:tab w:leader="none" w:pos="98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to determine the guidelines and/or procedures for the payment or exercise of Awards; and</w:t>
      </w:r>
    </w:p>
    <w:p>
      <w:pPr>
        <w:spacing w:after="0" w:line="209" w:lineRule="exact"/>
        <w:rPr>
          <w:rFonts w:ascii="Arial" w:cs="Arial" w:eastAsia="Arial" w:hAnsi="Arial"/>
          <w:sz w:val="21"/>
          <w:szCs w:val="21"/>
          <w:color w:val="auto"/>
        </w:rPr>
      </w:pPr>
    </w:p>
    <w:p>
      <w:pPr>
        <w:jc w:val="both"/>
        <w:ind w:left="980" w:hanging="416"/>
        <w:spacing w:after="0" w:line="252" w:lineRule="auto"/>
        <w:tabs>
          <w:tab w:leader="none" w:pos="98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169" w:lineRule="exact"/>
        <w:rPr>
          <w:sz w:val="20"/>
          <w:szCs w:val="20"/>
          <w:color w:val="auto"/>
        </w:rPr>
      </w:pPr>
    </w:p>
    <w:p>
      <w:pPr>
        <w:jc w:val="both"/>
        <w:ind w:firstLine="570"/>
        <w:spacing w:after="0" w:line="241" w:lineRule="auto"/>
        <w:rPr>
          <w:sz w:val="20"/>
          <w:szCs w:val="20"/>
          <w:color w:val="auto"/>
        </w:rPr>
      </w:pPr>
      <w:r>
        <w:rPr>
          <w:rFonts w:ascii="Arial" w:cs="Arial" w:eastAsia="Arial" w:hAnsi="Arial"/>
          <w:sz w:val="21"/>
          <w:szCs w:val="21"/>
          <w:color w:val="auto"/>
        </w:rPr>
        <w:t>The Committee may correct any defect or supply any omission or reconcile any inconsistency in this Plan or in any Award in the manner and to the extent the Committee deems necessary or desirable to further Plan purposes or so as to avoid unanticipated consequences or address unanticipated events (including any temporary closure of a stock exchange on which the Common Stock is traded, disruption of communications or natural catastrophe) deemed by the Committee to be inconsistent with the purposes of the Plan or any Award Agreement, provided that no such action shall be taken absent shareholder approval to the extent required under Section 11. Any decision of the Committee in the interpretation and administration of this Plan shall lie within its sole discretion and shall be final, conclusive and binding on all parties concerned. All decisions and selections made by the Committee pursuant to the provisions of the Plan shall be made by a majority of its members unless subject to the Committee’s delegation of authority pursuant to paragraph 6 herein.</w:t>
      </w:r>
    </w:p>
    <w:p>
      <w:pPr>
        <w:spacing w:after="0" w:line="180" w:lineRule="exact"/>
        <w:rPr>
          <w:sz w:val="20"/>
          <w:szCs w:val="20"/>
          <w:color w:val="auto"/>
        </w:rPr>
      </w:pPr>
    </w:p>
    <w:p>
      <w:pPr>
        <w:jc w:val="both"/>
        <w:ind w:firstLine="576"/>
        <w:spacing w:after="0" w:line="247" w:lineRule="auto"/>
        <w:tabs>
          <w:tab w:leader="none" w:pos="886" w:val="left"/>
        </w:tabs>
        <w:numPr>
          <w:ilvl w:val="0"/>
          <w:numId w:val="171"/>
        </w:numPr>
        <w:rPr>
          <w:rFonts w:ascii="Arial" w:cs="Arial" w:eastAsia="Arial" w:hAnsi="Arial"/>
          <w:sz w:val="21"/>
          <w:szCs w:val="21"/>
          <w:color w:val="auto"/>
        </w:rPr>
      </w:pPr>
      <w:r>
        <w:rPr>
          <w:rFonts w:ascii="Arial" w:cs="Arial" w:eastAsia="Arial" w:hAnsi="Arial"/>
          <w:sz w:val="21"/>
          <w:szCs w:val="21"/>
          <w:i w:val="1"/>
          <w:iCs w:val="1"/>
          <w:color w:val="auto"/>
        </w:rPr>
        <w:t>Limitation of Liability</w:t>
      </w:r>
      <w:r>
        <w:rPr>
          <w:rFonts w:ascii="Arial" w:cs="Arial" w:eastAsia="Arial" w:hAnsi="Arial"/>
          <w:sz w:val="21"/>
          <w:szCs w:val="21"/>
          <w:color w:val="auto"/>
        </w:rPr>
        <w:t>. No member of the Committee or officer of the Company to whom the Committee has delegated</w:t>
      </w:r>
      <w:r>
        <w:rPr>
          <w:rFonts w:ascii="Arial" w:cs="Arial" w:eastAsia="Arial" w:hAnsi="Arial"/>
          <w:sz w:val="21"/>
          <w:szCs w:val="21"/>
          <w:i w:val="1"/>
          <w:iCs w:val="1"/>
          <w:color w:val="auto"/>
        </w:rPr>
        <w:t xml:space="preserve"> </w:t>
      </w:r>
      <w:r>
        <w:rPr>
          <w:rFonts w:ascii="Arial" w:cs="Arial" w:eastAsia="Arial" w:hAnsi="Arial"/>
          <w:sz w:val="21"/>
          <w:szCs w:val="21"/>
          <w:color w:val="auto"/>
        </w:rPr>
        <w:t>authority in accordance with the provisions of paragraph 6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74" w:lineRule="exact"/>
        <w:rPr>
          <w:rFonts w:ascii="Arial" w:cs="Arial" w:eastAsia="Arial" w:hAnsi="Arial"/>
          <w:sz w:val="21"/>
          <w:szCs w:val="21"/>
          <w:color w:val="auto"/>
        </w:rPr>
      </w:pPr>
    </w:p>
    <w:p>
      <w:pPr>
        <w:jc w:val="both"/>
        <w:ind w:firstLine="576"/>
        <w:spacing w:after="0" w:line="247" w:lineRule="auto"/>
        <w:tabs>
          <w:tab w:leader="none" w:pos="861" w:val="left"/>
        </w:tabs>
        <w:numPr>
          <w:ilvl w:val="0"/>
          <w:numId w:val="171"/>
        </w:numPr>
        <w:rPr>
          <w:rFonts w:ascii="Arial" w:cs="Arial" w:eastAsia="Arial" w:hAnsi="Arial"/>
          <w:sz w:val="21"/>
          <w:szCs w:val="21"/>
          <w:color w:val="auto"/>
        </w:rPr>
      </w:pPr>
      <w:r>
        <w:rPr>
          <w:rFonts w:ascii="Arial" w:cs="Arial" w:eastAsia="Arial" w:hAnsi="Arial"/>
          <w:sz w:val="21"/>
          <w:szCs w:val="21"/>
          <w:i w:val="1"/>
          <w:iCs w:val="1"/>
          <w:color w:val="auto"/>
        </w:rPr>
        <w:t>Prohibition on Repricing of Awards</w:t>
      </w:r>
      <w:r>
        <w:rPr>
          <w:rFonts w:ascii="Arial" w:cs="Arial" w:eastAsia="Arial" w:hAnsi="Arial"/>
          <w:sz w:val="21"/>
          <w:szCs w:val="21"/>
          <w:color w:val="auto"/>
        </w:rPr>
        <w:t>. Other than in connection with a change in the Company’s capitalization (as described in</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13), at any time when the exercise price of an Option or SAR is above the Fair Market Value of a share of Common Stock, the Company shall not, without shareholder approval, reduce the exercise price of such Option or SAR and shall not exchange such Option or SAR for a new Award with a lower (or no) exercise price or for cash.</w:t>
      </w:r>
    </w:p>
    <w:p>
      <w:pPr>
        <w:spacing w:after="0" w:line="174" w:lineRule="exact"/>
        <w:rPr>
          <w:sz w:val="20"/>
          <w:szCs w:val="20"/>
          <w:color w:val="auto"/>
        </w:rPr>
      </w:pPr>
    </w:p>
    <w:p>
      <w:pPr>
        <w:jc w:val="both"/>
        <w:ind w:firstLine="576"/>
        <w:spacing w:after="0" w:line="247" w:lineRule="auto"/>
        <w:tabs>
          <w:tab w:leader="none" w:pos="782" w:val="left"/>
        </w:tabs>
        <w:numPr>
          <w:ilvl w:val="0"/>
          <w:numId w:val="172"/>
        </w:numPr>
        <w:rPr>
          <w:rFonts w:ascii="Arial" w:cs="Arial" w:eastAsia="Arial" w:hAnsi="Arial"/>
          <w:sz w:val="21"/>
          <w:szCs w:val="21"/>
          <w:color w:val="auto"/>
        </w:rPr>
      </w:pPr>
      <w:r>
        <w:rPr>
          <w:rFonts w:ascii="Arial" w:cs="Arial" w:eastAsia="Arial" w:hAnsi="Arial"/>
          <w:sz w:val="21"/>
          <w:szCs w:val="21"/>
          <w:i w:val="1"/>
          <w:iCs w:val="1"/>
          <w:color w:val="auto"/>
        </w:rPr>
        <w:t>Delegation of Authority</w:t>
      </w:r>
      <w:r>
        <w:rPr>
          <w:rFonts w:ascii="Arial" w:cs="Arial" w:eastAsia="Arial" w:hAnsi="Arial"/>
          <w:sz w:val="21"/>
          <w:szCs w:val="21"/>
          <w:color w:val="auto"/>
        </w:rPr>
        <w:t>. Except with respect to matters related to Awards to Executive Officers or other Awards intended to</w:t>
      </w:r>
      <w:r>
        <w:rPr>
          <w:rFonts w:ascii="Arial" w:cs="Arial" w:eastAsia="Arial" w:hAnsi="Arial"/>
          <w:sz w:val="21"/>
          <w:szCs w:val="21"/>
          <w:i w:val="1"/>
          <w:iCs w:val="1"/>
          <w:color w:val="auto"/>
        </w:rPr>
        <w:t xml:space="preserve"> </w:t>
      </w:r>
      <w:r>
        <w:rPr>
          <w:rFonts w:ascii="Arial" w:cs="Arial" w:eastAsia="Arial" w:hAnsi="Arial"/>
          <w:sz w:val="21"/>
          <w:szCs w:val="21"/>
          <w:color w:val="auto"/>
        </w:rPr>
        <w:t>qualify as qualified performance-based compensation under Section 162(m), the Committee may delegate to the Chief Executive Officer and to other senior officers of the Company or to such other committee of the Board its duties under this Plan pursuant to such conditions or limitations as the Committee may establish.</w:t>
      </w:r>
    </w:p>
    <w:p>
      <w:pPr>
        <w:spacing w:after="0" w:line="174" w:lineRule="exact"/>
        <w:rPr>
          <w:rFonts w:ascii="Arial" w:cs="Arial" w:eastAsia="Arial" w:hAnsi="Arial"/>
          <w:sz w:val="21"/>
          <w:szCs w:val="21"/>
          <w:color w:val="auto"/>
        </w:rPr>
      </w:pPr>
    </w:p>
    <w:p>
      <w:pPr>
        <w:ind w:left="780" w:hanging="204"/>
        <w:spacing w:after="0"/>
        <w:tabs>
          <w:tab w:leader="none" w:pos="780" w:val="left"/>
        </w:tabs>
        <w:numPr>
          <w:ilvl w:val="0"/>
          <w:numId w:val="172"/>
        </w:numPr>
        <w:rPr>
          <w:rFonts w:ascii="Arial" w:cs="Arial" w:eastAsia="Arial" w:hAnsi="Arial"/>
          <w:sz w:val="21"/>
          <w:szCs w:val="21"/>
          <w:color w:val="auto"/>
        </w:rPr>
      </w:pPr>
      <w:r>
        <w:rPr>
          <w:rFonts w:ascii="Arial" w:cs="Arial" w:eastAsia="Arial" w:hAnsi="Arial"/>
          <w:sz w:val="21"/>
          <w:szCs w:val="21"/>
          <w:i w:val="1"/>
          <w:iCs w:val="1"/>
          <w:color w:val="auto"/>
        </w:rPr>
        <w:t>Awards</w:t>
      </w:r>
      <w:r>
        <w:rPr>
          <w:rFonts w:ascii="Arial" w:cs="Arial" w:eastAsia="Arial" w:hAnsi="Arial"/>
          <w:sz w:val="21"/>
          <w:szCs w:val="21"/>
          <w:color w:val="auto"/>
        </w:rPr>
        <w:t>.</w:t>
      </w:r>
    </w:p>
    <w:p>
      <w:pPr>
        <w:spacing w:after="0" w:line="210" w:lineRule="exact"/>
        <w:rPr>
          <w:sz w:val="20"/>
          <w:szCs w:val="20"/>
          <w:color w:val="auto"/>
        </w:rPr>
      </w:pPr>
    </w:p>
    <w:p>
      <w:pPr>
        <w:jc w:val="both"/>
        <w:ind w:firstLine="576"/>
        <w:spacing w:after="0" w:line="242" w:lineRule="auto"/>
        <w:tabs>
          <w:tab w:leader="none" w:pos="876"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Committee shall determine the type or types of Awards to be made under this Plan and shall designate from time to time the Participants who are to be the recipients of such Awards. Each Award shall be embodied in an Award Agreement, which shall contain such terms, conditions and limitations as shall be determined by the Committee in its sole discretion. Awards may consist of those listed in this paragraph 7(a) and may be granted singly, in combination or in tandem. Awards may also be made in combination or in tandem with, in replacement of, or as alternatives to, grants or rights under this Plan or any other plan of the Company or any of its Subsidiaries, including the plan of any acquired entity; provided that, except as contemplated in paragraph 13 hereof, no Option may be issued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66" w:name="page167"/>
    <w:bookmarkEnd w:id="166"/>
    <w:p>
      <w:pPr>
        <w:jc w:val="both"/>
        <w:spacing w:after="0" w:line="272" w:lineRule="auto"/>
        <w:rPr>
          <w:sz w:val="20"/>
          <w:szCs w:val="20"/>
          <w:color w:val="auto"/>
        </w:rPr>
      </w:pPr>
      <w:r>
        <w:rPr>
          <w:rFonts w:ascii="Arial" w:cs="Arial" w:eastAsia="Arial" w:hAnsi="Arial"/>
          <w:sz w:val="19"/>
          <w:szCs w:val="19"/>
          <w:color w:val="auto"/>
        </w:rPr>
        <w:t xml:space="preserve">in exchange for the cancellation of an Option with a higher exercise price nor may the exercise price of any Option be reduced. No Option may include provisions that “reload” the option upon exercise or that extend the term of an Option beyond what </w:t>
      </w:r>
      <w:r>
        <w:rPr>
          <w:rFonts w:ascii="Arial" w:cs="Arial" w:eastAsia="Arial" w:hAnsi="Arial"/>
          <w:sz w:val="19"/>
          <w:szCs w:val="19"/>
          <w:color w:val="191919"/>
        </w:rPr>
        <w:t>is the</w:t>
      </w:r>
      <w:r>
        <w:rPr>
          <w:rFonts w:ascii="Arial" w:cs="Arial" w:eastAsia="Arial" w:hAnsi="Arial"/>
          <w:sz w:val="19"/>
          <w:szCs w:val="19"/>
          <w:color w:val="auto"/>
        </w:rPr>
        <w:t xml:space="preserve"> </w:t>
      </w:r>
      <w:r>
        <w:rPr>
          <w:rFonts w:ascii="Arial" w:cs="Arial" w:eastAsia="Arial" w:hAnsi="Arial"/>
          <w:sz w:val="19"/>
          <w:szCs w:val="19"/>
          <w:color w:val="191919"/>
        </w:rPr>
        <w:t xml:space="preserve">maximum period </w:t>
      </w:r>
      <w:r>
        <w:rPr>
          <w:rFonts w:ascii="Arial" w:cs="Arial" w:eastAsia="Arial" w:hAnsi="Arial"/>
          <w:sz w:val="19"/>
          <w:szCs w:val="19"/>
          <w:color w:val="000000"/>
        </w:rPr>
        <w:t>is specified in the Plan and/or Award Agreement. All or part of an Award may be subject to conditions established</w:t>
      </w:r>
      <w:r>
        <w:rPr>
          <w:rFonts w:ascii="Arial" w:cs="Arial" w:eastAsia="Arial" w:hAnsi="Arial"/>
          <w:sz w:val="19"/>
          <w:szCs w:val="19"/>
          <w:color w:val="191919"/>
        </w:rPr>
        <w:t xml:space="preserve"> </w:t>
      </w:r>
      <w:r>
        <w:rPr>
          <w:rFonts w:ascii="Arial" w:cs="Arial" w:eastAsia="Arial" w:hAnsi="Arial"/>
          <w:sz w:val="19"/>
          <w:szCs w:val="19"/>
          <w:color w:val="000000"/>
        </w:rPr>
        <w:t>by the Committee, which may include, but are not limited to, continuous service with the Company and its Subsidiaries, achievement of specific Performance Goals. Upon the termination of employment by a Participant, any unexercised, deferred, unvested or unpaid Awards shall be treated as set forth in the applicable Award Agreement. Subject to the provisions below applicable to each type of Award, the terms, conditions and limitations applicable to any Awards shall be determined by the Committee.</w:t>
      </w:r>
    </w:p>
    <w:p>
      <w:pPr>
        <w:spacing w:after="0" w:line="152" w:lineRule="exact"/>
        <w:rPr>
          <w:sz w:val="20"/>
          <w:szCs w:val="20"/>
          <w:color w:val="auto"/>
        </w:rPr>
      </w:pPr>
    </w:p>
    <w:p>
      <w:pPr>
        <w:jc w:val="both"/>
        <w:ind w:firstLine="576"/>
        <w:spacing w:after="0" w:line="247" w:lineRule="auto"/>
        <w:tabs>
          <w:tab w:leader="none" w:pos="823" w:val="left"/>
        </w:tabs>
        <w:numPr>
          <w:ilvl w:val="0"/>
          <w:numId w:val="174"/>
        </w:numPr>
        <w:rPr>
          <w:rFonts w:ascii="Arial" w:cs="Arial" w:eastAsia="Arial" w:hAnsi="Arial"/>
          <w:sz w:val="21"/>
          <w:szCs w:val="21"/>
          <w:color w:val="auto"/>
        </w:rPr>
      </w:pPr>
      <w:r>
        <w:rPr>
          <w:rFonts w:ascii="Arial" w:cs="Arial" w:eastAsia="Arial" w:hAnsi="Arial"/>
          <w:sz w:val="21"/>
          <w:szCs w:val="21"/>
          <w:i w:val="1"/>
          <w:iCs w:val="1"/>
          <w:color w:val="auto"/>
        </w:rPr>
        <w:t>Option</w:t>
      </w:r>
      <w:r>
        <w:rPr>
          <w:rFonts w:ascii="Arial" w:cs="Arial" w:eastAsia="Arial" w:hAnsi="Arial"/>
          <w:sz w:val="21"/>
          <w:szCs w:val="21"/>
          <w:color w:val="auto"/>
        </w:rPr>
        <w:t>. An Award may be in the form of an Option. An Option awarded pursuant to this Plan may consist of an Incentive</w:t>
      </w:r>
      <w:r>
        <w:rPr>
          <w:rFonts w:ascii="Arial" w:cs="Arial" w:eastAsia="Arial" w:hAnsi="Arial"/>
          <w:sz w:val="21"/>
          <w:szCs w:val="21"/>
          <w:i w:val="1"/>
          <w:iCs w:val="1"/>
          <w:color w:val="auto"/>
        </w:rPr>
        <w:t xml:space="preserve"> </w:t>
      </w:r>
      <w:r>
        <w:rPr>
          <w:rFonts w:ascii="Arial" w:cs="Arial" w:eastAsia="Arial" w:hAnsi="Arial"/>
          <w:sz w:val="21"/>
          <w:szCs w:val="21"/>
          <w:color w:val="auto"/>
        </w:rPr>
        <w:t>Option or a Non-Qualified Option and will be designated accordingly at the time of grant. The price at which shares of Common Stock may be purchased upon the exercise of an Option shall be not less than the Fair Market Value of the Common Stock on the date of grant. The term of an Option shall not exceed ten years from the date of grant.</w:t>
      </w:r>
    </w:p>
    <w:p>
      <w:pPr>
        <w:spacing w:after="0" w:line="174" w:lineRule="exact"/>
        <w:rPr>
          <w:rFonts w:ascii="Arial" w:cs="Arial" w:eastAsia="Arial" w:hAnsi="Arial"/>
          <w:sz w:val="21"/>
          <w:szCs w:val="21"/>
          <w:color w:val="auto"/>
        </w:rPr>
      </w:pPr>
    </w:p>
    <w:p>
      <w:pPr>
        <w:jc w:val="both"/>
        <w:ind w:firstLine="576"/>
        <w:spacing w:after="0" w:line="252" w:lineRule="auto"/>
        <w:tabs>
          <w:tab w:leader="none" w:pos="909" w:val="left"/>
        </w:tabs>
        <w:numPr>
          <w:ilvl w:val="0"/>
          <w:numId w:val="174"/>
        </w:numPr>
        <w:rPr>
          <w:rFonts w:ascii="Arial" w:cs="Arial" w:eastAsia="Arial" w:hAnsi="Arial"/>
          <w:sz w:val="21"/>
          <w:szCs w:val="21"/>
          <w:color w:val="auto"/>
        </w:rPr>
      </w:pPr>
      <w:r>
        <w:rPr>
          <w:rFonts w:ascii="Arial" w:cs="Arial" w:eastAsia="Arial" w:hAnsi="Arial"/>
          <w:sz w:val="21"/>
          <w:szCs w:val="21"/>
          <w:i w:val="1"/>
          <w:iCs w:val="1"/>
          <w:color w:val="auto"/>
        </w:rPr>
        <w:t>Stock Appreciation Right</w:t>
      </w:r>
      <w:r>
        <w:rPr>
          <w:rFonts w:ascii="Arial" w:cs="Arial" w:eastAsia="Arial" w:hAnsi="Arial"/>
          <w:sz w:val="21"/>
          <w:szCs w:val="21"/>
          <w:color w:val="auto"/>
        </w:rPr>
        <w:t>. An Award may be in the form of a Stock Appreciation Right. The strike price for a Stock</w:t>
      </w:r>
      <w:r>
        <w:rPr>
          <w:rFonts w:ascii="Arial" w:cs="Arial" w:eastAsia="Arial" w:hAnsi="Arial"/>
          <w:sz w:val="21"/>
          <w:szCs w:val="21"/>
          <w:i w:val="1"/>
          <w:iCs w:val="1"/>
          <w:color w:val="auto"/>
        </w:rPr>
        <w:t xml:space="preserve"> </w:t>
      </w:r>
      <w:r>
        <w:rPr>
          <w:rFonts w:ascii="Arial" w:cs="Arial" w:eastAsia="Arial" w:hAnsi="Arial"/>
          <w:sz w:val="21"/>
          <w:szCs w:val="21"/>
          <w:color w:val="auto"/>
        </w:rPr>
        <w:t>Appreciation Right shall not be less than the Fair Market Value of the Common Stock on the date on which the Stock Appreciation Right is granted. The term of a Stock Appreciation Right shall not exceed ten years from the date of grant.</w:t>
      </w:r>
    </w:p>
    <w:p>
      <w:pPr>
        <w:spacing w:after="0" w:line="168" w:lineRule="exact"/>
        <w:rPr>
          <w:rFonts w:ascii="Arial" w:cs="Arial" w:eastAsia="Arial" w:hAnsi="Arial"/>
          <w:sz w:val="21"/>
          <w:szCs w:val="21"/>
          <w:color w:val="auto"/>
        </w:rPr>
      </w:pPr>
    </w:p>
    <w:p>
      <w:pPr>
        <w:jc w:val="both"/>
        <w:ind w:firstLine="576"/>
        <w:spacing w:after="0" w:line="257" w:lineRule="auto"/>
        <w:tabs>
          <w:tab w:leader="none" w:pos="941" w:val="left"/>
        </w:tabs>
        <w:numPr>
          <w:ilvl w:val="0"/>
          <w:numId w:val="174"/>
        </w:numPr>
        <w:rPr>
          <w:rFonts w:ascii="Arial" w:cs="Arial" w:eastAsia="Arial" w:hAnsi="Arial"/>
          <w:sz w:val="20"/>
          <w:szCs w:val="20"/>
          <w:color w:val="auto"/>
        </w:rPr>
      </w:pPr>
      <w:r>
        <w:rPr>
          <w:rFonts w:ascii="Arial" w:cs="Arial" w:eastAsia="Arial" w:hAnsi="Arial"/>
          <w:sz w:val="20"/>
          <w:szCs w:val="20"/>
          <w:i w:val="1"/>
          <w:iCs w:val="1"/>
          <w:color w:val="auto"/>
        </w:rPr>
        <w:t>Stock Award</w:t>
      </w:r>
      <w:r>
        <w:rPr>
          <w:rFonts w:ascii="Arial" w:cs="Arial" w:eastAsia="Arial" w:hAnsi="Arial"/>
          <w:sz w:val="20"/>
          <w:szCs w:val="20"/>
          <w:color w:val="auto"/>
        </w:rPr>
        <w:t>. An Award may be in the form of a Stock Award. Any Stock Award which is not a Performance Award shall</w:t>
      </w:r>
      <w:r>
        <w:rPr>
          <w:rFonts w:ascii="Arial" w:cs="Arial" w:eastAsia="Arial" w:hAnsi="Arial"/>
          <w:sz w:val="20"/>
          <w:szCs w:val="20"/>
          <w:i w:val="1"/>
          <w:iCs w:val="1"/>
          <w:color w:val="auto"/>
        </w:rPr>
        <w:t xml:space="preserve"> </w:t>
      </w:r>
      <w:r>
        <w:rPr>
          <w:rFonts w:ascii="Arial" w:cs="Arial" w:eastAsia="Arial" w:hAnsi="Arial"/>
          <w:sz w:val="20"/>
          <w:szCs w:val="20"/>
          <w:color w:val="auto"/>
        </w:rPr>
        <w:t>have a minimum Restriction Period of three years from the date of grant, provided that (i) the Committee may provide for earlier vesting following a change of control or other specified events involving the Company or upon an Employee’s termination of employment by reason of death, disability or retirement, and (ii) vesting of a Stock Award may occur incrementally over the three-year minimum Restricted Period; provided, that up to 1.75 million shares of Common Stock shall be available for issuance as Stock Awards having a time-based Restriction Period of up to three years but not less than one year.</w:t>
      </w:r>
    </w:p>
    <w:p>
      <w:pPr>
        <w:spacing w:after="0" w:line="168" w:lineRule="exact"/>
        <w:rPr>
          <w:rFonts w:ascii="Arial" w:cs="Arial" w:eastAsia="Arial" w:hAnsi="Arial"/>
          <w:sz w:val="20"/>
          <w:szCs w:val="20"/>
          <w:color w:val="auto"/>
        </w:rPr>
      </w:pPr>
    </w:p>
    <w:p>
      <w:pPr>
        <w:ind w:left="940" w:hanging="364"/>
        <w:spacing w:after="0"/>
        <w:tabs>
          <w:tab w:leader="none" w:pos="940" w:val="left"/>
        </w:tabs>
        <w:numPr>
          <w:ilvl w:val="0"/>
          <w:numId w:val="174"/>
        </w:numPr>
        <w:rPr>
          <w:rFonts w:ascii="Arial" w:cs="Arial" w:eastAsia="Arial" w:hAnsi="Arial"/>
          <w:sz w:val="21"/>
          <w:szCs w:val="21"/>
          <w:color w:val="auto"/>
        </w:rPr>
      </w:pPr>
      <w:r>
        <w:rPr>
          <w:rFonts w:ascii="Arial" w:cs="Arial" w:eastAsia="Arial" w:hAnsi="Arial"/>
          <w:sz w:val="21"/>
          <w:szCs w:val="21"/>
          <w:i w:val="1"/>
          <w:iCs w:val="1"/>
          <w:color w:val="auto"/>
        </w:rPr>
        <w:t>Cash Awards</w:t>
      </w:r>
      <w:r>
        <w:rPr>
          <w:rFonts w:ascii="Arial" w:cs="Arial" w:eastAsia="Arial" w:hAnsi="Arial"/>
          <w:sz w:val="21"/>
          <w:szCs w:val="21"/>
          <w:color w:val="auto"/>
        </w:rPr>
        <w:t>. An Award may be in the form of a Cash Award.</w:t>
      </w:r>
    </w:p>
    <w:p>
      <w:pPr>
        <w:spacing w:after="0" w:line="209" w:lineRule="exact"/>
        <w:rPr>
          <w:rFonts w:ascii="Arial" w:cs="Arial" w:eastAsia="Arial" w:hAnsi="Arial"/>
          <w:sz w:val="21"/>
          <w:szCs w:val="21"/>
          <w:color w:val="auto"/>
        </w:rPr>
      </w:pPr>
    </w:p>
    <w:p>
      <w:pPr>
        <w:jc w:val="both"/>
        <w:ind w:firstLine="576"/>
        <w:spacing w:after="0" w:line="256" w:lineRule="auto"/>
        <w:tabs>
          <w:tab w:leader="none" w:pos="884" w:val="left"/>
        </w:tabs>
        <w:numPr>
          <w:ilvl w:val="0"/>
          <w:numId w:val="174"/>
        </w:numPr>
        <w:rPr>
          <w:rFonts w:ascii="Arial" w:cs="Arial" w:eastAsia="Arial" w:hAnsi="Arial"/>
          <w:sz w:val="20"/>
          <w:szCs w:val="20"/>
          <w:color w:val="auto"/>
        </w:rPr>
      </w:pPr>
      <w:r>
        <w:rPr>
          <w:rFonts w:ascii="Arial" w:cs="Arial" w:eastAsia="Arial" w:hAnsi="Arial"/>
          <w:sz w:val="20"/>
          <w:szCs w:val="20"/>
          <w:i w:val="1"/>
          <w:iCs w:val="1"/>
          <w:color w:val="auto"/>
        </w:rPr>
        <w:t>Performance Award</w:t>
      </w:r>
      <w:r>
        <w:rPr>
          <w:rFonts w:ascii="Arial" w:cs="Arial" w:eastAsia="Arial" w:hAnsi="Arial"/>
          <w:sz w:val="20"/>
          <w:szCs w:val="20"/>
          <w:color w:val="auto"/>
        </w:rPr>
        <w:t>. Without limiting the type or number of Awards that may be made under the other provisions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Plan, an Award may be in the form of a Performance Award. Any Stock Award which is a Performance Award shall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shall set Performance Goals in its sole discretion which, depending on the extent to which they are met, will determine the value and/or amount of Performance Awards that will be paid out to the Participant and/or the portion of an Award that may be exercised.</w:t>
      </w:r>
    </w:p>
    <w:p>
      <w:pPr>
        <w:spacing w:after="0" w:line="168" w:lineRule="exact"/>
        <w:rPr>
          <w:sz w:val="20"/>
          <w:szCs w:val="20"/>
          <w:color w:val="auto"/>
        </w:rPr>
      </w:pPr>
    </w:p>
    <w:p>
      <w:pPr>
        <w:jc w:val="both"/>
        <w:ind w:firstLine="576"/>
        <w:spacing w:after="0" w:line="252" w:lineRule="auto"/>
        <w:tabs>
          <w:tab w:leader="none" w:pos="910" w:val="left"/>
        </w:tabs>
        <w:numPr>
          <w:ilvl w:val="0"/>
          <w:numId w:val="175"/>
        </w:numPr>
        <w:rPr>
          <w:rFonts w:ascii="Arial" w:cs="Arial" w:eastAsia="Arial" w:hAnsi="Arial"/>
          <w:sz w:val="21"/>
          <w:szCs w:val="21"/>
          <w:color w:val="auto"/>
        </w:rPr>
      </w:pPr>
      <w:r>
        <w:rPr>
          <w:rFonts w:ascii="Arial" w:cs="Arial" w:eastAsia="Arial" w:hAnsi="Arial"/>
          <w:sz w:val="21"/>
          <w:szCs w:val="21"/>
          <w:i w:val="1"/>
          <w:iCs w:val="1"/>
          <w:color w:val="auto"/>
        </w:rPr>
        <w:t>Non-Qualified Performance Awards</w:t>
      </w:r>
      <w:r>
        <w:rPr>
          <w:rFonts w:ascii="Arial" w:cs="Arial" w:eastAsia="Arial" w:hAnsi="Arial"/>
          <w:sz w:val="21"/>
          <w:szCs w:val="21"/>
          <w:color w:val="auto"/>
        </w:rPr>
        <w:t>. Performance Awards granted to Employees that are not intended to qualify as qualified</w:t>
      </w:r>
      <w:r>
        <w:rPr>
          <w:rFonts w:ascii="Arial" w:cs="Arial" w:eastAsia="Arial" w:hAnsi="Arial"/>
          <w:sz w:val="21"/>
          <w:szCs w:val="21"/>
          <w:i w:val="1"/>
          <w:iCs w:val="1"/>
          <w:color w:val="auto"/>
        </w:rPr>
        <w:t xml:space="preserve"> </w:t>
      </w:r>
      <w:r>
        <w:rPr>
          <w:rFonts w:ascii="Arial" w:cs="Arial" w:eastAsia="Arial" w:hAnsi="Arial"/>
          <w:sz w:val="21"/>
          <w:szCs w:val="21"/>
          <w:color w:val="auto"/>
        </w:rPr>
        <w:t>performance-based compensation under Section 162(m) shall be based on achievement of such Performance Goals and be subject to such terms, conditions and restrictions as the Committee or its delegate shall determine.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67" w:name="page168"/>
    <w:bookmarkEnd w:id="167"/>
    <w:p>
      <w:pPr>
        <w:jc w:val="both"/>
        <w:ind w:firstLine="576"/>
        <w:spacing w:after="0" w:line="254" w:lineRule="auto"/>
        <w:tabs>
          <w:tab w:leader="none" w:pos="978" w:val="left"/>
        </w:tabs>
        <w:numPr>
          <w:ilvl w:val="1"/>
          <w:numId w:val="176"/>
        </w:numPr>
        <w:rPr>
          <w:rFonts w:ascii="Arial" w:cs="Arial" w:eastAsia="Arial" w:hAnsi="Arial"/>
          <w:sz w:val="20"/>
          <w:szCs w:val="20"/>
          <w:color w:val="auto"/>
        </w:rPr>
      </w:pPr>
      <w:r>
        <w:rPr>
          <w:rFonts w:ascii="Arial" w:cs="Arial" w:eastAsia="Arial" w:hAnsi="Arial"/>
          <w:sz w:val="20"/>
          <w:szCs w:val="20"/>
          <w:i w:val="1"/>
          <w:iCs w:val="1"/>
          <w:color w:val="auto"/>
        </w:rPr>
        <w:t>Qualified Performance Awards</w:t>
      </w:r>
      <w:r>
        <w:rPr>
          <w:rFonts w:ascii="Arial" w:cs="Arial" w:eastAsia="Arial" w:hAnsi="Arial"/>
          <w:sz w:val="20"/>
          <w:szCs w:val="20"/>
          <w:color w:val="auto"/>
        </w:rPr>
        <w:t>. Performance Awards that are intended to qualify as qualified performance-based</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under Section 162(m) shall be paid, vested or otherwise deliverable solely on account of the attainment of one or more pre-established, objective Performance Goals established and administered by the Committee in accordance with Section 162(m)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a Participant, one or more business units, divisions or sectors of the Company, or the Company as a whole, and if so desired by the Committee, by comparison with a peer group of companies. A Performance Goal may include one or more of the following and need not be the same for each Participant.</w:t>
      </w:r>
    </w:p>
    <w:p>
      <w:pPr>
        <w:spacing w:after="0" w:line="167" w:lineRule="exact"/>
        <w:rPr>
          <w:rFonts w:ascii="Arial" w:cs="Arial" w:eastAsia="Arial" w:hAnsi="Arial"/>
          <w:sz w:val="20"/>
          <w:szCs w:val="20"/>
          <w:color w:val="auto"/>
        </w:rPr>
      </w:pPr>
    </w:p>
    <w:p>
      <w:pPr>
        <w:jc w:val="both"/>
        <w:ind w:left="980" w:hanging="416"/>
        <w:spacing w:after="0" w:line="252" w:lineRule="auto"/>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revenue and income measures (which include revenue, gross margin, income from operations, net income, net sales, earnings per share, earnings before interest, taxes, depreciation and amortization (“EBITDA”), and economic value added (“EVA”);</w:t>
      </w:r>
    </w:p>
    <w:p>
      <w:pPr>
        <w:spacing w:after="0" w:line="168" w:lineRule="exact"/>
        <w:rPr>
          <w:rFonts w:ascii="Arial" w:cs="Arial" w:eastAsia="Arial" w:hAnsi="Arial"/>
          <w:sz w:val="21"/>
          <w:szCs w:val="21"/>
          <w:color w:val="auto"/>
        </w:rPr>
      </w:pPr>
    </w:p>
    <w:p>
      <w:pPr>
        <w:ind w:left="980" w:hanging="416"/>
        <w:spacing w:after="0" w:line="267" w:lineRule="auto"/>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expense measures (which include costs of goods sold, selling, finding and development costs, general and administrative expenses and overhead costs);</w:t>
      </w:r>
    </w:p>
    <w:p>
      <w:pPr>
        <w:spacing w:after="0" w:line="152" w:lineRule="exact"/>
        <w:rPr>
          <w:rFonts w:ascii="Arial" w:cs="Arial" w:eastAsia="Arial" w:hAnsi="Arial"/>
          <w:sz w:val="21"/>
          <w:szCs w:val="21"/>
          <w:color w:val="auto"/>
        </w:rPr>
      </w:pPr>
    </w:p>
    <w:p>
      <w:pPr>
        <w:ind w:left="980" w:hanging="416"/>
        <w:spacing w:after="0" w:line="267" w:lineRule="auto"/>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operating measures (which include productivity, operating income, funds from operations, cash from operations, after-tax operating income, market share, margin and sales volumes);</w:t>
      </w:r>
    </w:p>
    <w:p>
      <w:pPr>
        <w:spacing w:after="0" w:line="152" w:lineRule="exact"/>
        <w:rPr>
          <w:rFonts w:ascii="Arial" w:cs="Arial" w:eastAsia="Arial" w:hAnsi="Arial"/>
          <w:sz w:val="21"/>
          <w:szCs w:val="21"/>
          <w:color w:val="auto"/>
        </w:rPr>
      </w:pPr>
    </w:p>
    <w:p>
      <w:pPr>
        <w:ind w:left="980" w:hanging="416"/>
        <w:spacing w:after="0"/>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cash flow measures (which include net cash flow from operating activities and working capital);</w:t>
      </w:r>
    </w:p>
    <w:p>
      <w:pPr>
        <w:spacing w:after="0" w:line="209" w:lineRule="exact"/>
        <w:rPr>
          <w:rFonts w:ascii="Arial" w:cs="Arial" w:eastAsia="Arial" w:hAnsi="Arial"/>
          <w:sz w:val="21"/>
          <w:szCs w:val="21"/>
          <w:color w:val="auto"/>
        </w:rPr>
      </w:pPr>
    </w:p>
    <w:p>
      <w:pPr>
        <w:ind w:left="980" w:hanging="416"/>
        <w:spacing w:after="0" w:line="267" w:lineRule="auto"/>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liquidity measures (which include earnings before or after the effect of certain items such as interest, taxes, depreciation and amortization, and free cash flow);</w:t>
      </w:r>
    </w:p>
    <w:p>
      <w:pPr>
        <w:spacing w:after="0" w:line="152" w:lineRule="exact"/>
        <w:rPr>
          <w:rFonts w:ascii="Arial" w:cs="Arial" w:eastAsia="Arial" w:hAnsi="Arial"/>
          <w:sz w:val="21"/>
          <w:szCs w:val="21"/>
          <w:color w:val="auto"/>
        </w:rPr>
      </w:pPr>
    </w:p>
    <w:p>
      <w:pPr>
        <w:ind w:left="980" w:hanging="416"/>
        <w:spacing w:after="0"/>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leverage measures (which include debt-to-equity ratio and net debt);</w:t>
      </w:r>
    </w:p>
    <w:p>
      <w:pPr>
        <w:spacing w:after="0" w:line="209" w:lineRule="exact"/>
        <w:rPr>
          <w:rFonts w:ascii="Arial" w:cs="Arial" w:eastAsia="Arial" w:hAnsi="Arial"/>
          <w:sz w:val="21"/>
          <w:szCs w:val="21"/>
          <w:color w:val="auto"/>
        </w:rPr>
      </w:pPr>
    </w:p>
    <w:p>
      <w:pPr>
        <w:ind w:left="980" w:hanging="416"/>
        <w:spacing w:after="0" w:line="267" w:lineRule="auto"/>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market measures (which include market share, stock price, growth measure, total shareholder return and market capitalization measures);</w:t>
      </w:r>
    </w:p>
    <w:p>
      <w:pPr>
        <w:spacing w:after="0" w:line="152" w:lineRule="exact"/>
        <w:rPr>
          <w:rFonts w:ascii="Arial" w:cs="Arial" w:eastAsia="Arial" w:hAnsi="Arial"/>
          <w:sz w:val="21"/>
          <w:szCs w:val="21"/>
          <w:color w:val="auto"/>
        </w:rPr>
      </w:pPr>
    </w:p>
    <w:p>
      <w:pPr>
        <w:ind w:left="980" w:hanging="416"/>
        <w:spacing w:after="0"/>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return measures (which include return on equity, return on assets and return on invested capital);</w:t>
      </w:r>
    </w:p>
    <w:p>
      <w:pPr>
        <w:spacing w:after="0" w:line="209" w:lineRule="exact"/>
        <w:rPr>
          <w:rFonts w:ascii="Arial" w:cs="Arial" w:eastAsia="Arial" w:hAnsi="Arial"/>
          <w:sz w:val="21"/>
          <w:szCs w:val="21"/>
          <w:color w:val="auto"/>
        </w:rPr>
      </w:pPr>
    </w:p>
    <w:p>
      <w:pPr>
        <w:ind w:left="980" w:hanging="416"/>
        <w:spacing w:after="0"/>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measures relating to compliance, safety, environmental and diversity; and</w:t>
      </w:r>
    </w:p>
    <w:p>
      <w:pPr>
        <w:spacing w:after="0" w:line="209" w:lineRule="exact"/>
        <w:rPr>
          <w:rFonts w:ascii="Arial" w:cs="Arial" w:eastAsia="Arial" w:hAnsi="Arial"/>
          <w:sz w:val="21"/>
          <w:szCs w:val="21"/>
          <w:color w:val="auto"/>
        </w:rPr>
      </w:pPr>
    </w:p>
    <w:p>
      <w:pPr>
        <w:ind w:left="980" w:hanging="416"/>
        <w:spacing w:after="0"/>
        <w:tabs>
          <w:tab w:leader="none" w:pos="9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measures relating to acquisitions, dispositions or customer satisfaction.</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Unless otherwise stated, such a Performance Goal need not be based upon an increase or positive result under a particular business criterion and could include, for example, maintaining the status quo, performance relative to a peer group determined by the Committee or limiting economic losses (measured, in each case, by reference to specific business criteria). In interpreting Plan provisions applicable to Performance Goals and qualified Performance Awards, it is the intent of this Plan to conform with Section 162(m), including, without limitation, Treasury Regulation §1.162-27(e)(2)(i), as to grants pursuant to this subsection and the Committee in establishing such goals and interpreting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68" w:name="page169"/>
    <w:bookmarkEnd w:id="168"/>
    <w:p>
      <w:pPr>
        <w:jc w:val="both"/>
        <w:spacing w:after="0" w:line="244" w:lineRule="auto"/>
        <w:rPr>
          <w:sz w:val="20"/>
          <w:szCs w:val="20"/>
          <w:color w:val="auto"/>
        </w:rPr>
      </w:pPr>
      <w:r>
        <w:rPr>
          <w:rFonts w:ascii="Arial" w:cs="Arial" w:eastAsia="Arial" w:hAnsi="Arial"/>
          <w:sz w:val="21"/>
          <w:szCs w:val="21"/>
          <w:color w:val="auto"/>
        </w:rPr>
        <w:t>the Plan shall be guided by such provisions. Prior to the payment of any compensation based on the achievement of Performance Goals applicable to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to the extent permitted by Section 162(m).</w:t>
      </w:r>
    </w:p>
    <w:p>
      <w:pPr>
        <w:spacing w:after="0" w:line="180" w:lineRule="exact"/>
        <w:rPr>
          <w:sz w:val="20"/>
          <w:szCs w:val="20"/>
          <w:color w:val="auto"/>
        </w:rPr>
      </w:pPr>
    </w:p>
    <w:p>
      <w:pPr>
        <w:jc w:val="both"/>
        <w:ind w:firstLine="576"/>
        <w:spacing w:after="0" w:line="242" w:lineRule="auto"/>
        <w:tabs>
          <w:tab w:leader="none" w:pos="897"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Committee shall adjust the Performance Goals (either up or down) and the level of the Performance Award that a Participant may earn under this Plan, but only to the extent permitted pursuant to Section 162(m),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shall be calculated without regard to any changes in accounting standards that may be required by the Financial Accounting Standards Board after such Performance Goals are established.</w:t>
      </w:r>
    </w:p>
    <w:p>
      <w:pPr>
        <w:spacing w:after="0" w:line="180" w:lineRule="exact"/>
        <w:rPr>
          <w:rFonts w:ascii="Arial" w:cs="Arial" w:eastAsia="Arial" w:hAnsi="Arial"/>
          <w:sz w:val="21"/>
          <w:szCs w:val="21"/>
          <w:color w:val="auto"/>
        </w:rPr>
      </w:pPr>
    </w:p>
    <w:p>
      <w:pPr>
        <w:jc w:val="both"/>
        <w:ind w:firstLine="576"/>
        <w:spacing w:after="0" w:line="276" w:lineRule="auto"/>
        <w:tabs>
          <w:tab w:leader="none" w:pos="861" w:val="left"/>
        </w:tabs>
        <w:numPr>
          <w:ilvl w:val="0"/>
          <w:numId w:val="177"/>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Plan, no Participant may be granted, during any one-year period, Awards collectively consisting of (i) Options or Stock Appreciation Rights that are exercisable for or (ii) Stock Awards covering or relating to more than 1,000,000 shares of Common Stock (the limitation referred to as the “Stock-based Awards Limitations”). No Plan Participant who is an employee may be granted Awards consisting of cash (including Cash Awards that are granted as Performance Awards) in respect of any calendar year having a value determined on the Grant Date in excess of $20,000,000.</w:t>
      </w:r>
    </w:p>
    <w:p>
      <w:pPr>
        <w:spacing w:after="0" w:line="151" w:lineRule="exact"/>
        <w:rPr>
          <w:sz w:val="20"/>
          <w:szCs w:val="20"/>
          <w:color w:val="auto"/>
        </w:rPr>
      </w:pPr>
    </w:p>
    <w:p>
      <w:pPr>
        <w:ind w:left="780" w:hanging="204"/>
        <w:spacing w:after="0"/>
        <w:tabs>
          <w:tab w:leader="none" w:pos="780" w:val="left"/>
        </w:tabs>
        <w:numPr>
          <w:ilvl w:val="0"/>
          <w:numId w:val="178"/>
        </w:numPr>
        <w:rPr>
          <w:rFonts w:ascii="Arial" w:cs="Arial" w:eastAsia="Arial" w:hAnsi="Arial"/>
          <w:sz w:val="21"/>
          <w:szCs w:val="21"/>
          <w:color w:val="auto"/>
        </w:rPr>
      </w:pPr>
      <w:r>
        <w:rPr>
          <w:rFonts w:ascii="Arial" w:cs="Arial" w:eastAsia="Arial" w:hAnsi="Arial"/>
          <w:sz w:val="21"/>
          <w:szCs w:val="21"/>
          <w:i w:val="1"/>
          <w:iCs w:val="1"/>
          <w:color w:val="auto"/>
        </w:rPr>
        <w:t>Award Payment; Dividends; Substitution; Fractional Shares</w:t>
      </w:r>
      <w:r>
        <w:rPr>
          <w:rFonts w:ascii="Arial" w:cs="Arial" w:eastAsia="Arial" w:hAnsi="Arial"/>
          <w:sz w:val="21"/>
          <w:szCs w:val="21"/>
          <w:color w:val="auto"/>
        </w:rPr>
        <w:t>.</w:t>
      </w:r>
    </w:p>
    <w:p>
      <w:pPr>
        <w:spacing w:after="0" w:line="210" w:lineRule="exact"/>
        <w:rPr>
          <w:sz w:val="20"/>
          <w:szCs w:val="20"/>
          <w:color w:val="auto"/>
        </w:rPr>
      </w:pPr>
    </w:p>
    <w:p>
      <w:pPr>
        <w:jc w:val="both"/>
        <w:ind w:firstLine="576"/>
        <w:spacing w:after="0" w:line="270" w:lineRule="auto"/>
        <w:tabs>
          <w:tab w:leader="none" w:pos="885" w:val="left"/>
        </w:tabs>
        <w:numPr>
          <w:ilvl w:val="0"/>
          <w:numId w:val="179"/>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Payment of Awards may be made in the form of cash or Common Stock, or a combination thereof, and may</w:t>
      </w:r>
      <w:r>
        <w:rPr>
          <w:rFonts w:ascii="Arial" w:cs="Arial" w:eastAsia="Arial" w:hAnsi="Arial"/>
          <w:sz w:val="19"/>
          <w:szCs w:val="19"/>
          <w:i w:val="1"/>
          <w:iCs w:val="1"/>
          <w:color w:val="auto"/>
        </w:rPr>
        <w:t xml:space="preserve"> </w:t>
      </w:r>
      <w:r>
        <w:rPr>
          <w:rFonts w:ascii="Arial" w:cs="Arial" w:eastAsia="Arial" w:hAnsi="Arial"/>
          <w:sz w:val="19"/>
          <w:szCs w:val="19"/>
          <w:color w:val="auto"/>
        </w:rPr>
        <w:t>include such restrictions as the Committee shall determine, including, in the case of Common Stock, restrictions on transfer and forfeiture provisions. If payment of an Award is made in the form of Restricted Stock, the applicable Award Agreement relating to such shares shall specify whether they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157" w:lineRule="exact"/>
        <w:rPr>
          <w:rFonts w:ascii="Arial" w:cs="Arial" w:eastAsia="Arial" w:hAnsi="Arial"/>
          <w:sz w:val="19"/>
          <w:szCs w:val="19"/>
          <w:color w:val="auto"/>
        </w:rPr>
      </w:pPr>
    </w:p>
    <w:p>
      <w:pPr>
        <w:jc w:val="both"/>
        <w:ind w:firstLine="576"/>
        <w:spacing w:after="0" w:line="270" w:lineRule="auto"/>
        <w:tabs>
          <w:tab w:leader="none" w:pos="897" w:val="left"/>
        </w:tabs>
        <w:numPr>
          <w:ilvl w:val="0"/>
          <w:numId w:val="179"/>
        </w:numPr>
        <w:rPr>
          <w:rFonts w:ascii="Arial" w:cs="Arial" w:eastAsia="Arial" w:hAnsi="Arial"/>
          <w:sz w:val="20"/>
          <w:szCs w:val="20"/>
          <w:color w:val="auto"/>
        </w:rPr>
      </w:pPr>
      <w:r>
        <w:rPr>
          <w:rFonts w:ascii="Arial" w:cs="Arial" w:eastAsia="Arial" w:hAnsi="Arial"/>
          <w:sz w:val="20"/>
          <w:szCs w:val="20"/>
          <w:i w:val="1"/>
          <w:iCs w:val="1"/>
          <w:color w:val="auto"/>
        </w:rPr>
        <w:t>Dividends and Interest</w:t>
      </w:r>
      <w:r>
        <w:rPr>
          <w:rFonts w:ascii="Arial" w:cs="Arial" w:eastAsia="Arial" w:hAnsi="Arial"/>
          <w:sz w:val="20"/>
          <w:szCs w:val="20"/>
          <w:color w:val="auto"/>
        </w:rPr>
        <w:t>. Rights to dividends or Dividend Equivalents may be extended to and made part of any Stock</w:t>
      </w:r>
      <w:r>
        <w:rPr>
          <w:rFonts w:ascii="Arial" w:cs="Arial" w:eastAsia="Arial" w:hAnsi="Arial"/>
          <w:sz w:val="20"/>
          <w:szCs w:val="20"/>
          <w:i w:val="1"/>
          <w:iCs w:val="1"/>
          <w:color w:val="auto"/>
        </w:rPr>
        <w:t xml:space="preserve"> </w:t>
      </w:r>
      <w:r>
        <w:rPr>
          <w:rFonts w:ascii="Arial" w:cs="Arial" w:eastAsia="Arial" w:hAnsi="Arial"/>
          <w:sz w:val="20"/>
          <w:szCs w:val="20"/>
          <w:color w:val="auto"/>
        </w:rPr>
        <w:t>Awards, subject to such terms, conditions and restrictions as the Committee may establish. The Committee may also establish rules and procedures for the crediting of interest on deferred cash payments and Dividend Equivalents for Stock Awards.</w:t>
      </w:r>
    </w:p>
    <w:p>
      <w:pPr>
        <w:spacing w:after="0" w:line="153" w:lineRule="exact"/>
        <w:rPr>
          <w:rFonts w:ascii="Arial" w:cs="Arial" w:eastAsia="Arial" w:hAnsi="Arial"/>
          <w:sz w:val="20"/>
          <w:szCs w:val="20"/>
          <w:color w:val="auto"/>
        </w:rPr>
      </w:pPr>
    </w:p>
    <w:p>
      <w:pPr>
        <w:jc w:val="both"/>
        <w:ind w:firstLine="576"/>
        <w:spacing w:after="0" w:line="252" w:lineRule="auto"/>
        <w:tabs>
          <w:tab w:leader="none" w:pos="858" w:val="left"/>
        </w:tabs>
        <w:numPr>
          <w:ilvl w:val="0"/>
          <w:numId w:val="179"/>
        </w:numPr>
        <w:rPr>
          <w:rFonts w:ascii="Arial" w:cs="Arial" w:eastAsia="Arial" w:hAnsi="Arial"/>
          <w:sz w:val="21"/>
          <w:szCs w:val="21"/>
          <w:color w:val="auto"/>
        </w:rPr>
      </w:pPr>
      <w:r>
        <w:rPr>
          <w:rFonts w:ascii="Arial" w:cs="Arial" w:eastAsia="Arial" w:hAnsi="Arial"/>
          <w:sz w:val="21"/>
          <w:szCs w:val="21"/>
          <w:i w:val="1"/>
          <w:iCs w:val="1"/>
          <w:color w:val="auto"/>
        </w:rPr>
        <w:t>Fractional Shares</w:t>
      </w:r>
      <w:r>
        <w:rPr>
          <w:rFonts w:ascii="Arial" w:cs="Arial" w:eastAsia="Arial" w:hAnsi="Arial"/>
          <w:sz w:val="21"/>
          <w:szCs w:val="21"/>
          <w:color w:val="auto"/>
        </w:rPr>
        <w:t>. No fractional shares shall be issued or delivered pursuant to any Award under this Plan. The Committee</w:t>
      </w:r>
      <w:r>
        <w:rPr>
          <w:rFonts w:ascii="Arial" w:cs="Arial" w:eastAsia="Arial" w:hAnsi="Arial"/>
          <w:sz w:val="21"/>
          <w:szCs w:val="21"/>
          <w:i w:val="1"/>
          <w:iCs w:val="1"/>
          <w:color w:val="auto"/>
        </w:rPr>
        <w:t xml:space="preserve"> </w:t>
      </w:r>
      <w:r>
        <w:rPr>
          <w:rFonts w:ascii="Arial" w:cs="Arial" w:eastAsia="Arial" w:hAnsi="Arial"/>
          <w:sz w:val="21"/>
          <w:szCs w:val="21"/>
          <w:color w:val="auto"/>
        </w:rPr>
        <w:t>shall determine whether cash, Awards or other property shall be issued or paid in lieu of fractional shares, or whether fractional shares or any rights thereto shall be forfeited or otherwise eliminated.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69" w:name="page170"/>
    <w:bookmarkEnd w:id="169"/>
    <w:p>
      <w:pPr>
        <w:jc w:val="both"/>
        <w:ind w:firstLine="576"/>
        <w:spacing w:after="0" w:line="241" w:lineRule="auto"/>
        <w:tabs>
          <w:tab w:leader="none" w:pos="782" w:val="left"/>
        </w:tabs>
        <w:numPr>
          <w:ilvl w:val="0"/>
          <w:numId w:val="180"/>
        </w:numPr>
        <w:rPr>
          <w:rFonts w:ascii="Arial" w:cs="Arial" w:eastAsia="Arial" w:hAnsi="Arial"/>
          <w:sz w:val="21"/>
          <w:szCs w:val="21"/>
          <w:color w:val="auto"/>
        </w:rPr>
      </w:pPr>
      <w:r>
        <w:rPr>
          <w:rFonts w:ascii="Arial" w:cs="Arial" w:eastAsia="Arial" w:hAnsi="Arial"/>
          <w:sz w:val="21"/>
          <w:szCs w:val="21"/>
          <w:i w:val="1"/>
          <w:iCs w:val="1"/>
          <w:color w:val="auto"/>
        </w:rPr>
        <w:t>Stock Option Exercise</w:t>
      </w:r>
      <w:r>
        <w:rPr>
          <w:rFonts w:ascii="Arial" w:cs="Arial" w:eastAsia="Arial" w:hAnsi="Arial"/>
          <w:sz w:val="21"/>
          <w:szCs w:val="21"/>
          <w:color w:val="auto"/>
        </w:rPr>
        <w:t>. The price at which shares of Common Stock may be purchased under an Option shall be paid in full</w:t>
      </w:r>
      <w:r>
        <w:rPr>
          <w:rFonts w:ascii="Arial" w:cs="Arial" w:eastAsia="Arial" w:hAnsi="Arial"/>
          <w:sz w:val="21"/>
          <w:szCs w:val="21"/>
          <w:i w:val="1"/>
          <w:iCs w:val="1"/>
          <w:color w:val="auto"/>
        </w:rPr>
        <w:t xml:space="preserve"> </w:t>
      </w:r>
      <w:r>
        <w:rPr>
          <w:rFonts w:ascii="Arial" w:cs="Arial" w:eastAsia="Arial" w:hAnsi="Arial"/>
          <w:sz w:val="21"/>
          <w:szCs w:val="21"/>
          <w:color w:val="auto"/>
        </w:rPr>
        <w:t>at the time of exercise in cash or, if elected by the Participant, the Participant may purchase such shares either by means of tendering Common Stock or by authorizing the Company to withhold a number of shares of Common Stock otherwise deliverable on the exercise of the Option, in either case valued at Fair Market Value on the date of exercise, or any combination thereof. The Committee, in its sole discretion, shall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183" w:lineRule="exact"/>
        <w:rPr>
          <w:rFonts w:ascii="Arial" w:cs="Arial" w:eastAsia="Arial" w:hAnsi="Arial"/>
          <w:sz w:val="21"/>
          <w:szCs w:val="21"/>
          <w:color w:val="auto"/>
        </w:rPr>
      </w:pPr>
    </w:p>
    <w:p>
      <w:pPr>
        <w:jc w:val="both"/>
        <w:ind w:firstLine="576"/>
        <w:spacing w:after="0" w:line="270" w:lineRule="auto"/>
        <w:tabs>
          <w:tab w:leader="none" w:pos="888"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Taxes</w:t>
      </w:r>
      <w:r>
        <w:rPr>
          <w:rFonts w:ascii="Arial" w:cs="Arial" w:eastAsia="Arial" w:hAnsi="Arial"/>
          <w:sz w:val="19"/>
          <w:szCs w:val="19"/>
          <w:color w:val="auto"/>
        </w:rPr>
        <w:t>. The Company shall have the right to deduct applicable taxes from any Award payment and withhold, at the time of</w:t>
      </w:r>
      <w:r>
        <w:rPr>
          <w:rFonts w:ascii="Arial" w:cs="Arial" w:eastAsia="Arial" w:hAnsi="Arial"/>
          <w:sz w:val="19"/>
          <w:szCs w:val="19"/>
          <w:i w:val="1"/>
          <w:iCs w:val="1"/>
          <w:color w:val="auto"/>
        </w:rPr>
        <w:t xml:space="preserve"> </w:t>
      </w:r>
      <w:r>
        <w:rPr>
          <w:rFonts w:ascii="Arial" w:cs="Arial" w:eastAsia="Arial" w:hAnsi="Arial"/>
          <w:sz w:val="19"/>
          <w:szCs w:val="19"/>
          <w:color w:val="auto"/>
        </w:rPr>
        <w:t>delivery or vesting of cash or 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Withholding of any taxes may be satisfied by (i) the transfer to the Company of shares of Common Stock theretofore owned by the holder of the Award or (ii) withholding from the shares of Common Stock otherwise deliverable under the Award, in either case with respect to which withholding is required, up to the maximum tax rate applicable to the Participant, as determined by the Committee. If shares of Common Stock are used to satisfy tax withholding, such shares shall be valued based on the Fair Market Value when the tax withholding is required to be made.</w:t>
      </w:r>
    </w:p>
    <w:p>
      <w:pPr>
        <w:spacing w:after="0" w:line="157" w:lineRule="exact"/>
        <w:rPr>
          <w:rFonts w:ascii="Arial" w:cs="Arial" w:eastAsia="Arial" w:hAnsi="Arial"/>
          <w:sz w:val="19"/>
          <w:szCs w:val="19"/>
          <w:color w:val="auto"/>
        </w:rPr>
      </w:pPr>
    </w:p>
    <w:p>
      <w:pPr>
        <w:jc w:val="both"/>
        <w:ind w:firstLine="576"/>
        <w:spacing w:after="0" w:line="269" w:lineRule="auto"/>
        <w:tabs>
          <w:tab w:leader="none" w:pos="920"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Amendment, Modification, Suspension or Termination</w:t>
      </w:r>
      <w:r>
        <w:rPr>
          <w:rFonts w:ascii="Arial" w:cs="Arial" w:eastAsia="Arial" w:hAnsi="Arial"/>
          <w:sz w:val="19"/>
          <w:szCs w:val="19"/>
          <w:color w:val="auto"/>
        </w:rPr>
        <w:t>. The Board or the Committee may amend, modify, suspend or</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 this Plan for the purpose of meeting or addressing any changes in legal requirements or for any other purpose permitted by law, except that (i) no amendment or alteration that would materially adversely affect the rights of any Participant under any Award previously granted to such Participant shall be made without the consent of such Participant and (ii) no amendment or alteration shall be effective prior to its approval by the shareholders of the Company to the extent shareholder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shareholder approval (except in connection with a change in the Company’s capitalization as provided in paragraph 13), if the effect of such amendment would be to reduce the exercise price for the shares underlying such Option or SAR.</w:t>
      </w:r>
    </w:p>
    <w:p>
      <w:pPr>
        <w:spacing w:after="0" w:line="158" w:lineRule="exact"/>
        <w:rPr>
          <w:rFonts w:ascii="Arial" w:cs="Arial" w:eastAsia="Arial" w:hAnsi="Arial"/>
          <w:sz w:val="19"/>
          <w:szCs w:val="19"/>
          <w:color w:val="auto"/>
        </w:rPr>
      </w:pPr>
    </w:p>
    <w:p>
      <w:pPr>
        <w:jc w:val="both"/>
        <w:ind w:firstLine="576"/>
        <w:spacing w:after="0" w:line="252" w:lineRule="auto"/>
        <w:tabs>
          <w:tab w:leader="none" w:pos="915" w:val="left"/>
        </w:tabs>
        <w:numPr>
          <w:ilvl w:val="0"/>
          <w:numId w:val="180"/>
        </w:numPr>
        <w:rPr>
          <w:rFonts w:ascii="Arial" w:cs="Arial" w:eastAsia="Arial" w:hAnsi="Arial"/>
          <w:sz w:val="21"/>
          <w:szCs w:val="21"/>
          <w:color w:val="auto"/>
        </w:rPr>
      </w:pPr>
      <w:r>
        <w:rPr>
          <w:rFonts w:ascii="Arial" w:cs="Arial" w:eastAsia="Arial" w:hAnsi="Arial"/>
          <w:sz w:val="21"/>
          <w:szCs w:val="21"/>
          <w:i w:val="1"/>
          <w:iCs w:val="1"/>
          <w:color w:val="auto"/>
        </w:rPr>
        <w:t>Assignability</w:t>
      </w:r>
      <w:r>
        <w:rPr>
          <w:rFonts w:ascii="Arial" w:cs="Arial" w:eastAsia="Arial" w:hAnsi="Arial"/>
          <w:sz w:val="21"/>
          <w:szCs w:val="21"/>
          <w:color w:val="auto"/>
        </w:rPr>
        <w:t>. Unless otherwise determined by the Committee in the Award Agreement, no Award or any other benefit</w:t>
      </w:r>
      <w:r>
        <w:rPr>
          <w:rFonts w:ascii="Arial" w:cs="Arial" w:eastAsia="Arial" w:hAnsi="Arial"/>
          <w:sz w:val="21"/>
          <w:szCs w:val="21"/>
          <w:i w:val="1"/>
          <w:iCs w:val="1"/>
          <w:color w:val="auto"/>
        </w:rPr>
        <w:t xml:space="preserve"> </w:t>
      </w:r>
      <w:r>
        <w:rPr>
          <w:rFonts w:ascii="Arial" w:cs="Arial" w:eastAsia="Arial" w:hAnsi="Arial"/>
          <w:sz w:val="21"/>
          <w:szCs w:val="21"/>
          <w:color w:val="auto"/>
        </w:rPr>
        <w:t>under this Plan shall be assignable or otherwise transferable. Any attempted assignment of an Award or any other benefit under this Plan in violation of this paragraph 12 shall be null and void.</w:t>
      </w:r>
    </w:p>
    <w:p>
      <w:pPr>
        <w:spacing w:after="0" w:line="168" w:lineRule="exact"/>
        <w:rPr>
          <w:rFonts w:ascii="Arial" w:cs="Arial" w:eastAsia="Arial" w:hAnsi="Arial"/>
          <w:sz w:val="21"/>
          <w:szCs w:val="21"/>
          <w:color w:val="auto"/>
        </w:rPr>
      </w:pPr>
    </w:p>
    <w:p>
      <w:pPr>
        <w:ind w:left="900" w:hanging="324"/>
        <w:spacing w:after="0"/>
        <w:tabs>
          <w:tab w:leader="none" w:pos="900" w:val="left"/>
        </w:tabs>
        <w:numPr>
          <w:ilvl w:val="0"/>
          <w:numId w:val="180"/>
        </w:numPr>
        <w:rPr>
          <w:rFonts w:ascii="Arial" w:cs="Arial" w:eastAsia="Arial" w:hAnsi="Arial"/>
          <w:sz w:val="21"/>
          <w:szCs w:val="21"/>
          <w:color w:val="auto"/>
        </w:rPr>
      </w:pPr>
      <w:r>
        <w:rPr>
          <w:rFonts w:ascii="Arial" w:cs="Arial" w:eastAsia="Arial" w:hAnsi="Arial"/>
          <w:sz w:val="21"/>
          <w:szCs w:val="21"/>
          <w:i w:val="1"/>
          <w:iCs w:val="1"/>
          <w:color w:val="auto"/>
        </w:rPr>
        <w:t>Adjustments</w:t>
      </w:r>
      <w:r>
        <w:rPr>
          <w:rFonts w:ascii="Arial" w:cs="Arial" w:eastAsia="Arial" w:hAnsi="Arial"/>
          <w:sz w:val="21"/>
          <w:szCs w:val="21"/>
          <w:color w:val="auto"/>
        </w:rPr>
        <w:t>.</w:t>
      </w:r>
    </w:p>
    <w:p>
      <w:pPr>
        <w:spacing w:after="0" w:line="210" w:lineRule="exact"/>
        <w:rPr>
          <w:sz w:val="20"/>
          <w:szCs w:val="20"/>
          <w:color w:val="auto"/>
        </w:rPr>
      </w:pPr>
    </w:p>
    <w:p>
      <w:pPr>
        <w:jc w:val="both"/>
        <w:ind w:firstLine="576"/>
        <w:spacing w:after="0" w:line="295" w:lineRule="auto"/>
        <w:tabs>
          <w:tab w:leader="none" w:pos="8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existence of this Plan and Awards granted hereunder shall not affect in any way the right or power of the Company or its shareholders to make or authorize any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70" w:name="page171"/>
    <w:bookmarkEnd w:id="170"/>
    <w:p>
      <w:pPr>
        <w:jc w:val="both"/>
        <w:ind w:firstLine="576"/>
        <w:spacing w:after="0" w:line="244" w:lineRule="auto"/>
        <w:tabs>
          <w:tab w:leader="none" w:pos="859" w:val="left"/>
        </w:tabs>
        <w:numPr>
          <w:ilvl w:val="0"/>
          <w:numId w:val="182"/>
        </w:numPr>
        <w:rPr>
          <w:rFonts w:ascii="Arial" w:cs="Arial" w:eastAsia="Arial" w:hAnsi="Arial"/>
          <w:sz w:val="21"/>
          <w:szCs w:val="21"/>
          <w:color w:val="auto"/>
        </w:rPr>
      </w:pPr>
      <w:r>
        <w:rPr>
          <w:rFonts w:ascii="Arial" w:cs="Arial" w:eastAsia="Arial" w:hAnsi="Arial"/>
          <w:sz w:val="21"/>
          <w:szCs w:val="21"/>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79" w:lineRule="exact"/>
        <w:rPr>
          <w:rFonts w:ascii="Arial" w:cs="Arial" w:eastAsia="Arial" w:hAnsi="Arial"/>
          <w:sz w:val="21"/>
          <w:szCs w:val="21"/>
          <w:color w:val="auto"/>
        </w:rPr>
      </w:pPr>
    </w:p>
    <w:p>
      <w:pPr>
        <w:jc w:val="both"/>
        <w:ind w:firstLine="576"/>
        <w:spacing w:after="0" w:line="255" w:lineRule="auto"/>
        <w:tabs>
          <w:tab w:leader="none" w:pos="855"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169" w:lineRule="exact"/>
        <w:rPr>
          <w:rFonts w:ascii="Arial" w:cs="Arial" w:eastAsia="Arial" w:hAnsi="Arial"/>
          <w:sz w:val="20"/>
          <w:szCs w:val="20"/>
          <w:color w:val="auto"/>
        </w:rPr>
      </w:pPr>
    </w:p>
    <w:p>
      <w:pPr>
        <w:ind w:left="580" w:firstLine="537"/>
        <w:spacing w:after="0" w:line="267" w:lineRule="auto"/>
        <w:tabs>
          <w:tab w:leader="none" w:pos="1433" w:val="left"/>
        </w:tabs>
        <w:numPr>
          <w:ilvl w:val="1"/>
          <w:numId w:val="182"/>
        </w:numPr>
        <w:rPr>
          <w:rFonts w:ascii="Arial" w:cs="Arial" w:eastAsia="Arial" w:hAnsi="Arial"/>
          <w:sz w:val="21"/>
          <w:szCs w:val="21"/>
          <w:color w:val="auto"/>
        </w:rPr>
      </w:pPr>
      <w:r>
        <w:rPr>
          <w:rFonts w:ascii="Arial" w:cs="Arial" w:eastAsia="Arial" w:hAnsi="Arial"/>
          <w:sz w:val="21"/>
          <w:szCs w:val="21"/>
          <w:color w:val="auto"/>
        </w:rPr>
        <w:t>in the event of an increase in the number of outstanding shares, be proportionately increased, and the cash consideration (if any) payable per share of Common Stock shall be proportionately reduced; and</w:t>
      </w:r>
    </w:p>
    <w:p>
      <w:pPr>
        <w:spacing w:after="0" w:line="152" w:lineRule="exact"/>
        <w:rPr>
          <w:rFonts w:ascii="Arial" w:cs="Arial" w:eastAsia="Arial" w:hAnsi="Arial"/>
          <w:sz w:val="21"/>
          <w:szCs w:val="21"/>
          <w:color w:val="auto"/>
        </w:rPr>
      </w:pPr>
    </w:p>
    <w:p>
      <w:pPr>
        <w:ind w:left="580" w:firstLine="537"/>
        <w:spacing w:after="0" w:line="267" w:lineRule="auto"/>
        <w:tabs>
          <w:tab w:leader="none" w:pos="1496" w:val="left"/>
        </w:tabs>
        <w:numPr>
          <w:ilvl w:val="1"/>
          <w:numId w:val="182"/>
        </w:numPr>
        <w:rPr>
          <w:rFonts w:ascii="Arial" w:cs="Arial" w:eastAsia="Arial" w:hAnsi="Arial"/>
          <w:sz w:val="21"/>
          <w:szCs w:val="21"/>
          <w:color w:val="auto"/>
        </w:rPr>
      </w:pPr>
      <w:r>
        <w:rPr>
          <w:rFonts w:ascii="Arial" w:cs="Arial" w:eastAsia="Arial" w:hAnsi="Arial"/>
          <w:sz w:val="21"/>
          <w:szCs w:val="21"/>
          <w:color w:val="auto"/>
        </w:rPr>
        <w:t>in the event of a reduction in the number of outstanding shares, be proportionately reduced, and the cash consideration (if any) payable per share of Common Stock shall be proportionately increased.</w:t>
      </w:r>
    </w:p>
    <w:p>
      <w:pPr>
        <w:spacing w:after="0" w:line="152" w:lineRule="exact"/>
        <w:rPr>
          <w:rFonts w:ascii="Arial" w:cs="Arial" w:eastAsia="Arial" w:hAnsi="Arial"/>
          <w:sz w:val="21"/>
          <w:szCs w:val="21"/>
          <w:color w:val="auto"/>
        </w:rPr>
      </w:pPr>
    </w:p>
    <w:p>
      <w:pPr>
        <w:jc w:val="both"/>
        <w:ind w:firstLine="576"/>
        <w:spacing w:after="0" w:line="253" w:lineRule="auto"/>
        <w:tabs>
          <w:tab w:leader="none" w:pos="90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a share of Common Stock on such date over the exercise price of such Award (for the avoidance of doubt, if such exercise price is greater than the Fair Market Value of a share of Common Stock on such date, the Option or Stock Appreciation Right may be canceled for no consideration).</w:t>
      </w:r>
    </w:p>
    <w:p>
      <w:pPr>
        <w:spacing w:after="0" w:line="173" w:lineRule="exact"/>
        <w:rPr>
          <w:rFonts w:ascii="Arial" w:cs="Arial" w:eastAsia="Arial" w:hAnsi="Arial"/>
          <w:sz w:val="20"/>
          <w:szCs w:val="20"/>
          <w:color w:val="auto"/>
        </w:rPr>
      </w:pPr>
    </w:p>
    <w:p>
      <w:pPr>
        <w:jc w:val="both"/>
        <w:ind w:firstLine="576"/>
        <w:spacing w:after="0" w:line="243" w:lineRule="auto"/>
        <w:tabs>
          <w:tab w:leader="none" w:pos="87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 (ii) 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71" w:name="page172"/>
    <w:bookmarkEnd w:id="171"/>
    <w:p>
      <w:pPr>
        <w:jc w:val="both"/>
        <w:spacing w:after="0" w:line="252" w:lineRule="auto"/>
        <w:rPr>
          <w:sz w:val="20"/>
          <w:szCs w:val="20"/>
          <w:color w:val="auto"/>
        </w:rPr>
      </w:pPr>
      <w:r>
        <w:rPr>
          <w:rFonts w:ascii="Arial" w:cs="Arial" w:eastAsia="Arial" w:hAnsi="Arial"/>
          <w:sz w:val="21"/>
          <w:szCs w:val="21"/>
          <w:color w:val="auto"/>
        </w:rPr>
        <w:t>409A of the Code; and (iii) 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p>
      <w:pPr>
        <w:spacing w:after="0" w:line="169" w:lineRule="exact"/>
        <w:rPr>
          <w:sz w:val="20"/>
          <w:szCs w:val="20"/>
          <w:color w:val="auto"/>
        </w:rPr>
      </w:pPr>
    </w:p>
    <w:p>
      <w:pPr>
        <w:jc w:val="both"/>
        <w:ind w:firstLine="576"/>
        <w:spacing w:after="0" w:line="253" w:lineRule="auto"/>
        <w:tabs>
          <w:tab w:leader="none" w:pos="888" w:val="left"/>
        </w:tabs>
        <w:numPr>
          <w:ilvl w:val="0"/>
          <w:numId w:val="183"/>
        </w:numPr>
        <w:rPr>
          <w:rFonts w:ascii="Arial" w:cs="Arial" w:eastAsia="Arial" w:hAnsi="Arial"/>
          <w:sz w:val="20"/>
          <w:szCs w:val="20"/>
          <w:color w:val="auto"/>
        </w:rPr>
      </w:pPr>
      <w:r>
        <w:rPr>
          <w:rFonts w:ascii="Arial" w:cs="Arial" w:eastAsia="Arial" w:hAnsi="Arial"/>
          <w:sz w:val="20"/>
          <w:szCs w:val="20"/>
          <w:i w:val="1"/>
          <w:iCs w:val="1"/>
          <w:color w:val="auto"/>
        </w:rPr>
        <w:t>Restrictions</w:t>
      </w:r>
      <w:r>
        <w:rPr>
          <w:rFonts w:ascii="Arial" w:cs="Arial" w:eastAsia="Arial" w:hAnsi="Arial"/>
          <w:sz w:val="20"/>
          <w:szCs w:val="20"/>
          <w:color w:val="auto"/>
        </w:rPr>
        <w:t>. No Common Stock or other form of payment shall be issued with respect to any Award unless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satisfied based on the 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70" w:lineRule="exact"/>
        <w:rPr>
          <w:rFonts w:ascii="Arial" w:cs="Arial" w:eastAsia="Arial" w:hAnsi="Arial"/>
          <w:sz w:val="20"/>
          <w:szCs w:val="20"/>
          <w:color w:val="auto"/>
        </w:rPr>
      </w:pPr>
    </w:p>
    <w:p>
      <w:pPr>
        <w:jc w:val="both"/>
        <w:ind w:firstLine="576"/>
        <w:spacing w:after="0" w:line="268" w:lineRule="auto"/>
        <w:tabs>
          <w:tab w:leader="none" w:pos="901" w:val="left"/>
        </w:tabs>
        <w:numPr>
          <w:ilvl w:val="0"/>
          <w:numId w:val="183"/>
        </w:numPr>
        <w:rPr>
          <w:rFonts w:ascii="Arial" w:cs="Arial" w:eastAsia="Arial" w:hAnsi="Arial"/>
          <w:sz w:val="19"/>
          <w:szCs w:val="19"/>
          <w:color w:val="auto"/>
        </w:rPr>
      </w:pPr>
      <w:r>
        <w:rPr>
          <w:rFonts w:ascii="Arial" w:cs="Arial" w:eastAsia="Arial" w:hAnsi="Arial"/>
          <w:sz w:val="19"/>
          <w:szCs w:val="19"/>
          <w:i w:val="1"/>
          <w:iCs w:val="1"/>
          <w:color w:val="auto"/>
        </w:rPr>
        <w:t>Unfunded Plan</w:t>
      </w:r>
      <w:r>
        <w:rPr>
          <w:rFonts w:ascii="Arial" w:cs="Arial" w:eastAsia="Arial" w:hAnsi="Arial"/>
          <w:sz w:val="19"/>
          <w:szCs w:val="19"/>
          <w:color w:val="auto"/>
        </w:rPr>
        <w:t>. Insofar as it provides for Awards of cash, Common Stock or rights thereto, this Plan shall be unfunded.</w:t>
      </w:r>
      <w:r>
        <w:rPr>
          <w:rFonts w:ascii="Arial" w:cs="Arial" w:eastAsia="Arial" w:hAnsi="Arial"/>
          <w:sz w:val="19"/>
          <w:szCs w:val="19"/>
          <w:i w:val="1"/>
          <w:iCs w:val="1"/>
          <w:color w:val="auto"/>
        </w:rPr>
        <w:t xml:space="preserve"> </w:t>
      </w:r>
      <w:r>
        <w:rPr>
          <w:rFonts w:ascii="Arial" w:cs="Arial" w:eastAsia="Arial" w:hAnsi="Arial"/>
          <w:sz w:val="19"/>
          <w:szCs w:val="19"/>
          <w:color w:val="auto"/>
        </w:rPr>
        <w:t>Although bookkeeping 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61" w:lineRule="exact"/>
        <w:rPr>
          <w:rFonts w:ascii="Arial" w:cs="Arial" w:eastAsia="Arial" w:hAnsi="Arial"/>
          <w:sz w:val="19"/>
          <w:szCs w:val="19"/>
          <w:color w:val="auto"/>
        </w:rPr>
      </w:pPr>
    </w:p>
    <w:p>
      <w:pPr>
        <w:jc w:val="both"/>
        <w:ind w:firstLine="576"/>
        <w:spacing w:after="0" w:line="241" w:lineRule="auto"/>
        <w:tabs>
          <w:tab w:leader="none" w:pos="888" w:val="left"/>
        </w:tabs>
        <w:numPr>
          <w:ilvl w:val="0"/>
          <w:numId w:val="183"/>
        </w:numPr>
        <w:rPr>
          <w:rFonts w:ascii="Arial" w:cs="Arial" w:eastAsia="Arial" w:hAnsi="Arial"/>
          <w:sz w:val="21"/>
          <w:szCs w:val="21"/>
          <w:color w:val="auto"/>
        </w:rPr>
      </w:pPr>
      <w:r>
        <w:rPr>
          <w:rFonts w:ascii="Arial" w:cs="Arial" w:eastAsia="Arial" w:hAnsi="Arial"/>
          <w:sz w:val="21"/>
          <w:szCs w:val="21"/>
          <w:i w:val="1"/>
          <w:iCs w:val="1"/>
          <w:color w:val="auto"/>
        </w:rPr>
        <w:t>Section 409A</w:t>
      </w:r>
      <w:r>
        <w:rPr>
          <w:rFonts w:ascii="Arial" w:cs="Arial" w:eastAsia="Arial" w:hAnsi="Arial"/>
          <w:sz w:val="21"/>
          <w:szCs w:val="21"/>
          <w:color w:val="auto"/>
        </w:rPr>
        <w:t>. This Plan is intended to provide compensation which is exempt from or which complies with Section 409A,</w:t>
      </w:r>
      <w:r>
        <w:rPr>
          <w:rFonts w:ascii="Arial" w:cs="Arial" w:eastAsia="Arial" w:hAnsi="Arial"/>
          <w:sz w:val="21"/>
          <w:szCs w:val="21"/>
          <w:i w:val="1"/>
          <w:iCs w:val="1"/>
          <w:color w:val="auto"/>
        </w:rPr>
        <w:t xml:space="preserve"> </w:t>
      </w:r>
      <w:r>
        <w:rPr>
          <w:rFonts w:ascii="Arial" w:cs="Arial" w:eastAsia="Arial" w:hAnsi="Arial"/>
          <w:sz w:val="21"/>
          <w:szCs w:val="21"/>
          <w:color w:val="auto"/>
        </w:rPr>
        <w:t>and ambiguous provisions, if 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72" w:name="page173"/>
    <w:bookmarkEnd w:id="172"/>
    <w:p>
      <w:pPr>
        <w:jc w:val="both"/>
        <w:ind w:firstLine="570"/>
        <w:spacing w:after="0" w:line="272" w:lineRule="auto"/>
        <w:rPr>
          <w:sz w:val="20"/>
          <w:szCs w:val="20"/>
          <w:color w:val="auto"/>
        </w:rPr>
      </w:pPr>
      <w:r>
        <w:rPr>
          <w:rFonts w:ascii="Arial" w:cs="Arial" w:eastAsia="Arial" w:hAnsi="Arial"/>
          <w:sz w:val="19"/>
          <w:szCs w:val="19"/>
          <w:color w:val="auto"/>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the Participant’s death.</w:t>
      </w:r>
    </w:p>
    <w:p>
      <w:pPr>
        <w:spacing w:after="0" w:line="152" w:lineRule="exact"/>
        <w:rPr>
          <w:sz w:val="20"/>
          <w:szCs w:val="20"/>
          <w:color w:val="auto"/>
        </w:rPr>
      </w:pPr>
    </w:p>
    <w:p>
      <w:pPr>
        <w:jc w:val="both"/>
        <w:ind w:firstLine="576"/>
        <w:spacing w:after="0" w:line="252" w:lineRule="auto"/>
        <w:tabs>
          <w:tab w:leader="none" w:pos="915" w:val="left"/>
        </w:tabs>
        <w:numPr>
          <w:ilvl w:val="0"/>
          <w:numId w:val="184"/>
        </w:numPr>
        <w:rPr>
          <w:rFonts w:ascii="Arial" w:cs="Arial" w:eastAsia="Arial" w:hAnsi="Arial"/>
          <w:sz w:val="21"/>
          <w:szCs w:val="21"/>
          <w:color w:val="auto"/>
        </w:rPr>
      </w:pPr>
      <w:r>
        <w:rPr>
          <w:rFonts w:ascii="Arial" w:cs="Arial" w:eastAsia="Arial" w:hAnsi="Arial"/>
          <w:sz w:val="21"/>
          <w:szCs w:val="21"/>
          <w:i w:val="1"/>
          <w:iCs w:val="1"/>
          <w:color w:val="auto"/>
        </w:rPr>
        <w:t>Governing Law</w:t>
      </w:r>
      <w:r>
        <w:rPr>
          <w:rFonts w:ascii="Arial" w:cs="Arial" w:eastAsia="Arial" w:hAnsi="Arial"/>
          <w:sz w:val="21"/>
          <w:szCs w:val="21"/>
          <w:color w:val="auto"/>
        </w:rPr>
        <w:t>. This Plan and all determinations made and actions taken pursuant hereto, to the extent not otherwise</w:t>
      </w:r>
      <w:r>
        <w:rPr>
          <w:rFonts w:ascii="Arial" w:cs="Arial" w:eastAsia="Arial" w:hAnsi="Arial"/>
          <w:sz w:val="21"/>
          <w:szCs w:val="21"/>
          <w:i w:val="1"/>
          <w:iCs w:val="1"/>
          <w:color w:val="auto"/>
        </w:rPr>
        <w:t xml:space="preserve"> </w:t>
      </w:r>
      <w:r>
        <w:rPr>
          <w:rFonts w:ascii="Arial" w:cs="Arial" w:eastAsia="Arial" w:hAnsi="Arial"/>
          <w:sz w:val="21"/>
          <w:szCs w:val="21"/>
          <w:color w:val="auto"/>
        </w:rPr>
        <w:t>governed by mandatory provisions of the Code or the securities laws of the United States, shall be governed by and construed in accordance with the laws of the State of Texas.</w:t>
      </w:r>
    </w:p>
    <w:p>
      <w:pPr>
        <w:spacing w:after="0" w:line="168" w:lineRule="exact"/>
        <w:rPr>
          <w:rFonts w:ascii="Arial" w:cs="Arial" w:eastAsia="Arial" w:hAnsi="Arial"/>
          <w:sz w:val="21"/>
          <w:szCs w:val="21"/>
          <w:color w:val="auto"/>
        </w:rPr>
      </w:pPr>
    </w:p>
    <w:p>
      <w:pPr>
        <w:jc w:val="both"/>
        <w:ind w:firstLine="576"/>
        <w:spacing w:after="0" w:line="291" w:lineRule="auto"/>
        <w:tabs>
          <w:tab w:leader="none" w:pos="888" w:val="left"/>
        </w:tabs>
        <w:numPr>
          <w:ilvl w:val="0"/>
          <w:numId w:val="184"/>
        </w:numPr>
        <w:rPr>
          <w:rFonts w:ascii="Arial" w:cs="Arial" w:eastAsia="Arial" w:hAnsi="Arial"/>
          <w:sz w:val="19"/>
          <w:szCs w:val="19"/>
          <w:color w:val="auto"/>
        </w:rPr>
      </w:pPr>
      <w:r>
        <w:rPr>
          <w:rFonts w:ascii="Arial" w:cs="Arial" w:eastAsia="Arial" w:hAnsi="Arial"/>
          <w:sz w:val="19"/>
          <w:szCs w:val="19"/>
          <w:i w:val="1"/>
          <w:iCs w:val="1"/>
          <w:color w:val="auto"/>
        </w:rPr>
        <w:t>No Right to Employment</w:t>
      </w:r>
      <w:r>
        <w:rPr>
          <w:rFonts w:ascii="Arial" w:cs="Arial" w:eastAsia="Arial" w:hAnsi="Arial"/>
          <w:sz w:val="19"/>
          <w:szCs w:val="19"/>
          <w:color w:val="auto"/>
        </w:rPr>
        <w:t>. Nothing in this Plan or an Award Agreement shall interfere with or limit in any way the right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or a Subsidiary to terminate any Participant’s employment or other service relationship at any time, nor confer upon any Participant any right to continue in the capacity in which he or she is employed or otherwise serves the Company or any Subsidiary.</w:t>
      </w:r>
    </w:p>
    <w:p>
      <w:pPr>
        <w:spacing w:after="0" w:line="134" w:lineRule="exact"/>
        <w:rPr>
          <w:rFonts w:ascii="Arial" w:cs="Arial" w:eastAsia="Arial" w:hAnsi="Arial"/>
          <w:sz w:val="19"/>
          <w:szCs w:val="19"/>
          <w:color w:val="auto"/>
        </w:rPr>
      </w:pPr>
    </w:p>
    <w:p>
      <w:pPr>
        <w:jc w:val="both"/>
        <w:ind w:firstLine="576"/>
        <w:spacing w:after="0" w:line="252" w:lineRule="auto"/>
        <w:tabs>
          <w:tab w:leader="none" w:pos="888" w:val="left"/>
        </w:tabs>
        <w:numPr>
          <w:ilvl w:val="0"/>
          <w:numId w:val="184"/>
        </w:numPr>
        <w:rPr>
          <w:rFonts w:ascii="Arial" w:cs="Arial" w:eastAsia="Arial" w:hAnsi="Arial"/>
          <w:sz w:val="21"/>
          <w:szCs w:val="21"/>
          <w:color w:val="auto"/>
        </w:rPr>
      </w:pPr>
      <w:r>
        <w:rPr>
          <w:rFonts w:ascii="Arial" w:cs="Arial" w:eastAsia="Arial" w:hAnsi="Arial"/>
          <w:sz w:val="21"/>
          <w:szCs w:val="21"/>
          <w:i w:val="1"/>
          <w:iCs w:val="1"/>
          <w:color w:val="auto"/>
        </w:rPr>
        <w:t>Successors</w:t>
      </w:r>
      <w:r>
        <w:rPr>
          <w:rFonts w:ascii="Arial" w:cs="Arial" w:eastAsia="Arial" w:hAnsi="Arial"/>
          <w:sz w:val="21"/>
          <w:szCs w:val="21"/>
          <w:color w:val="auto"/>
        </w:rPr>
        <w:t>. All obligations of the Company under this Plan with respect to Awards granted hereunder shall be binding on</w:t>
      </w:r>
      <w:r>
        <w:rPr>
          <w:rFonts w:ascii="Arial" w:cs="Arial" w:eastAsia="Arial" w:hAnsi="Arial"/>
          <w:sz w:val="21"/>
          <w:szCs w:val="21"/>
          <w:i w:val="1"/>
          <w:iCs w:val="1"/>
          <w:color w:val="auto"/>
        </w:rPr>
        <w:t xml:space="preserve"> </w:t>
      </w:r>
      <w:r>
        <w:rPr>
          <w:rFonts w:ascii="Arial" w:cs="Arial" w:eastAsia="Arial" w:hAnsi="Arial"/>
          <w:sz w:val="21"/>
          <w:szCs w:val="21"/>
          <w:color w:val="auto"/>
        </w:rPr>
        <w:t>any successor to the Company, whether the existence of such successor is the result of a direct or indirect purchase, merger, consolidation, or otherwise, of all or substantially all of the business and/or assets of the Company.</w:t>
      </w:r>
    </w:p>
    <w:p>
      <w:pPr>
        <w:spacing w:after="0" w:line="168" w:lineRule="exact"/>
        <w:rPr>
          <w:rFonts w:ascii="Arial" w:cs="Arial" w:eastAsia="Arial" w:hAnsi="Arial"/>
          <w:sz w:val="21"/>
          <w:szCs w:val="21"/>
          <w:color w:val="auto"/>
        </w:rPr>
      </w:pPr>
    </w:p>
    <w:p>
      <w:pPr>
        <w:jc w:val="both"/>
        <w:ind w:firstLine="576"/>
        <w:spacing w:after="0" w:line="243" w:lineRule="auto"/>
        <w:tabs>
          <w:tab w:leader="none" w:pos="901" w:val="left"/>
        </w:tabs>
        <w:numPr>
          <w:ilvl w:val="0"/>
          <w:numId w:val="184"/>
        </w:numPr>
        <w:rPr>
          <w:rFonts w:ascii="Arial" w:cs="Arial" w:eastAsia="Arial" w:hAnsi="Arial"/>
          <w:sz w:val="21"/>
          <w:szCs w:val="21"/>
          <w:color w:val="auto"/>
        </w:rPr>
      </w:pPr>
      <w:r>
        <w:rPr>
          <w:rFonts w:ascii="Arial" w:cs="Arial" w:eastAsia="Arial" w:hAnsi="Arial"/>
          <w:sz w:val="21"/>
          <w:szCs w:val="21"/>
          <w:i w:val="1"/>
          <w:iCs w:val="1"/>
          <w:color w:val="auto"/>
        </w:rPr>
        <w:t>Tax Consequences</w:t>
      </w:r>
      <w:r>
        <w:rPr>
          <w:rFonts w:ascii="Arial" w:cs="Arial" w:eastAsia="Arial" w:hAnsi="Arial"/>
          <w:sz w:val="21"/>
          <w:szCs w:val="21"/>
          <w:color w:val="auto"/>
        </w:rPr>
        <w:t>. Nothing in this Plan or an Award Agreement shall constitute a representation by the Company to a</w:t>
      </w:r>
      <w:r>
        <w:rPr>
          <w:rFonts w:ascii="Arial" w:cs="Arial" w:eastAsia="Arial" w:hAnsi="Arial"/>
          <w:sz w:val="21"/>
          <w:szCs w:val="21"/>
          <w:i w:val="1"/>
          <w:iCs w:val="1"/>
          <w:color w:val="auto"/>
        </w:rPr>
        <w:t xml:space="preserve"> </w:t>
      </w:r>
      <w:r>
        <w:rPr>
          <w:rFonts w:ascii="Arial" w:cs="Arial" w:eastAsia="Arial" w:hAnsi="Arial"/>
          <w:sz w:val="21"/>
          <w:szCs w:val="21"/>
          <w:color w:val="auto"/>
        </w:rPr>
        <w:t>Participant regarding the tax consequences of any Award received by a Participant under this Plan. Although the Company may endeavor to (i) qualify a Performance Award for favorable U.S. or foreign tax treatment or (ii) avoid adverse tax treatment (e.g. under Section 409A), the Company makes no representation to that effect and expressly disavows any covenant to maintain favorable or unavoidable tax treatment. The Company shall be unconstrained in its corporate activities without regard to the potential negative tax impact on holders of Performance Awards under this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73" w:name="page174"/>
    <w:bookmarkEnd w:id="173"/>
    <w:p>
      <w:pPr>
        <w:jc w:val="both"/>
        <w:ind w:firstLine="576"/>
        <w:spacing w:after="0" w:line="276" w:lineRule="auto"/>
        <w:tabs>
          <w:tab w:leader="none" w:pos="901" w:val="left"/>
        </w:tabs>
        <w:numPr>
          <w:ilvl w:val="0"/>
          <w:numId w:val="185"/>
        </w:numPr>
        <w:rPr>
          <w:rFonts w:ascii="Arial" w:cs="Arial" w:eastAsia="Arial" w:hAnsi="Arial"/>
          <w:sz w:val="19"/>
          <w:szCs w:val="19"/>
          <w:color w:val="auto"/>
        </w:rPr>
      </w:pPr>
      <w:r>
        <w:rPr>
          <w:rFonts w:ascii="Arial" w:cs="Arial" w:eastAsia="Arial" w:hAnsi="Arial"/>
          <w:sz w:val="19"/>
          <w:szCs w:val="19"/>
          <w:i w:val="1"/>
          <w:iCs w:val="1"/>
          <w:color w:val="auto"/>
        </w:rPr>
        <w:t>Non-United States Participants</w:t>
      </w:r>
      <w:r>
        <w:rPr>
          <w:rFonts w:ascii="Arial" w:cs="Arial" w:eastAsia="Arial" w:hAnsi="Arial"/>
          <w:sz w:val="19"/>
          <w:szCs w:val="19"/>
          <w:color w:val="auto"/>
        </w:rPr>
        <w:t>. The Committee may grant awards to persons outside the United States under such terms</w:t>
      </w:r>
      <w:r>
        <w:rPr>
          <w:rFonts w:ascii="Arial" w:cs="Arial" w:eastAsia="Arial" w:hAnsi="Arial"/>
          <w:sz w:val="19"/>
          <w:szCs w:val="19"/>
          <w:i w:val="1"/>
          <w:iCs w:val="1"/>
          <w:color w:val="auto"/>
        </w:rPr>
        <w:t xml:space="preserve"> </w:t>
      </w:r>
      <w:r>
        <w:rPr>
          <w:rFonts w:ascii="Arial" w:cs="Arial" w:eastAsia="Arial" w:hAnsi="Arial"/>
          <w:sz w:val="19"/>
          <w:szCs w:val="19"/>
          <w:color w:val="auto"/>
        </w:rPr>
        <w:t>and conditions as may, in the judgment of the Committee, be necessary or advisable to comply with the laws of the applicable foreign jurisdictions and, to that end, may establish sub-plans, modified vesting, exercise or settlement procedures and other terms and procedures. Notwithstanding the above, the Committee may not take any actions hereunder, and no Awards shall be granted, that would violate the Securities Exchange Act of 1934, the Code, any securities law, any governing statute, or any other applicable law.</w:t>
      </w:r>
    </w:p>
    <w:p>
      <w:pPr>
        <w:spacing w:after="0" w:line="150" w:lineRule="exact"/>
        <w:rPr>
          <w:rFonts w:ascii="Arial" w:cs="Arial" w:eastAsia="Arial" w:hAnsi="Arial"/>
          <w:sz w:val="19"/>
          <w:szCs w:val="19"/>
          <w:color w:val="auto"/>
        </w:rPr>
      </w:pPr>
    </w:p>
    <w:p>
      <w:pPr>
        <w:jc w:val="both"/>
        <w:ind w:firstLine="576"/>
        <w:spacing w:after="0" w:line="263" w:lineRule="auto"/>
        <w:tabs>
          <w:tab w:leader="none" w:pos="901" w:val="left"/>
        </w:tabs>
        <w:numPr>
          <w:ilvl w:val="0"/>
          <w:numId w:val="185"/>
        </w:numPr>
        <w:rPr>
          <w:rFonts w:ascii="Arial" w:cs="Arial" w:eastAsia="Arial" w:hAnsi="Arial"/>
          <w:sz w:val="20"/>
          <w:szCs w:val="20"/>
          <w:color w:val="auto"/>
        </w:rPr>
      </w:pPr>
      <w:r>
        <w:rPr>
          <w:rFonts w:ascii="Arial" w:cs="Arial" w:eastAsia="Arial" w:hAnsi="Arial"/>
          <w:sz w:val="20"/>
          <w:szCs w:val="20"/>
          <w:i w:val="1"/>
          <w:iCs w:val="1"/>
          <w:color w:val="auto"/>
        </w:rPr>
        <w:t>Effectiveness</w:t>
      </w:r>
      <w:r>
        <w:rPr>
          <w:rFonts w:ascii="Arial" w:cs="Arial" w:eastAsia="Arial" w:hAnsi="Arial"/>
          <w:sz w:val="20"/>
          <w:szCs w:val="20"/>
          <w:color w:val="auto"/>
        </w:rPr>
        <w:t>. This Plan became effective January 17, 2013 upon its approval by the stockholders of the Company at the</w:t>
      </w:r>
      <w:r>
        <w:rPr>
          <w:rFonts w:ascii="Arial" w:cs="Arial" w:eastAsia="Arial" w:hAnsi="Arial"/>
          <w:sz w:val="20"/>
          <w:szCs w:val="20"/>
          <w:i w:val="1"/>
          <w:iCs w:val="1"/>
          <w:color w:val="auto"/>
        </w:rPr>
        <w:t xml:space="preserve"> </w:t>
      </w:r>
      <w:r>
        <w:rPr>
          <w:rFonts w:ascii="Arial" w:cs="Arial" w:eastAsia="Arial" w:hAnsi="Arial"/>
          <w:sz w:val="20"/>
          <w:szCs w:val="20"/>
          <w:color w:val="auto"/>
        </w:rPr>
        <w:t>2013 annual general meeting of stockholders. This Plan was amended by the Committee effective as of June 30, 2013 and was thereafter amended and restated effective as of July 19, 2017. This Plan shall continue in effect for a term of ten years after the date on which the stockholders of the Company approve this Plan, unless sooner terminated by action of the Board.</w:t>
      </w:r>
    </w:p>
    <w:p>
      <w:pPr>
        <w:spacing w:after="0" w:line="160"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IN WITNESS WHEREOF, the Company has caused this Plan to be executed by its duly authorized officer on the date first written above.</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SCHLUMBERGER LIMITED</w:t>
      </w:r>
    </w:p>
    <w:p>
      <w:pPr>
        <w:spacing w:after="0" w:line="236"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21"/>
          <w:szCs w:val="21"/>
          <w:color w:val="auto"/>
        </w:rPr>
        <w:t>By:</w:t>
        <w:tab/>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12065</wp:posOffset>
            </wp:positionV>
            <wp:extent cx="25457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Arial" w:cs="Arial" w:eastAsia="Arial" w:hAnsi="Arial"/>
          <w:sz w:val="21"/>
          <w:szCs w:val="21"/>
          <w:color w:val="auto"/>
        </w:rPr>
        <w:t>Paal Kibsgaard</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Title: Chairman &amp; CEO</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556"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1"/>
          <w:szCs w:val="21"/>
          <w:b w:val="1"/>
          <w:bCs w:val="1"/>
          <w:color w:val="auto"/>
        </w:rPr>
        <w:t>Exhibit 10.20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SCHLUMBERGER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2017 OMNIBUS STOCK INCENTIVE PLAN</w:t>
      </w:r>
    </w:p>
    <w:p>
      <w:pPr>
        <w:jc w:val="center"/>
        <w:spacing w:after="0"/>
        <w:rPr>
          <w:sz w:val="20"/>
          <w:szCs w:val="20"/>
          <w:color w:val="auto"/>
        </w:rPr>
      </w:pPr>
      <w:r>
        <w:rPr>
          <w:rFonts w:ascii="Arial" w:cs="Arial" w:eastAsia="Arial" w:hAnsi="Arial"/>
          <w:sz w:val="21"/>
          <w:szCs w:val="21"/>
          <w:b w:val="1"/>
          <w:bCs w:val="1"/>
          <w:color w:val="auto"/>
        </w:rPr>
        <w:t>(Amended and Restated as of July 19, 2017)</w:t>
      </w:r>
    </w:p>
    <w:p>
      <w:pPr>
        <w:spacing w:after="0" w:line="192" w:lineRule="exact"/>
        <w:rPr>
          <w:sz w:val="20"/>
          <w:szCs w:val="20"/>
          <w:color w:val="auto"/>
        </w:rPr>
      </w:pPr>
    </w:p>
    <w:p>
      <w:pPr>
        <w:jc w:val="both"/>
        <w:ind w:firstLine="576"/>
        <w:spacing w:after="0" w:line="243" w:lineRule="auto"/>
        <w:tabs>
          <w:tab w:leader="none" w:pos="1366" w:val="left"/>
        </w:tabs>
        <w:numPr>
          <w:ilvl w:val="0"/>
          <w:numId w:val="186"/>
        </w:numPr>
        <w:rPr>
          <w:rFonts w:ascii="Arial" w:cs="Arial" w:eastAsia="Arial" w:hAnsi="Arial"/>
          <w:sz w:val="21"/>
          <w:szCs w:val="21"/>
          <w:color w:val="auto"/>
        </w:rPr>
      </w:pPr>
      <w:r>
        <w:rPr>
          <w:rFonts w:ascii="Arial" w:cs="Arial" w:eastAsia="Arial" w:hAnsi="Arial"/>
          <w:sz w:val="21"/>
          <w:szCs w:val="21"/>
          <w:i w:val="1"/>
          <w:iCs w:val="1"/>
          <w:color w:val="auto"/>
        </w:rPr>
        <w:t>Objectives</w:t>
      </w:r>
      <w:r>
        <w:rPr>
          <w:rFonts w:ascii="Arial" w:cs="Arial" w:eastAsia="Arial" w:hAnsi="Arial"/>
          <w:sz w:val="21"/>
          <w:szCs w:val="21"/>
          <w:color w:val="auto"/>
        </w:rPr>
        <w:t>. This Schlumberger 2017 Omnibus Stock Incentive Plan (this “Plan”) was adopted by Schlumberger</w:t>
      </w:r>
      <w:r>
        <w:rPr>
          <w:rFonts w:ascii="Arial" w:cs="Arial" w:eastAsia="Arial" w:hAnsi="Arial"/>
          <w:sz w:val="21"/>
          <w:szCs w:val="21"/>
          <w:i w:val="1"/>
          <w:iCs w:val="1"/>
          <w:color w:val="auto"/>
        </w:rPr>
        <w:t xml:space="preserve"> </w:t>
      </w:r>
      <w:r>
        <w:rPr>
          <w:rFonts w:ascii="Arial" w:cs="Arial" w:eastAsia="Arial" w:hAnsi="Arial"/>
          <w:sz w:val="21"/>
          <w:szCs w:val="21"/>
          <w:color w:val="auto"/>
        </w:rPr>
        <w:t>Limited (the “Company”)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17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21"/>
          <w:szCs w:val="21"/>
          <w:color w:val="auto"/>
        </w:rPr>
        <w:t>2</w:t>
      </w:r>
      <w:r>
        <w:rPr>
          <w:rFonts w:ascii="Arial" w:cs="Arial" w:eastAsia="Arial" w:hAnsi="Arial"/>
          <w:sz w:val="21"/>
          <w:szCs w:val="21"/>
          <w:i w:val="1"/>
          <w:iCs w:val="1"/>
          <w:color w:val="auto"/>
        </w:rPr>
        <w:t>.</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As used herein, the terms set forth below shall have the following respective meanings:</w:t>
      </w:r>
    </w:p>
    <w:p>
      <w:pPr>
        <w:spacing w:after="0" w:line="210"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21"/>
          <w:szCs w:val="21"/>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169" w:lineRule="exact"/>
        <w:rPr>
          <w:sz w:val="20"/>
          <w:szCs w:val="20"/>
          <w:color w:val="auto"/>
        </w:rPr>
      </w:pPr>
    </w:p>
    <w:p>
      <w:pPr>
        <w:jc w:val="both"/>
        <w:ind w:firstLine="570"/>
        <w:spacing w:after="0" w:line="244" w:lineRule="auto"/>
        <w:rPr>
          <w:sz w:val="20"/>
          <w:szCs w:val="20"/>
          <w:color w:val="auto"/>
        </w:rPr>
      </w:pPr>
      <w:r>
        <w:rPr>
          <w:rFonts w:ascii="Arial" w:cs="Arial" w:eastAsia="Arial" w:hAnsi="Arial"/>
          <w:sz w:val="21"/>
          <w:szCs w:val="21"/>
          <w:color w:val="auto"/>
        </w:rPr>
        <w:t xml:space="preserve">“Award Agreement” means the document (in written or electronic form) communicating the terms, conditions and limitations applicable of an Award. </w:t>
      </w:r>
      <w:r>
        <w:rPr>
          <w:rFonts w:ascii="Arial" w:cs="Arial" w:eastAsia="Arial" w:hAnsi="Arial"/>
          <w:sz w:val="21"/>
          <w:szCs w:val="21"/>
          <w:color w:val="191919"/>
        </w:rPr>
        <w:t>The Committee may, in its discretion, require that the Participant execute such Award Agreement, or may</w:t>
      </w:r>
      <w:r>
        <w:rPr>
          <w:rFonts w:ascii="Arial" w:cs="Arial" w:eastAsia="Arial" w:hAnsi="Arial"/>
          <w:sz w:val="21"/>
          <w:szCs w:val="21"/>
          <w:color w:val="auto"/>
        </w:rPr>
        <w:t xml:space="preserve"> </w:t>
      </w:r>
      <w:r>
        <w:rPr>
          <w:rFonts w:ascii="Arial" w:cs="Arial" w:eastAsia="Arial" w:hAnsi="Arial"/>
          <w:sz w:val="21"/>
          <w:szCs w:val="21"/>
          <w:color w:val="191919"/>
        </w:rPr>
        <w:t>provide for procedures through which Award Agreements are made available but not executed</w:t>
      </w:r>
      <w:r>
        <w:rPr>
          <w:rFonts w:ascii="Arial" w:cs="Arial" w:eastAsia="Arial" w:hAnsi="Arial"/>
          <w:sz w:val="21"/>
          <w:szCs w:val="21"/>
          <w:color w:val="000000"/>
        </w:rPr>
        <w:t>. Any Participant who is granted an</w:t>
      </w:r>
      <w:r>
        <w:rPr>
          <w:rFonts w:ascii="Arial" w:cs="Arial" w:eastAsia="Arial" w:hAnsi="Arial"/>
          <w:sz w:val="21"/>
          <w:szCs w:val="21"/>
          <w:color w:val="191919"/>
        </w:rPr>
        <w:t xml:space="preserve"> </w:t>
      </w:r>
      <w:r>
        <w:rPr>
          <w:rFonts w:ascii="Arial" w:cs="Arial" w:eastAsia="Arial" w:hAnsi="Arial"/>
          <w:sz w:val="21"/>
          <w:szCs w:val="21"/>
          <w:color w:val="000000"/>
        </w:rPr>
        <w:t>Award and who does not affirmatively reject the applicable Award Agreement shall be deemed to have accepted the terms of Award as embodied in the Award Agreement.</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“Board” means the board of directors of the Company.</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“Cash Award” means an Award denominated in cash.</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“Code” means the Internal Revenue Code of 1986, as amended.</w:t>
      </w:r>
    </w:p>
    <w:p>
      <w:pPr>
        <w:spacing w:after="0" w:line="210" w:lineRule="exact"/>
        <w:rPr>
          <w:sz w:val="20"/>
          <w:szCs w:val="20"/>
          <w:color w:val="auto"/>
        </w:rPr>
      </w:pPr>
    </w:p>
    <w:p>
      <w:pPr>
        <w:ind w:right="60" w:firstLine="570"/>
        <w:spacing w:after="0" w:line="252" w:lineRule="auto"/>
        <w:rPr>
          <w:sz w:val="20"/>
          <w:szCs w:val="20"/>
          <w:color w:val="auto"/>
        </w:rPr>
      </w:pPr>
      <w:r>
        <w:rPr>
          <w:rFonts w:ascii="Arial" w:cs="Arial" w:eastAsia="Arial" w:hAnsi="Arial"/>
          <w:sz w:val="21"/>
          <w:szCs w:val="21"/>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21"/>
          <w:szCs w:val="21"/>
          <w:color w:val="auto"/>
        </w:rPr>
        <w:t>“Common Stock” means the common stock, par value $0.01 per share, of the Company.</w:t>
      </w:r>
    </w:p>
    <w:p>
      <w:pPr>
        <w:spacing w:after="0" w:line="210" w:lineRule="exact"/>
        <w:rPr>
          <w:sz w:val="20"/>
          <w:szCs w:val="20"/>
          <w:color w:val="auto"/>
        </w:rPr>
      </w:pPr>
    </w:p>
    <w:p>
      <w:pPr>
        <w:jc w:val="both"/>
        <w:ind w:right="20" w:firstLine="570"/>
        <w:spacing w:after="0" w:line="252" w:lineRule="auto"/>
        <w:rPr>
          <w:sz w:val="20"/>
          <w:szCs w:val="20"/>
          <w:color w:val="auto"/>
        </w:rPr>
      </w:pPr>
      <w:r>
        <w:rPr>
          <w:rFonts w:ascii="Arial" w:cs="Arial" w:eastAsia="Arial" w:hAnsi="Arial"/>
          <w:sz w:val="21"/>
          <w:szCs w:val="21"/>
          <w:color w:val="auto"/>
        </w:rPr>
        <w:t>“Dividend Equivalents” means, with respect to a Stock Award an amount equal to all dividends and other distributions (or the economic equivalent thereof) that are payable to stockholders of record during the Restriction Period on a like number of unrestricted shares of Common Stock.</w:t>
      </w:r>
    </w:p>
    <w:p>
      <w:pPr>
        <w:spacing w:after="0" w:line="169" w:lineRule="exact"/>
        <w:rPr>
          <w:sz w:val="20"/>
          <w:szCs w:val="20"/>
          <w:color w:val="auto"/>
        </w:rPr>
      </w:pPr>
    </w:p>
    <w:p>
      <w:pPr>
        <w:ind w:right="400" w:firstLine="570"/>
        <w:spacing w:after="0" w:line="320" w:lineRule="auto"/>
        <w:rPr>
          <w:sz w:val="20"/>
          <w:szCs w:val="20"/>
          <w:color w:val="auto"/>
        </w:rPr>
      </w:pPr>
      <w:r>
        <w:rPr>
          <w:rFonts w:ascii="Arial" w:cs="Arial" w:eastAsia="Arial" w:hAnsi="Arial"/>
          <w:sz w:val="19"/>
          <w:szCs w:val="19"/>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75" w:name="page176"/>
    <w:bookmarkEnd w:id="175"/>
    <w:p>
      <w:pPr>
        <w:jc w:val="both"/>
        <w:ind w:right="480" w:firstLine="570"/>
        <w:spacing w:after="0" w:line="252" w:lineRule="auto"/>
        <w:rPr>
          <w:sz w:val="20"/>
          <w:szCs w:val="20"/>
          <w:color w:val="auto"/>
        </w:rPr>
      </w:pPr>
      <w:r>
        <w:rPr>
          <w:rFonts w:ascii="Arial" w:cs="Arial" w:eastAsia="Arial" w:hAnsi="Arial"/>
          <w:sz w:val="21"/>
          <w:szCs w:val="21"/>
          <w:color w:val="auto"/>
        </w:rPr>
        <w:t>“Executive Officer” means a “covered employee” within the meaning of Section 162(m)(3) or any other executive officer designated by the Committee for purposes of exempting compensation payable under this Plan from the deduction limitations of Section 162(m).</w:t>
      </w:r>
    </w:p>
    <w:p>
      <w:pPr>
        <w:spacing w:after="0" w:line="169" w:lineRule="exact"/>
        <w:rPr>
          <w:sz w:val="20"/>
          <w:szCs w:val="20"/>
          <w:color w:val="auto"/>
        </w:rPr>
      </w:pPr>
    </w:p>
    <w:p>
      <w:pPr>
        <w:ind w:right="180" w:firstLine="570"/>
        <w:spacing w:after="0" w:line="244" w:lineRule="auto"/>
        <w:rPr>
          <w:sz w:val="20"/>
          <w:szCs w:val="20"/>
          <w:color w:val="auto"/>
        </w:rPr>
      </w:pPr>
      <w:r>
        <w:rPr>
          <w:rFonts w:ascii="Arial" w:cs="Arial" w:eastAsia="Arial" w:hAnsi="Arial"/>
          <w:sz w:val="21"/>
          <w:szCs w:val="21"/>
          <w:color w:val="auto"/>
        </w:rPr>
        <w:t xml:space="preserve">“Fair Market Value” means, with respect to a share of Common Stock on a particular date, the mean between the highest and lowest composite sales price per share of the </w:t>
      </w:r>
      <w:r>
        <w:rPr>
          <w:rFonts w:ascii="Arial" w:cs="Arial" w:eastAsia="Arial" w:hAnsi="Arial"/>
          <w:sz w:val="21"/>
          <w:szCs w:val="21"/>
          <w:color w:val="191919"/>
        </w:rPr>
        <w:t>Common Stock, as reported on the</w:t>
      </w:r>
      <w:r>
        <w:rPr>
          <w:rFonts w:ascii="Arial" w:cs="Arial" w:eastAsia="Arial" w:hAnsi="Arial"/>
          <w:sz w:val="21"/>
          <w:szCs w:val="21"/>
          <w:color w:val="auto"/>
        </w:rPr>
        <w:t xml:space="preserve"> consolidated transaction reporting system </w:t>
      </w:r>
      <w:r>
        <w:rPr>
          <w:rFonts w:ascii="Arial" w:cs="Arial" w:eastAsia="Arial" w:hAnsi="Arial"/>
          <w:sz w:val="21"/>
          <w:szCs w:val="21"/>
          <w:color w:val="191919"/>
        </w:rPr>
        <w:t>for the</w:t>
      </w:r>
      <w:r>
        <w:rPr>
          <w:rFonts w:ascii="Arial" w:cs="Arial" w:eastAsia="Arial" w:hAnsi="Arial"/>
          <w:sz w:val="21"/>
          <w:szCs w:val="21"/>
          <w:color w:val="auto"/>
        </w:rPr>
        <w:t xml:space="preserve"> </w:t>
      </w:r>
      <w:r>
        <w:rPr>
          <w:rFonts w:ascii="Arial" w:cs="Arial" w:eastAsia="Arial" w:hAnsi="Arial"/>
          <w:sz w:val="21"/>
          <w:szCs w:val="21"/>
          <w:color w:val="191919"/>
        </w:rPr>
        <w:t xml:space="preserve">New York Stock Exchange for </w:t>
      </w:r>
      <w:r>
        <w:rPr>
          <w:rFonts w:ascii="Arial" w:cs="Arial" w:eastAsia="Arial" w:hAnsi="Arial"/>
          <w:sz w:val="21"/>
          <w:szCs w:val="21"/>
          <w:color w:val="000000"/>
        </w:rPr>
        <w:t>that date, or, if there shall have been no such reported prices for that date, the reported mean price on</w:t>
      </w:r>
      <w:r>
        <w:rPr>
          <w:rFonts w:ascii="Arial" w:cs="Arial" w:eastAsia="Arial" w:hAnsi="Arial"/>
          <w:sz w:val="21"/>
          <w:szCs w:val="21"/>
          <w:color w:val="191919"/>
        </w:rPr>
        <w:t xml:space="preserve"> </w:t>
      </w:r>
      <w:r>
        <w:rPr>
          <w:rFonts w:ascii="Arial" w:cs="Arial" w:eastAsia="Arial" w:hAnsi="Arial"/>
          <w:sz w:val="21"/>
          <w:szCs w:val="21"/>
          <w:color w:val="000000"/>
        </w:rPr>
        <w:t>the last preceding date on which a composite sale or sales were effected on one or more of the exchanges on which the shares of Common Stock were traded shall be the Fair Market Value.</w:t>
      </w:r>
    </w:p>
    <w:p>
      <w:pPr>
        <w:spacing w:after="0" w:line="180" w:lineRule="exact"/>
        <w:rPr>
          <w:sz w:val="20"/>
          <w:szCs w:val="20"/>
          <w:color w:val="auto"/>
        </w:rPr>
      </w:pPr>
    </w:p>
    <w:p>
      <w:pPr>
        <w:ind w:left="580" w:right="200"/>
        <w:spacing w:after="0" w:line="388" w:lineRule="auto"/>
        <w:rPr>
          <w:sz w:val="20"/>
          <w:szCs w:val="20"/>
          <w:color w:val="auto"/>
        </w:rPr>
      </w:pPr>
      <w:r>
        <w:rPr>
          <w:rFonts w:ascii="Arial" w:cs="Arial" w:eastAsia="Arial" w:hAnsi="Arial"/>
          <w:sz w:val="19"/>
          <w:szCs w:val="19"/>
          <w:color w:val="auto"/>
        </w:rPr>
        <w:t>“Incentive Option” means an Option that is intended to comply with the requirements set forth in Section 422 of the Code. “Non-Qualified Option” means an Option that is not intended to comply with the requirements set forth in Section 422 of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Code.</w:t>
      </w:r>
    </w:p>
    <w:p>
      <w:pPr>
        <w:spacing w:after="0" w:line="192" w:lineRule="exact"/>
        <w:rPr>
          <w:sz w:val="20"/>
          <w:szCs w:val="20"/>
          <w:color w:val="auto"/>
        </w:rPr>
      </w:pPr>
    </w:p>
    <w:p>
      <w:pPr>
        <w:ind w:right="460" w:firstLine="570"/>
        <w:spacing w:after="0" w:line="267" w:lineRule="auto"/>
        <w:rPr>
          <w:sz w:val="20"/>
          <w:szCs w:val="20"/>
          <w:color w:val="auto"/>
        </w:rPr>
      </w:pPr>
      <w:r>
        <w:rPr>
          <w:rFonts w:ascii="Arial" w:cs="Arial" w:eastAsia="Arial" w:hAnsi="Arial"/>
          <w:sz w:val="21"/>
          <w:szCs w:val="21"/>
          <w:color w:val="auto"/>
        </w:rPr>
        <w:t>“Option” means a right to purchase a specified number of shares of Common Stock at a specified price, which is either an Incentive Option or a Non-Qualified Option.</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21"/>
          <w:szCs w:val="21"/>
          <w:color w:val="auto"/>
        </w:rPr>
        <w:t>“Participant” means an Employee to whom an Award has been made under this Plan.</w:t>
      </w:r>
    </w:p>
    <w:p>
      <w:pPr>
        <w:spacing w:after="0" w:line="210" w:lineRule="exact"/>
        <w:rPr>
          <w:sz w:val="20"/>
          <w:szCs w:val="20"/>
          <w:color w:val="auto"/>
        </w:rPr>
      </w:pPr>
    </w:p>
    <w:p>
      <w:pPr>
        <w:ind w:right="80" w:firstLine="570"/>
        <w:spacing w:after="0" w:line="267" w:lineRule="auto"/>
        <w:rPr>
          <w:sz w:val="20"/>
          <w:szCs w:val="20"/>
          <w:color w:val="auto"/>
        </w:rPr>
      </w:pPr>
      <w:r>
        <w:rPr>
          <w:rFonts w:ascii="Arial" w:cs="Arial" w:eastAsia="Arial" w:hAnsi="Arial"/>
          <w:sz w:val="21"/>
          <w:szCs w:val="21"/>
          <w:color w:val="auto"/>
        </w:rPr>
        <w:t>“Performance Award” means an award made pursuant to this Plan to a Participant, which Award is subject to the attainment of one or more Performance Goals.</w:t>
      </w:r>
    </w:p>
    <w:p>
      <w:pPr>
        <w:spacing w:after="0" w:line="153" w:lineRule="exact"/>
        <w:rPr>
          <w:sz w:val="20"/>
          <w:szCs w:val="20"/>
          <w:color w:val="auto"/>
        </w:rPr>
      </w:pPr>
    </w:p>
    <w:p>
      <w:pPr>
        <w:ind w:right="360" w:firstLine="570"/>
        <w:spacing w:after="0" w:line="267" w:lineRule="auto"/>
        <w:rPr>
          <w:sz w:val="20"/>
          <w:szCs w:val="20"/>
          <w:color w:val="auto"/>
        </w:rPr>
      </w:pPr>
      <w:r>
        <w:rPr>
          <w:rFonts w:ascii="Arial" w:cs="Arial" w:eastAsia="Arial" w:hAnsi="Arial"/>
          <w:sz w:val="21"/>
          <w:szCs w:val="21"/>
          <w:color w:val="auto"/>
        </w:rPr>
        <w:t>“Performance Goal” means one or more standards established by the Committee to determine in whole or in part whether a Performance Award shall be earned.</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21"/>
          <w:szCs w:val="21"/>
          <w:color w:val="auto"/>
        </w:rPr>
        <w:t>“Restricted Stock” means any Common Stock that is restricted or subject to forfeiture provisions.</w:t>
      </w:r>
    </w:p>
    <w:p>
      <w:pPr>
        <w:spacing w:after="0" w:line="210" w:lineRule="exact"/>
        <w:rPr>
          <w:sz w:val="20"/>
          <w:szCs w:val="20"/>
          <w:color w:val="auto"/>
        </w:rPr>
      </w:pPr>
    </w:p>
    <w:p>
      <w:pPr>
        <w:ind w:right="600" w:firstLine="570"/>
        <w:spacing w:after="0" w:line="267" w:lineRule="auto"/>
        <w:rPr>
          <w:sz w:val="20"/>
          <w:szCs w:val="20"/>
          <w:color w:val="auto"/>
        </w:rPr>
      </w:pPr>
      <w:r>
        <w:rPr>
          <w:rFonts w:ascii="Arial" w:cs="Arial" w:eastAsia="Arial" w:hAnsi="Arial"/>
          <w:sz w:val="21"/>
          <w:szCs w:val="21"/>
          <w:color w:val="auto"/>
        </w:rPr>
        <w:t>“Restricted Stock Unit” means a unit evidencing the right to receive one share of Common Stock or equivalent value (as determined by the Committee) that is restricted or subject to forfeiture provisions.</w:t>
      </w:r>
    </w:p>
    <w:p>
      <w:pPr>
        <w:spacing w:after="0" w:line="153" w:lineRule="exact"/>
        <w:rPr>
          <w:sz w:val="20"/>
          <w:szCs w:val="20"/>
          <w:color w:val="auto"/>
        </w:rPr>
      </w:pPr>
    </w:p>
    <w:p>
      <w:pPr>
        <w:ind w:right="20" w:firstLine="570"/>
        <w:spacing w:after="0" w:line="252" w:lineRule="auto"/>
        <w:rPr>
          <w:sz w:val="20"/>
          <w:szCs w:val="20"/>
          <w:color w:val="auto"/>
        </w:rPr>
      </w:pPr>
      <w:r>
        <w:rPr>
          <w:rFonts w:ascii="Arial" w:cs="Arial" w:eastAsia="Arial" w:hAnsi="Arial"/>
          <w:sz w:val="21"/>
          <w:szCs w:val="21"/>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“Section 162(m)” means Section 162(m) of the Code and any Treasury Regulations and guidance promulgated thereunder.</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20"/>
          <w:szCs w:val="20"/>
          <w:color w:val="auto"/>
        </w:rPr>
        <w:t>“Section 409A” means Section 409A of the Code and any Treasury Regulations and guidance promulgated thereunder.</w:t>
      </w:r>
    </w:p>
    <w:p>
      <w:pPr>
        <w:spacing w:after="0" w:line="221" w:lineRule="exact"/>
        <w:rPr>
          <w:sz w:val="20"/>
          <w:szCs w:val="20"/>
          <w:color w:val="auto"/>
        </w:rPr>
      </w:pPr>
    </w:p>
    <w:p>
      <w:pPr>
        <w:ind w:firstLine="570"/>
        <w:spacing w:after="0" w:line="252" w:lineRule="auto"/>
        <w:rPr>
          <w:sz w:val="20"/>
          <w:szCs w:val="20"/>
          <w:color w:val="auto"/>
        </w:rPr>
      </w:pPr>
      <w:r>
        <w:rPr>
          <w:rFonts w:ascii="Arial" w:cs="Arial" w:eastAsia="Arial" w:hAnsi="Arial"/>
          <w:sz w:val="21"/>
          <w:szCs w:val="21"/>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556" w:right="259" w:bottom="1440" w:gutter="0" w:footer="0" w:header="0"/>
        </w:sectPr>
      </w:pPr>
    </w:p>
    <w:bookmarkStart w:id="176" w:name="page177"/>
    <w:bookmarkEnd w:id="176"/>
    <w:p>
      <w:pPr>
        <w:ind w:right="400" w:firstLine="570"/>
        <w:spacing w:after="0" w:line="252" w:lineRule="auto"/>
        <w:rPr>
          <w:sz w:val="20"/>
          <w:szCs w:val="20"/>
          <w:color w:val="auto"/>
        </w:rPr>
      </w:pPr>
      <w:r>
        <w:rPr>
          <w:rFonts w:ascii="Arial" w:cs="Arial" w:eastAsia="Arial" w:hAnsi="Arial"/>
          <w:sz w:val="21"/>
          <w:szCs w:val="21"/>
          <w:color w:val="auto"/>
        </w:rPr>
        <w:t>“Stock Award” means an award in the form of shares of Common Stock or units denominated in shares of Common Stock, including Restricted Stock or Restricted Stock Units, and which may be structured in the form of a Performance Award. For the avoidance of doubt, a Stock Award does not include an Option or SAR.</w:t>
      </w:r>
    </w:p>
    <w:p>
      <w:pPr>
        <w:spacing w:after="0" w:line="169" w:lineRule="exact"/>
        <w:rPr>
          <w:sz w:val="20"/>
          <w:szCs w:val="20"/>
          <w:color w:val="auto"/>
        </w:rPr>
      </w:pPr>
    </w:p>
    <w:p>
      <w:pPr>
        <w:ind w:right="20" w:firstLine="570"/>
        <w:spacing w:after="0" w:line="247" w:lineRule="auto"/>
        <w:rPr>
          <w:sz w:val="20"/>
          <w:szCs w:val="20"/>
          <w:color w:val="auto"/>
        </w:rPr>
      </w:pPr>
      <w:r>
        <w:rPr>
          <w:rFonts w:ascii="Arial" w:cs="Arial" w:eastAsia="Arial" w:hAnsi="Arial"/>
          <w:sz w:val="21"/>
          <w:szCs w:val="21"/>
          <w:color w:val="191919"/>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4" w:lineRule="exact"/>
        <w:rPr>
          <w:sz w:val="20"/>
          <w:szCs w:val="20"/>
          <w:color w:val="auto"/>
        </w:rPr>
      </w:pPr>
    </w:p>
    <w:p>
      <w:pPr>
        <w:jc w:val="both"/>
        <w:ind w:firstLine="570"/>
        <w:spacing w:after="0" w:line="247" w:lineRule="auto"/>
        <w:rPr>
          <w:sz w:val="20"/>
          <w:szCs w:val="20"/>
          <w:color w:val="auto"/>
        </w:rPr>
      </w:pPr>
      <w:r>
        <w:rPr>
          <w:rFonts w:ascii="Arial" w:cs="Arial" w:eastAsia="Arial" w:hAnsi="Arial"/>
          <w:sz w:val="21"/>
          <w:szCs w:val="21"/>
          <w:color w:val="auto"/>
        </w:rPr>
        <w:t>3</w:t>
      </w:r>
      <w:r>
        <w:rPr>
          <w:rFonts w:ascii="Arial" w:cs="Arial" w:eastAsia="Arial" w:hAnsi="Arial"/>
          <w:sz w:val="21"/>
          <w:szCs w:val="21"/>
          <w:i w:val="1"/>
          <w:iCs w:val="1"/>
          <w:color w:val="auto"/>
        </w:rPr>
        <w:t>. Eligibility</w:t>
      </w:r>
      <w:r>
        <w:rPr>
          <w:rFonts w:ascii="Arial" w:cs="Arial" w:eastAsia="Arial" w:hAnsi="Arial"/>
          <w:sz w:val="21"/>
          <w:szCs w:val="21"/>
          <w:color w:val="auto"/>
        </w:rPr>
        <w:t>. All Employees of the Company or a Subsidiary are eligible for Awards under this Plan in the sole discretion of the Committee.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174" w:lineRule="exact"/>
        <w:rPr>
          <w:sz w:val="20"/>
          <w:szCs w:val="20"/>
          <w:color w:val="auto"/>
        </w:rPr>
      </w:pPr>
    </w:p>
    <w:p>
      <w:pPr>
        <w:jc w:val="both"/>
        <w:ind w:firstLine="570"/>
        <w:spacing w:after="0" w:line="247" w:lineRule="auto"/>
        <w:rPr>
          <w:sz w:val="20"/>
          <w:szCs w:val="20"/>
          <w:color w:val="auto"/>
        </w:rPr>
      </w:pPr>
      <w:r>
        <w:rPr>
          <w:rFonts w:ascii="Arial" w:cs="Arial" w:eastAsia="Arial" w:hAnsi="Arial"/>
          <w:sz w:val="21"/>
          <w:szCs w:val="21"/>
          <w:color w:val="auto"/>
        </w:rPr>
        <w:t>4</w:t>
      </w:r>
      <w:r>
        <w:rPr>
          <w:rFonts w:ascii="Arial" w:cs="Arial" w:eastAsia="Arial" w:hAnsi="Arial"/>
          <w:sz w:val="21"/>
          <w:szCs w:val="21"/>
          <w:i w:val="1"/>
          <w:iCs w:val="1"/>
          <w:color w:val="auto"/>
        </w:rPr>
        <w:t>. Common Stock Available for Awards</w:t>
      </w:r>
      <w:r>
        <w:rPr>
          <w:rFonts w:ascii="Arial" w:cs="Arial" w:eastAsia="Arial" w:hAnsi="Arial"/>
          <w:sz w:val="21"/>
          <w:szCs w:val="21"/>
          <w:color w:val="auto"/>
        </w:rPr>
        <w:t>. Subject to the provisions of paragraph 13 hereof, there shall be available for Awards under this Plan granted wholly or partly in Common Stock (including rights or options that may be exercised for or settled in Common Stock) an aggregate of 30 million shares of Common Stock. In the sole discretion of the Committee, 30 million shares of Common Stock may be granted as Incentive Options.</w:t>
      </w:r>
    </w:p>
    <w:p>
      <w:pPr>
        <w:spacing w:after="0" w:line="174" w:lineRule="exact"/>
        <w:rPr>
          <w:sz w:val="20"/>
          <w:szCs w:val="20"/>
          <w:color w:val="auto"/>
        </w:rPr>
      </w:pPr>
    </w:p>
    <w:p>
      <w:pPr>
        <w:jc w:val="both"/>
        <w:ind w:firstLine="576"/>
        <w:spacing w:after="0" w:line="241" w:lineRule="auto"/>
        <w:tabs>
          <w:tab w:leader="none" w:pos="1434" w:val="left"/>
        </w:tabs>
        <w:numPr>
          <w:ilvl w:val="0"/>
          <w:numId w:val="187"/>
        </w:numPr>
        <w:rPr>
          <w:rFonts w:ascii="Arial" w:cs="Arial" w:eastAsia="Arial" w:hAnsi="Arial"/>
          <w:sz w:val="21"/>
          <w:szCs w:val="21"/>
          <w:color w:val="auto"/>
        </w:rPr>
      </w:pPr>
      <w:r>
        <w:rPr>
          <w:rFonts w:ascii="Arial" w:cs="Arial" w:eastAsia="Arial" w:hAnsi="Arial"/>
          <w:sz w:val="21"/>
          <w:szCs w:val="21"/>
          <w:color w:val="auto"/>
        </w:rPr>
        <w:t>In connection with the granting of an Award, the number of shares of Common Stock available for issuance under this Plan shall be reduced by the number of shares of Common Stock in respect of which the Option or Award is granted or denominated. For example, upon the grant of stock-settled SARs, the number of shares of Common Stock available for issuance under this Plan shall be reduced by the full number of SARs granted, and the number of shares of Common Stock available for issuance under this Plan shall not 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shall not reduce the number of shares of Common Stock available for issuance under this Plan.</w:t>
      </w:r>
    </w:p>
    <w:p>
      <w:pPr>
        <w:spacing w:after="0" w:line="183" w:lineRule="exact"/>
        <w:rPr>
          <w:rFonts w:ascii="Arial" w:cs="Arial" w:eastAsia="Arial" w:hAnsi="Arial"/>
          <w:sz w:val="21"/>
          <w:szCs w:val="21"/>
          <w:color w:val="auto"/>
        </w:rPr>
      </w:pPr>
    </w:p>
    <w:p>
      <w:pPr>
        <w:jc w:val="both"/>
        <w:ind w:firstLine="576"/>
        <w:spacing w:after="0" w:line="252" w:lineRule="auto"/>
        <w:tabs>
          <w:tab w:leader="none" w:pos="1446"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Any shares of Common Stock that are tendered by a Participant or withheld as full or partial payment of withholding or other taxes or as payment for the exercise or conversion price of an Option or SAR under this Plan shall not be added back to the number of shares of Common Stock available for issuance under this Plan.</w:t>
      </w:r>
    </w:p>
    <w:p>
      <w:pPr>
        <w:spacing w:after="0" w:line="168" w:lineRule="exact"/>
        <w:rPr>
          <w:rFonts w:ascii="Arial" w:cs="Arial" w:eastAsia="Arial" w:hAnsi="Arial"/>
          <w:sz w:val="21"/>
          <w:szCs w:val="21"/>
          <w:color w:val="auto"/>
        </w:rPr>
      </w:pPr>
    </w:p>
    <w:p>
      <w:pPr>
        <w:jc w:val="both"/>
        <w:ind w:firstLine="576"/>
        <w:spacing w:after="0" w:line="243" w:lineRule="auto"/>
        <w:tabs>
          <w:tab w:leader="none" w:pos="1434" w:val="left"/>
        </w:tabs>
        <w:numPr>
          <w:ilvl w:val="0"/>
          <w:numId w:val="187"/>
        </w:numPr>
        <w:rPr>
          <w:rFonts w:ascii="Arial" w:cs="Arial" w:eastAsia="Arial" w:hAnsi="Arial"/>
          <w:sz w:val="21"/>
          <w:szCs w:val="21"/>
          <w:color w:val="auto"/>
        </w:rPr>
      </w:pPr>
      <w:r>
        <w:rPr>
          <w:rFonts w:ascii="Arial" w:cs="Arial" w:eastAsia="Arial" w:hAnsi="Arial"/>
          <w:sz w:val="21"/>
          <w:szCs w:val="21"/>
          <w:color w:val="auto"/>
        </w:rPr>
        <w:t>Whenever any outstanding Award (or portion thereof) expires, is cancelled or forfeited or is otherwise terminated for any reason without having been exercised or payment having been made in the form of shares of Common Stock, the number of shares of Common Stock available for issuance under this Plan shall be increased by the number of shares of Common Stock allocable to the expired, forfeited, cancelled or otherwise terminated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77" w:name="page178"/>
    <w:bookmarkEnd w:id="177"/>
    <w:p>
      <w:pPr>
        <w:jc w:val="both"/>
        <w:ind w:firstLine="576"/>
        <w:spacing w:after="0" w:line="243" w:lineRule="auto"/>
        <w:tabs>
          <w:tab w:leader="none" w:pos="1446" w:val="left"/>
        </w:tabs>
        <w:numPr>
          <w:ilvl w:val="0"/>
          <w:numId w:val="188"/>
        </w:numPr>
        <w:rPr>
          <w:rFonts w:ascii="Arial" w:cs="Arial" w:eastAsia="Arial" w:hAnsi="Arial"/>
          <w:sz w:val="21"/>
          <w:szCs w:val="21"/>
          <w:color w:val="auto"/>
        </w:rPr>
      </w:pPr>
      <w:r>
        <w:rPr>
          <w:rFonts w:ascii="Arial" w:cs="Arial" w:eastAsia="Arial" w:hAnsi="Arial"/>
          <w:sz w:val="21"/>
          <w:szCs w:val="21"/>
          <w:color w:val="auto"/>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w:t>
      </w:r>
    </w:p>
    <w:p>
      <w:pPr>
        <w:spacing w:after="0" w:line="178" w:lineRule="exact"/>
        <w:rPr>
          <w:rFonts w:ascii="Arial" w:cs="Arial" w:eastAsia="Arial" w:hAnsi="Arial"/>
          <w:sz w:val="21"/>
          <w:szCs w:val="21"/>
          <w:color w:val="auto"/>
        </w:rPr>
      </w:pPr>
    </w:p>
    <w:p>
      <w:pPr>
        <w:ind w:firstLine="576"/>
        <w:spacing w:after="0" w:line="267" w:lineRule="auto"/>
        <w:tabs>
          <w:tab w:leader="none" w:pos="1434" w:val="left"/>
        </w:tabs>
        <w:numPr>
          <w:ilvl w:val="0"/>
          <w:numId w:val="188"/>
        </w:numPr>
        <w:rPr>
          <w:rFonts w:ascii="Arial" w:cs="Arial" w:eastAsia="Arial" w:hAnsi="Arial"/>
          <w:sz w:val="21"/>
          <w:szCs w:val="21"/>
          <w:color w:val="auto"/>
        </w:rPr>
      </w:pPr>
      <w:r>
        <w:rPr>
          <w:rFonts w:ascii="Arial" w:cs="Arial" w:eastAsia="Arial" w:hAnsi="Arial"/>
          <w:sz w:val="21"/>
          <w:szCs w:val="21"/>
          <w:color w:val="auto"/>
        </w:rPr>
        <w:t>Awards valued by reference to Common Stock that may be settled in equivalent cash value will count as shares of Common Stock delivered to the same extent as if the Award were settled in shares of Common Stock.</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shall be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168" w:lineRule="exact"/>
        <w:rPr>
          <w:sz w:val="20"/>
          <w:szCs w:val="20"/>
          <w:color w:val="auto"/>
        </w:rPr>
      </w:pPr>
    </w:p>
    <w:p>
      <w:pPr>
        <w:ind w:left="1380" w:hanging="804"/>
        <w:spacing w:after="0"/>
        <w:tabs>
          <w:tab w:leader="none" w:pos="1380" w:val="left"/>
        </w:tabs>
        <w:numPr>
          <w:ilvl w:val="0"/>
          <w:numId w:val="189"/>
        </w:numPr>
        <w:rPr>
          <w:rFonts w:ascii="Arial" w:cs="Arial" w:eastAsia="Arial" w:hAnsi="Arial"/>
          <w:sz w:val="21"/>
          <w:szCs w:val="21"/>
          <w:color w:val="auto"/>
        </w:rPr>
      </w:pPr>
      <w:r>
        <w:rPr>
          <w:rFonts w:ascii="Arial" w:cs="Arial" w:eastAsia="Arial" w:hAnsi="Arial"/>
          <w:sz w:val="21"/>
          <w:szCs w:val="21"/>
          <w:i w:val="1"/>
          <w:iCs w:val="1"/>
          <w:color w:val="auto"/>
        </w:rPr>
        <w:t>Administration</w:t>
      </w:r>
      <w:r>
        <w:rPr>
          <w:rFonts w:ascii="Arial" w:cs="Arial" w:eastAsia="Arial" w:hAnsi="Arial"/>
          <w:sz w:val="21"/>
          <w:szCs w:val="21"/>
          <w:color w:val="auto"/>
        </w:rPr>
        <w:t>.</w:t>
      </w:r>
    </w:p>
    <w:p>
      <w:pPr>
        <w:spacing w:after="0" w:line="210" w:lineRule="exact"/>
        <w:rPr>
          <w:sz w:val="20"/>
          <w:szCs w:val="20"/>
          <w:color w:val="auto"/>
        </w:rPr>
      </w:pPr>
    </w:p>
    <w:p>
      <w:pPr>
        <w:ind w:firstLine="576"/>
        <w:spacing w:after="0" w:line="267" w:lineRule="auto"/>
        <w:tabs>
          <w:tab w:leader="none" w:pos="1434" w:val="left"/>
        </w:tabs>
        <w:numPr>
          <w:ilvl w:val="1"/>
          <w:numId w:val="190"/>
        </w:numPr>
        <w:rPr>
          <w:rFonts w:ascii="Arial" w:cs="Arial" w:eastAsia="Arial" w:hAnsi="Arial"/>
          <w:sz w:val="21"/>
          <w:szCs w:val="21"/>
          <w:color w:val="auto"/>
        </w:rPr>
      </w:pPr>
      <w:r>
        <w:rPr>
          <w:rFonts w:ascii="Arial" w:cs="Arial" w:eastAsia="Arial" w:hAnsi="Arial"/>
          <w:sz w:val="21"/>
          <w:szCs w:val="21"/>
          <w:i w:val="1"/>
          <w:iCs w:val="1"/>
          <w:color w:val="auto"/>
        </w:rPr>
        <w:t>Authority of the Committee</w:t>
      </w:r>
      <w:r>
        <w:rPr>
          <w:rFonts w:ascii="Arial" w:cs="Arial" w:eastAsia="Arial" w:hAnsi="Arial"/>
          <w:sz w:val="21"/>
          <w:szCs w:val="21"/>
          <w:color w:val="auto"/>
        </w:rPr>
        <w:t>. This Plan shall be administered by the Committee, which shall have the powers vested in it</w:t>
      </w:r>
      <w:r>
        <w:rPr>
          <w:rFonts w:ascii="Arial" w:cs="Arial" w:eastAsia="Arial" w:hAnsi="Arial"/>
          <w:sz w:val="21"/>
          <w:szCs w:val="21"/>
          <w:i w:val="1"/>
          <w:iCs w:val="1"/>
          <w:color w:val="auto"/>
        </w:rPr>
        <w:t xml:space="preserve"> </w:t>
      </w:r>
      <w:r>
        <w:rPr>
          <w:rFonts w:ascii="Arial" w:cs="Arial" w:eastAsia="Arial" w:hAnsi="Arial"/>
          <w:sz w:val="21"/>
          <w:szCs w:val="21"/>
          <w:color w:val="auto"/>
        </w:rPr>
        <w:t>by the terms of this Plan, such powers to include the authority (within the limitations described in this Plan):</w:t>
      </w:r>
    </w:p>
    <w:p>
      <w:pPr>
        <w:spacing w:after="0" w:line="152" w:lineRule="exact"/>
        <w:rPr>
          <w:rFonts w:ascii="Arial" w:cs="Arial" w:eastAsia="Arial" w:hAnsi="Arial"/>
          <w:sz w:val="21"/>
          <w:szCs w:val="21"/>
          <w:color w:val="auto"/>
        </w:rPr>
      </w:pPr>
    </w:p>
    <w:p>
      <w:pPr>
        <w:ind w:left="1120" w:hanging="556"/>
        <w:spacing w:after="0"/>
        <w:tabs>
          <w:tab w:leader="none" w:pos="11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to select the Employees to be granted Awards under this Plan;</w:t>
      </w:r>
    </w:p>
    <w:p>
      <w:pPr>
        <w:spacing w:after="0" w:line="209" w:lineRule="exact"/>
        <w:rPr>
          <w:rFonts w:ascii="Arial" w:cs="Arial" w:eastAsia="Arial" w:hAnsi="Arial"/>
          <w:sz w:val="21"/>
          <w:szCs w:val="21"/>
          <w:color w:val="auto"/>
        </w:rPr>
      </w:pPr>
    </w:p>
    <w:p>
      <w:pPr>
        <w:ind w:left="1120" w:hanging="556"/>
        <w:spacing w:after="0"/>
        <w:tabs>
          <w:tab w:leader="none" w:pos="11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to determine the terms of Awards to be made to each Participant;</w:t>
      </w:r>
    </w:p>
    <w:p>
      <w:pPr>
        <w:spacing w:after="0" w:line="209" w:lineRule="exact"/>
        <w:rPr>
          <w:rFonts w:ascii="Arial" w:cs="Arial" w:eastAsia="Arial" w:hAnsi="Arial"/>
          <w:sz w:val="21"/>
          <w:szCs w:val="21"/>
          <w:color w:val="auto"/>
        </w:rPr>
      </w:pPr>
    </w:p>
    <w:p>
      <w:pPr>
        <w:ind w:left="1120" w:hanging="556"/>
        <w:spacing w:after="0" w:line="267" w:lineRule="auto"/>
        <w:tabs>
          <w:tab w:leader="none" w:pos="11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to determine the time when Awards are to be granted and any conditions that must be satisfied before an Award is granted;</w:t>
      </w:r>
    </w:p>
    <w:p>
      <w:pPr>
        <w:spacing w:after="0" w:line="152" w:lineRule="exact"/>
        <w:rPr>
          <w:rFonts w:ascii="Arial" w:cs="Arial" w:eastAsia="Arial" w:hAnsi="Arial"/>
          <w:sz w:val="21"/>
          <w:szCs w:val="21"/>
          <w:color w:val="auto"/>
        </w:rPr>
      </w:pPr>
    </w:p>
    <w:p>
      <w:pPr>
        <w:ind w:left="1120" w:hanging="556"/>
        <w:spacing w:after="0"/>
        <w:tabs>
          <w:tab w:leader="none" w:pos="11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to establish objectives and conditions for earning Awards;</w:t>
      </w:r>
    </w:p>
    <w:p>
      <w:pPr>
        <w:spacing w:after="0" w:line="209" w:lineRule="exact"/>
        <w:rPr>
          <w:rFonts w:ascii="Arial" w:cs="Arial" w:eastAsia="Arial" w:hAnsi="Arial"/>
          <w:sz w:val="21"/>
          <w:szCs w:val="21"/>
          <w:color w:val="auto"/>
        </w:rPr>
      </w:pPr>
    </w:p>
    <w:p>
      <w:pPr>
        <w:ind w:left="1120" w:hanging="556"/>
        <w:spacing w:after="0" w:line="267" w:lineRule="auto"/>
        <w:tabs>
          <w:tab w:leader="none" w:pos="11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to determine the terms and conditions of Award Agreements (which shall not be inconsistent with this Plan) and which parties must sign each Award Agreement;</w:t>
      </w:r>
    </w:p>
    <w:p>
      <w:pPr>
        <w:spacing w:after="0" w:line="152" w:lineRule="exact"/>
        <w:rPr>
          <w:rFonts w:ascii="Arial" w:cs="Arial" w:eastAsia="Arial" w:hAnsi="Arial"/>
          <w:sz w:val="21"/>
          <w:szCs w:val="21"/>
          <w:color w:val="auto"/>
        </w:rPr>
      </w:pPr>
    </w:p>
    <w:p>
      <w:pPr>
        <w:ind w:left="1120" w:hanging="556"/>
        <w:spacing w:after="0" w:line="267" w:lineRule="auto"/>
        <w:tabs>
          <w:tab w:leader="none" w:pos="11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to determine whether the conditions for earning an Award have been met and whether a Performance Award will be paid at the end of an applicable performance period;</w:t>
      </w:r>
    </w:p>
    <w:p>
      <w:pPr>
        <w:spacing w:after="0" w:line="152" w:lineRule="exact"/>
        <w:rPr>
          <w:rFonts w:ascii="Arial" w:cs="Arial" w:eastAsia="Arial" w:hAnsi="Arial"/>
          <w:sz w:val="21"/>
          <w:szCs w:val="21"/>
          <w:color w:val="auto"/>
        </w:rPr>
      </w:pPr>
    </w:p>
    <w:p>
      <w:pPr>
        <w:ind w:left="1120" w:hanging="556"/>
        <w:spacing w:after="0"/>
        <w:tabs>
          <w:tab w:leader="none" w:pos="11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except as otherwise provided in paragraphs 7(a) and 11, to modify the terms of Awards made under this Plan;</w:t>
      </w:r>
    </w:p>
    <w:p>
      <w:pPr>
        <w:spacing w:after="0" w:line="209" w:lineRule="exact"/>
        <w:rPr>
          <w:rFonts w:ascii="Arial" w:cs="Arial" w:eastAsia="Arial" w:hAnsi="Arial"/>
          <w:sz w:val="21"/>
          <w:szCs w:val="21"/>
          <w:color w:val="auto"/>
        </w:rPr>
      </w:pPr>
    </w:p>
    <w:p>
      <w:pPr>
        <w:ind w:left="1120" w:hanging="556"/>
        <w:spacing w:after="0"/>
        <w:tabs>
          <w:tab w:leader="none" w:pos="112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to determine if, when and under what conditions payment of all or any part of an Award may be deferred;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78" w:name="page179"/>
    <w:bookmarkEnd w:id="178"/>
    <w:p>
      <w:pPr>
        <w:ind w:left="1120" w:hanging="556"/>
        <w:spacing w:after="0"/>
        <w:tabs>
          <w:tab w:leader="none" w:pos="112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to determine whether the amount or payment of an Award should be reduced or eliminated;</w:t>
      </w:r>
    </w:p>
    <w:p>
      <w:pPr>
        <w:spacing w:after="0" w:line="209" w:lineRule="exact"/>
        <w:rPr>
          <w:rFonts w:ascii="Arial" w:cs="Arial" w:eastAsia="Arial" w:hAnsi="Arial"/>
          <w:sz w:val="21"/>
          <w:szCs w:val="21"/>
          <w:color w:val="auto"/>
        </w:rPr>
      </w:pPr>
    </w:p>
    <w:p>
      <w:pPr>
        <w:ind w:left="1120" w:hanging="556"/>
        <w:spacing w:after="0"/>
        <w:tabs>
          <w:tab w:leader="none" w:pos="112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to determine the guidelines and/or procedures for the payment or exercise of Awards; and</w:t>
      </w:r>
    </w:p>
    <w:p>
      <w:pPr>
        <w:spacing w:after="0" w:line="209" w:lineRule="exact"/>
        <w:rPr>
          <w:rFonts w:ascii="Arial" w:cs="Arial" w:eastAsia="Arial" w:hAnsi="Arial"/>
          <w:sz w:val="21"/>
          <w:szCs w:val="21"/>
          <w:color w:val="auto"/>
        </w:rPr>
      </w:pPr>
    </w:p>
    <w:p>
      <w:pPr>
        <w:jc w:val="both"/>
        <w:ind w:left="1120" w:hanging="556"/>
        <w:spacing w:after="0" w:line="252" w:lineRule="auto"/>
        <w:tabs>
          <w:tab w:leader="none" w:pos="112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to determine whether a Performance Award should qualify, regardless of its amount, as deductible in its entirety for federal income tax purposes, including whether a Performance Award granted to an Executive Officer should qualify as performance- based compensation.</w:t>
      </w:r>
    </w:p>
    <w:p>
      <w:pPr>
        <w:spacing w:after="0" w:line="16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The Committee may correct any defect or supply any omission or reconcile any inconsistency in this Plan or in any Award in the manner and to the extent the Committee deems necessary or desirable to further Plan purposes or so as to avoid unanticipated consequences or address unanticipated events (including any temporary closure of a stock exchange on which the Common Stock is traded, disruption of communications or natural catastrophe) deemed by the Committee to be inconsistent with the purposes of the Plan or any Award Agreement, provided that no such action shall be taken absent stockholder approval to the extent required under Section 11. Any decision of the Committee in the interpretation and administration of this Plan shall lie within its sole discretion and shall be final, conclusive and binding on all parties concerned. All decisions and selections made by the Committee pursuant to the provisions of the Plan shall be made by a majority of its members unless subject to the Committee’s delegation of authority pursuant to paragraph 6 herein.</w:t>
      </w:r>
    </w:p>
    <w:p>
      <w:pPr>
        <w:spacing w:after="0" w:line="180" w:lineRule="exact"/>
        <w:rPr>
          <w:sz w:val="20"/>
          <w:szCs w:val="20"/>
          <w:color w:val="auto"/>
        </w:rPr>
      </w:pPr>
    </w:p>
    <w:p>
      <w:pPr>
        <w:jc w:val="both"/>
        <w:ind w:firstLine="576"/>
        <w:spacing w:after="0" w:line="247" w:lineRule="auto"/>
        <w:tabs>
          <w:tab w:leader="none" w:pos="1446" w:val="left"/>
        </w:tabs>
        <w:numPr>
          <w:ilvl w:val="0"/>
          <w:numId w:val="192"/>
        </w:numPr>
        <w:rPr>
          <w:rFonts w:ascii="Arial" w:cs="Arial" w:eastAsia="Arial" w:hAnsi="Arial"/>
          <w:sz w:val="21"/>
          <w:szCs w:val="21"/>
          <w:color w:val="auto"/>
        </w:rPr>
      </w:pPr>
      <w:r>
        <w:rPr>
          <w:rFonts w:ascii="Arial" w:cs="Arial" w:eastAsia="Arial" w:hAnsi="Arial"/>
          <w:sz w:val="21"/>
          <w:szCs w:val="21"/>
          <w:i w:val="1"/>
          <w:iCs w:val="1"/>
          <w:color w:val="auto"/>
        </w:rPr>
        <w:t>Limitation of Liability</w:t>
      </w:r>
      <w:r>
        <w:rPr>
          <w:rFonts w:ascii="Arial" w:cs="Arial" w:eastAsia="Arial" w:hAnsi="Arial"/>
          <w:sz w:val="21"/>
          <w:szCs w:val="21"/>
          <w:color w:val="auto"/>
        </w:rPr>
        <w:t>. No member of the Committee or officer of the Company to whom the Committee has delegated</w:t>
      </w:r>
      <w:r>
        <w:rPr>
          <w:rFonts w:ascii="Arial" w:cs="Arial" w:eastAsia="Arial" w:hAnsi="Arial"/>
          <w:sz w:val="21"/>
          <w:szCs w:val="21"/>
          <w:i w:val="1"/>
          <w:iCs w:val="1"/>
          <w:color w:val="auto"/>
        </w:rPr>
        <w:t xml:space="preserve"> </w:t>
      </w:r>
      <w:r>
        <w:rPr>
          <w:rFonts w:ascii="Arial" w:cs="Arial" w:eastAsia="Arial" w:hAnsi="Arial"/>
          <w:sz w:val="21"/>
          <w:szCs w:val="21"/>
          <w:color w:val="auto"/>
        </w:rPr>
        <w:t>authority in accordance with the provisions of paragraph 6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74" w:lineRule="exact"/>
        <w:rPr>
          <w:rFonts w:ascii="Arial" w:cs="Arial" w:eastAsia="Arial" w:hAnsi="Arial"/>
          <w:sz w:val="21"/>
          <w:szCs w:val="21"/>
          <w:color w:val="auto"/>
        </w:rPr>
      </w:pPr>
    </w:p>
    <w:p>
      <w:pPr>
        <w:jc w:val="both"/>
        <w:ind w:firstLine="576"/>
        <w:spacing w:after="0" w:line="255" w:lineRule="auto"/>
        <w:tabs>
          <w:tab w:leader="none" w:pos="1434" w:val="left"/>
        </w:tabs>
        <w:numPr>
          <w:ilvl w:val="0"/>
          <w:numId w:val="192"/>
        </w:numPr>
        <w:rPr>
          <w:rFonts w:ascii="Arial" w:cs="Arial" w:eastAsia="Arial" w:hAnsi="Arial"/>
          <w:sz w:val="20"/>
          <w:szCs w:val="20"/>
          <w:color w:val="auto"/>
        </w:rPr>
      </w:pPr>
      <w:r>
        <w:rPr>
          <w:rFonts w:ascii="Arial" w:cs="Arial" w:eastAsia="Arial" w:hAnsi="Arial"/>
          <w:sz w:val="20"/>
          <w:szCs w:val="20"/>
          <w:i w:val="1"/>
          <w:iCs w:val="1"/>
          <w:color w:val="auto"/>
        </w:rPr>
        <w:t>Prohibition on Repricing of Awards</w:t>
      </w:r>
      <w:r>
        <w:rPr>
          <w:rFonts w:ascii="Arial" w:cs="Arial" w:eastAsia="Arial" w:hAnsi="Arial"/>
          <w:sz w:val="20"/>
          <w:szCs w:val="20"/>
          <w:color w:val="auto"/>
        </w:rPr>
        <w:t>. Other than in connection with a change in the Company’s capitalization (as</w:t>
      </w:r>
      <w:r>
        <w:rPr>
          <w:rFonts w:ascii="Arial" w:cs="Arial" w:eastAsia="Arial" w:hAnsi="Arial"/>
          <w:sz w:val="20"/>
          <w:szCs w:val="20"/>
          <w:i w:val="1"/>
          <w:iCs w:val="1"/>
          <w:color w:val="auto"/>
        </w:rPr>
        <w:t xml:space="preserve"> </w:t>
      </w:r>
      <w:r>
        <w:rPr>
          <w:rFonts w:ascii="Arial" w:cs="Arial" w:eastAsia="Arial" w:hAnsi="Arial"/>
          <w:sz w:val="20"/>
          <w:szCs w:val="20"/>
          <w:color w:val="auto"/>
        </w:rPr>
        <w:t>described in Section 13), the Company shall not, without stockholder approval, (i) reduce the exercise price of outstanding Options or SARs or (ii) cancel, exchange, substitute, buyout or surrender outstanding Options or SARs in exchange for cash or other Awards when the exercise price of the original Options or SARs exceeds the Fair Market Value of a share of Common Stock, (iii) take any other action with respect to an Option or SAR that would be treated as a repricing under the rules and regulations of the principal national securities exchange on which the shares of Common Stock are listed or (iv) permit the grant of any Options or SARs that contains a so-called “reload” feature under which additional Options, SARs or other Awards are granted automatically to the Participant upon exercise of the original Option or SAR.</w:t>
      </w:r>
    </w:p>
    <w:p>
      <w:pPr>
        <w:spacing w:after="0" w:line="169" w:lineRule="exact"/>
        <w:rPr>
          <w:sz w:val="20"/>
          <w:szCs w:val="20"/>
          <w:color w:val="auto"/>
        </w:rPr>
      </w:pPr>
    </w:p>
    <w:p>
      <w:pPr>
        <w:jc w:val="both"/>
        <w:ind w:firstLine="576"/>
        <w:spacing w:after="0" w:line="247" w:lineRule="auto"/>
        <w:tabs>
          <w:tab w:leader="none" w:pos="1366" w:val="left"/>
        </w:tabs>
        <w:numPr>
          <w:ilvl w:val="0"/>
          <w:numId w:val="193"/>
        </w:numPr>
        <w:rPr>
          <w:rFonts w:ascii="Arial" w:cs="Arial" w:eastAsia="Arial" w:hAnsi="Arial"/>
          <w:sz w:val="21"/>
          <w:szCs w:val="21"/>
          <w:color w:val="auto"/>
        </w:rPr>
      </w:pPr>
      <w:r>
        <w:rPr>
          <w:rFonts w:ascii="Arial" w:cs="Arial" w:eastAsia="Arial" w:hAnsi="Arial"/>
          <w:sz w:val="21"/>
          <w:szCs w:val="21"/>
          <w:i w:val="1"/>
          <w:iCs w:val="1"/>
          <w:color w:val="auto"/>
        </w:rPr>
        <w:t>Delegation of Authority</w:t>
      </w:r>
      <w:r>
        <w:rPr>
          <w:rFonts w:ascii="Arial" w:cs="Arial" w:eastAsia="Arial" w:hAnsi="Arial"/>
          <w:sz w:val="21"/>
          <w:szCs w:val="21"/>
          <w:color w:val="auto"/>
        </w:rPr>
        <w:t>. Except with respect to matters related to Awards to Executive Officers or other Awards</w:t>
      </w:r>
      <w:r>
        <w:rPr>
          <w:rFonts w:ascii="Arial" w:cs="Arial" w:eastAsia="Arial" w:hAnsi="Arial"/>
          <w:sz w:val="21"/>
          <w:szCs w:val="21"/>
          <w:i w:val="1"/>
          <w:iCs w:val="1"/>
          <w:color w:val="auto"/>
        </w:rPr>
        <w:t xml:space="preserve"> </w:t>
      </w:r>
      <w:r>
        <w:rPr>
          <w:rFonts w:ascii="Arial" w:cs="Arial" w:eastAsia="Arial" w:hAnsi="Arial"/>
          <w:sz w:val="21"/>
          <w:szCs w:val="21"/>
          <w:color w:val="auto"/>
        </w:rPr>
        <w:t>intended to qualify as qualified performance-based compensation under Section 162(m), the Committee may delegate to the Chief Executive Officer and to other senior officers of the Company or to such other committee of the Board its duties under this Plan pursuant to such conditions or limitations as the Committee may establish.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79" w:name="page180"/>
    <w:bookmarkEnd w:id="179"/>
    <w:p>
      <w:pPr>
        <w:ind w:left="1380" w:hanging="804"/>
        <w:spacing w:after="0"/>
        <w:tabs>
          <w:tab w:leader="none" w:pos="1380" w:val="left"/>
        </w:tabs>
        <w:numPr>
          <w:ilvl w:val="0"/>
          <w:numId w:val="194"/>
        </w:numPr>
        <w:rPr>
          <w:rFonts w:ascii="Arial" w:cs="Arial" w:eastAsia="Arial" w:hAnsi="Arial"/>
          <w:sz w:val="21"/>
          <w:szCs w:val="21"/>
          <w:color w:val="auto"/>
        </w:rPr>
      </w:pPr>
      <w:r>
        <w:rPr>
          <w:rFonts w:ascii="Arial" w:cs="Arial" w:eastAsia="Arial" w:hAnsi="Arial"/>
          <w:sz w:val="21"/>
          <w:szCs w:val="21"/>
          <w:i w:val="1"/>
          <w:iCs w:val="1"/>
          <w:color w:val="auto"/>
        </w:rPr>
        <w:t>Awards</w:t>
      </w:r>
      <w:r>
        <w:rPr>
          <w:rFonts w:ascii="Arial" w:cs="Arial" w:eastAsia="Arial" w:hAnsi="Arial"/>
          <w:sz w:val="21"/>
          <w:szCs w:val="21"/>
          <w:color w:val="auto"/>
        </w:rPr>
        <w:t>.</w:t>
      </w:r>
    </w:p>
    <w:p>
      <w:pPr>
        <w:spacing w:after="0" w:line="210" w:lineRule="exact"/>
        <w:rPr>
          <w:sz w:val="20"/>
          <w:szCs w:val="20"/>
          <w:color w:val="auto"/>
        </w:rPr>
      </w:pPr>
    </w:p>
    <w:p>
      <w:pPr>
        <w:jc w:val="both"/>
        <w:ind w:firstLine="576"/>
        <w:spacing w:after="0" w:line="267" w:lineRule="auto"/>
        <w:tabs>
          <w:tab w:leader="none" w:pos="143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Committee shall determine the type or types of Awards to be made under this Plan and shall designate from time to time the Participants who are to be the recipients of such Awards. Each Award shall be embodied in an Award Agreement, which shall contain such terms, conditions and limitations as shall be determined by the Committee in its sole discretion. Awards may consist of those listed in this paragraph 7(a) and may be granted singly, in combination or in tandem. Subject to Section 5(c), Awards may also be made in combination or in tandem with, in replacement of, or as alternatives to, grants or rights under this Plan or any other plan of the Company or any of its Subsidiaries, including the plan of any acquired entity.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shall be treated as set forth in the applicable Award Agreement. Any Award under the Plan will have a minimum vesting or Restriction Period of one year from the date of grant, provided that up to 5% of the total shares of Common Stock reserved for issuance pursuant to the Plan may be issued without regard to this minimum vesting condition. Subject to the provisions below applicable to each type of Award, the terms, conditions and limitations applicable to any Awards shall be determined by the Committee.</w:t>
      </w:r>
    </w:p>
    <w:p>
      <w:pPr>
        <w:spacing w:after="0" w:line="163" w:lineRule="exact"/>
        <w:rPr>
          <w:sz w:val="20"/>
          <w:szCs w:val="20"/>
          <w:color w:val="auto"/>
        </w:rPr>
      </w:pPr>
    </w:p>
    <w:p>
      <w:pPr>
        <w:jc w:val="both"/>
        <w:ind w:firstLine="576"/>
        <w:spacing w:after="0" w:line="247" w:lineRule="auto"/>
        <w:tabs>
          <w:tab w:leader="none" w:pos="1407" w:val="left"/>
        </w:tabs>
        <w:numPr>
          <w:ilvl w:val="0"/>
          <w:numId w:val="196"/>
        </w:numPr>
        <w:rPr>
          <w:rFonts w:ascii="Arial" w:cs="Arial" w:eastAsia="Arial" w:hAnsi="Arial"/>
          <w:sz w:val="21"/>
          <w:szCs w:val="21"/>
          <w:color w:val="auto"/>
        </w:rPr>
      </w:pPr>
      <w:r>
        <w:rPr>
          <w:rFonts w:ascii="Arial" w:cs="Arial" w:eastAsia="Arial" w:hAnsi="Arial"/>
          <w:sz w:val="21"/>
          <w:szCs w:val="21"/>
          <w:i w:val="1"/>
          <w:iCs w:val="1"/>
          <w:color w:val="auto"/>
        </w:rPr>
        <w:t>Option</w:t>
      </w:r>
      <w:r>
        <w:rPr>
          <w:rFonts w:ascii="Arial" w:cs="Arial" w:eastAsia="Arial" w:hAnsi="Arial"/>
          <w:sz w:val="21"/>
          <w:szCs w:val="21"/>
          <w:color w:val="auto"/>
        </w:rPr>
        <w:t>. An Award may be in the form of an Option. An Option awarded pursuant to this Plan may consist of an</w:t>
      </w:r>
      <w:r>
        <w:rPr>
          <w:rFonts w:ascii="Arial" w:cs="Arial" w:eastAsia="Arial" w:hAnsi="Arial"/>
          <w:sz w:val="21"/>
          <w:szCs w:val="21"/>
          <w:i w:val="1"/>
          <w:iCs w:val="1"/>
          <w:color w:val="auto"/>
        </w:rPr>
        <w:t xml:space="preserve"> </w:t>
      </w:r>
      <w:r>
        <w:rPr>
          <w:rFonts w:ascii="Arial" w:cs="Arial" w:eastAsia="Arial" w:hAnsi="Arial"/>
          <w:sz w:val="21"/>
          <w:szCs w:val="21"/>
          <w:color w:val="auto"/>
        </w:rPr>
        <w:t>Incentive Option or a Non-Qualified Option and will be designated accordingly at the time of grant. The price at which shares of Common Stock may be purchased upon the exercise of an Option shall be not less than the Fair Market Value of the Common Stock on the date of grant. The term of an Option shall not exceed ten years from the date of grant.</w:t>
      </w:r>
    </w:p>
    <w:p>
      <w:pPr>
        <w:spacing w:after="0" w:line="174" w:lineRule="exact"/>
        <w:rPr>
          <w:rFonts w:ascii="Arial" w:cs="Arial" w:eastAsia="Arial" w:hAnsi="Arial"/>
          <w:sz w:val="21"/>
          <w:szCs w:val="21"/>
          <w:color w:val="auto"/>
        </w:rPr>
      </w:pPr>
    </w:p>
    <w:p>
      <w:pPr>
        <w:jc w:val="both"/>
        <w:ind w:firstLine="576"/>
        <w:spacing w:after="0" w:line="252" w:lineRule="auto"/>
        <w:tabs>
          <w:tab w:leader="none" w:pos="1466" w:val="left"/>
        </w:tabs>
        <w:numPr>
          <w:ilvl w:val="0"/>
          <w:numId w:val="196"/>
        </w:numPr>
        <w:rPr>
          <w:rFonts w:ascii="Arial" w:cs="Arial" w:eastAsia="Arial" w:hAnsi="Arial"/>
          <w:sz w:val="21"/>
          <w:szCs w:val="21"/>
          <w:color w:val="auto"/>
        </w:rPr>
      </w:pPr>
      <w:r>
        <w:rPr>
          <w:rFonts w:ascii="Arial" w:cs="Arial" w:eastAsia="Arial" w:hAnsi="Arial"/>
          <w:sz w:val="21"/>
          <w:szCs w:val="21"/>
          <w:i w:val="1"/>
          <w:iCs w:val="1"/>
          <w:color w:val="auto"/>
        </w:rPr>
        <w:t>Stock Appreciation Right</w:t>
      </w:r>
      <w:r>
        <w:rPr>
          <w:rFonts w:ascii="Arial" w:cs="Arial" w:eastAsia="Arial" w:hAnsi="Arial"/>
          <w:sz w:val="21"/>
          <w:szCs w:val="21"/>
          <w:color w:val="auto"/>
        </w:rPr>
        <w:t>. An Award may be in the form of a Stock Appreciation Right. The strike price for a Stock</w:t>
      </w:r>
      <w:r>
        <w:rPr>
          <w:rFonts w:ascii="Arial" w:cs="Arial" w:eastAsia="Arial" w:hAnsi="Arial"/>
          <w:sz w:val="21"/>
          <w:szCs w:val="21"/>
          <w:i w:val="1"/>
          <w:iCs w:val="1"/>
          <w:color w:val="auto"/>
        </w:rPr>
        <w:t xml:space="preserve"> </w:t>
      </w:r>
      <w:r>
        <w:rPr>
          <w:rFonts w:ascii="Arial" w:cs="Arial" w:eastAsia="Arial" w:hAnsi="Arial"/>
          <w:sz w:val="21"/>
          <w:szCs w:val="21"/>
          <w:color w:val="auto"/>
        </w:rPr>
        <w:t>Appreciation Right shall not be less than the Fair Market Value of the Common Stock on the date on which the Stock Appreciation Right is granted. The term of a Stock Appreciation Right shall not exceed ten years from the date of grant.</w:t>
      </w:r>
    </w:p>
    <w:p>
      <w:pPr>
        <w:spacing w:after="0" w:line="168" w:lineRule="exact"/>
        <w:rPr>
          <w:rFonts w:ascii="Arial" w:cs="Arial" w:eastAsia="Arial" w:hAnsi="Arial"/>
          <w:sz w:val="21"/>
          <w:szCs w:val="21"/>
          <w:color w:val="auto"/>
        </w:rPr>
      </w:pPr>
    </w:p>
    <w:p>
      <w:pPr>
        <w:ind w:left="1540" w:hanging="964"/>
        <w:spacing w:after="0"/>
        <w:tabs>
          <w:tab w:leader="none" w:pos="1540" w:val="left"/>
        </w:tabs>
        <w:numPr>
          <w:ilvl w:val="0"/>
          <w:numId w:val="196"/>
        </w:numPr>
        <w:rPr>
          <w:rFonts w:ascii="Arial" w:cs="Arial" w:eastAsia="Arial" w:hAnsi="Arial"/>
          <w:sz w:val="21"/>
          <w:szCs w:val="21"/>
          <w:color w:val="auto"/>
        </w:rPr>
      </w:pPr>
      <w:r>
        <w:rPr>
          <w:rFonts w:ascii="Arial" w:cs="Arial" w:eastAsia="Arial" w:hAnsi="Arial"/>
          <w:sz w:val="21"/>
          <w:szCs w:val="21"/>
          <w:i w:val="1"/>
          <w:iCs w:val="1"/>
          <w:color w:val="auto"/>
        </w:rPr>
        <w:t>Stock Award</w:t>
      </w:r>
      <w:r>
        <w:rPr>
          <w:rFonts w:ascii="Arial" w:cs="Arial" w:eastAsia="Arial" w:hAnsi="Arial"/>
          <w:sz w:val="21"/>
          <w:szCs w:val="21"/>
          <w:color w:val="auto"/>
        </w:rPr>
        <w:t>. An Award may be in the form of a Stock Award.</w:t>
      </w:r>
    </w:p>
    <w:p>
      <w:pPr>
        <w:spacing w:after="0" w:line="209" w:lineRule="exact"/>
        <w:rPr>
          <w:rFonts w:ascii="Arial" w:cs="Arial" w:eastAsia="Arial" w:hAnsi="Arial"/>
          <w:sz w:val="21"/>
          <w:szCs w:val="21"/>
          <w:color w:val="auto"/>
        </w:rPr>
      </w:pPr>
    </w:p>
    <w:p>
      <w:pPr>
        <w:ind w:left="1520" w:hanging="944"/>
        <w:spacing w:after="0"/>
        <w:tabs>
          <w:tab w:leader="none" w:pos="1520" w:val="left"/>
        </w:tabs>
        <w:numPr>
          <w:ilvl w:val="0"/>
          <w:numId w:val="196"/>
        </w:numPr>
        <w:rPr>
          <w:rFonts w:ascii="Arial" w:cs="Arial" w:eastAsia="Arial" w:hAnsi="Arial"/>
          <w:sz w:val="21"/>
          <w:szCs w:val="21"/>
          <w:color w:val="auto"/>
        </w:rPr>
      </w:pPr>
      <w:r>
        <w:rPr>
          <w:rFonts w:ascii="Arial" w:cs="Arial" w:eastAsia="Arial" w:hAnsi="Arial"/>
          <w:sz w:val="21"/>
          <w:szCs w:val="21"/>
          <w:i w:val="1"/>
          <w:iCs w:val="1"/>
          <w:color w:val="auto"/>
        </w:rPr>
        <w:t>Cash Awards</w:t>
      </w:r>
      <w:r>
        <w:rPr>
          <w:rFonts w:ascii="Arial" w:cs="Arial" w:eastAsia="Arial" w:hAnsi="Arial"/>
          <w:sz w:val="21"/>
          <w:szCs w:val="21"/>
          <w:color w:val="auto"/>
        </w:rPr>
        <w:t>. An Award may be in the form of a Cash Award.</w:t>
      </w:r>
    </w:p>
    <w:p>
      <w:pPr>
        <w:spacing w:after="0" w:line="209" w:lineRule="exact"/>
        <w:rPr>
          <w:rFonts w:ascii="Arial" w:cs="Arial" w:eastAsia="Arial" w:hAnsi="Arial"/>
          <w:sz w:val="21"/>
          <w:szCs w:val="21"/>
          <w:color w:val="auto"/>
        </w:rPr>
      </w:pPr>
    </w:p>
    <w:p>
      <w:pPr>
        <w:jc w:val="both"/>
        <w:ind w:firstLine="576"/>
        <w:spacing w:after="0" w:line="256" w:lineRule="auto"/>
        <w:tabs>
          <w:tab w:leader="none" w:pos="1454" w:val="left"/>
        </w:tabs>
        <w:numPr>
          <w:ilvl w:val="0"/>
          <w:numId w:val="196"/>
        </w:numPr>
        <w:rPr>
          <w:rFonts w:ascii="Arial" w:cs="Arial" w:eastAsia="Arial" w:hAnsi="Arial"/>
          <w:sz w:val="20"/>
          <w:szCs w:val="20"/>
          <w:color w:val="auto"/>
        </w:rPr>
      </w:pPr>
      <w:r>
        <w:rPr>
          <w:rFonts w:ascii="Arial" w:cs="Arial" w:eastAsia="Arial" w:hAnsi="Arial"/>
          <w:sz w:val="20"/>
          <w:szCs w:val="20"/>
          <w:i w:val="1"/>
          <w:iCs w:val="1"/>
          <w:color w:val="auto"/>
        </w:rPr>
        <w:t>Performance Award</w:t>
      </w:r>
      <w:r>
        <w:rPr>
          <w:rFonts w:ascii="Arial" w:cs="Arial" w:eastAsia="Arial" w:hAnsi="Arial"/>
          <w:sz w:val="20"/>
          <w:szCs w:val="20"/>
          <w:color w:val="auto"/>
        </w:rPr>
        <w:t>. Without limiting the type or number of Awards that may be made under the other provisions of</w:t>
      </w:r>
      <w:r>
        <w:rPr>
          <w:rFonts w:ascii="Arial" w:cs="Arial" w:eastAsia="Arial" w:hAnsi="Arial"/>
          <w:sz w:val="20"/>
          <w:szCs w:val="20"/>
          <w:i w:val="1"/>
          <w:iCs w:val="1"/>
          <w:color w:val="auto"/>
        </w:rPr>
        <w:t xml:space="preserve"> </w:t>
      </w:r>
      <w:r>
        <w:rPr>
          <w:rFonts w:ascii="Arial" w:cs="Arial" w:eastAsia="Arial" w:hAnsi="Arial"/>
          <w:sz w:val="20"/>
          <w:szCs w:val="20"/>
          <w:color w:val="auto"/>
        </w:rPr>
        <w:t>this Plan, an Award may be in the form of a Performance Award. Any Stock Award which is a Performance Award shall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shall set Performance Goals in its sole discretion which, depending on the extent to which they are met, will determine the value and/or amount of Performance Awards that will be paid out to the Participant and/or the portion of an Award that may be exercised.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80" w:name="page181"/>
    <w:bookmarkEnd w:id="180"/>
    <w:p>
      <w:pPr>
        <w:jc w:val="both"/>
        <w:ind w:firstLine="576"/>
        <w:spacing w:after="0" w:line="270" w:lineRule="auto"/>
        <w:tabs>
          <w:tab w:leader="none" w:pos="1496" w:val="left"/>
        </w:tabs>
        <w:numPr>
          <w:ilvl w:val="1"/>
          <w:numId w:val="197"/>
        </w:numPr>
        <w:rPr>
          <w:rFonts w:ascii="Arial" w:cs="Arial" w:eastAsia="Arial" w:hAnsi="Arial"/>
          <w:sz w:val="20"/>
          <w:szCs w:val="20"/>
          <w:color w:val="auto"/>
        </w:rPr>
      </w:pPr>
      <w:r>
        <w:rPr>
          <w:rFonts w:ascii="Arial" w:cs="Arial" w:eastAsia="Arial" w:hAnsi="Arial"/>
          <w:sz w:val="20"/>
          <w:szCs w:val="20"/>
          <w:i w:val="1"/>
          <w:iCs w:val="1"/>
          <w:color w:val="auto"/>
        </w:rPr>
        <w:t>Non-Qualified Performance Awards</w:t>
      </w:r>
      <w:r>
        <w:rPr>
          <w:rFonts w:ascii="Arial" w:cs="Arial" w:eastAsia="Arial" w:hAnsi="Arial"/>
          <w:sz w:val="20"/>
          <w:szCs w:val="20"/>
          <w:color w:val="auto"/>
        </w:rPr>
        <w:t>. Performance Awards granted to Employees that are not intended to qualify as</w:t>
      </w:r>
      <w:r>
        <w:rPr>
          <w:rFonts w:ascii="Arial" w:cs="Arial" w:eastAsia="Arial" w:hAnsi="Arial"/>
          <w:sz w:val="20"/>
          <w:szCs w:val="20"/>
          <w:i w:val="1"/>
          <w:iCs w:val="1"/>
          <w:color w:val="auto"/>
        </w:rPr>
        <w:t xml:space="preserve"> </w:t>
      </w:r>
      <w:r>
        <w:rPr>
          <w:rFonts w:ascii="Arial" w:cs="Arial" w:eastAsia="Arial" w:hAnsi="Arial"/>
          <w:sz w:val="20"/>
          <w:szCs w:val="20"/>
          <w:color w:val="auto"/>
        </w:rPr>
        <w:t>qualified performance-based compensation under Section 162(m) shall be based on achievement of such Performance Goals and be subject to such terms, conditions and restrictions as the Committee or its delegate shall determine.</w:t>
      </w:r>
    </w:p>
    <w:p>
      <w:pPr>
        <w:spacing w:after="0" w:line="153" w:lineRule="exact"/>
        <w:rPr>
          <w:rFonts w:ascii="Arial" w:cs="Arial" w:eastAsia="Arial" w:hAnsi="Arial"/>
          <w:sz w:val="20"/>
          <w:szCs w:val="20"/>
          <w:color w:val="auto"/>
        </w:rPr>
      </w:pPr>
    </w:p>
    <w:p>
      <w:pPr>
        <w:jc w:val="both"/>
        <w:ind w:firstLine="576"/>
        <w:spacing w:after="0" w:line="268" w:lineRule="auto"/>
        <w:tabs>
          <w:tab w:leader="none" w:pos="1484" w:val="left"/>
        </w:tabs>
        <w:numPr>
          <w:ilvl w:val="1"/>
          <w:numId w:val="197"/>
        </w:numPr>
        <w:rPr>
          <w:rFonts w:ascii="Arial" w:cs="Arial" w:eastAsia="Arial" w:hAnsi="Arial"/>
          <w:sz w:val="19"/>
          <w:szCs w:val="19"/>
          <w:color w:val="auto"/>
        </w:rPr>
      </w:pPr>
      <w:r>
        <w:rPr>
          <w:rFonts w:ascii="Arial" w:cs="Arial" w:eastAsia="Arial" w:hAnsi="Arial"/>
          <w:sz w:val="19"/>
          <w:szCs w:val="19"/>
          <w:i w:val="1"/>
          <w:iCs w:val="1"/>
          <w:color w:val="auto"/>
        </w:rPr>
        <w:t>Qualified Performance Awards</w:t>
      </w:r>
      <w:r>
        <w:rPr>
          <w:rFonts w:ascii="Arial" w:cs="Arial" w:eastAsia="Arial" w:hAnsi="Arial"/>
          <w:sz w:val="19"/>
          <w:szCs w:val="19"/>
          <w:color w:val="auto"/>
        </w:rPr>
        <w:t>. Performance Awards that are intended to qualify as qualified performance-based</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under Section 162(m) shall be paid, vested or otherwise deliverable solely on account of the attainment of one or more pre-established, objective Performance Goals established and administered by the Committee in accordance with Section 162(m) prior to the earlier to occur of (x) 90 days after the commencement of the performance period to which the Performance Goal relates and (y) the lapse of 25% of the performance period to which the Performance Goal relates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a Participant, one or more business units, divisions or sectors of the Company, or the Company as a whole, and if so desired by the Committee, by comparison with a peer group of companies. A Performance Goal may include one or more of the following and need not be the same for each Participant.</w:t>
      </w:r>
    </w:p>
    <w:p>
      <w:pPr>
        <w:spacing w:after="0" w:line="161" w:lineRule="exact"/>
        <w:rPr>
          <w:rFonts w:ascii="Arial" w:cs="Arial" w:eastAsia="Arial" w:hAnsi="Arial"/>
          <w:sz w:val="19"/>
          <w:szCs w:val="19"/>
          <w:color w:val="auto"/>
        </w:rPr>
      </w:pPr>
    </w:p>
    <w:p>
      <w:pPr>
        <w:jc w:val="both"/>
        <w:ind w:left="1120" w:hanging="556"/>
        <w:spacing w:after="0" w:line="252" w:lineRule="auto"/>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revenue and income measures (which include revenue, gross margin, income from operations, net income, net sales, earnings per share, earnings before interest, taxes, depreciation and amortization (“EBITDA”), and economic value added (“EVA”);</w:t>
      </w:r>
    </w:p>
    <w:p>
      <w:pPr>
        <w:spacing w:after="0" w:line="168" w:lineRule="exact"/>
        <w:rPr>
          <w:rFonts w:ascii="Arial" w:cs="Arial" w:eastAsia="Arial" w:hAnsi="Arial"/>
          <w:sz w:val="21"/>
          <w:szCs w:val="21"/>
          <w:color w:val="auto"/>
        </w:rPr>
      </w:pPr>
    </w:p>
    <w:p>
      <w:pPr>
        <w:ind w:left="1120" w:hanging="556"/>
        <w:spacing w:after="0" w:line="267" w:lineRule="auto"/>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expense measures (which include costs of goods sold, selling, finding and development costs, general and administrative expenses and overhead costs);</w:t>
      </w:r>
    </w:p>
    <w:p>
      <w:pPr>
        <w:spacing w:after="0" w:line="152" w:lineRule="exact"/>
        <w:rPr>
          <w:rFonts w:ascii="Arial" w:cs="Arial" w:eastAsia="Arial" w:hAnsi="Arial"/>
          <w:sz w:val="21"/>
          <w:szCs w:val="21"/>
          <w:color w:val="auto"/>
        </w:rPr>
      </w:pPr>
    </w:p>
    <w:p>
      <w:pPr>
        <w:ind w:left="1120" w:hanging="556"/>
        <w:spacing w:after="0" w:line="267" w:lineRule="auto"/>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operating measures (which include productivity, operating income, funds from operations, cash from operations, after-tax operating income, market share, margin and sales volumes);</w:t>
      </w:r>
    </w:p>
    <w:p>
      <w:pPr>
        <w:spacing w:after="0" w:line="152" w:lineRule="exact"/>
        <w:rPr>
          <w:rFonts w:ascii="Arial" w:cs="Arial" w:eastAsia="Arial" w:hAnsi="Arial"/>
          <w:sz w:val="21"/>
          <w:szCs w:val="21"/>
          <w:color w:val="auto"/>
        </w:rPr>
      </w:pPr>
    </w:p>
    <w:p>
      <w:pPr>
        <w:ind w:left="1120" w:hanging="556"/>
        <w:spacing w:after="0"/>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cash flow measures (which include net cash flow from operating activities and working capital);</w:t>
      </w:r>
    </w:p>
    <w:p>
      <w:pPr>
        <w:spacing w:after="0" w:line="209" w:lineRule="exact"/>
        <w:rPr>
          <w:rFonts w:ascii="Arial" w:cs="Arial" w:eastAsia="Arial" w:hAnsi="Arial"/>
          <w:sz w:val="21"/>
          <w:szCs w:val="21"/>
          <w:color w:val="auto"/>
        </w:rPr>
      </w:pPr>
    </w:p>
    <w:p>
      <w:pPr>
        <w:ind w:left="1120" w:hanging="556"/>
        <w:spacing w:after="0" w:line="267" w:lineRule="auto"/>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liquidity measures (which include earnings before or after the effect of certain items such as interest, taxes, depreciation and amortization, and free cash flow);</w:t>
      </w:r>
    </w:p>
    <w:p>
      <w:pPr>
        <w:spacing w:after="0" w:line="152" w:lineRule="exact"/>
        <w:rPr>
          <w:rFonts w:ascii="Arial" w:cs="Arial" w:eastAsia="Arial" w:hAnsi="Arial"/>
          <w:sz w:val="21"/>
          <w:szCs w:val="21"/>
          <w:color w:val="auto"/>
        </w:rPr>
      </w:pPr>
    </w:p>
    <w:p>
      <w:pPr>
        <w:ind w:left="1120" w:hanging="556"/>
        <w:spacing w:after="0"/>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leverage measures (which include debt-to-equity ratio and net debt);</w:t>
      </w:r>
    </w:p>
    <w:p>
      <w:pPr>
        <w:spacing w:after="0" w:line="209" w:lineRule="exact"/>
        <w:rPr>
          <w:rFonts w:ascii="Arial" w:cs="Arial" w:eastAsia="Arial" w:hAnsi="Arial"/>
          <w:sz w:val="21"/>
          <w:szCs w:val="21"/>
          <w:color w:val="auto"/>
        </w:rPr>
      </w:pPr>
    </w:p>
    <w:p>
      <w:pPr>
        <w:ind w:left="1120" w:hanging="556"/>
        <w:spacing w:after="0" w:line="267" w:lineRule="auto"/>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market measures (which include market share, stock price, growth measure, total shareholder return and market capitalization measures);</w:t>
      </w:r>
    </w:p>
    <w:p>
      <w:pPr>
        <w:spacing w:after="0" w:line="152" w:lineRule="exact"/>
        <w:rPr>
          <w:rFonts w:ascii="Arial" w:cs="Arial" w:eastAsia="Arial" w:hAnsi="Arial"/>
          <w:sz w:val="21"/>
          <w:szCs w:val="21"/>
          <w:color w:val="auto"/>
        </w:rPr>
      </w:pPr>
    </w:p>
    <w:p>
      <w:pPr>
        <w:ind w:left="1120" w:hanging="556"/>
        <w:spacing w:after="0"/>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return measures (which include return on equity, return on assets and return on invested capital);</w:t>
      </w:r>
    </w:p>
    <w:p>
      <w:pPr>
        <w:spacing w:after="0" w:line="209" w:lineRule="exact"/>
        <w:rPr>
          <w:rFonts w:ascii="Arial" w:cs="Arial" w:eastAsia="Arial" w:hAnsi="Arial"/>
          <w:sz w:val="21"/>
          <w:szCs w:val="21"/>
          <w:color w:val="auto"/>
        </w:rPr>
      </w:pPr>
    </w:p>
    <w:p>
      <w:pPr>
        <w:ind w:left="1120" w:hanging="556"/>
        <w:spacing w:after="0"/>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measures relating to compliance, safety, environmental and diversity; and</w:t>
      </w:r>
    </w:p>
    <w:p>
      <w:pPr>
        <w:spacing w:after="0" w:line="209" w:lineRule="exact"/>
        <w:rPr>
          <w:rFonts w:ascii="Arial" w:cs="Arial" w:eastAsia="Arial" w:hAnsi="Arial"/>
          <w:sz w:val="21"/>
          <w:szCs w:val="21"/>
          <w:color w:val="auto"/>
        </w:rPr>
      </w:pPr>
    </w:p>
    <w:p>
      <w:pPr>
        <w:ind w:left="1120" w:hanging="556"/>
        <w:spacing w:after="0"/>
        <w:tabs>
          <w:tab w:leader="none" w:pos="11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measures relating to acquisitions, dispositions or customer satisfaction.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81" w:name="page182"/>
    <w:bookmarkEnd w:id="181"/>
    <w:p>
      <w:pPr>
        <w:jc w:val="both"/>
        <w:spacing w:after="0" w:line="254" w:lineRule="auto"/>
        <w:rPr>
          <w:sz w:val="20"/>
          <w:szCs w:val="20"/>
          <w:color w:val="auto"/>
        </w:rPr>
      </w:pPr>
      <w:r>
        <w:rPr>
          <w:rFonts w:ascii="Arial" w:cs="Arial" w:eastAsia="Arial" w:hAnsi="Arial"/>
          <w:sz w:val="20"/>
          <w:szCs w:val="20"/>
          <w:color w:val="auto"/>
        </w:rPr>
        <w:t>Unless otherwise stated, such a Performance Goal need not be based upon an increase or positive result under a particular business criterion and could include, for example, maintaining the status quo, performance relative to a peer group determined by the Committee or limiting economic losses (measured, in each case, by reference to specific business criteria). In interpreting Plan provisions applicable to Performance Goals and qualified Performance Awards, it is the intent of this Plan to conform with Section 162(m), including, without limitation, Treasury Regulation §1.162-27(e)(2)(i), as to grants pursuant to this subsection and the Committee in establishing such goals and interpreting the Plan shall be guided by such provisions. Prior to the payment of any compensation based on the achievement of Performance Goals applicable to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to the extent permitted by Section 162(m).</w:t>
      </w:r>
    </w:p>
    <w:p>
      <w:pPr>
        <w:spacing w:after="0" w:line="168" w:lineRule="exact"/>
        <w:rPr>
          <w:sz w:val="20"/>
          <w:szCs w:val="20"/>
          <w:color w:val="auto"/>
        </w:rPr>
      </w:pPr>
    </w:p>
    <w:p>
      <w:pPr>
        <w:jc w:val="both"/>
        <w:ind w:firstLine="576"/>
        <w:spacing w:after="0" w:line="256" w:lineRule="auto"/>
        <w:tabs>
          <w:tab w:leader="none" w:pos="144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Committee shall adjust the Performance Goals (either up or down) and the level of the Performance Award that a Participant may earn under this Plan, but only to the extent permitted pursuant to Section 162(m),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shall be calculated without regard to any changes in accounting standards that may be required by the Financial Accounting Standards Board after such Performance Goals are established.</w:t>
      </w:r>
    </w:p>
    <w:p>
      <w:pPr>
        <w:spacing w:after="0" w:line="167" w:lineRule="exact"/>
        <w:rPr>
          <w:rFonts w:ascii="Arial" w:cs="Arial" w:eastAsia="Arial" w:hAnsi="Arial"/>
          <w:sz w:val="20"/>
          <w:szCs w:val="20"/>
          <w:color w:val="auto"/>
        </w:rPr>
      </w:pPr>
    </w:p>
    <w:p>
      <w:pPr>
        <w:jc w:val="both"/>
        <w:ind w:firstLine="576"/>
        <w:spacing w:after="0" w:line="260" w:lineRule="auto"/>
        <w:tabs>
          <w:tab w:leader="none" w:pos="1434" w:val="left"/>
        </w:tabs>
        <w:numPr>
          <w:ilvl w:val="0"/>
          <w:numId w:val="198"/>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Plan, no Participant may be granted, during any calendar year, Awards collectively consisting of (i) Options or Stock Appreciation Rights that are exercisable for or (ii) Stock Awards covering or relating to more than 1,000,000 shares of Common Stock (the limitation referred to as the “Stock-based Awards Limitations”). No Participant may be granted Awards consisting of cash (including Cash Awards that are granted as Performance Awards) in respect of any calendar year having a value determined on the date of grant in excess of $20,000,000.</w:t>
      </w:r>
    </w:p>
    <w:p>
      <w:pPr>
        <w:spacing w:after="0" w:line="161" w:lineRule="exact"/>
        <w:rPr>
          <w:sz w:val="20"/>
          <w:szCs w:val="20"/>
          <w:color w:val="auto"/>
        </w:rPr>
      </w:pPr>
    </w:p>
    <w:p>
      <w:pPr>
        <w:ind w:left="1380" w:hanging="804"/>
        <w:spacing w:after="0"/>
        <w:tabs>
          <w:tab w:leader="none" w:pos="1380" w:val="left"/>
        </w:tabs>
        <w:numPr>
          <w:ilvl w:val="0"/>
          <w:numId w:val="199"/>
        </w:numPr>
        <w:rPr>
          <w:rFonts w:ascii="Arial" w:cs="Arial" w:eastAsia="Arial" w:hAnsi="Arial"/>
          <w:sz w:val="21"/>
          <w:szCs w:val="21"/>
          <w:color w:val="auto"/>
        </w:rPr>
      </w:pPr>
      <w:r>
        <w:rPr>
          <w:rFonts w:ascii="Arial" w:cs="Arial" w:eastAsia="Arial" w:hAnsi="Arial"/>
          <w:sz w:val="21"/>
          <w:szCs w:val="21"/>
          <w:i w:val="1"/>
          <w:iCs w:val="1"/>
          <w:color w:val="auto"/>
        </w:rPr>
        <w:t>Award Payment; Dividends; Substitution; Fractional Shares</w:t>
      </w:r>
      <w:r>
        <w:rPr>
          <w:rFonts w:ascii="Arial" w:cs="Arial" w:eastAsia="Arial" w:hAnsi="Arial"/>
          <w:sz w:val="21"/>
          <w:szCs w:val="21"/>
          <w:color w:val="auto"/>
        </w:rPr>
        <w:t>.</w:t>
      </w:r>
    </w:p>
    <w:p>
      <w:pPr>
        <w:spacing w:after="0" w:line="210" w:lineRule="exact"/>
        <w:rPr>
          <w:sz w:val="20"/>
          <w:szCs w:val="20"/>
          <w:color w:val="auto"/>
        </w:rPr>
      </w:pPr>
    </w:p>
    <w:p>
      <w:pPr>
        <w:jc w:val="both"/>
        <w:ind w:firstLine="576"/>
        <w:spacing w:after="0" w:line="295" w:lineRule="auto"/>
        <w:tabs>
          <w:tab w:leader="none" w:pos="1434"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Payment of Awards may be made in the form of cash or Common Stock, or a combination thereof,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such restrictions as the Committee shall determine, including, in the case of Common Stock, restrictions on transfer and forfeiture provisions. If payment of an Award is made in the form of Restricted Stock, the right to receive such shares shall be evidenced by book entry registration or in such other manner as the Committee may determine. Any statement of ownership evidencing such Restricted Stock shall contain appropriate legends and restrictions that describe the terms and conditions of the restrictions applicable thereto.</w:t>
      </w:r>
    </w:p>
    <w:p>
      <w:pPr>
        <w:spacing w:after="0" w:line="134" w:lineRule="exact"/>
        <w:rPr>
          <w:rFonts w:ascii="Arial" w:cs="Arial" w:eastAsia="Arial" w:hAnsi="Arial"/>
          <w:sz w:val="18"/>
          <w:szCs w:val="18"/>
          <w:color w:val="auto"/>
        </w:rPr>
      </w:pPr>
    </w:p>
    <w:p>
      <w:pPr>
        <w:jc w:val="both"/>
        <w:ind w:firstLine="576"/>
        <w:spacing w:after="0" w:line="260" w:lineRule="auto"/>
        <w:tabs>
          <w:tab w:leader="none" w:pos="1446" w:val="left"/>
        </w:tabs>
        <w:numPr>
          <w:ilvl w:val="0"/>
          <w:numId w:val="200"/>
        </w:numPr>
        <w:rPr>
          <w:rFonts w:ascii="Arial" w:cs="Arial" w:eastAsia="Arial" w:hAnsi="Arial"/>
          <w:sz w:val="20"/>
          <w:szCs w:val="20"/>
          <w:color w:val="auto"/>
        </w:rPr>
      </w:pPr>
      <w:r>
        <w:rPr>
          <w:rFonts w:ascii="Arial" w:cs="Arial" w:eastAsia="Arial" w:hAnsi="Arial"/>
          <w:sz w:val="20"/>
          <w:szCs w:val="20"/>
          <w:i w:val="1"/>
          <w:iCs w:val="1"/>
          <w:color w:val="auto"/>
        </w:rPr>
        <w:t>Dividends and Interest</w:t>
      </w:r>
      <w:r>
        <w:rPr>
          <w:rFonts w:ascii="Arial" w:cs="Arial" w:eastAsia="Arial" w:hAnsi="Arial"/>
          <w:sz w:val="20"/>
          <w:szCs w:val="20"/>
          <w:color w:val="auto"/>
        </w:rPr>
        <w:t>. Rights to dividends or Dividend Equivalents may be extended to and made part of any Stock</w:t>
      </w:r>
      <w:r>
        <w:rPr>
          <w:rFonts w:ascii="Arial" w:cs="Arial" w:eastAsia="Arial" w:hAnsi="Arial"/>
          <w:sz w:val="20"/>
          <w:szCs w:val="20"/>
          <w:i w:val="1"/>
          <w:iCs w:val="1"/>
          <w:color w:val="auto"/>
        </w:rPr>
        <w:t xml:space="preserve"> </w:t>
      </w:r>
      <w:r>
        <w:rPr>
          <w:rFonts w:ascii="Arial" w:cs="Arial" w:eastAsia="Arial" w:hAnsi="Arial"/>
          <w:sz w:val="20"/>
          <w:szCs w:val="20"/>
          <w:color w:val="auto"/>
        </w:rPr>
        <w:t>Awards, subject to such terms, conditions and restrictions as the Committee may establish, provided that any Dividend Equivalents will be subject to the same vesting schedule as the underlying Stock Awards to which the right is attached. The Committee may also establish rules and procedures for the crediting of interest on deferred cash payments and Dividend Equivalents for Stock Awards. No Dividend Equivalents may be paid in respect of an Award of Options or SARs.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82" w:name="page183"/>
    <w:bookmarkEnd w:id="182"/>
    <w:p>
      <w:pPr>
        <w:jc w:val="both"/>
        <w:ind w:firstLine="576"/>
        <w:spacing w:after="0" w:line="252" w:lineRule="auto"/>
        <w:tabs>
          <w:tab w:leader="none" w:pos="1434" w:val="left"/>
        </w:tabs>
        <w:numPr>
          <w:ilvl w:val="0"/>
          <w:numId w:val="201"/>
        </w:numPr>
        <w:rPr>
          <w:rFonts w:ascii="Arial" w:cs="Arial" w:eastAsia="Arial" w:hAnsi="Arial"/>
          <w:sz w:val="21"/>
          <w:szCs w:val="21"/>
          <w:color w:val="auto"/>
        </w:rPr>
      </w:pPr>
      <w:r>
        <w:rPr>
          <w:rFonts w:ascii="Arial" w:cs="Arial" w:eastAsia="Arial" w:hAnsi="Arial"/>
          <w:sz w:val="21"/>
          <w:szCs w:val="21"/>
          <w:i w:val="1"/>
          <w:iCs w:val="1"/>
          <w:color w:val="auto"/>
        </w:rPr>
        <w:t>Fractional Shares</w:t>
      </w:r>
      <w:r>
        <w:rPr>
          <w:rFonts w:ascii="Arial" w:cs="Arial" w:eastAsia="Arial" w:hAnsi="Arial"/>
          <w:sz w:val="21"/>
          <w:szCs w:val="21"/>
          <w:color w:val="auto"/>
        </w:rPr>
        <w:t>. No fractional shares shall be issued or delivered pursuant to any Award under this Plan. The</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shall determine whether cash, Awards or other property shall be issued or paid in lieu of fractional shares, or whether fractional shares or any rights thereto shall be forfeited or otherwise eliminated.</w:t>
      </w:r>
    </w:p>
    <w:p>
      <w:pPr>
        <w:spacing w:after="0" w:line="169" w:lineRule="exact"/>
        <w:rPr>
          <w:sz w:val="20"/>
          <w:szCs w:val="20"/>
          <w:color w:val="auto"/>
        </w:rPr>
      </w:pPr>
    </w:p>
    <w:p>
      <w:pPr>
        <w:jc w:val="both"/>
        <w:ind w:firstLine="576"/>
        <w:spacing w:after="0" w:line="241" w:lineRule="auto"/>
        <w:tabs>
          <w:tab w:leader="none" w:pos="1366" w:val="left"/>
        </w:tabs>
        <w:numPr>
          <w:ilvl w:val="0"/>
          <w:numId w:val="202"/>
        </w:numPr>
        <w:rPr>
          <w:rFonts w:ascii="Arial" w:cs="Arial" w:eastAsia="Arial" w:hAnsi="Arial"/>
          <w:sz w:val="21"/>
          <w:szCs w:val="21"/>
          <w:color w:val="auto"/>
        </w:rPr>
      </w:pPr>
      <w:r>
        <w:rPr>
          <w:rFonts w:ascii="Arial" w:cs="Arial" w:eastAsia="Arial" w:hAnsi="Arial"/>
          <w:sz w:val="21"/>
          <w:szCs w:val="21"/>
          <w:i w:val="1"/>
          <w:iCs w:val="1"/>
          <w:color w:val="auto"/>
        </w:rPr>
        <w:t>Stock Option Exercise</w:t>
      </w:r>
      <w:r>
        <w:rPr>
          <w:rFonts w:ascii="Arial" w:cs="Arial" w:eastAsia="Arial" w:hAnsi="Arial"/>
          <w:sz w:val="21"/>
          <w:szCs w:val="21"/>
          <w:color w:val="auto"/>
        </w:rPr>
        <w:t>. The price at which shares of Common Stock may be purchased under an Option shall be paid</w:t>
      </w:r>
      <w:r>
        <w:rPr>
          <w:rFonts w:ascii="Arial" w:cs="Arial" w:eastAsia="Arial" w:hAnsi="Arial"/>
          <w:sz w:val="21"/>
          <w:szCs w:val="21"/>
          <w:i w:val="1"/>
          <w:iCs w:val="1"/>
          <w:color w:val="auto"/>
        </w:rPr>
        <w:t xml:space="preserve"> </w:t>
      </w:r>
      <w:r>
        <w:rPr>
          <w:rFonts w:ascii="Arial" w:cs="Arial" w:eastAsia="Arial" w:hAnsi="Arial"/>
          <w:sz w:val="21"/>
          <w:szCs w:val="21"/>
          <w:color w:val="auto"/>
        </w:rPr>
        <w:t>in full at the time of exercise in cash or, if elected by the Participant, the Participant may purchase such shares either by means of tendering Common Stock or by authorizing the Company to withhold a number of shares of Common Stock otherwise deliverable on the exercise of the Option, in either case valued at Fair Market Value on the date of exercise, or any combination thereof. The Committee, in its sole discretion, shall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183" w:lineRule="exact"/>
        <w:rPr>
          <w:rFonts w:ascii="Arial" w:cs="Arial" w:eastAsia="Arial" w:hAnsi="Arial"/>
          <w:sz w:val="21"/>
          <w:szCs w:val="21"/>
          <w:color w:val="auto"/>
        </w:rPr>
      </w:pPr>
    </w:p>
    <w:p>
      <w:pPr>
        <w:jc w:val="both"/>
        <w:ind w:firstLine="576"/>
        <w:spacing w:after="0" w:line="270" w:lineRule="auto"/>
        <w:tabs>
          <w:tab w:leader="none" w:pos="1472" w:val="left"/>
        </w:tabs>
        <w:numPr>
          <w:ilvl w:val="0"/>
          <w:numId w:val="202"/>
        </w:numPr>
        <w:rPr>
          <w:rFonts w:ascii="Arial" w:cs="Arial" w:eastAsia="Arial" w:hAnsi="Arial"/>
          <w:sz w:val="19"/>
          <w:szCs w:val="19"/>
          <w:color w:val="auto"/>
        </w:rPr>
      </w:pPr>
      <w:r>
        <w:rPr>
          <w:rFonts w:ascii="Arial" w:cs="Arial" w:eastAsia="Arial" w:hAnsi="Arial"/>
          <w:sz w:val="19"/>
          <w:szCs w:val="19"/>
          <w:i w:val="1"/>
          <w:iCs w:val="1"/>
          <w:color w:val="auto"/>
        </w:rPr>
        <w:t>Taxes</w:t>
      </w:r>
      <w:r>
        <w:rPr>
          <w:rFonts w:ascii="Arial" w:cs="Arial" w:eastAsia="Arial" w:hAnsi="Arial"/>
          <w:sz w:val="19"/>
          <w:szCs w:val="19"/>
          <w:color w:val="auto"/>
        </w:rPr>
        <w:t>. The Company shall have the right to deduct applicable taxes from any Award payment and withhold, at the</w:t>
      </w:r>
      <w:r>
        <w:rPr>
          <w:rFonts w:ascii="Arial" w:cs="Arial" w:eastAsia="Arial" w:hAnsi="Arial"/>
          <w:sz w:val="19"/>
          <w:szCs w:val="19"/>
          <w:i w:val="1"/>
          <w:iCs w:val="1"/>
          <w:color w:val="auto"/>
        </w:rPr>
        <w:t xml:space="preserve"> </w:t>
      </w:r>
      <w:r>
        <w:rPr>
          <w:rFonts w:ascii="Arial" w:cs="Arial" w:eastAsia="Arial" w:hAnsi="Arial"/>
          <w:sz w:val="19"/>
          <w:szCs w:val="19"/>
          <w:color w:val="auto"/>
        </w:rPr>
        <w:t>time of delivery or vesting of cash or 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Withholding of any taxes may be satisfied by (i) the transfer to the Company of shares of Common Stock theretofore owned by the holder of the Award or (ii) withholding from the shares of Common Stock otherwise deliverable under the Award, in either case with respect to which withholding is required, up to the maximum tax rate applicable to the Participant, as determined by the Committee. If shares of Common Stock are used to satisfy tax withholding, such shares shall be valued based on the Fair Market Value when the tax withholding is required to be made.</w:t>
      </w:r>
    </w:p>
    <w:p>
      <w:pPr>
        <w:spacing w:after="0" w:line="157" w:lineRule="exact"/>
        <w:rPr>
          <w:rFonts w:ascii="Arial" w:cs="Arial" w:eastAsia="Arial" w:hAnsi="Arial"/>
          <w:sz w:val="19"/>
          <w:szCs w:val="19"/>
          <w:color w:val="auto"/>
        </w:rPr>
      </w:pPr>
    </w:p>
    <w:p>
      <w:pPr>
        <w:jc w:val="both"/>
        <w:ind w:firstLine="576"/>
        <w:spacing w:after="0" w:line="269" w:lineRule="auto"/>
        <w:tabs>
          <w:tab w:leader="none" w:pos="1464" w:val="left"/>
        </w:tabs>
        <w:numPr>
          <w:ilvl w:val="0"/>
          <w:numId w:val="202"/>
        </w:numPr>
        <w:rPr>
          <w:rFonts w:ascii="Arial" w:cs="Arial" w:eastAsia="Arial" w:hAnsi="Arial"/>
          <w:sz w:val="19"/>
          <w:szCs w:val="19"/>
          <w:color w:val="auto"/>
        </w:rPr>
      </w:pPr>
      <w:r>
        <w:rPr>
          <w:rFonts w:ascii="Arial" w:cs="Arial" w:eastAsia="Arial" w:hAnsi="Arial"/>
          <w:sz w:val="19"/>
          <w:szCs w:val="19"/>
          <w:i w:val="1"/>
          <w:iCs w:val="1"/>
          <w:color w:val="auto"/>
        </w:rPr>
        <w:t>Amendment, Modification, Suspension or Termination</w:t>
      </w:r>
      <w:r>
        <w:rPr>
          <w:rFonts w:ascii="Arial" w:cs="Arial" w:eastAsia="Arial" w:hAnsi="Arial"/>
          <w:sz w:val="19"/>
          <w:szCs w:val="19"/>
          <w:color w:val="auto"/>
        </w:rPr>
        <w:t>. The Board or the Committee may amend, modify, suspend or</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 this Plan for the purpose of meeting or addressing any changes in legal requirements or for any other purpose permitted by law, except that (i) no amendment or alteration that would materially adversely affect the rights of any Participant under any Award previously granted to such Participant shall be made without the consent of such Participant and (ii) no amendment or alteration shall be effective prior to its approval by the stockholders of the Company to the extent stockholder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stockholder approval (except in connection with a change in the Company’s capitalization as provided in paragraph 13), if the effect of such amendment would be to reduce the exercise price for the shares underlying such Option or SAR.</w:t>
      </w:r>
    </w:p>
    <w:p>
      <w:pPr>
        <w:spacing w:after="0" w:line="158" w:lineRule="exact"/>
        <w:rPr>
          <w:rFonts w:ascii="Arial" w:cs="Arial" w:eastAsia="Arial" w:hAnsi="Arial"/>
          <w:sz w:val="19"/>
          <w:szCs w:val="19"/>
          <w:color w:val="auto"/>
        </w:rPr>
      </w:pPr>
    </w:p>
    <w:p>
      <w:pPr>
        <w:jc w:val="both"/>
        <w:ind w:firstLine="576"/>
        <w:spacing w:after="0" w:line="252" w:lineRule="auto"/>
        <w:tabs>
          <w:tab w:leader="none" w:pos="1472" w:val="left"/>
        </w:tabs>
        <w:numPr>
          <w:ilvl w:val="0"/>
          <w:numId w:val="202"/>
        </w:numPr>
        <w:rPr>
          <w:rFonts w:ascii="Arial" w:cs="Arial" w:eastAsia="Arial" w:hAnsi="Arial"/>
          <w:sz w:val="21"/>
          <w:szCs w:val="21"/>
          <w:color w:val="auto"/>
        </w:rPr>
      </w:pPr>
      <w:r>
        <w:rPr>
          <w:rFonts w:ascii="Arial" w:cs="Arial" w:eastAsia="Arial" w:hAnsi="Arial"/>
          <w:sz w:val="21"/>
          <w:szCs w:val="21"/>
          <w:i w:val="1"/>
          <w:iCs w:val="1"/>
          <w:color w:val="auto"/>
        </w:rPr>
        <w:t>Assignability</w:t>
      </w:r>
      <w:r>
        <w:rPr>
          <w:rFonts w:ascii="Arial" w:cs="Arial" w:eastAsia="Arial" w:hAnsi="Arial"/>
          <w:sz w:val="21"/>
          <w:szCs w:val="21"/>
          <w:color w:val="auto"/>
        </w:rPr>
        <w:t>. Unless otherwise determined by the Committee in the Award Agreement, no Award or any other</w:t>
      </w:r>
      <w:r>
        <w:rPr>
          <w:rFonts w:ascii="Arial" w:cs="Arial" w:eastAsia="Arial" w:hAnsi="Arial"/>
          <w:sz w:val="21"/>
          <w:szCs w:val="21"/>
          <w:i w:val="1"/>
          <w:iCs w:val="1"/>
          <w:color w:val="auto"/>
        </w:rPr>
        <w:t xml:space="preserve"> </w:t>
      </w:r>
      <w:r>
        <w:rPr>
          <w:rFonts w:ascii="Arial" w:cs="Arial" w:eastAsia="Arial" w:hAnsi="Arial"/>
          <w:sz w:val="21"/>
          <w:szCs w:val="21"/>
          <w:color w:val="auto"/>
        </w:rPr>
        <w:t>benefit under this Plan shall be assignable or otherwise transferable. Any attempted assignment of an Award or any other benefit under this Plan in violation of this paragraph 12 shall be null and void.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83" w:name="page184"/>
    <w:bookmarkEnd w:id="183"/>
    <w:p>
      <w:pPr>
        <w:ind w:left="1480" w:hanging="904"/>
        <w:spacing w:after="0"/>
        <w:tabs>
          <w:tab w:leader="none" w:pos="1480" w:val="left"/>
        </w:tabs>
        <w:numPr>
          <w:ilvl w:val="0"/>
          <w:numId w:val="203"/>
        </w:numPr>
        <w:rPr>
          <w:rFonts w:ascii="Arial" w:cs="Arial" w:eastAsia="Arial" w:hAnsi="Arial"/>
          <w:sz w:val="21"/>
          <w:szCs w:val="21"/>
          <w:color w:val="auto"/>
        </w:rPr>
      </w:pPr>
      <w:r>
        <w:rPr>
          <w:rFonts w:ascii="Arial" w:cs="Arial" w:eastAsia="Arial" w:hAnsi="Arial"/>
          <w:sz w:val="21"/>
          <w:szCs w:val="21"/>
          <w:i w:val="1"/>
          <w:iCs w:val="1"/>
          <w:color w:val="auto"/>
        </w:rPr>
        <w:t>Adjustments</w:t>
      </w:r>
      <w:r>
        <w:rPr>
          <w:rFonts w:ascii="Arial" w:cs="Arial" w:eastAsia="Arial" w:hAnsi="Arial"/>
          <w:sz w:val="21"/>
          <w:szCs w:val="21"/>
          <w:color w:val="auto"/>
        </w:rPr>
        <w:t>.</w:t>
      </w:r>
    </w:p>
    <w:p>
      <w:pPr>
        <w:spacing w:after="0" w:line="210" w:lineRule="exact"/>
        <w:rPr>
          <w:sz w:val="20"/>
          <w:szCs w:val="20"/>
          <w:color w:val="auto"/>
        </w:rPr>
      </w:pPr>
    </w:p>
    <w:p>
      <w:pPr>
        <w:jc w:val="both"/>
        <w:ind w:firstLine="576"/>
        <w:spacing w:after="0" w:line="243" w:lineRule="auto"/>
        <w:tabs>
          <w:tab w:leader="none" w:pos="1434" w:val="left"/>
        </w:tabs>
        <w:numPr>
          <w:ilvl w:val="0"/>
          <w:numId w:val="204"/>
        </w:numPr>
        <w:rPr>
          <w:rFonts w:ascii="Arial" w:cs="Arial" w:eastAsia="Arial" w:hAnsi="Arial"/>
          <w:sz w:val="21"/>
          <w:szCs w:val="21"/>
          <w:color w:val="auto"/>
        </w:rPr>
      </w:pPr>
      <w:r>
        <w:rPr>
          <w:rFonts w:ascii="Arial" w:cs="Arial" w:eastAsia="Arial" w:hAnsi="Arial"/>
          <w:sz w:val="21"/>
          <w:szCs w:val="21"/>
          <w:color w:val="auto"/>
        </w:rPr>
        <w:t>The existence of this Plan and Awards granted hereunder shall not affect in any way the right or power of the Company or its stockholders to make or authorize any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78" w:lineRule="exact"/>
        <w:rPr>
          <w:rFonts w:ascii="Arial" w:cs="Arial" w:eastAsia="Arial" w:hAnsi="Arial"/>
          <w:sz w:val="21"/>
          <w:szCs w:val="21"/>
          <w:color w:val="auto"/>
        </w:rPr>
      </w:pPr>
    </w:p>
    <w:p>
      <w:pPr>
        <w:jc w:val="both"/>
        <w:ind w:firstLine="576"/>
        <w:spacing w:after="0" w:line="244" w:lineRule="auto"/>
        <w:tabs>
          <w:tab w:leader="none" w:pos="1446" w:val="left"/>
        </w:tabs>
        <w:numPr>
          <w:ilvl w:val="0"/>
          <w:numId w:val="204"/>
        </w:numPr>
        <w:rPr>
          <w:rFonts w:ascii="Arial" w:cs="Arial" w:eastAsia="Arial" w:hAnsi="Arial"/>
          <w:sz w:val="21"/>
          <w:szCs w:val="21"/>
          <w:color w:val="auto"/>
        </w:rPr>
      </w:pPr>
      <w:r>
        <w:rPr>
          <w:rFonts w:ascii="Arial" w:cs="Arial" w:eastAsia="Arial" w:hAnsi="Arial"/>
          <w:sz w:val="21"/>
          <w:szCs w:val="21"/>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79" w:lineRule="exact"/>
        <w:rPr>
          <w:rFonts w:ascii="Arial" w:cs="Arial" w:eastAsia="Arial" w:hAnsi="Arial"/>
          <w:sz w:val="21"/>
          <w:szCs w:val="21"/>
          <w:color w:val="auto"/>
        </w:rPr>
      </w:pPr>
    </w:p>
    <w:p>
      <w:pPr>
        <w:jc w:val="both"/>
        <w:ind w:firstLine="576"/>
        <w:spacing w:after="0" w:line="255" w:lineRule="auto"/>
        <w:tabs>
          <w:tab w:leader="none" w:pos="1434"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169" w:lineRule="exact"/>
        <w:rPr>
          <w:rFonts w:ascii="Arial" w:cs="Arial" w:eastAsia="Arial" w:hAnsi="Arial"/>
          <w:sz w:val="20"/>
          <w:szCs w:val="20"/>
          <w:color w:val="auto"/>
        </w:rPr>
      </w:pPr>
    </w:p>
    <w:p>
      <w:pPr>
        <w:ind w:left="580" w:firstLine="1078"/>
        <w:spacing w:after="0" w:line="267" w:lineRule="auto"/>
        <w:tabs>
          <w:tab w:leader="none" w:pos="2500" w:val="left"/>
        </w:tabs>
        <w:numPr>
          <w:ilvl w:val="1"/>
          <w:numId w:val="204"/>
        </w:numPr>
        <w:rPr>
          <w:rFonts w:ascii="Arial" w:cs="Arial" w:eastAsia="Arial" w:hAnsi="Arial"/>
          <w:sz w:val="21"/>
          <w:szCs w:val="21"/>
          <w:color w:val="auto"/>
        </w:rPr>
      </w:pPr>
      <w:r>
        <w:rPr>
          <w:rFonts w:ascii="Arial" w:cs="Arial" w:eastAsia="Arial" w:hAnsi="Arial"/>
          <w:sz w:val="21"/>
          <w:szCs w:val="21"/>
          <w:color w:val="auto"/>
        </w:rPr>
        <w:t>in the event of an increase in the number of outstanding shares, be proportionately increased, and the cash consideration (if any) payable per share of Common Stock shall be proportionately reduced; and</w:t>
      </w:r>
    </w:p>
    <w:p>
      <w:pPr>
        <w:spacing w:after="0" w:line="152" w:lineRule="exact"/>
        <w:rPr>
          <w:rFonts w:ascii="Arial" w:cs="Arial" w:eastAsia="Arial" w:hAnsi="Arial"/>
          <w:sz w:val="21"/>
          <w:szCs w:val="21"/>
          <w:color w:val="auto"/>
        </w:rPr>
      </w:pPr>
    </w:p>
    <w:p>
      <w:pPr>
        <w:ind w:left="580" w:firstLine="1078"/>
        <w:spacing w:after="0" w:line="267" w:lineRule="auto"/>
        <w:tabs>
          <w:tab w:leader="none" w:pos="2559" w:val="left"/>
        </w:tabs>
        <w:numPr>
          <w:ilvl w:val="1"/>
          <w:numId w:val="204"/>
        </w:numPr>
        <w:rPr>
          <w:rFonts w:ascii="Arial" w:cs="Arial" w:eastAsia="Arial" w:hAnsi="Arial"/>
          <w:sz w:val="21"/>
          <w:szCs w:val="21"/>
          <w:color w:val="auto"/>
        </w:rPr>
      </w:pPr>
      <w:r>
        <w:rPr>
          <w:rFonts w:ascii="Arial" w:cs="Arial" w:eastAsia="Arial" w:hAnsi="Arial"/>
          <w:sz w:val="21"/>
          <w:szCs w:val="21"/>
          <w:color w:val="auto"/>
        </w:rPr>
        <w:t>in the event of a reduction in the number of outstanding shares, be proportionately reduced, and the cash consideration (if any) payable per share of Common Stock shall be proportionately increased.</w:t>
      </w:r>
    </w:p>
    <w:p>
      <w:pPr>
        <w:spacing w:after="0" w:line="152" w:lineRule="exact"/>
        <w:rPr>
          <w:rFonts w:ascii="Arial" w:cs="Arial" w:eastAsia="Arial" w:hAnsi="Arial"/>
          <w:sz w:val="21"/>
          <w:szCs w:val="21"/>
          <w:color w:val="auto"/>
        </w:rPr>
      </w:pPr>
    </w:p>
    <w:p>
      <w:pPr>
        <w:jc w:val="both"/>
        <w:ind w:firstLine="576"/>
        <w:spacing w:after="0" w:line="253" w:lineRule="auto"/>
        <w:tabs>
          <w:tab w:leader="none" w:pos="144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a share of Common Stock on such date over the exercise price of such Award (for the avoidance of doubt, if such exercise price is greater than the Fair Market Value of a share of Common Stock on such date, the Option or Stock Appreciation Right may be canceled for no consideration).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84" w:name="page185"/>
    <w:bookmarkEnd w:id="184"/>
    <w:p>
      <w:pPr>
        <w:jc w:val="both"/>
        <w:ind w:firstLine="576"/>
        <w:spacing w:after="0" w:line="270" w:lineRule="auto"/>
        <w:tabs>
          <w:tab w:leader="none" w:pos="1434" w:val="left"/>
        </w:tabs>
        <w:numPr>
          <w:ilvl w:val="0"/>
          <w:numId w:val="205"/>
        </w:numPr>
        <w:rPr>
          <w:rFonts w:ascii="Arial" w:cs="Arial" w:eastAsia="Arial" w:hAnsi="Arial"/>
          <w:sz w:val="19"/>
          <w:szCs w:val="19"/>
          <w:color w:val="auto"/>
        </w:rPr>
      </w:pPr>
      <w:r>
        <w:rPr>
          <w:rFonts w:ascii="Arial" w:cs="Arial" w:eastAsia="Arial" w:hAnsi="Arial"/>
          <w:sz w:val="19"/>
          <w:szCs w:val="19"/>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 (ii) 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 (iii) 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p>
      <w:pPr>
        <w:spacing w:after="0" w:line="157" w:lineRule="exact"/>
        <w:rPr>
          <w:sz w:val="20"/>
          <w:szCs w:val="20"/>
          <w:color w:val="auto"/>
        </w:rPr>
      </w:pPr>
    </w:p>
    <w:p>
      <w:pPr>
        <w:jc w:val="both"/>
        <w:ind w:firstLine="576"/>
        <w:spacing w:after="0" w:line="253" w:lineRule="auto"/>
        <w:tabs>
          <w:tab w:leader="none" w:pos="1472" w:val="left"/>
        </w:tabs>
        <w:numPr>
          <w:ilvl w:val="0"/>
          <w:numId w:val="206"/>
        </w:numPr>
        <w:rPr>
          <w:rFonts w:ascii="Arial" w:cs="Arial" w:eastAsia="Arial" w:hAnsi="Arial"/>
          <w:sz w:val="20"/>
          <w:szCs w:val="20"/>
          <w:color w:val="auto"/>
        </w:rPr>
      </w:pPr>
      <w:r>
        <w:rPr>
          <w:rFonts w:ascii="Arial" w:cs="Arial" w:eastAsia="Arial" w:hAnsi="Arial"/>
          <w:sz w:val="20"/>
          <w:szCs w:val="20"/>
          <w:i w:val="1"/>
          <w:iCs w:val="1"/>
          <w:color w:val="auto"/>
        </w:rPr>
        <w:t>Restrictions</w:t>
      </w:r>
      <w:r>
        <w:rPr>
          <w:rFonts w:ascii="Arial" w:cs="Arial" w:eastAsia="Arial" w:hAnsi="Arial"/>
          <w:sz w:val="20"/>
          <w:szCs w:val="20"/>
          <w:color w:val="auto"/>
        </w:rPr>
        <w:t>. No Common Stock or other form of payment shall be issued with respect to any Award unless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shall be satisfied based on the 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70" w:lineRule="exact"/>
        <w:rPr>
          <w:rFonts w:ascii="Arial" w:cs="Arial" w:eastAsia="Arial" w:hAnsi="Arial"/>
          <w:sz w:val="20"/>
          <w:szCs w:val="20"/>
          <w:color w:val="auto"/>
        </w:rPr>
      </w:pPr>
    </w:p>
    <w:p>
      <w:pPr>
        <w:jc w:val="both"/>
        <w:ind w:firstLine="576"/>
        <w:spacing w:after="0" w:line="268" w:lineRule="auto"/>
        <w:tabs>
          <w:tab w:leader="none" w:pos="1472" w:val="left"/>
        </w:tabs>
        <w:numPr>
          <w:ilvl w:val="0"/>
          <w:numId w:val="206"/>
        </w:numPr>
        <w:rPr>
          <w:rFonts w:ascii="Arial" w:cs="Arial" w:eastAsia="Arial" w:hAnsi="Arial"/>
          <w:sz w:val="19"/>
          <w:szCs w:val="19"/>
          <w:color w:val="auto"/>
        </w:rPr>
      </w:pPr>
      <w:r>
        <w:rPr>
          <w:rFonts w:ascii="Arial" w:cs="Arial" w:eastAsia="Arial" w:hAnsi="Arial"/>
          <w:sz w:val="19"/>
          <w:szCs w:val="19"/>
          <w:i w:val="1"/>
          <w:iCs w:val="1"/>
          <w:color w:val="auto"/>
        </w:rPr>
        <w:t>Unfunded Plan</w:t>
      </w:r>
      <w:r>
        <w:rPr>
          <w:rFonts w:ascii="Arial" w:cs="Arial" w:eastAsia="Arial" w:hAnsi="Arial"/>
          <w:sz w:val="19"/>
          <w:szCs w:val="19"/>
          <w:color w:val="auto"/>
        </w:rPr>
        <w:t>. Insofar as it provides for Awards of cash, Common Stock or rights thereto, this Plan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unfunded. Although bookkeeping 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85" w:name="page186"/>
    <w:bookmarkEnd w:id="185"/>
    <w:p>
      <w:pPr>
        <w:jc w:val="both"/>
        <w:ind w:firstLine="576"/>
        <w:spacing w:after="0" w:line="241" w:lineRule="auto"/>
        <w:tabs>
          <w:tab w:leader="none" w:pos="1472" w:val="left"/>
        </w:tabs>
        <w:numPr>
          <w:ilvl w:val="0"/>
          <w:numId w:val="207"/>
        </w:numPr>
        <w:rPr>
          <w:rFonts w:ascii="Arial" w:cs="Arial" w:eastAsia="Arial" w:hAnsi="Arial"/>
          <w:sz w:val="21"/>
          <w:szCs w:val="21"/>
          <w:color w:val="auto"/>
        </w:rPr>
      </w:pPr>
      <w:r>
        <w:rPr>
          <w:rFonts w:ascii="Arial" w:cs="Arial" w:eastAsia="Arial" w:hAnsi="Arial"/>
          <w:sz w:val="21"/>
          <w:szCs w:val="21"/>
          <w:i w:val="1"/>
          <w:iCs w:val="1"/>
          <w:color w:val="auto"/>
        </w:rPr>
        <w:t>Section 409A</w:t>
      </w:r>
      <w:r>
        <w:rPr>
          <w:rFonts w:ascii="Arial" w:cs="Arial" w:eastAsia="Arial" w:hAnsi="Arial"/>
          <w:sz w:val="21"/>
          <w:szCs w:val="21"/>
          <w:color w:val="auto"/>
        </w:rPr>
        <w:t>. This Plan is intended to provide compensation which is exempt from or which complies with Section</w:t>
      </w:r>
      <w:r>
        <w:rPr>
          <w:rFonts w:ascii="Arial" w:cs="Arial" w:eastAsia="Arial" w:hAnsi="Arial"/>
          <w:sz w:val="21"/>
          <w:szCs w:val="21"/>
          <w:i w:val="1"/>
          <w:iCs w:val="1"/>
          <w:color w:val="auto"/>
        </w:rPr>
        <w:t xml:space="preserve"> </w:t>
      </w:r>
      <w:r>
        <w:rPr>
          <w:rFonts w:ascii="Arial" w:cs="Arial" w:eastAsia="Arial" w:hAnsi="Arial"/>
          <w:sz w:val="21"/>
          <w:szCs w:val="21"/>
          <w:color w:val="auto"/>
        </w:rPr>
        <w:t>409A, and ambiguous provisions, if 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180" w:lineRule="exact"/>
        <w:rPr>
          <w:sz w:val="20"/>
          <w:szCs w:val="20"/>
          <w:color w:val="auto"/>
        </w:rPr>
      </w:pPr>
    </w:p>
    <w:p>
      <w:pPr>
        <w:jc w:val="both"/>
        <w:ind w:firstLine="570"/>
        <w:spacing w:after="0" w:line="272" w:lineRule="auto"/>
        <w:rPr>
          <w:sz w:val="20"/>
          <w:szCs w:val="20"/>
          <w:color w:val="auto"/>
        </w:rPr>
      </w:pPr>
      <w:r>
        <w:rPr>
          <w:rFonts w:ascii="Arial" w:cs="Arial" w:eastAsia="Arial" w:hAnsi="Arial"/>
          <w:sz w:val="19"/>
          <w:szCs w:val="19"/>
          <w:color w:val="auto"/>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the Participant’s death.</w:t>
      </w:r>
    </w:p>
    <w:p>
      <w:pPr>
        <w:spacing w:after="0" w:line="152" w:lineRule="exact"/>
        <w:rPr>
          <w:sz w:val="20"/>
          <w:szCs w:val="20"/>
          <w:color w:val="auto"/>
        </w:rPr>
      </w:pPr>
    </w:p>
    <w:p>
      <w:pPr>
        <w:jc w:val="both"/>
        <w:ind w:firstLine="576"/>
        <w:spacing w:after="0" w:line="252" w:lineRule="auto"/>
        <w:tabs>
          <w:tab w:leader="none" w:pos="1472" w:val="left"/>
        </w:tabs>
        <w:numPr>
          <w:ilvl w:val="0"/>
          <w:numId w:val="208"/>
        </w:numPr>
        <w:rPr>
          <w:rFonts w:ascii="Arial" w:cs="Arial" w:eastAsia="Arial" w:hAnsi="Arial"/>
          <w:sz w:val="21"/>
          <w:szCs w:val="21"/>
          <w:color w:val="auto"/>
        </w:rPr>
      </w:pPr>
      <w:r>
        <w:rPr>
          <w:rFonts w:ascii="Arial" w:cs="Arial" w:eastAsia="Arial" w:hAnsi="Arial"/>
          <w:sz w:val="21"/>
          <w:szCs w:val="21"/>
          <w:i w:val="1"/>
          <w:iCs w:val="1"/>
          <w:color w:val="auto"/>
        </w:rPr>
        <w:t>Governing Law</w:t>
      </w:r>
      <w:r>
        <w:rPr>
          <w:rFonts w:ascii="Arial" w:cs="Arial" w:eastAsia="Arial" w:hAnsi="Arial"/>
          <w:sz w:val="21"/>
          <w:szCs w:val="21"/>
          <w:color w:val="auto"/>
        </w:rPr>
        <w:t>. This Plan and all determinations made and actions taken pursuant hereto, to the extent not</w:t>
      </w:r>
      <w:r>
        <w:rPr>
          <w:rFonts w:ascii="Arial" w:cs="Arial" w:eastAsia="Arial" w:hAnsi="Arial"/>
          <w:sz w:val="21"/>
          <w:szCs w:val="21"/>
          <w:i w:val="1"/>
          <w:iCs w:val="1"/>
          <w:color w:val="auto"/>
        </w:rPr>
        <w:t xml:space="preserve"> </w:t>
      </w:r>
      <w:r>
        <w:rPr>
          <w:rFonts w:ascii="Arial" w:cs="Arial" w:eastAsia="Arial" w:hAnsi="Arial"/>
          <w:sz w:val="21"/>
          <w:szCs w:val="21"/>
          <w:color w:val="auto"/>
        </w:rPr>
        <w:t>otherwise governed by mandatory provisions of the Code or the securities laws of the United States, shall be governed by and construed in accordance with the laws of the State of Texas.</w:t>
      </w:r>
    </w:p>
    <w:p>
      <w:pPr>
        <w:spacing w:after="0" w:line="168" w:lineRule="exact"/>
        <w:rPr>
          <w:rFonts w:ascii="Arial" w:cs="Arial" w:eastAsia="Arial" w:hAnsi="Arial"/>
          <w:sz w:val="21"/>
          <w:szCs w:val="21"/>
          <w:color w:val="auto"/>
        </w:rPr>
      </w:pPr>
    </w:p>
    <w:p>
      <w:pPr>
        <w:jc w:val="both"/>
        <w:ind w:firstLine="576"/>
        <w:spacing w:after="0" w:line="247" w:lineRule="auto"/>
        <w:tabs>
          <w:tab w:leader="none" w:pos="1472" w:val="left"/>
        </w:tabs>
        <w:numPr>
          <w:ilvl w:val="0"/>
          <w:numId w:val="208"/>
        </w:numPr>
        <w:rPr>
          <w:rFonts w:ascii="Arial" w:cs="Arial" w:eastAsia="Arial" w:hAnsi="Arial"/>
          <w:sz w:val="21"/>
          <w:szCs w:val="21"/>
          <w:color w:val="auto"/>
        </w:rPr>
      </w:pPr>
      <w:r>
        <w:rPr>
          <w:rFonts w:ascii="Arial" w:cs="Arial" w:eastAsia="Arial" w:hAnsi="Arial"/>
          <w:sz w:val="21"/>
          <w:szCs w:val="21"/>
          <w:i w:val="1"/>
          <w:iCs w:val="1"/>
          <w:color w:val="auto"/>
        </w:rPr>
        <w:t>No Right to Employment</w:t>
      </w:r>
      <w:r>
        <w:rPr>
          <w:rFonts w:ascii="Arial" w:cs="Arial" w:eastAsia="Arial" w:hAnsi="Arial"/>
          <w:sz w:val="21"/>
          <w:szCs w:val="21"/>
          <w:color w:val="auto"/>
        </w:rPr>
        <w:t>. Nothing in this Plan or an Award Agreement shall interfere with or limit in any way the</w:t>
      </w:r>
      <w:r>
        <w:rPr>
          <w:rFonts w:ascii="Arial" w:cs="Arial" w:eastAsia="Arial" w:hAnsi="Arial"/>
          <w:sz w:val="21"/>
          <w:szCs w:val="21"/>
          <w:i w:val="1"/>
          <w:iCs w:val="1"/>
          <w:color w:val="auto"/>
        </w:rPr>
        <w:t xml:space="preserve"> </w:t>
      </w:r>
      <w:r>
        <w:rPr>
          <w:rFonts w:ascii="Arial" w:cs="Arial" w:eastAsia="Arial" w:hAnsi="Arial"/>
          <w:sz w:val="21"/>
          <w:szCs w:val="21"/>
          <w:color w:val="auto"/>
        </w:rPr>
        <w:t>right of the Company or a Subsidiary to terminate any Participant’s employment or other service relationship at any time, nor confer upon any Participant any right to continue in the capacity in which he or she is employed or otherwise serves the Company or any Subsidiary.</w:t>
      </w:r>
    </w:p>
    <w:p>
      <w:pPr>
        <w:spacing w:after="0" w:line="174" w:lineRule="exact"/>
        <w:rPr>
          <w:rFonts w:ascii="Arial" w:cs="Arial" w:eastAsia="Arial" w:hAnsi="Arial"/>
          <w:sz w:val="21"/>
          <w:szCs w:val="21"/>
          <w:color w:val="auto"/>
        </w:rPr>
      </w:pPr>
    </w:p>
    <w:p>
      <w:pPr>
        <w:jc w:val="both"/>
        <w:ind w:firstLine="576"/>
        <w:spacing w:after="0" w:line="252" w:lineRule="auto"/>
        <w:tabs>
          <w:tab w:leader="none" w:pos="1472" w:val="left"/>
        </w:tabs>
        <w:numPr>
          <w:ilvl w:val="0"/>
          <w:numId w:val="208"/>
        </w:numPr>
        <w:rPr>
          <w:rFonts w:ascii="Arial" w:cs="Arial" w:eastAsia="Arial" w:hAnsi="Arial"/>
          <w:sz w:val="21"/>
          <w:szCs w:val="21"/>
          <w:color w:val="auto"/>
        </w:rPr>
      </w:pPr>
      <w:r>
        <w:rPr>
          <w:rFonts w:ascii="Arial" w:cs="Arial" w:eastAsia="Arial" w:hAnsi="Arial"/>
          <w:sz w:val="21"/>
          <w:szCs w:val="21"/>
          <w:i w:val="1"/>
          <w:iCs w:val="1"/>
          <w:color w:val="auto"/>
        </w:rPr>
        <w:t>Successors</w:t>
      </w:r>
      <w:r>
        <w:rPr>
          <w:rFonts w:ascii="Arial" w:cs="Arial" w:eastAsia="Arial" w:hAnsi="Arial"/>
          <w:sz w:val="21"/>
          <w:szCs w:val="21"/>
          <w:color w:val="auto"/>
        </w:rPr>
        <w:t>. All obligations of the Company under this Plan with respect to Awards granted hereunder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binding on any successor to the Company, whether the existence of such successor is the result of a direct or indirect purchase, merger, consolidation, or otherwise, of all or substantially all of the business and/or assets of the Company.</w:t>
      </w:r>
    </w:p>
    <w:p>
      <w:pPr>
        <w:spacing w:after="0" w:line="168" w:lineRule="exact"/>
        <w:rPr>
          <w:rFonts w:ascii="Arial" w:cs="Arial" w:eastAsia="Arial" w:hAnsi="Arial"/>
          <w:sz w:val="21"/>
          <w:szCs w:val="21"/>
          <w:color w:val="auto"/>
        </w:rPr>
      </w:pPr>
    </w:p>
    <w:p>
      <w:pPr>
        <w:jc w:val="both"/>
        <w:ind w:firstLine="576"/>
        <w:spacing w:after="0" w:line="243" w:lineRule="auto"/>
        <w:tabs>
          <w:tab w:leader="none" w:pos="1472" w:val="left"/>
        </w:tabs>
        <w:numPr>
          <w:ilvl w:val="0"/>
          <w:numId w:val="208"/>
        </w:numPr>
        <w:rPr>
          <w:rFonts w:ascii="Arial" w:cs="Arial" w:eastAsia="Arial" w:hAnsi="Arial"/>
          <w:sz w:val="21"/>
          <w:szCs w:val="21"/>
          <w:color w:val="auto"/>
        </w:rPr>
      </w:pPr>
      <w:r>
        <w:rPr>
          <w:rFonts w:ascii="Arial" w:cs="Arial" w:eastAsia="Arial" w:hAnsi="Arial"/>
          <w:sz w:val="21"/>
          <w:szCs w:val="21"/>
          <w:i w:val="1"/>
          <w:iCs w:val="1"/>
          <w:color w:val="auto"/>
        </w:rPr>
        <w:t>Tax Consequences</w:t>
      </w:r>
      <w:r>
        <w:rPr>
          <w:rFonts w:ascii="Arial" w:cs="Arial" w:eastAsia="Arial" w:hAnsi="Arial"/>
          <w:sz w:val="21"/>
          <w:szCs w:val="21"/>
          <w:color w:val="auto"/>
        </w:rPr>
        <w:t>. Nothing in this Plan or an Award Agreement shall constitute a representation by the Company to</w:t>
      </w:r>
      <w:r>
        <w:rPr>
          <w:rFonts w:ascii="Arial" w:cs="Arial" w:eastAsia="Arial" w:hAnsi="Arial"/>
          <w:sz w:val="21"/>
          <w:szCs w:val="21"/>
          <w:i w:val="1"/>
          <w:iCs w:val="1"/>
          <w:color w:val="auto"/>
        </w:rPr>
        <w:t xml:space="preserve"> </w:t>
      </w:r>
      <w:r>
        <w:rPr>
          <w:rFonts w:ascii="Arial" w:cs="Arial" w:eastAsia="Arial" w:hAnsi="Arial"/>
          <w:sz w:val="21"/>
          <w:szCs w:val="21"/>
          <w:color w:val="auto"/>
        </w:rPr>
        <w:t>a Participant regarding the tax consequences of any Award received by a Participant under this Plan. Although the Company may endeavor to (i) qualify a Performance Award for favorable U.S. or foreign tax treatment or (ii) avoid adverse tax treatment (e.g. under Section 409A), the Company makes no representation to that effect and expressly disavows any covenant to maintain favorable or unavoidable tax treatment. The Company shall be unconstrained in its corporate activities without regard to the potential negative tax impact on holders of Performance Awards under this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86" w:name="page187"/>
    <w:bookmarkEnd w:id="186"/>
    <w:p>
      <w:pPr>
        <w:jc w:val="both"/>
        <w:ind w:firstLine="576"/>
        <w:spacing w:after="0" w:line="276" w:lineRule="auto"/>
        <w:tabs>
          <w:tab w:leader="none" w:pos="1472" w:val="left"/>
        </w:tabs>
        <w:numPr>
          <w:ilvl w:val="0"/>
          <w:numId w:val="209"/>
        </w:numPr>
        <w:rPr>
          <w:rFonts w:ascii="Arial" w:cs="Arial" w:eastAsia="Arial" w:hAnsi="Arial"/>
          <w:sz w:val="19"/>
          <w:szCs w:val="19"/>
          <w:color w:val="auto"/>
        </w:rPr>
      </w:pPr>
      <w:r>
        <w:rPr>
          <w:rFonts w:ascii="Arial" w:cs="Arial" w:eastAsia="Arial" w:hAnsi="Arial"/>
          <w:sz w:val="19"/>
          <w:szCs w:val="19"/>
          <w:i w:val="1"/>
          <w:iCs w:val="1"/>
          <w:color w:val="auto"/>
        </w:rPr>
        <w:t>Non-United States Participants</w:t>
      </w:r>
      <w:r>
        <w:rPr>
          <w:rFonts w:ascii="Arial" w:cs="Arial" w:eastAsia="Arial" w:hAnsi="Arial"/>
          <w:sz w:val="19"/>
          <w:szCs w:val="19"/>
          <w:color w:val="auto"/>
        </w:rPr>
        <w:t>. The Committee may grant awards to persons outside the United States under such</w:t>
      </w:r>
      <w:r>
        <w:rPr>
          <w:rFonts w:ascii="Arial" w:cs="Arial" w:eastAsia="Arial" w:hAnsi="Arial"/>
          <w:sz w:val="19"/>
          <w:szCs w:val="19"/>
          <w:i w:val="1"/>
          <w:iCs w:val="1"/>
          <w:color w:val="auto"/>
        </w:rPr>
        <w:t xml:space="preserve"> </w:t>
      </w:r>
      <w:r>
        <w:rPr>
          <w:rFonts w:ascii="Arial" w:cs="Arial" w:eastAsia="Arial" w:hAnsi="Arial"/>
          <w:sz w:val="19"/>
          <w:szCs w:val="19"/>
          <w:color w:val="auto"/>
        </w:rPr>
        <w:t>terms and conditions as may, in the judgment of the Committee, be necessary or advisable to comply with the laws of the applicable foreign jurisdictions and, to that end, may establish sub-plans, modified vesting, exercise or settlement procedures and other terms and procedures. Notwithstanding the above, the Committee may not take any actions hereunder, and no Awards shall be granted, that would violate the Securities Exchange Act of 1934, the Code, any securities law, any governing statute, or any other applicable law.</w:t>
      </w:r>
    </w:p>
    <w:p>
      <w:pPr>
        <w:spacing w:after="0" w:line="150" w:lineRule="exact"/>
        <w:rPr>
          <w:rFonts w:ascii="Arial" w:cs="Arial" w:eastAsia="Arial" w:hAnsi="Arial"/>
          <w:sz w:val="19"/>
          <w:szCs w:val="19"/>
          <w:color w:val="auto"/>
        </w:rPr>
      </w:pPr>
    </w:p>
    <w:p>
      <w:pPr>
        <w:jc w:val="both"/>
        <w:ind w:firstLine="576"/>
        <w:spacing w:after="0" w:line="247" w:lineRule="auto"/>
        <w:tabs>
          <w:tab w:leader="none" w:pos="1472" w:val="left"/>
        </w:tabs>
        <w:numPr>
          <w:ilvl w:val="0"/>
          <w:numId w:val="209"/>
        </w:numPr>
        <w:rPr>
          <w:rFonts w:ascii="Arial" w:cs="Arial" w:eastAsia="Arial" w:hAnsi="Arial"/>
          <w:sz w:val="21"/>
          <w:szCs w:val="21"/>
          <w:color w:val="auto"/>
        </w:rPr>
      </w:pPr>
      <w:r>
        <w:rPr>
          <w:rFonts w:ascii="Arial" w:cs="Arial" w:eastAsia="Arial" w:hAnsi="Arial"/>
          <w:sz w:val="21"/>
          <w:szCs w:val="21"/>
          <w:i w:val="1"/>
          <w:iCs w:val="1"/>
          <w:color w:val="auto"/>
        </w:rPr>
        <w:t>Effectiveness</w:t>
      </w:r>
      <w:r>
        <w:rPr>
          <w:rFonts w:ascii="Arial" w:cs="Arial" w:eastAsia="Arial" w:hAnsi="Arial"/>
          <w:sz w:val="21"/>
          <w:szCs w:val="21"/>
          <w:color w:val="auto"/>
        </w:rPr>
        <w:t>. This Plan became effective January 19, 2017 upon its approval by the stockholders of the Company at</w:t>
      </w:r>
      <w:r>
        <w:rPr>
          <w:rFonts w:ascii="Arial" w:cs="Arial" w:eastAsia="Arial" w:hAnsi="Arial"/>
          <w:sz w:val="21"/>
          <w:szCs w:val="21"/>
          <w:i w:val="1"/>
          <w:iCs w:val="1"/>
          <w:color w:val="auto"/>
        </w:rPr>
        <w:t xml:space="preserve"> </w:t>
      </w:r>
      <w:r>
        <w:rPr>
          <w:rFonts w:ascii="Arial" w:cs="Arial" w:eastAsia="Arial" w:hAnsi="Arial"/>
          <w:sz w:val="21"/>
          <w:szCs w:val="21"/>
          <w:color w:val="auto"/>
        </w:rPr>
        <w:t>the 2017 annual general meeting of stockholders. This Plan was thereafter amended and restated by the Committee effective July 19, 2017. This Plan shall continue in effect for a term of ten years after the date on which the stockholders of the Company approve this Plan, unless sooner terminated by action of the Board.</w:t>
      </w:r>
    </w:p>
    <w:p>
      <w:pPr>
        <w:spacing w:after="0" w:line="174" w:lineRule="exact"/>
        <w:rPr>
          <w:sz w:val="20"/>
          <w:szCs w:val="20"/>
          <w:color w:val="auto"/>
        </w:rPr>
      </w:pPr>
    </w:p>
    <w:p>
      <w:pPr>
        <w:ind w:right="320"/>
        <w:spacing w:after="0" w:line="267" w:lineRule="auto"/>
        <w:rPr>
          <w:sz w:val="20"/>
          <w:szCs w:val="20"/>
          <w:color w:val="auto"/>
        </w:rPr>
      </w:pPr>
      <w:r>
        <w:rPr>
          <w:rFonts w:ascii="Arial" w:cs="Arial" w:eastAsia="Arial" w:hAnsi="Arial"/>
          <w:sz w:val="21"/>
          <w:szCs w:val="21"/>
          <w:color w:val="auto"/>
        </w:rPr>
        <w:t>IN WITNESS WHEREOF, the Company has caused this Plan to be executed by its duly authorized officer on the date first written above.</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SCHLUMBERGER LIMITED</w:t>
      </w:r>
    </w:p>
    <w:p>
      <w:pPr>
        <w:spacing w:after="0" w:line="236" w:lineRule="exact"/>
        <w:rPr>
          <w:sz w:val="20"/>
          <w:szCs w:val="20"/>
          <w:color w:val="auto"/>
        </w:rPr>
      </w:pPr>
    </w:p>
    <w:tbl>
      <w:tblPr>
        <w:tblLayout w:type="fixed"/>
        <w:tblInd w:w="6860" w:type="dxa"/>
        <w:tblCellMar>
          <w:top w:w="0" w:type="dxa"/>
          <w:left w:w="0" w:type="dxa"/>
          <w:bottom w:w="0" w:type="dxa"/>
          <w:right w:w="0" w:type="dxa"/>
        </w:tblCellMar>
      </w:tblPr>
      <w:tr>
        <w:trPr>
          <w:trHeight w:val="260"/>
        </w:trPr>
        <w:tc>
          <w:tcPr>
            <w:tcW w:w="700" w:type="dxa"/>
            <w:vAlign w:val="bottom"/>
          </w:tcPr>
          <w:p>
            <w:pPr>
              <w:spacing w:after="0"/>
              <w:rPr>
                <w:sz w:val="20"/>
                <w:szCs w:val="20"/>
                <w:color w:val="auto"/>
              </w:rPr>
            </w:pPr>
            <w:r>
              <w:rPr>
                <w:rFonts w:ascii="Arial" w:cs="Arial" w:eastAsia="Arial" w:hAnsi="Arial"/>
                <w:sz w:val="21"/>
                <w:szCs w:val="21"/>
                <w:color w:val="auto"/>
              </w:rPr>
              <w:t>By:</w:t>
            </w:r>
          </w:p>
        </w:tc>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Paal Kibsgaard</w:t>
            </w:r>
          </w:p>
        </w:tc>
      </w:tr>
      <w:tr>
        <w:trPr>
          <w:trHeight w:val="265"/>
        </w:trPr>
        <w:tc>
          <w:tcPr>
            <w:tcW w:w="700" w:type="dxa"/>
            <w:vAlign w:val="bottom"/>
          </w:tcPr>
          <w:p>
            <w:pPr>
              <w:spacing w:after="0"/>
              <w:rPr>
                <w:sz w:val="23"/>
                <w:szCs w:val="23"/>
                <w:color w:val="auto"/>
              </w:rPr>
            </w:pPr>
          </w:p>
        </w:tc>
        <w:tc>
          <w:tcPr>
            <w:tcW w:w="3860" w:type="dxa"/>
            <w:vAlign w:val="bottom"/>
          </w:tcPr>
          <w:p>
            <w:pPr>
              <w:ind w:left="100"/>
              <w:spacing w:after="0"/>
              <w:rPr>
                <w:sz w:val="20"/>
                <w:szCs w:val="20"/>
                <w:color w:val="auto"/>
              </w:rPr>
            </w:pPr>
            <w:r>
              <w:rPr>
                <w:rFonts w:ascii="Arial" w:cs="Arial" w:eastAsia="Arial" w:hAnsi="Arial"/>
                <w:sz w:val="21"/>
                <w:szCs w:val="21"/>
                <w:color w:val="auto"/>
              </w:rPr>
              <w:t>Paal Kibsgaard</w:t>
            </w:r>
          </w:p>
        </w:tc>
      </w:tr>
      <w:tr>
        <w:trPr>
          <w:trHeight w:val="456"/>
        </w:trPr>
        <w:tc>
          <w:tcPr>
            <w:tcW w:w="700" w:type="dxa"/>
            <w:vAlign w:val="bottom"/>
          </w:tcPr>
          <w:p>
            <w:pPr>
              <w:spacing w:after="0"/>
              <w:rPr>
                <w:sz w:val="20"/>
                <w:szCs w:val="20"/>
                <w:color w:val="auto"/>
              </w:rPr>
            </w:pPr>
            <w:r>
              <w:rPr>
                <w:rFonts w:ascii="Arial" w:cs="Arial" w:eastAsia="Arial" w:hAnsi="Arial"/>
                <w:sz w:val="21"/>
                <w:szCs w:val="21"/>
                <w:color w:val="auto"/>
              </w:rPr>
              <w:t>Title:</w:t>
            </w:r>
          </w:p>
        </w:tc>
        <w:tc>
          <w:tcPr>
            <w:tcW w:w="3860" w:type="dxa"/>
            <w:vAlign w:val="bottom"/>
          </w:tcPr>
          <w:p>
            <w:pPr>
              <w:ind w:left="100"/>
              <w:spacing w:after="0"/>
              <w:rPr>
                <w:sz w:val="20"/>
                <w:szCs w:val="20"/>
                <w:color w:val="auto"/>
              </w:rPr>
            </w:pPr>
            <w:r>
              <w:rPr>
                <w:rFonts w:ascii="Arial" w:cs="Arial" w:eastAsia="Arial" w:hAnsi="Arial"/>
                <w:sz w:val="21"/>
                <w:szCs w:val="21"/>
                <w:color w:val="auto"/>
              </w:rPr>
              <w:t>Chairman &amp; CEO</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556" w:right="239" w:bottom="1440" w:gutter="0" w:footer="0" w:header="0"/>
        </w:sectPr>
      </w:pPr>
    </w:p>
    <w:bookmarkStart w:id="187" w:name="page188"/>
    <w:bookmarkEnd w:id="187"/>
    <w:p>
      <w:pPr>
        <w:ind w:left="10220"/>
        <w:spacing w:after="0"/>
        <w:rPr>
          <w:sz w:val="20"/>
          <w:szCs w:val="20"/>
          <w:color w:val="auto"/>
        </w:rPr>
      </w:pPr>
      <w:r>
        <w:rPr>
          <w:rFonts w:ascii="Arial" w:cs="Arial" w:eastAsia="Arial" w:hAnsi="Arial"/>
          <w:sz w:val="19"/>
          <w:szCs w:val="19"/>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6165215</wp:posOffset>
            </wp:positionH>
            <wp:positionV relativeFrom="paragraph">
              <wp:posOffset>182245</wp:posOffset>
            </wp:positionV>
            <wp:extent cx="1087120" cy="2273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1087120" cy="22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2018 PERFORMANCE SHARE UNIT AWARD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w:t>
      </w:r>
    </w:p>
    <w:p>
      <w:pPr>
        <w:jc w:val="center"/>
        <w:spacing w:after="0" w:line="237" w:lineRule="auto"/>
        <w:rPr>
          <w:sz w:val="20"/>
          <w:szCs w:val="20"/>
          <w:color w:val="auto"/>
        </w:rPr>
      </w:pPr>
      <w:r>
        <w:rPr>
          <w:rFonts w:ascii="Arial" w:cs="Arial" w:eastAsia="Arial" w:hAnsi="Arial"/>
          <w:sz w:val="21"/>
          <w:szCs w:val="21"/>
          <w:b w:val="1"/>
          <w:bCs w:val="1"/>
          <w:color w:val="auto"/>
        </w:rPr>
        <w:t>SCHLUMBERGER 2010 OMNIBUS STOCK INCENTIVE PLAN</w:t>
      </w:r>
    </w:p>
    <w:p>
      <w:pPr>
        <w:jc w:val="center"/>
        <w:ind w:right="60"/>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u w:val="single" w:color="auto"/>
          <w:color w:val="auto"/>
        </w:rPr>
        <w:t>Includes Confidentiality, Intellectual Property, Non-Competition, and Non-Solicitation</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1"/>
          <w:szCs w:val="21"/>
          <w:b w:val="1"/>
          <w:bCs w:val="1"/>
          <w:i w:val="1"/>
          <w:iCs w:val="1"/>
          <w:u w:val="single" w:color="auto"/>
          <w:color w:val="auto"/>
        </w:rPr>
        <w:t>Provisions in Section 10 and Attachment II</w:t>
      </w:r>
      <w:r>
        <w:rPr>
          <w:rFonts w:ascii="Arial" w:cs="Arial" w:eastAsia="Arial" w:hAnsi="Arial"/>
          <w:sz w:val="21"/>
          <w:szCs w:val="21"/>
          <w:color w:val="auto"/>
        </w:rPr>
        <w:t>)</w:t>
      </w:r>
    </w:p>
    <w:p>
      <w:pPr>
        <w:spacing w:after="0" w:line="186" w:lineRule="exact"/>
        <w:rPr>
          <w:sz w:val="20"/>
          <w:szCs w:val="20"/>
          <w:color w:val="auto"/>
        </w:rPr>
      </w:pPr>
    </w:p>
    <w:p>
      <w:pPr>
        <w:ind w:left="2860"/>
        <w:spacing w:after="0"/>
        <w:rPr>
          <w:sz w:val="20"/>
          <w:szCs w:val="20"/>
          <w:color w:val="auto"/>
        </w:rPr>
      </w:pPr>
      <w:r>
        <w:rPr>
          <w:rFonts w:ascii="Arial" w:cs="Arial" w:eastAsia="Arial" w:hAnsi="Arial"/>
          <w:sz w:val="21"/>
          <w:szCs w:val="21"/>
          <w:b w:val="1"/>
          <w:bCs w:val="1"/>
          <w:color w:val="auto"/>
        </w:rPr>
        <w:t>(“FRENCH QUALIFIED PERFORMANCE SHARE UNITS”)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Period: 2018, 2019 and 2020</w:t>
      </w:r>
    </w:p>
    <w:p>
      <w:pPr>
        <w:spacing w:after="0" w:line="192"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19"/>
          <w:szCs w:val="19"/>
          <w:color w:val="auto"/>
        </w:rPr>
        <w:t>This Performance Share Unit Award Agreement (as may be amended, the “Agreement”) is granted effective as of January 17, 2018 (the “Grant Date”) by Schlumberger Limited (the “Company”), for the benefit of ____________ (“Employee”), pursuant to</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the Schlumberger 2010 Omnibus Stock Incentive Plan, as amended by the sub-plan for France and as may be further amended from time to time (the “2010 Plan”). The 2010 Plan was approved by the Company’s shareholders on April 6, 2016, and governs the French Qualified Performance Share Units (“Performance Share Units”) granted to employees of the Company and its Subsidiaries (as defined in Section 13(u)) who are working in France or who are or may become subject to French tax (i.e. income tax or social security tax, or both) as a result of Performance Share Units granted under the 2016 Rules of the 2010 Plan for Employees in France (the “French sub-plan”). The 2010 Plan and the French sub-plan are collectively called the “Plans.” The Performance Share Units granted under the French sub-plan will be deemed “French Qualified Performance Share Units” for purposes of relevant provisions set forth by French tax law and the French tax administration and will be eligible for the specific income and social security tax regime applicable to shares granted for no consideration under the Articles L.225-197-1 to L.225-197-6 of the French Commercial Code.</w:t>
      </w:r>
    </w:p>
    <w:p>
      <w:pPr>
        <w:spacing w:after="0" w:line="189" w:lineRule="exact"/>
        <w:rPr>
          <w:sz w:val="20"/>
          <w:szCs w:val="20"/>
          <w:color w:val="auto"/>
        </w:rPr>
      </w:pPr>
    </w:p>
    <w:p>
      <w:pPr>
        <w:jc w:val="both"/>
        <w:ind w:firstLine="884"/>
        <w:spacing w:after="0" w:line="241" w:lineRule="auto"/>
        <w:tabs>
          <w:tab w:leader="none" w:pos="1103" w:val="left"/>
        </w:tabs>
        <w:numPr>
          <w:ilvl w:val="0"/>
          <w:numId w:val="210"/>
        </w:numPr>
        <w:rPr>
          <w:rFonts w:ascii="Arial" w:cs="Arial" w:eastAsia="Arial" w:hAnsi="Arial"/>
          <w:sz w:val="21"/>
          <w:szCs w:val="21"/>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xml:space="preserve">.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The target Performance Share Units subject to this award is set forth in an award letter previously delivered to Employee and the Notice of Grant of Award of Performance Share Units attached hereto. The Performance Share Units are notional units of measurement denominated in shares of common stock of the Company, $.01 par value per share (“Common Stock”). Each Performance Share Unit represents a right to receive one share of Common Stock, subject to the various conditions and restrictions on, </w:t>
      </w:r>
      <w:r>
        <w:rPr>
          <w:rFonts w:ascii="Arial" w:cs="Arial" w:eastAsia="Arial" w:hAnsi="Arial"/>
          <w:sz w:val="21"/>
          <w:szCs w:val="21"/>
          <w:i w:val="1"/>
          <w:iCs w:val="1"/>
          <w:color w:val="auto"/>
        </w:rPr>
        <w:t>inter alia,</w:t>
      </w:r>
      <w:r>
        <w:rPr>
          <w:rFonts w:ascii="Arial" w:cs="Arial" w:eastAsia="Arial" w:hAnsi="Arial"/>
          <w:sz w:val="21"/>
          <w:szCs w:val="21"/>
          <w:color w:val="auto"/>
        </w:rPr>
        <w:t xml:space="preserve"> vesting and transferability set forth herein and in the Plans.</w:t>
      </w:r>
    </w:p>
    <w:p>
      <w:pPr>
        <w:spacing w:after="0" w:line="183" w:lineRule="exact"/>
        <w:rPr>
          <w:sz w:val="20"/>
          <w:szCs w:val="20"/>
          <w:color w:val="auto"/>
        </w:rPr>
      </w:pPr>
    </w:p>
    <w:p>
      <w:pPr>
        <w:ind w:left="1072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29107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88" w:name="page189"/>
    <w:bookmarkEnd w:id="188"/>
    <w:p>
      <w:pPr>
        <w:ind w:left="-884" w:firstLine="884"/>
        <w:spacing w:after="0" w:line="267" w:lineRule="auto"/>
        <w:tabs>
          <w:tab w:leader="none" w:pos="233"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Vesting of Performance Share Units</w:t>
      </w:r>
      <w:r>
        <w:rPr>
          <w:rFonts w:ascii="Arial" w:cs="Arial" w:eastAsia="Arial" w:hAnsi="Arial"/>
          <w:sz w:val="21"/>
          <w:szCs w:val="21"/>
          <w:color w:val="auto"/>
        </w:rPr>
        <w:t>. The period of time between January 1, 2018 and December 31, 2020 is the “Performance Period.” The Performance Share Units will vest as follows:</w:t>
      </w:r>
    </w:p>
    <w:p>
      <w:pPr>
        <w:spacing w:after="0" w:line="153" w:lineRule="exact"/>
        <w:rPr>
          <w:sz w:val="20"/>
          <w:szCs w:val="20"/>
          <w:color w:val="auto"/>
        </w:rPr>
      </w:pPr>
    </w:p>
    <w:p>
      <w:pPr>
        <w:jc w:val="both"/>
        <w:ind w:left="-884" w:firstLine="884"/>
        <w:spacing w:after="0" w:line="254" w:lineRule="auto"/>
        <w:tabs>
          <w:tab w:leader="none" w:pos="299" w:val="left"/>
        </w:tabs>
        <w:numPr>
          <w:ilvl w:val="0"/>
          <w:numId w:val="212"/>
        </w:numPr>
        <w:rPr>
          <w:rFonts w:ascii="Arial" w:cs="Arial" w:eastAsia="Arial" w:hAnsi="Arial"/>
          <w:sz w:val="20"/>
          <w:szCs w:val="20"/>
          <w:color w:val="auto"/>
        </w:rPr>
      </w:pPr>
      <w:r>
        <w:rPr>
          <w:rFonts w:ascii="Arial" w:cs="Arial" w:eastAsia="Arial" w:hAnsi="Arial"/>
          <w:sz w:val="20"/>
          <w:szCs w:val="20"/>
          <w:color w:val="auto"/>
        </w:rPr>
        <w:t>On the first Friday following the meeting of the Compensation Committee of the Board of Directors of the Company (the “Committee”) in January 2021, or as soon thereafter as reasonably practicable (such date,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13(x) below) as of such date. Except as provided in Sections 2(b) and 2(c) below, if there is any Termination of Employment during the period from and between the Grant Date until and including the Vesting Date, Employee will immediately and automatically forfeit all Performance Share Units. Any questions as to whether and when there has been a Termination of Employment, and the cause of such termination, will be resolved by the Committee, and its determination will be final.</w:t>
      </w:r>
    </w:p>
    <w:p>
      <w:pPr>
        <w:spacing w:after="0" w:line="172" w:lineRule="exact"/>
        <w:rPr>
          <w:rFonts w:ascii="Arial" w:cs="Arial" w:eastAsia="Arial" w:hAnsi="Arial"/>
          <w:sz w:val="20"/>
          <w:szCs w:val="20"/>
          <w:color w:val="auto"/>
        </w:rPr>
      </w:pPr>
    </w:p>
    <w:p>
      <w:pPr>
        <w:jc w:val="both"/>
        <w:ind w:left="-884" w:firstLine="884"/>
        <w:spacing w:after="0" w:line="247" w:lineRule="auto"/>
        <w:tabs>
          <w:tab w:leader="none" w:pos="319" w:val="left"/>
        </w:tabs>
        <w:numPr>
          <w:ilvl w:val="0"/>
          <w:numId w:val="212"/>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Retirement (as defined in Section 13(q) below) or Special Retirement (as defined in Section 13(t) below), the Performance Share Units will vest in accordance with Section 2(a) above as if Employee had remained continuously employed by the Company or any of its Subsidiaries from the Grant Date through the Vesting Date.</w:t>
      </w:r>
    </w:p>
    <w:p>
      <w:pPr>
        <w:spacing w:after="0" w:line="174" w:lineRule="exact"/>
        <w:rPr>
          <w:rFonts w:ascii="Arial" w:cs="Arial" w:eastAsia="Arial" w:hAnsi="Arial"/>
          <w:sz w:val="21"/>
          <w:szCs w:val="21"/>
          <w:color w:val="auto"/>
        </w:rPr>
      </w:pPr>
    </w:p>
    <w:p>
      <w:pPr>
        <w:jc w:val="both"/>
        <w:ind w:left="-884" w:firstLine="884"/>
        <w:spacing w:after="0" w:line="244" w:lineRule="auto"/>
        <w:tabs>
          <w:tab w:leader="none" w:pos="298" w:val="left"/>
        </w:tabs>
        <w:numPr>
          <w:ilvl w:val="0"/>
          <w:numId w:val="212"/>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Disability (as defined in Section 13(i) below) or death, then immediately on the occurrence of such Termination of Employment, the target number of Performance Share Units will be earned and vest. The delivery of the shares of Common Stock underlying vested Performance Share Units will be delivered as stated in Section 3 below. However, in the event of death, the Company shall only issue the underlying shares to the employee’s heirs, provided they request the shares within six months following the death of the employee.</w:t>
      </w:r>
    </w:p>
    <w:p>
      <w:pPr>
        <w:spacing w:after="0" w:line="179" w:lineRule="exact"/>
        <w:rPr>
          <w:rFonts w:ascii="Arial" w:cs="Arial" w:eastAsia="Arial" w:hAnsi="Arial"/>
          <w:sz w:val="21"/>
          <w:szCs w:val="21"/>
          <w:color w:val="auto"/>
        </w:rPr>
      </w:pPr>
    </w:p>
    <w:p>
      <w:pPr>
        <w:jc w:val="both"/>
        <w:ind w:left="-884" w:firstLine="884"/>
        <w:spacing w:after="0" w:line="257" w:lineRule="auto"/>
        <w:tabs>
          <w:tab w:leader="none" w:pos="319" w:val="left"/>
        </w:tabs>
        <w:numPr>
          <w:ilvl w:val="0"/>
          <w:numId w:val="212"/>
        </w:numPr>
        <w:rPr>
          <w:rFonts w:ascii="Arial" w:cs="Arial" w:eastAsia="Arial" w:hAnsi="Arial"/>
          <w:sz w:val="20"/>
          <w:szCs w:val="20"/>
          <w:color w:val="auto"/>
        </w:rPr>
      </w:pPr>
      <w:r>
        <w:rPr>
          <w:rFonts w:ascii="Arial" w:cs="Arial" w:eastAsia="Arial" w:hAnsi="Arial"/>
          <w:sz w:val="20"/>
          <w:szCs w:val="20"/>
          <w:color w:val="auto"/>
        </w:rPr>
        <w:t>If Employee ceases to be employed in a position eligible to receive Performance Share Units (as determined by the Committee in its sole and absolute discretion) (an “Eligible Position”) the Performance Share Units will vest in accordance with Section 2(a) above, provided that Employee (x) remains continuously employed by the Company or any of its Subsidiaries from the Grant Date through the Vesting Date or (y) experiences a Qualifying Termination after Employee ceases to be employed in an Eligible Position. For the avoidance of doubt, if Employee experiences a Termination of Employment due to Disability or death after Employee ceases to be employed in an Eligible Position, the provisions of Section 2(c), will control.</w:t>
      </w:r>
    </w:p>
    <w:p>
      <w:pPr>
        <w:spacing w:after="0" w:line="168" w:lineRule="exact"/>
        <w:rPr>
          <w:sz w:val="20"/>
          <w:szCs w:val="20"/>
          <w:color w:val="auto"/>
        </w:rPr>
      </w:pPr>
    </w:p>
    <w:p>
      <w:pPr>
        <w:jc w:val="both"/>
        <w:ind w:left="-884" w:firstLine="884"/>
        <w:spacing w:after="0" w:line="256" w:lineRule="auto"/>
        <w:tabs>
          <w:tab w:leader="none" w:pos="233"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Settlement and Delivery of Performance Share Units</w:t>
      </w:r>
      <w:r>
        <w:rPr>
          <w:rFonts w:ascii="Arial" w:cs="Arial" w:eastAsia="Arial" w:hAnsi="Arial"/>
          <w:sz w:val="20"/>
          <w:szCs w:val="20"/>
          <w:color w:val="auto"/>
        </w:rPr>
        <w:t>. Payment of vested Performance Share Units will be made in shares of Common Stock as soon as administratively practicable, but in no event later than 2-1/2 months following the Vesting Date (the date of any such payment, the “Settlement Date”). Notwithstanding the vesting dates of the Performance Share Units, under no circumstances, except in case of Employee’s death or Disability, as provided for in Section 2(c) above, will the delivery of the shares of Common Stock related to a Performance Stock Unit occur prior to the third anniversary of the Grant Date. The sale of shares issued pursuant to the conversion of the Performance Stock Units may occur as soon as such shares are delivered to Employee provided the Closed Periods (as defined in Section 4 below) are respected.</w:t>
      </w:r>
    </w:p>
    <w:p>
      <w:pPr>
        <w:spacing w:after="0" w:line="167" w:lineRule="exact"/>
        <w:rPr>
          <w:sz w:val="20"/>
          <w:szCs w:val="20"/>
          <w:color w:val="auto"/>
        </w:rPr>
      </w:pPr>
    </w:p>
    <w:p>
      <w:pPr>
        <w:ind w:left="9836"/>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74295</wp:posOffset>
            </wp:positionV>
            <wp:extent cx="729107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536"/>
          </w:cols>
          <w:pgMar w:left="1124" w:top="543" w:right="239" w:bottom="1440" w:gutter="0" w:footer="0" w:header="0"/>
        </w:sectPr>
      </w:pPr>
    </w:p>
    <w:bookmarkStart w:id="189" w:name="page190"/>
    <w:bookmarkEnd w:id="189"/>
    <w:p>
      <w:pPr>
        <w:ind w:left="1100" w:hanging="216"/>
        <w:spacing w:after="0"/>
        <w:tabs>
          <w:tab w:leader="none" w:pos="1100" w:val="left"/>
        </w:tabs>
        <w:numPr>
          <w:ilvl w:val="0"/>
          <w:numId w:val="214"/>
        </w:numPr>
        <w:rPr>
          <w:rFonts w:ascii="Arial" w:cs="Arial" w:eastAsia="Arial" w:hAnsi="Arial"/>
          <w:sz w:val="21"/>
          <w:szCs w:val="21"/>
          <w:color w:val="auto"/>
        </w:rPr>
      </w:pPr>
      <w:r>
        <w:rPr>
          <w:rFonts w:ascii="Arial" w:cs="Arial" w:eastAsia="Arial" w:hAnsi="Arial"/>
          <w:sz w:val="21"/>
          <w:szCs w:val="21"/>
          <w:u w:val="single" w:color="auto"/>
          <w:color w:val="auto"/>
        </w:rPr>
        <w:t>Closed Periods</w:t>
      </w:r>
      <w:r>
        <w:rPr>
          <w:rFonts w:ascii="Arial" w:cs="Arial" w:eastAsia="Arial" w:hAnsi="Arial"/>
          <w:sz w:val="21"/>
          <w:szCs w:val="21"/>
          <w:color w:val="auto"/>
        </w:rPr>
        <w:t>.</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Shares underlying Performance Stock Units may not be sold during the following periods (“Closed Periods”):</w:t>
      </w:r>
    </w:p>
    <w:p>
      <w:pPr>
        <w:spacing w:after="0" w:line="210" w:lineRule="exact"/>
        <w:rPr>
          <w:sz w:val="20"/>
          <w:szCs w:val="20"/>
          <w:color w:val="auto"/>
        </w:rPr>
      </w:pPr>
    </w:p>
    <w:p>
      <w:pPr>
        <w:ind w:firstLine="884"/>
        <w:spacing w:after="0" w:line="267" w:lineRule="auto"/>
        <w:tabs>
          <w:tab w:leader="none" w:pos="1171"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within 10 trading days before or after the publication of the consolidated financial statements, or failing that, the annual accounts of the Company; and</w:t>
      </w:r>
    </w:p>
    <w:p>
      <w:pPr>
        <w:spacing w:after="0" w:line="152" w:lineRule="exact"/>
        <w:rPr>
          <w:rFonts w:ascii="Arial" w:cs="Arial" w:eastAsia="Arial" w:hAnsi="Arial"/>
          <w:sz w:val="21"/>
          <w:szCs w:val="21"/>
          <w:color w:val="auto"/>
        </w:rPr>
      </w:pPr>
    </w:p>
    <w:p>
      <w:pPr>
        <w:jc w:val="both"/>
        <w:ind w:firstLine="884"/>
        <w:spacing w:after="0" w:line="252" w:lineRule="auto"/>
        <w:tabs>
          <w:tab w:leader="none" w:pos="1189"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within a period beginning with the date at which executives of the Company become aware of any information which, were it to be public knowledge, could have a significant impact on the price of shares in and ending 10 trading sessions after the information becomes public knowledge.</w:t>
      </w:r>
    </w:p>
    <w:p>
      <w:pPr>
        <w:spacing w:after="0" w:line="169" w:lineRule="exact"/>
        <w:rPr>
          <w:sz w:val="20"/>
          <w:szCs w:val="20"/>
          <w:color w:val="auto"/>
        </w:rPr>
      </w:pPr>
    </w:p>
    <w:p>
      <w:pPr>
        <w:ind w:firstLine="878"/>
        <w:spacing w:after="0" w:line="267" w:lineRule="auto"/>
        <w:rPr>
          <w:sz w:val="20"/>
          <w:szCs w:val="20"/>
          <w:color w:val="auto"/>
        </w:rPr>
      </w:pPr>
      <w:r>
        <w:rPr>
          <w:rFonts w:ascii="Arial" w:cs="Arial" w:eastAsia="Arial" w:hAnsi="Arial"/>
          <w:sz w:val="21"/>
          <w:szCs w:val="21"/>
          <w:color w:val="auto"/>
        </w:rPr>
        <w:t>These Closed Periods will apply to shares received in connection with a grant of Performance Stock Units as long as and to the extent such Closed Periods are applicable under French law.</w:t>
      </w:r>
    </w:p>
    <w:p>
      <w:pPr>
        <w:spacing w:after="0" w:line="153" w:lineRule="exact"/>
        <w:rPr>
          <w:sz w:val="20"/>
          <w:szCs w:val="20"/>
          <w:color w:val="auto"/>
        </w:rPr>
      </w:pPr>
    </w:p>
    <w:p>
      <w:pPr>
        <w:ind w:left="1100" w:hanging="216"/>
        <w:spacing w:after="0"/>
        <w:tabs>
          <w:tab w:leader="none" w:pos="1100" w:val="left"/>
        </w:tabs>
        <w:numPr>
          <w:ilvl w:val="0"/>
          <w:numId w:val="216"/>
        </w:numPr>
        <w:rPr>
          <w:rFonts w:ascii="Arial" w:cs="Arial" w:eastAsia="Arial" w:hAnsi="Arial"/>
          <w:sz w:val="21"/>
          <w:szCs w:val="21"/>
          <w:color w:val="auto"/>
        </w:rPr>
      </w:pPr>
      <w:r>
        <w:rPr>
          <w:rFonts w:ascii="Arial" w:cs="Arial" w:eastAsia="Arial" w:hAnsi="Arial"/>
          <w:sz w:val="21"/>
          <w:szCs w:val="21"/>
          <w:u w:val="single" w:color="auto"/>
          <w:color w:val="auto"/>
        </w:rPr>
        <w:t>Forfeiture of Performance Share Units</w:t>
      </w:r>
      <w:r>
        <w:rPr>
          <w:rFonts w:ascii="Arial" w:cs="Arial" w:eastAsia="Arial" w:hAnsi="Arial"/>
          <w:sz w:val="21"/>
          <w:szCs w:val="21"/>
          <w:color w:val="auto"/>
        </w:rPr>
        <w:t>.</w:t>
      </w:r>
    </w:p>
    <w:p>
      <w:pPr>
        <w:spacing w:after="0" w:line="210" w:lineRule="exact"/>
        <w:rPr>
          <w:sz w:val="20"/>
          <w:szCs w:val="20"/>
          <w:color w:val="auto"/>
        </w:rPr>
      </w:pPr>
    </w:p>
    <w:p>
      <w:pPr>
        <w:jc w:val="both"/>
        <w:ind w:firstLine="884"/>
        <w:spacing w:after="0" w:line="244" w:lineRule="auto"/>
        <w:tabs>
          <w:tab w:leader="none" w:pos="1222"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At any time during the Performance Period and up to and including the Vesting Date, upon a Termination of Employment for any reason that does not result in a continuation of vesting pursuant to Section 2 above, Employee will immediately and automatically forfeit all unvested Performance Share Units, without the payment of any consideration by the Company. Upon forfeiture, neither Employee nor any successors, heirs, assigns or legal representatives of Employee will thereafter have any further rights or interest in the unvested Performance Share Units.</w:t>
      </w:r>
    </w:p>
    <w:p>
      <w:pPr>
        <w:spacing w:after="0" w:line="179" w:lineRule="exact"/>
        <w:rPr>
          <w:rFonts w:ascii="Arial" w:cs="Arial" w:eastAsia="Arial" w:hAnsi="Arial"/>
          <w:sz w:val="21"/>
          <w:szCs w:val="21"/>
          <w:color w:val="auto"/>
        </w:rPr>
      </w:pPr>
    </w:p>
    <w:p>
      <w:pPr>
        <w:jc w:val="both"/>
        <w:ind w:firstLine="884"/>
        <w:spacing w:after="0" w:line="244" w:lineRule="auto"/>
        <w:tabs>
          <w:tab w:leader="none" w:pos="1178" w:val="left"/>
        </w:tabs>
        <w:numPr>
          <w:ilvl w:val="0"/>
          <w:numId w:val="217"/>
        </w:numPr>
        <w:rPr>
          <w:rFonts w:ascii="Arial" w:cs="Arial" w:eastAsia="Arial" w:hAnsi="Arial"/>
          <w:sz w:val="21"/>
          <w:szCs w:val="21"/>
          <w:color w:val="auto"/>
        </w:rPr>
      </w:pPr>
      <w:r>
        <w:rPr>
          <w:rFonts w:ascii="Arial" w:cs="Arial" w:eastAsia="Arial" w:hAnsi="Arial"/>
          <w:sz w:val="21"/>
          <w:szCs w:val="21"/>
          <w:color w:val="auto"/>
        </w:rPr>
        <w:t>Notwithstanding any provision in this Agreement to the contrary, if at any time during the Performance Period and up to and including the Vesting Date, Employee engages in Detrimental Activity (as defined in Section 13(g) below), Employee will immediately and automatically forfeit all Performance Share Units without the payment of any consideration by the Company. Upon forfeiture, neither Employee nor any successors, heirs, assigns or legal representatives of Employee will thereafter have any further rights or interest in the unvested Performance Share Units.</w:t>
      </w:r>
    </w:p>
    <w:p>
      <w:pPr>
        <w:spacing w:after="0" w:line="180" w:lineRule="exact"/>
        <w:rPr>
          <w:sz w:val="20"/>
          <w:szCs w:val="20"/>
          <w:color w:val="auto"/>
        </w:rPr>
      </w:pPr>
    </w:p>
    <w:p>
      <w:pPr>
        <w:ind w:left="1100" w:hanging="216"/>
        <w:spacing w:after="0"/>
        <w:tabs>
          <w:tab w:leader="none" w:pos="1100" w:val="left"/>
        </w:tabs>
        <w:numPr>
          <w:ilvl w:val="0"/>
          <w:numId w:val="218"/>
        </w:numPr>
        <w:rPr>
          <w:rFonts w:ascii="Arial" w:cs="Arial" w:eastAsia="Arial" w:hAnsi="Arial"/>
          <w:sz w:val="21"/>
          <w:szCs w:val="21"/>
          <w:color w:val="auto"/>
        </w:rPr>
      </w:pPr>
      <w:r>
        <w:rPr>
          <w:rFonts w:ascii="Arial" w:cs="Arial" w:eastAsia="Arial" w:hAnsi="Arial"/>
          <w:sz w:val="21"/>
          <w:szCs w:val="21"/>
          <w:u w:val="single" w:color="auto"/>
          <w:color w:val="auto"/>
        </w:rPr>
        <w:t>Restrictions on Transfer of Performance Share Units</w:t>
      </w:r>
      <w:r>
        <w:rPr>
          <w:rFonts w:ascii="Arial" w:cs="Arial" w:eastAsia="Arial" w:hAnsi="Arial"/>
          <w:sz w:val="21"/>
          <w:szCs w:val="21"/>
          <w:color w:val="auto"/>
        </w:rPr>
        <w:t>.</w:t>
      </w:r>
    </w:p>
    <w:p>
      <w:pPr>
        <w:spacing w:after="0" w:line="210" w:lineRule="exact"/>
        <w:rPr>
          <w:sz w:val="20"/>
          <w:szCs w:val="20"/>
          <w:color w:val="auto"/>
        </w:rPr>
      </w:pPr>
    </w:p>
    <w:p>
      <w:pPr>
        <w:jc w:val="both"/>
        <w:ind w:firstLine="884"/>
        <w:spacing w:after="0" w:line="243" w:lineRule="auto"/>
        <w:tabs>
          <w:tab w:leader="none" w:pos="1181" w:val="left"/>
        </w:tabs>
        <w:numPr>
          <w:ilvl w:val="0"/>
          <w:numId w:val="219"/>
        </w:numPr>
        <w:rPr>
          <w:rFonts w:ascii="Arial" w:cs="Arial" w:eastAsia="Arial" w:hAnsi="Arial"/>
          <w:sz w:val="21"/>
          <w:szCs w:val="21"/>
          <w:color w:val="auto"/>
        </w:rPr>
      </w:pPr>
      <w:r>
        <w:rPr>
          <w:rFonts w:ascii="Arial" w:cs="Arial" w:eastAsia="Arial" w:hAnsi="Arial"/>
          <w:sz w:val="21"/>
          <w:szCs w:val="21"/>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78" w:lineRule="exact"/>
        <w:rPr>
          <w:rFonts w:ascii="Arial" w:cs="Arial" w:eastAsia="Arial" w:hAnsi="Arial"/>
          <w:sz w:val="21"/>
          <w:szCs w:val="21"/>
          <w:color w:val="auto"/>
        </w:rPr>
      </w:pPr>
    </w:p>
    <w:p>
      <w:pPr>
        <w:jc w:val="both"/>
        <w:ind w:firstLine="884"/>
        <w:spacing w:after="0" w:line="252" w:lineRule="auto"/>
        <w:tabs>
          <w:tab w:leader="none" w:pos="1206" w:val="left"/>
        </w:tabs>
        <w:numPr>
          <w:ilvl w:val="0"/>
          <w:numId w:val="219"/>
        </w:numPr>
        <w:rPr>
          <w:rFonts w:ascii="Arial" w:cs="Arial" w:eastAsia="Arial" w:hAnsi="Arial"/>
          <w:sz w:val="21"/>
          <w:szCs w:val="21"/>
          <w:color w:val="auto"/>
        </w:rPr>
      </w:pPr>
      <w:r>
        <w:rPr>
          <w:rFonts w:ascii="Arial" w:cs="Arial" w:eastAsia="Arial" w:hAnsi="Arial"/>
          <w:sz w:val="21"/>
          <w:szCs w:val="21"/>
          <w:color w:val="auto"/>
        </w:rPr>
        <w:t>Consistent with the foregoing, Employee may not transfer any right or benefit under this Agreement, and any such attempt to Transfer will have no effect and be void. No right or benefit hereunder will in any manner be liable for or subject to any debts, contracts, liabilities or</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90" w:name="page191"/>
    <w:bookmarkEnd w:id="190"/>
    <w:p>
      <w:pPr>
        <w:jc w:val="both"/>
        <w:spacing w:after="0" w:line="247" w:lineRule="auto"/>
        <w:rPr>
          <w:sz w:val="20"/>
          <w:szCs w:val="20"/>
          <w:color w:val="auto"/>
        </w:rPr>
      </w:pPr>
      <w:r>
        <w:rPr>
          <w:rFonts w:ascii="Arial" w:cs="Arial" w:eastAsia="Arial" w:hAnsi="Arial"/>
          <w:sz w:val="21"/>
          <w:szCs w:val="21"/>
          <w:color w:val="auto"/>
        </w:rPr>
        <w:t>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74" w:lineRule="exact"/>
        <w:rPr>
          <w:sz w:val="20"/>
          <w:szCs w:val="20"/>
          <w:color w:val="auto"/>
        </w:rPr>
      </w:pPr>
    </w:p>
    <w:p>
      <w:pPr>
        <w:jc w:val="both"/>
        <w:ind w:firstLine="884"/>
        <w:spacing w:after="0" w:line="252" w:lineRule="auto"/>
        <w:tabs>
          <w:tab w:leader="none" w:pos="1103"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Employee will have no rights as a stockholder of the Company as a holder of Performance Share Units. Rights as a stockholder of the Company will arise only if the Performance Share Units are settled in shares of Common Stock pursuant to Section 3 above.</w:t>
      </w:r>
    </w:p>
    <w:p>
      <w:pPr>
        <w:spacing w:after="0" w:line="168" w:lineRule="exact"/>
        <w:rPr>
          <w:rFonts w:ascii="Arial" w:cs="Arial" w:eastAsia="Arial" w:hAnsi="Arial"/>
          <w:sz w:val="21"/>
          <w:szCs w:val="21"/>
          <w:color w:val="auto"/>
        </w:rPr>
      </w:pPr>
    </w:p>
    <w:p>
      <w:pPr>
        <w:ind w:left="1100" w:hanging="216"/>
        <w:spacing w:after="0"/>
        <w:tabs>
          <w:tab w:leader="none" w:pos="1100"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Tax and Social Insurance Withholding</w:t>
      </w:r>
      <w:r>
        <w:rPr>
          <w:rFonts w:ascii="Arial" w:cs="Arial" w:eastAsia="Arial" w:hAnsi="Arial"/>
          <w:sz w:val="21"/>
          <w:szCs w:val="21"/>
          <w:color w:val="auto"/>
        </w:rPr>
        <w:t>.</w:t>
      </w:r>
    </w:p>
    <w:p>
      <w:pPr>
        <w:spacing w:after="0" w:line="210" w:lineRule="exact"/>
        <w:rPr>
          <w:sz w:val="20"/>
          <w:szCs w:val="20"/>
          <w:color w:val="auto"/>
        </w:rPr>
      </w:pPr>
    </w:p>
    <w:p>
      <w:pPr>
        <w:jc w:val="both"/>
        <w:ind w:firstLine="884"/>
        <w:spacing w:after="0" w:line="254" w:lineRule="auto"/>
        <w:tabs>
          <w:tab w:leader="none" w:pos="1167" w:val="left"/>
        </w:tabs>
        <w:numPr>
          <w:ilvl w:val="0"/>
          <w:numId w:val="221"/>
        </w:numPr>
        <w:rPr>
          <w:rFonts w:ascii="Arial" w:cs="Arial" w:eastAsia="Arial" w:hAnsi="Arial"/>
          <w:sz w:val="20"/>
          <w:szCs w:val="20"/>
          <w:color w:val="auto"/>
        </w:rPr>
      </w:pPr>
      <w:r>
        <w:rPr>
          <w:rFonts w:ascii="Arial" w:cs="Arial" w:eastAsia="Arial" w:hAnsi="Arial"/>
          <w:sz w:val="20"/>
          <w:szCs w:val="20"/>
          <w:color w:val="auto"/>
        </w:rPr>
        <w:t>Regardless of any action the Company or any of its Subsidiaries takes with respect to any income tax (including foreign, federal, state and local taxes), social insurance, payroll tax, payment on account of other tax-related items related to Employee’s participation in the Plans and legally applicable to him or her (“Tax-Related Items”), Employee acknowledges that the ultimate liability for all Tax-Related Items legally due by Employee is and remains his or her responsibility and may exceed the amount actually withheld by the Company or its Subsidiaries. Employee further acknowledges that neither the Company nor any of its Subsidiaries (i) makes any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the subsequent sale of any shares of Common Stock acquired at vesting, or (ii) commits to structure the terms of the grant or any aspect of the Performance Share Units to reduce or eliminate Employee’s liability for the Tax-Related Items.</w:t>
      </w:r>
    </w:p>
    <w:p>
      <w:pPr>
        <w:spacing w:after="0" w:line="167" w:lineRule="exact"/>
        <w:rPr>
          <w:rFonts w:ascii="Arial" w:cs="Arial" w:eastAsia="Arial" w:hAnsi="Arial"/>
          <w:sz w:val="20"/>
          <w:szCs w:val="20"/>
          <w:color w:val="auto"/>
        </w:rPr>
      </w:pPr>
    </w:p>
    <w:p>
      <w:pPr>
        <w:jc w:val="both"/>
        <w:ind w:firstLine="884"/>
        <w:spacing w:after="0" w:line="242" w:lineRule="auto"/>
        <w:tabs>
          <w:tab w:leader="none" w:pos="1182" w:val="left"/>
        </w:tabs>
        <w:numPr>
          <w:ilvl w:val="0"/>
          <w:numId w:val="221"/>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or (ii) withhold whole Shares which would otherwise be delivered to Employee having an aggregate Fair Market Value, determined as of the Tax Date, or withhold an amount of cash from Employee’s wages or other cash compensation which would otherwise be payable to Employee by the Company, equal to the amount necessary to satisfy any such obligation.</w:t>
      </w:r>
    </w:p>
    <w:p>
      <w:pPr>
        <w:spacing w:after="0" w:line="180" w:lineRule="exact"/>
        <w:rPr>
          <w:rFonts w:ascii="Arial" w:cs="Arial" w:eastAsia="Arial" w:hAnsi="Arial"/>
          <w:sz w:val="21"/>
          <w:szCs w:val="21"/>
          <w:color w:val="auto"/>
        </w:rPr>
      </w:pPr>
    </w:p>
    <w:p>
      <w:pPr>
        <w:jc w:val="both"/>
        <w:ind w:firstLine="884"/>
        <w:spacing w:after="0" w:line="241" w:lineRule="auto"/>
        <w:tabs>
          <w:tab w:leader="none" w:pos="1239"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Plans. Finally, Employee shall pay to the Company, prior to the release of Common Stock to Employee and no later than thirty (30) days after the vesting of the Performance Share Units, any amount of Tax-Related Items that the Company may be required to withhold as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91" w:name="page192"/>
    <w:bookmarkEnd w:id="191"/>
    <w:p>
      <w:pPr>
        <w:jc w:val="both"/>
        <w:spacing w:after="0" w:line="247" w:lineRule="auto"/>
        <w:rPr>
          <w:sz w:val="20"/>
          <w:szCs w:val="20"/>
          <w:color w:val="auto"/>
        </w:rPr>
      </w:pPr>
      <w:r>
        <w:rPr>
          <w:rFonts w:ascii="Arial" w:cs="Arial" w:eastAsia="Arial" w:hAnsi="Arial"/>
          <w:sz w:val="21"/>
          <w:szCs w:val="21"/>
          <w:color w:val="auto"/>
        </w:rPr>
        <w:t>a result of Employee’s participation in the Plans that cannot be satisfied by the means previously described. The Company may refuse to issue shares of Common Stock to the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74" w:lineRule="exact"/>
        <w:rPr>
          <w:sz w:val="20"/>
          <w:szCs w:val="20"/>
          <w:color w:val="auto"/>
        </w:rPr>
      </w:pPr>
    </w:p>
    <w:p>
      <w:pPr>
        <w:jc w:val="both"/>
        <w:ind w:firstLine="884"/>
        <w:spacing w:after="0" w:line="247" w:lineRule="auto"/>
        <w:tabs>
          <w:tab w:leader="none" w:pos="1090" w:val="left"/>
        </w:tabs>
        <w:numPr>
          <w:ilvl w:val="0"/>
          <w:numId w:val="222"/>
        </w:numPr>
        <w:rPr>
          <w:rFonts w:ascii="Arial" w:cs="Arial" w:eastAsia="Arial" w:hAnsi="Arial"/>
          <w:sz w:val="21"/>
          <w:szCs w:val="21"/>
          <w:color w:val="auto"/>
        </w:rPr>
      </w:pPr>
      <w:r>
        <w:rPr>
          <w:rFonts w:ascii="Arial" w:cs="Arial" w:eastAsia="Arial" w:hAnsi="Arial"/>
          <w:sz w:val="21"/>
          <w:szCs w:val="21"/>
          <w:u w:val="single" w:color="auto"/>
          <w:color w:val="auto"/>
        </w:rPr>
        <w:t>Changes in Capital Structure</w:t>
      </w:r>
      <w:r>
        <w:rPr>
          <w:rFonts w:ascii="Arial" w:cs="Arial" w:eastAsia="Arial" w:hAnsi="Arial"/>
          <w:sz w:val="21"/>
          <w:szCs w:val="21"/>
          <w:color w:val="auto"/>
        </w:rPr>
        <w:t>. As more fully described in the 2010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68" w:lineRule="exact"/>
        <w:rPr>
          <w:rFonts w:ascii="Arial" w:cs="Arial" w:eastAsia="Arial" w:hAnsi="Arial"/>
          <w:sz w:val="21"/>
          <w:szCs w:val="21"/>
          <w:color w:val="auto"/>
        </w:rPr>
      </w:pPr>
    </w:p>
    <w:p>
      <w:pPr>
        <w:jc w:val="both"/>
        <w:ind w:firstLine="884"/>
        <w:spacing w:after="0" w:line="275" w:lineRule="auto"/>
        <w:tabs>
          <w:tab w:leader="none" w:pos="1223"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Intellectual Property and Noncompetition</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 acknowledges that Employee is in</w:t>
      </w:r>
      <w:r>
        <w:rPr>
          <w:rFonts w:ascii="Arial" w:cs="Arial" w:eastAsia="Arial" w:hAnsi="Arial"/>
          <w:sz w:val="19"/>
          <w:szCs w:val="19"/>
          <w:color w:val="auto"/>
        </w:rPr>
        <w:t xml:space="preserve"> </w:t>
      </w:r>
      <w:r>
        <w:rPr>
          <w:rFonts w:ascii="Arial" w:cs="Arial" w:eastAsia="Arial" w:hAnsi="Arial"/>
          <w:sz w:val="19"/>
          <w:szCs w:val="19"/>
          <w:b w:val="1"/>
          <w:bCs w:val="1"/>
          <w:color w:val="auto"/>
        </w:rPr>
        <w:t>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w:t>
      </w:r>
    </w:p>
    <w:p>
      <w:pPr>
        <w:spacing w:after="0" w:line="149" w:lineRule="exact"/>
        <w:rPr>
          <w:rFonts w:ascii="Arial" w:cs="Arial" w:eastAsia="Arial" w:hAnsi="Arial"/>
          <w:sz w:val="19"/>
          <w:szCs w:val="19"/>
          <w:color w:val="auto"/>
        </w:rPr>
      </w:pPr>
    </w:p>
    <w:p>
      <w:pPr>
        <w:jc w:val="both"/>
        <w:ind w:firstLine="884"/>
        <w:spacing w:after="0" w:line="257" w:lineRule="auto"/>
        <w:tabs>
          <w:tab w:leader="none" w:pos="1188"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68" w:lineRule="exact"/>
        <w:rPr>
          <w:rFonts w:ascii="Arial" w:cs="Arial" w:eastAsia="Arial" w:hAnsi="Arial"/>
          <w:sz w:val="20"/>
          <w:szCs w:val="20"/>
          <w:color w:val="auto"/>
        </w:rPr>
      </w:pPr>
    </w:p>
    <w:p>
      <w:pPr>
        <w:ind w:left="1200" w:hanging="316"/>
        <w:spacing w:after="0"/>
        <w:tabs>
          <w:tab w:leader="none" w:pos="1200" w:val="left"/>
        </w:tabs>
        <w:numPr>
          <w:ilvl w:val="0"/>
          <w:numId w:val="222"/>
        </w:numPr>
        <w:rPr>
          <w:rFonts w:ascii="Arial" w:cs="Arial" w:eastAsia="Arial" w:hAnsi="Arial"/>
          <w:sz w:val="21"/>
          <w:szCs w:val="21"/>
          <w:color w:val="auto"/>
        </w:rPr>
      </w:pPr>
      <w:r>
        <w:rPr>
          <w:rFonts w:ascii="Arial" w:cs="Arial" w:eastAsia="Arial" w:hAnsi="Arial"/>
          <w:sz w:val="21"/>
          <w:szCs w:val="21"/>
          <w:u w:val="single" w:color="auto"/>
          <w:color w:val="auto"/>
        </w:rPr>
        <w:t>Limitation of Rights</w:t>
      </w:r>
      <w:r>
        <w:rPr>
          <w:rFonts w:ascii="Arial" w:cs="Arial" w:eastAsia="Arial" w:hAnsi="Arial"/>
          <w:sz w:val="21"/>
          <w:szCs w:val="21"/>
          <w:color w:val="auto"/>
        </w:rPr>
        <w:t>. Nothing in this Agreement or the Plans may be construed to:</w:t>
      </w:r>
    </w:p>
    <w:p>
      <w:pPr>
        <w:spacing w:after="0" w:line="210" w:lineRule="exact"/>
        <w:rPr>
          <w:sz w:val="20"/>
          <w:szCs w:val="20"/>
          <w:color w:val="auto"/>
        </w:rPr>
      </w:pPr>
    </w:p>
    <w:p>
      <w:pPr>
        <w:ind w:firstLine="884"/>
        <w:spacing w:after="0" w:line="267" w:lineRule="auto"/>
        <w:tabs>
          <w:tab w:leader="none" w:pos="1167" w:val="left"/>
        </w:tabs>
        <w:numPr>
          <w:ilvl w:val="0"/>
          <w:numId w:val="223"/>
        </w:numPr>
        <w:rPr>
          <w:rFonts w:ascii="Arial" w:cs="Arial" w:eastAsia="Arial" w:hAnsi="Arial"/>
          <w:sz w:val="21"/>
          <w:szCs w:val="21"/>
          <w:color w:val="auto"/>
        </w:rPr>
      </w:pPr>
      <w:r>
        <w:rPr>
          <w:rFonts w:ascii="Arial" w:cs="Arial" w:eastAsia="Arial" w:hAnsi="Arial"/>
          <w:sz w:val="21"/>
          <w:szCs w:val="21"/>
          <w:color w:val="auto"/>
        </w:rPr>
        <w:t>give Employee or any other person or entity any right to be awarded any further Performance Share Units (or other form of stock incentive awards) other than in the sole and absolute discretion of the Committee;</w:t>
      </w:r>
    </w:p>
    <w:p>
      <w:pPr>
        <w:spacing w:after="0" w:line="152" w:lineRule="exact"/>
        <w:rPr>
          <w:rFonts w:ascii="Arial" w:cs="Arial" w:eastAsia="Arial" w:hAnsi="Arial"/>
          <w:sz w:val="21"/>
          <w:szCs w:val="21"/>
          <w:color w:val="auto"/>
        </w:rPr>
      </w:pPr>
    </w:p>
    <w:p>
      <w:pPr>
        <w:ind w:firstLine="884"/>
        <w:spacing w:after="0" w:line="267" w:lineRule="auto"/>
        <w:tabs>
          <w:tab w:leader="none" w:pos="1184" w:val="left"/>
        </w:tabs>
        <w:numPr>
          <w:ilvl w:val="0"/>
          <w:numId w:val="223"/>
        </w:numPr>
        <w:rPr>
          <w:rFonts w:ascii="Arial" w:cs="Arial" w:eastAsia="Arial" w:hAnsi="Arial"/>
          <w:sz w:val="21"/>
          <w:szCs w:val="21"/>
          <w:color w:val="auto"/>
        </w:rPr>
      </w:pPr>
      <w:r>
        <w:rPr>
          <w:rFonts w:ascii="Arial" w:cs="Arial" w:eastAsia="Arial" w:hAnsi="Arial"/>
          <w:sz w:val="21"/>
          <w:szCs w:val="21"/>
          <w:color w:val="auto"/>
        </w:rPr>
        <w:t>give Employee or any other person or entity any interest in any fund or in any specified asset or assets of the Company (other than the Performance Share Units); or</w:t>
      </w:r>
    </w:p>
    <w:p>
      <w:pPr>
        <w:spacing w:after="0" w:line="152" w:lineRule="exact"/>
        <w:rPr>
          <w:rFonts w:ascii="Arial" w:cs="Arial" w:eastAsia="Arial" w:hAnsi="Arial"/>
          <w:sz w:val="21"/>
          <w:szCs w:val="21"/>
          <w:color w:val="auto"/>
        </w:rPr>
      </w:pPr>
    </w:p>
    <w:p>
      <w:pPr>
        <w:ind w:firstLine="884"/>
        <w:spacing w:after="0" w:line="267" w:lineRule="auto"/>
        <w:tabs>
          <w:tab w:leader="none" w:pos="1172" w:val="left"/>
        </w:tabs>
        <w:numPr>
          <w:ilvl w:val="0"/>
          <w:numId w:val="223"/>
        </w:numPr>
        <w:rPr>
          <w:rFonts w:ascii="Arial" w:cs="Arial" w:eastAsia="Arial" w:hAnsi="Arial"/>
          <w:sz w:val="21"/>
          <w:szCs w:val="21"/>
          <w:color w:val="auto"/>
        </w:rPr>
      </w:pPr>
      <w:r>
        <w:rPr>
          <w:rFonts w:ascii="Arial" w:cs="Arial" w:eastAsia="Arial" w:hAnsi="Arial"/>
          <w:sz w:val="21"/>
          <w:szCs w:val="21"/>
          <w:color w:val="auto"/>
        </w:rPr>
        <w:t>confer upon Employee or any other person or entity the right to continue in the employment or service of the Company or any Subsidiary.</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92" w:name="page193"/>
    <w:bookmarkEnd w:id="192"/>
    <w:p>
      <w:pPr>
        <w:ind w:left="316" w:hanging="316"/>
        <w:spacing w:after="0"/>
        <w:tabs>
          <w:tab w:leader="none" w:pos="316" w:val="left"/>
        </w:tabs>
        <w:numPr>
          <w:ilvl w:val="0"/>
          <w:numId w:val="224"/>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10" w:lineRule="exact"/>
        <w:rPr>
          <w:sz w:val="20"/>
          <w:szCs w:val="20"/>
          <w:color w:val="auto"/>
        </w:rPr>
      </w:pPr>
    </w:p>
    <w:p>
      <w:pPr>
        <w:ind w:left="296" w:hanging="296"/>
        <w:spacing w:after="0"/>
        <w:tabs>
          <w:tab w:leader="none" w:pos="29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“Agreement” is defined in the introduction.</w:t>
      </w:r>
    </w:p>
    <w:p>
      <w:pPr>
        <w:spacing w:after="0" w:line="209" w:lineRule="exact"/>
        <w:rPr>
          <w:rFonts w:ascii="Arial" w:cs="Arial" w:eastAsia="Arial" w:hAnsi="Arial"/>
          <w:sz w:val="21"/>
          <w:szCs w:val="21"/>
          <w:color w:val="auto"/>
        </w:rPr>
      </w:pPr>
    </w:p>
    <w:p>
      <w:pPr>
        <w:ind w:left="296" w:hanging="296"/>
        <w:spacing w:after="0"/>
        <w:tabs>
          <w:tab w:leader="none" w:pos="29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“Clawback Policy” is defined in Section 14(j).</w:t>
      </w:r>
    </w:p>
    <w:p>
      <w:pPr>
        <w:spacing w:after="0" w:line="209" w:lineRule="exact"/>
        <w:rPr>
          <w:rFonts w:ascii="Arial" w:cs="Arial" w:eastAsia="Arial" w:hAnsi="Arial"/>
          <w:sz w:val="21"/>
          <w:szCs w:val="21"/>
          <w:color w:val="auto"/>
        </w:rPr>
      </w:pPr>
    </w:p>
    <w:p>
      <w:pPr>
        <w:ind w:left="296" w:hanging="296"/>
        <w:spacing w:after="0"/>
        <w:tabs>
          <w:tab w:leader="none" w:pos="29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“Closed Periods” is defined in Section 4.</w:t>
      </w:r>
    </w:p>
    <w:p>
      <w:pPr>
        <w:spacing w:after="0" w:line="209" w:lineRule="exact"/>
        <w:rPr>
          <w:rFonts w:ascii="Arial" w:cs="Arial" w:eastAsia="Arial" w:hAnsi="Arial"/>
          <w:sz w:val="21"/>
          <w:szCs w:val="21"/>
          <w:color w:val="auto"/>
        </w:rPr>
      </w:pPr>
    </w:p>
    <w:p>
      <w:pPr>
        <w:ind w:left="296" w:hanging="296"/>
        <w:spacing w:after="0"/>
        <w:tabs>
          <w:tab w:leader="none" w:pos="29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“Committee” is defined in Section 2(a).</w:t>
      </w:r>
    </w:p>
    <w:p>
      <w:pPr>
        <w:spacing w:after="0" w:line="209" w:lineRule="exact"/>
        <w:rPr>
          <w:rFonts w:ascii="Arial" w:cs="Arial" w:eastAsia="Arial" w:hAnsi="Arial"/>
          <w:sz w:val="21"/>
          <w:szCs w:val="21"/>
          <w:color w:val="auto"/>
        </w:rPr>
      </w:pPr>
    </w:p>
    <w:p>
      <w:pPr>
        <w:ind w:left="296" w:hanging="296"/>
        <w:spacing w:after="0"/>
        <w:tabs>
          <w:tab w:leader="none" w:pos="29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“Common Stock” is defined in Section 1.</w:t>
      </w:r>
    </w:p>
    <w:p>
      <w:pPr>
        <w:spacing w:after="0" w:line="209" w:lineRule="exact"/>
        <w:rPr>
          <w:rFonts w:ascii="Arial" w:cs="Arial" w:eastAsia="Arial" w:hAnsi="Arial"/>
          <w:sz w:val="21"/>
          <w:szCs w:val="21"/>
          <w:color w:val="auto"/>
        </w:rPr>
      </w:pPr>
    </w:p>
    <w:p>
      <w:pPr>
        <w:ind w:left="256" w:hanging="256"/>
        <w:spacing w:after="0"/>
        <w:tabs>
          <w:tab w:leader="none" w:pos="25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“Company” is defined in the introduction.</w:t>
      </w:r>
    </w:p>
    <w:p>
      <w:pPr>
        <w:spacing w:after="0" w:line="209" w:lineRule="exact"/>
        <w:rPr>
          <w:rFonts w:ascii="Arial" w:cs="Arial" w:eastAsia="Arial" w:hAnsi="Arial"/>
          <w:sz w:val="21"/>
          <w:szCs w:val="21"/>
          <w:color w:val="auto"/>
        </w:rPr>
      </w:pPr>
    </w:p>
    <w:p>
      <w:pPr>
        <w:jc w:val="both"/>
        <w:ind w:left="-884" w:firstLine="884"/>
        <w:spacing w:after="0" w:line="252" w:lineRule="auto"/>
        <w:tabs>
          <w:tab w:leader="none" w:pos="322" w:val="left"/>
        </w:tabs>
        <w:numPr>
          <w:ilvl w:val="0"/>
          <w:numId w:val="225"/>
        </w:numPr>
        <w:rPr>
          <w:rFonts w:ascii="Arial" w:cs="Arial" w:eastAsia="Arial" w:hAnsi="Arial"/>
          <w:sz w:val="20"/>
          <w:szCs w:val="20"/>
          <w:color w:val="auto"/>
        </w:rPr>
      </w:pPr>
      <w:r>
        <w:rPr>
          <w:rFonts w:ascii="Arial" w:cs="Arial" w:eastAsia="Arial" w:hAnsi="Arial"/>
          <w:sz w:val="20"/>
          <w:szCs w:val="20"/>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(as defined in Section 13(h) below);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Performance Period and up to and including the Vesting Date;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71" w:lineRule="exact"/>
        <w:rPr>
          <w:rFonts w:ascii="Arial" w:cs="Arial" w:eastAsia="Arial" w:hAnsi="Arial"/>
          <w:sz w:val="20"/>
          <w:szCs w:val="20"/>
          <w:color w:val="auto"/>
        </w:rPr>
      </w:pPr>
    </w:p>
    <w:p>
      <w:pPr>
        <w:jc w:val="both"/>
        <w:ind w:left="-884" w:firstLine="884"/>
        <w:spacing w:after="0" w:line="263" w:lineRule="auto"/>
        <w:tabs>
          <w:tab w:leader="none" w:pos="316" w:val="left"/>
        </w:tabs>
        <w:numPr>
          <w:ilvl w:val="0"/>
          <w:numId w:val="225"/>
        </w:numPr>
        <w:rPr>
          <w:rFonts w:ascii="Arial" w:cs="Arial" w:eastAsia="Arial" w:hAnsi="Arial"/>
          <w:sz w:val="20"/>
          <w:szCs w:val="20"/>
          <w:color w:val="auto"/>
        </w:rPr>
      </w:pPr>
      <w:r>
        <w:rPr>
          <w:rFonts w:ascii="Arial" w:cs="Arial" w:eastAsia="Arial" w:hAnsi="Arial"/>
          <w:sz w:val="20"/>
          <w:szCs w:val="20"/>
          <w:color w:val="auto"/>
        </w:rPr>
        <w:t>“Direct Competitor” means any of the following: (i) Halliburton Company, Weatherford International plc, and Baker Hughes, a GE company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60" w:lineRule="exact"/>
        <w:rPr>
          <w:rFonts w:ascii="Arial" w:cs="Arial" w:eastAsia="Arial" w:hAnsi="Arial"/>
          <w:sz w:val="20"/>
          <w:szCs w:val="20"/>
          <w:color w:val="auto"/>
        </w:rPr>
      </w:pPr>
    </w:p>
    <w:p>
      <w:pPr>
        <w:jc w:val="both"/>
        <w:ind w:left="-884" w:firstLine="884"/>
        <w:spacing w:after="0" w:line="291" w:lineRule="auto"/>
        <w:tabs>
          <w:tab w:leader="none" w:pos="25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 and as defined under article L341-4 of the Social Security Code.</w:t>
      </w:r>
    </w:p>
    <w:p>
      <w:pPr>
        <w:spacing w:after="0" w:line="133" w:lineRule="exact"/>
        <w:rPr>
          <w:sz w:val="20"/>
          <w:szCs w:val="20"/>
          <w:color w:val="auto"/>
        </w:rPr>
      </w:pPr>
    </w:p>
    <w:p>
      <w:pPr>
        <w:ind w:left="9836"/>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74295</wp:posOffset>
            </wp:positionV>
            <wp:extent cx="729107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536"/>
          </w:cols>
          <w:pgMar w:left="1124" w:top="543" w:right="239" w:bottom="1440" w:gutter="0" w:footer="0" w:header="0"/>
        </w:sectPr>
      </w:pPr>
    </w:p>
    <w:bookmarkStart w:id="193" w:name="page194"/>
    <w:bookmarkEnd w:id="193"/>
    <w:p>
      <w:pPr>
        <w:ind w:left="1140" w:hanging="256"/>
        <w:spacing w:after="0"/>
        <w:tabs>
          <w:tab w:leader="none" w:pos="114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“Eligible Position” is defined in Section 2(d).</w:t>
      </w:r>
    </w:p>
    <w:p>
      <w:pPr>
        <w:spacing w:after="0" w:line="209" w:lineRule="exact"/>
        <w:rPr>
          <w:rFonts w:ascii="Arial" w:cs="Arial" w:eastAsia="Arial" w:hAnsi="Arial"/>
          <w:sz w:val="21"/>
          <w:szCs w:val="21"/>
          <w:color w:val="auto"/>
        </w:rPr>
      </w:pPr>
    </w:p>
    <w:p>
      <w:pPr>
        <w:ind w:left="1180" w:hanging="296"/>
        <w:spacing w:after="0"/>
        <w:tabs>
          <w:tab w:leader="none" w:pos="118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“Employee” is defined in the introduction.</w:t>
      </w:r>
    </w:p>
    <w:p>
      <w:pPr>
        <w:spacing w:after="0" w:line="209" w:lineRule="exact"/>
        <w:rPr>
          <w:rFonts w:ascii="Arial" w:cs="Arial" w:eastAsia="Arial" w:hAnsi="Arial"/>
          <w:sz w:val="21"/>
          <w:szCs w:val="21"/>
          <w:color w:val="auto"/>
        </w:rPr>
      </w:pPr>
    </w:p>
    <w:p>
      <w:pPr>
        <w:jc w:val="both"/>
        <w:ind w:firstLine="884"/>
        <w:spacing w:after="0" w:line="244" w:lineRule="auto"/>
        <w:tabs>
          <w:tab w:leader="none" w:pos="1133" w:val="left"/>
        </w:tabs>
        <w:numPr>
          <w:ilvl w:val="0"/>
          <w:numId w:val="226"/>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9" w:lineRule="exact"/>
        <w:rPr>
          <w:rFonts w:ascii="Arial" w:cs="Arial" w:eastAsia="Arial" w:hAnsi="Arial"/>
          <w:sz w:val="21"/>
          <w:szCs w:val="21"/>
          <w:color w:val="auto"/>
        </w:rPr>
      </w:pPr>
    </w:p>
    <w:p>
      <w:pPr>
        <w:ind w:left="1240" w:hanging="356"/>
        <w:spacing w:after="0"/>
        <w:tabs>
          <w:tab w:leader="none" w:pos="124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“Grant Date” is defined in the introduction.</w:t>
      </w:r>
    </w:p>
    <w:p>
      <w:pPr>
        <w:spacing w:after="0" w:line="209" w:lineRule="exact"/>
        <w:rPr>
          <w:rFonts w:ascii="Arial" w:cs="Arial" w:eastAsia="Arial" w:hAnsi="Arial"/>
          <w:sz w:val="21"/>
          <w:szCs w:val="21"/>
          <w:color w:val="auto"/>
        </w:rPr>
      </w:pPr>
    </w:p>
    <w:p>
      <w:pPr>
        <w:ind w:left="1180" w:hanging="296"/>
        <w:spacing w:after="0"/>
        <w:tabs>
          <w:tab w:leader="none" w:pos="118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“Performance Period” is defined in Section 2.</w:t>
      </w:r>
    </w:p>
    <w:p>
      <w:pPr>
        <w:spacing w:after="0" w:line="209" w:lineRule="exact"/>
        <w:rPr>
          <w:rFonts w:ascii="Arial" w:cs="Arial" w:eastAsia="Arial" w:hAnsi="Arial"/>
          <w:sz w:val="21"/>
          <w:szCs w:val="21"/>
          <w:color w:val="auto"/>
        </w:rPr>
      </w:pPr>
    </w:p>
    <w:p>
      <w:pPr>
        <w:ind w:left="1180" w:hanging="296"/>
        <w:spacing w:after="0"/>
        <w:tabs>
          <w:tab w:leader="none" w:pos="118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“Performance Share Units” is defined in Section 1.</w:t>
      </w:r>
    </w:p>
    <w:p>
      <w:pPr>
        <w:spacing w:after="0" w:line="209" w:lineRule="exact"/>
        <w:rPr>
          <w:rFonts w:ascii="Arial" w:cs="Arial" w:eastAsia="Arial" w:hAnsi="Arial"/>
          <w:sz w:val="21"/>
          <w:szCs w:val="21"/>
          <w:color w:val="auto"/>
        </w:rPr>
      </w:pPr>
    </w:p>
    <w:p>
      <w:pPr>
        <w:ind w:firstLine="884"/>
        <w:spacing w:after="0" w:line="267" w:lineRule="auto"/>
        <w:tabs>
          <w:tab w:leader="none" w:pos="1212" w:val="left"/>
        </w:tabs>
        <w:numPr>
          <w:ilvl w:val="0"/>
          <w:numId w:val="226"/>
        </w:numPr>
        <w:rPr>
          <w:rFonts w:ascii="Arial" w:cs="Arial" w:eastAsia="Arial" w:hAnsi="Arial"/>
          <w:sz w:val="21"/>
          <w:szCs w:val="21"/>
          <w:color w:val="auto"/>
        </w:rPr>
      </w:pPr>
      <w:r>
        <w:rPr>
          <w:rFonts w:ascii="Arial" w:cs="Arial" w:eastAsia="Arial" w:hAnsi="Arial"/>
          <w:sz w:val="21"/>
          <w:szCs w:val="21"/>
          <w:color w:val="auto"/>
        </w:rPr>
        <w:t>“Qualifying Termination” means a Termination of Employment due to Employee’s death, Disability, Retirement or Special Retirement.</w:t>
      </w:r>
    </w:p>
    <w:p>
      <w:pPr>
        <w:spacing w:after="0" w:line="152" w:lineRule="exact"/>
        <w:rPr>
          <w:rFonts w:ascii="Arial" w:cs="Arial" w:eastAsia="Arial" w:hAnsi="Arial"/>
          <w:sz w:val="21"/>
          <w:szCs w:val="21"/>
          <w:color w:val="auto"/>
        </w:rPr>
      </w:pPr>
    </w:p>
    <w:p>
      <w:pPr>
        <w:jc w:val="both"/>
        <w:ind w:firstLine="884"/>
        <w:spacing w:after="0" w:line="256" w:lineRule="auto"/>
        <w:tabs>
          <w:tab w:leader="none" w:pos="1208" w:val="left"/>
        </w:tabs>
        <w:numPr>
          <w:ilvl w:val="0"/>
          <w:numId w:val="226"/>
        </w:numPr>
        <w:rPr>
          <w:rFonts w:ascii="Arial" w:cs="Arial" w:eastAsia="Arial" w:hAnsi="Arial"/>
          <w:sz w:val="20"/>
          <w:szCs w:val="20"/>
          <w:color w:val="auto"/>
        </w:rPr>
      </w:pPr>
      <w:r>
        <w:rPr>
          <w:rFonts w:ascii="Arial" w:cs="Arial" w:eastAsia="Arial" w:hAnsi="Arial"/>
          <w:sz w:val="20"/>
          <w:szCs w:val="20"/>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and absolute discretion of the Committee or the Retirement Committee, as applicable.</w:t>
      </w:r>
    </w:p>
    <w:p>
      <w:pPr>
        <w:spacing w:after="0" w:line="167" w:lineRule="exact"/>
        <w:rPr>
          <w:rFonts w:ascii="Arial" w:cs="Arial" w:eastAsia="Arial" w:hAnsi="Arial"/>
          <w:sz w:val="20"/>
          <w:szCs w:val="20"/>
          <w:color w:val="auto"/>
        </w:rPr>
      </w:pPr>
    </w:p>
    <w:p>
      <w:pPr>
        <w:ind w:firstLine="884"/>
        <w:spacing w:after="0" w:line="267" w:lineRule="auto"/>
        <w:tabs>
          <w:tab w:leader="none" w:pos="1175" w:val="left"/>
        </w:tabs>
        <w:numPr>
          <w:ilvl w:val="0"/>
          <w:numId w:val="226"/>
        </w:numPr>
        <w:rPr>
          <w:rFonts w:ascii="Arial" w:cs="Arial" w:eastAsia="Arial" w:hAnsi="Arial"/>
          <w:sz w:val="21"/>
          <w:szCs w:val="21"/>
          <w:color w:val="auto"/>
        </w:rPr>
      </w:pPr>
      <w:r>
        <w:rPr>
          <w:rFonts w:ascii="Arial" w:cs="Arial" w:eastAsia="Arial" w:hAnsi="Arial"/>
          <w:sz w:val="21"/>
          <w:szCs w:val="21"/>
          <w:color w:val="auto"/>
        </w:rPr>
        <w:t>“Retirement Committee” means a committee consisting of the Company’s Vice President of Human Resources, the Director of HR Operations and the Compensation &amp; Benefits Manager.</w:t>
      </w:r>
    </w:p>
    <w:p>
      <w:pPr>
        <w:spacing w:after="0" w:line="152" w:lineRule="exact"/>
        <w:rPr>
          <w:rFonts w:ascii="Arial" w:cs="Arial" w:eastAsia="Arial" w:hAnsi="Arial"/>
          <w:sz w:val="21"/>
          <w:szCs w:val="21"/>
          <w:color w:val="auto"/>
        </w:rPr>
      </w:pPr>
    </w:p>
    <w:p>
      <w:pPr>
        <w:ind w:left="1160" w:hanging="276"/>
        <w:spacing w:after="0"/>
        <w:tabs>
          <w:tab w:leader="none" w:pos="116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“Settlement Date” is defined in Section 3.</w:t>
      </w:r>
    </w:p>
    <w:p>
      <w:pPr>
        <w:spacing w:after="0" w:line="209" w:lineRule="exact"/>
        <w:rPr>
          <w:rFonts w:ascii="Arial" w:cs="Arial" w:eastAsia="Arial" w:hAnsi="Arial"/>
          <w:sz w:val="21"/>
          <w:szCs w:val="21"/>
          <w:color w:val="auto"/>
        </w:rPr>
      </w:pPr>
    </w:p>
    <w:p>
      <w:pPr>
        <w:ind w:firstLine="884"/>
        <w:spacing w:after="0" w:line="292" w:lineRule="auto"/>
        <w:tabs>
          <w:tab w:leader="none" w:pos="1141" w:val="left"/>
        </w:tabs>
        <w:numPr>
          <w:ilvl w:val="0"/>
          <w:numId w:val="226"/>
        </w:numPr>
        <w:rPr>
          <w:rFonts w:ascii="Arial" w:cs="Arial" w:eastAsia="Arial" w:hAnsi="Arial"/>
          <w:sz w:val="20"/>
          <w:szCs w:val="20"/>
          <w:color w:val="auto"/>
        </w:rPr>
      </w:pPr>
      <w:r>
        <w:rPr>
          <w:rFonts w:ascii="Arial" w:cs="Arial" w:eastAsia="Arial" w:hAnsi="Arial"/>
          <w:sz w:val="20"/>
          <w:szCs w:val="20"/>
          <w:color w:val="auto"/>
        </w:rPr>
        <w:t>“Special Retirement” means the Termination of Employment of Employee with the Company and all Subsidiaries at or after (i) age 55 or (ii) age 50 and completion of at least 10 years of service with the Company and all Subsidiaries.</w:t>
      </w:r>
    </w:p>
    <w:p>
      <w:pPr>
        <w:spacing w:after="0" w:line="130" w:lineRule="exact"/>
        <w:rPr>
          <w:rFonts w:ascii="Arial" w:cs="Arial" w:eastAsia="Arial" w:hAnsi="Arial"/>
          <w:sz w:val="20"/>
          <w:szCs w:val="20"/>
          <w:color w:val="auto"/>
        </w:rPr>
      </w:pPr>
    </w:p>
    <w:p>
      <w:pPr>
        <w:jc w:val="both"/>
        <w:ind w:firstLine="884"/>
        <w:spacing w:after="0" w:line="247" w:lineRule="auto"/>
        <w:tabs>
          <w:tab w:leader="none" w:pos="1232" w:val="left"/>
        </w:tabs>
        <w:numPr>
          <w:ilvl w:val="0"/>
          <w:numId w:val="226"/>
        </w:numPr>
        <w:rPr>
          <w:rFonts w:ascii="Arial" w:cs="Arial" w:eastAsia="Arial" w:hAnsi="Arial"/>
          <w:sz w:val="21"/>
          <w:szCs w:val="21"/>
          <w:color w:val="auto"/>
        </w:rPr>
      </w:pPr>
      <w:r>
        <w:rPr>
          <w:rFonts w:ascii="Arial" w:cs="Arial" w:eastAsia="Arial" w:hAnsi="Arial"/>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4" w:lineRule="exact"/>
        <w:rPr>
          <w:rFonts w:ascii="Arial" w:cs="Arial" w:eastAsia="Arial" w:hAnsi="Arial"/>
          <w:sz w:val="21"/>
          <w:szCs w:val="21"/>
          <w:color w:val="auto"/>
        </w:rPr>
      </w:pPr>
    </w:p>
    <w:p>
      <w:pPr>
        <w:ind w:left="1180" w:hanging="296"/>
        <w:spacing w:after="0"/>
        <w:tabs>
          <w:tab w:leader="none" w:pos="118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“Tax Date” is defined in Section 8(a).</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94" w:name="page195"/>
    <w:bookmarkEnd w:id="194"/>
    <w:p>
      <w:pPr>
        <w:ind w:left="1240" w:hanging="356"/>
        <w:spacing w:after="0"/>
        <w:tabs>
          <w:tab w:leader="none" w:pos="124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“Tax-Related Items” is defined in Section 8(b).</w:t>
      </w:r>
    </w:p>
    <w:p>
      <w:pPr>
        <w:spacing w:after="0" w:line="209" w:lineRule="exact"/>
        <w:rPr>
          <w:rFonts w:ascii="Arial" w:cs="Arial" w:eastAsia="Arial" w:hAnsi="Arial"/>
          <w:sz w:val="21"/>
          <w:szCs w:val="21"/>
          <w:color w:val="auto"/>
        </w:rPr>
      </w:pPr>
    </w:p>
    <w:p>
      <w:pPr>
        <w:jc w:val="both"/>
        <w:ind w:firstLine="884"/>
        <w:spacing w:after="0" w:line="252" w:lineRule="auto"/>
        <w:tabs>
          <w:tab w:leader="none" w:pos="1253" w:val="left"/>
        </w:tabs>
        <w:numPr>
          <w:ilvl w:val="0"/>
          <w:numId w:val="227"/>
        </w:numPr>
        <w:rPr>
          <w:rFonts w:ascii="Arial" w:cs="Arial" w:eastAsia="Arial" w:hAnsi="Arial"/>
          <w:sz w:val="21"/>
          <w:szCs w:val="21"/>
          <w:color w:val="auto"/>
        </w:rPr>
      </w:pPr>
      <w:r>
        <w:rPr>
          <w:rFonts w:ascii="Arial" w:cs="Arial" w:eastAsia="Arial" w:hAnsi="Arial"/>
          <w:sz w:val="21"/>
          <w:szCs w:val="21"/>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will not constitute a Termination of Employment.</w:t>
      </w:r>
    </w:p>
    <w:p>
      <w:pPr>
        <w:spacing w:after="0" w:line="168" w:lineRule="exact"/>
        <w:rPr>
          <w:rFonts w:ascii="Arial" w:cs="Arial" w:eastAsia="Arial" w:hAnsi="Arial"/>
          <w:sz w:val="21"/>
          <w:szCs w:val="21"/>
          <w:color w:val="auto"/>
        </w:rPr>
      </w:pPr>
    </w:p>
    <w:p>
      <w:pPr>
        <w:ind w:left="1180" w:hanging="296"/>
        <w:spacing w:after="0"/>
        <w:tabs>
          <w:tab w:leader="none" w:pos="118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“Transfer” is defined in Section 6(a).</w:t>
      </w:r>
    </w:p>
    <w:p>
      <w:pPr>
        <w:spacing w:after="0" w:line="209" w:lineRule="exact"/>
        <w:rPr>
          <w:rFonts w:ascii="Arial" w:cs="Arial" w:eastAsia="Arial" w:hAnsi="Arial"/>
          <w:sz w:val="21"/>
          <w:szCs w:val="21"/>
          <w:color w:val="auto"/>
        </w:rPr>
      </w:pPr>
    </w:p>
    <w:p>
      <w:pPr>
        <w:ind w:left="1180" w:hanging="296"/>
        <w:spacing w:after="0"/>
        <w:tabs>
          <w:tab w:leader="none" w:pos="118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“2010 Plan” is defined in the introduction.</w:t>
      </w:r>
    </w:p>
    <w:p>
      <w:pPr>
        <w:spacing w:after="0" w:line="210" w:lineRule="exact"/>
        <w:rPr>
          <w:sz w:val="20"/>
          <w:szCs w:val="20"/>
          <w:color w:val="auto"/>
        </w:rPr>
      </w:pPr>
    </w:p>
    <w:p>
      <w:pPr>
        <w:ind w:left="880" w:right="6640" w:firstLine="4"/>
        <w:spacing w:after="0" w:line="448" w:lineRule="auto"/>
        <w:tabs>
          <w:tab w:leader="none" w:pos="1263" w:val="left"/>
        </w:tabs>
        <w:numPr>
          <w:ilvl w:val="0"/>
          <w:numId w:val="228"/>
        </w:numPr>
        <w:rPr>
          <w:rFonts w:ascii="Arial" w:cs="Arial" w:eastAsia="Arial" w:hAnsi="Arial"/>
          <w:sz w:val="21"/>
          <w:szCs w:val="21"/>
          <w:color w:val="auto"/>
        </w:rPr>
      </w:pPr>
      <w:r>
        <w:rPr>
          <w:rFonts w:ascii="Arial" w:cs="Arial" w:eastAsia="Arial" w:hAnsi="Arial"/>
          <w:sz w:val="21"/>
          <w:szCs w:val="21"/>
          <w:color w:val="auto"/>
        </w:rPr>
        <w:t xml:space="preserve">“Vesting Date” is defined in Section 2(a). 14. </w:t>
      </w: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1" w:lineRule="exact"/>
        <w:rPr>
          <w:sz w:val="20"/>
          <w:szCs w:val="20"/>
          <w:color w:val="auto"/>
        </w:rPr>
      </w:pPr>
    </w:p>
    <w:p>
      <w:pPr>
        <w:ind w:firstLine="884"/>
        <w:spacing w:after="0" w:line="292" w:lineRule="auto"/>
        <w:tabs>
          <w:tab w:leader="none" w:pos="1188" w:val="left"/>
        </w:tabs>
        <w:numPr>
          <w:ilvl w:val="0"/>
          <w:numId w:val="229"/>
        </w:numPr>
        <w:rPr>
          <w:rFonts w:ascii="Arial" w:cs="Arial" w:eastAsia="Arial" w:hAnsi="Arial"/>
          <w:sz w:val="20"/>
          <w:szCs w:val="20"/>
          <w:color w:val="auto"/>
        </w:rPr>
      </w:pPr>
      <w:r>
        <w:rPr>
          <w:rFonts w:ascii="Arial" w:cs="Arial" w:eastAsia="Arial" w:hAnsi="Arial"/>
          <w:sz w:val="20"/>
          <w:szCs w:val="20"/>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30" w:lineRule="exact"/>
        <w:rPr>
          <w:rFonts w:ascii="Arial" w:cs="Arial" w:eastAsia="Arial" w:hAnsi="Arial"/>
          <w:sz w:val="20"/>
          <w:szCs w:val="20"/>
          <w:color w:val="auto"/>
        </w:rPr>
      </w:pPr>
    </w:p>
    <w:p>
      <w:pPr>
        <w:jc w:val="both"/>
        <w:ind w:firstLine="884"/>
        <w:spacing w:after="0" w:line="252" w:lineRule="auto"/>
        <w:tabs>
          <w:tab w:leader="none" w:pos="1226"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68" w:lineRule="exact"/>
        <w:rPr>
          <w:rFonts w:ascii="Arial" w:cs="Arial" w:eastAsia="Arial" w:hAnsi="Arial"/>
          <w:sz w:val="21"/>
          <w:szCs w:val="21"/>
          <w:color w:val="auto"/>
        </w:rPr>
      </w:pPr>
    </w:p>
    <w:p>
      <w:pPr>
        <w:ind w:firstLine="884"/>
        <w:spacing w:after="0" w:line="267" w:lineRule="auto"/>
        <w:tabs>
          <w:tab w:leader="none" w:pos="1168"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The invalidity or unenforceability of any provision of this Agreement will not affect the validity or enforceability of any other provision of this Agreement.</w:t>
      </w:r>
    </w:p>
    <w:p>
      <w:pPr>
        <w:spacing w:after="0" w:line="152" w:lineRule="exact"/>
        <w:rPr>
          <w:rFonts w:ascii="Arial" w:cs="Arial" w:eastAsia="Arial" w:hAnsi="Arial"/>
          <w:sz w:val="21"/>
          <w:szCs w:val="21"/>
          <w:color w:val="auto"/>
        </w:rPr>
      </w:pPr>
    </w:p>
    <w:p>
      <w:pPr>
        <w:jc w:val="both"/>
        <w:ind w:firstLine="884"/>
        <w:spacing w:after="0" w:line="256" w:lineRule="auto"/>
        <w:tabs>
          <w:tab w:leader="none" w:pos="1204"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It is intended that the Performance Share Units granted under the French sub plan qualify for the favorable tax and social security treatment applicable to free share awards granted in accordance with articles L.225-197-1 to L.225-197-6 of the French Commercial Code, as amended, and in accordance with the relevant provisions set forth by French tax law and the French tax administration. The terms of the French sub-plan shall be interpreted accordingly and in accordance with the relevant provisions set forth in French tax and social laws, as well as in the guidelines issued by the French tax and social administrations. In the event of any conflict between the French sub-plan, the Agreement and the Plans, the provisions of the French sub-plan shall govern for any grants made to Participants in France under the French sub-plan.</w:t>
      </w:r>
    </w:p>
    <w:p>
      <w:pPr>
        <w:spacing w:after="0" w:line="167" w:lineRule="exact"/>
        <w:rPr>
          <w:rFonts w:ascii="Arial" w:cs="Arial" w:eastAsia="Arial" w:hAnsi="Arial"/>
          <w:sz w:val="20"/>
          <w:szCs w:val="20"/>
          <w:color w:val="auto"/>
        </w:rPr>
      </w:pPr>
    </w:p>
    <w:p>
      <w:pPr>
        <w:jc w:val="both"/>
        <w:ind w:firstLine="884"/>
        <w:spacing w:after="0" w:line="252" w:lineRule="auto"/>
        <w:tabs>
          <w:tab w:leader="none" w:pos="1209"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68" w:lineRule="exact"/>
        <w:rPr>
          <w:rFonts w:ascii="Arial" w:cs="Arial" w:eastAsia="Arial" w:hAnsi="Arial"/>
          <w:sz w:val="21"/>
          <w:szCs w:val="21"/>
          <w:color w:val="auto"/>
        </w:rPr>
      </w:pPr>
    </w:p>
    <w:p>
      <w:pPr>
        <w:jc w:val="both"/>
        <w:ind w:firstLine="884"/>
        <w:spacing w:after="0" w:line="252" w:lineRule="auto"/>
        <w:tabs>
          <w:tab w:leader="none" w:pos="1157"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95" w:name="page196"/>
    <w:bookmarkEnd w:id="195"/>
    <w:p>
      <w:pPr>
        <w:ind w:left="-884" w:firstLine="884"/>
        <w:spacing w:after="0" w:line="267" w:lineRule="auto"/>
        <w:tabs>
          <w:tab w:leader="none" w:pos="294" w:val="left"/>
        </w:tabs>
        <w:numPr>
          <w:ilvl w:val="0"/>
          <w:numId w:val="230"/>
        </w:numPr>
        <w:rPr>
          <w:rFonts w:ascii="Arial" w:cs="Arial" w:eastAsia="Arial" w:hAnsi="Arial"/>
          <w:sz w:val="21"/>
          <w:szCs w:val="21"/>
          <w:color w:val="auto"/>
        </w:rPr>
      </w:pPr>
      <w:r>
        <w:rPr>
          <w:rFonts w:ascii="Arial" w:cs="Arial" w:eastAsia="Arial" w:hAnsi="Arial"/>
          <w:sz w:val="21"/>
          <w:szCs w:val="21"/>
          <w:color w:val="auto"/>
        </w:rPr>
        <w:t>Employee and the Company agree to execute such further instruments and to take such further action as may reasonably be necessary to carry out the intent of this Agreement.</w:t>
      </w:r>
    </w:p>
    <w:p>
      <w:pPr>
        <w:spacing w:after="0" w:line="152" w:lineRule="exact"/>
        <w:rPr>
          <w:rFonts w:ascii="Arial" w:cs="Arial" w:eastAsia="Arial" w:hAnsi="Arial"/>
          <w:sz w:val="21"/>
          <w:szCs w:val="21"/>
          <w:color w:val="auto"/>
        </w:rPr>
      </w:pPr>
    </w:p>
    <w:p>
      <w:pPr>
        <w:jc w:val="both"/>
        <w:ind w:left="-884" w:firstLine="884"/>
        <w:spacing w:after="0" w:line="241" w:lineRule="auto"/>
        <w:tabs>
          <w:tab w:leader="none" w:pos="349" w:val="left"/>
        </w:tabs>
        <w:numPr>
          <w:ilvl w:val="0"/>
          <w:numId w:val="230"/>
        </w:numPr>
        <w:rPr>
          <w:rFonts w:ascii="Arial" w:cs="Arial" w:eastAsia="Arial" w:hAnsi="Arial"/>
          <w:sz w:val="21"/>
          <w:szCs w:val="21"/>
          <w:color w:val="auto"/>
        </w:rPr>
      </w:pPr>
      <w:r>
        <w:rPr>
          <w:rFonts w:ascii="Arial" w:cs="Arial" w:eastAsia="Arial" w:hAnsi="Arial"/>
          <w:sz w:val="21"/>
          <w:szCs w:val="21"/>
          <w:color w:val="auto"/>
        </w:rPr>
        <w:t>This Agreement, including all Attachments hereto, and the Plans (i) constitute the entire agreement among the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Plans,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83" w:lineRule="exact"/>
        <w:rPr>
          <w:rFonts w:ascii="Arial" w:cs="Arial" w:eastAsia="Arial" w:hAnsi="Arial"/>
          <w:sz w:val="21"/>
          <w:szCs w:val="21"/>
          <w:color w:val="auto"/>
        </w:rPr>
      </w:pPr>
    </w:p>
    <w:p>
      <w:pPr>
        <w:jc w:val="both"/>
        <w:ind w:left="-884" w:firstLine="884"/>
        <w:spacing w:after="0" w:line="265" w:lineRule="auto"/>
        <w:tabs>
          <w:tab w:leader="none" w:pos="298" w:val="left"/>
        </w:tabs>
        <w:numPr>
          <w:ilvl w:val="0"/>
          <w:numId w:val="230"/>
        </w:numPr>
        <w:rPr>
          <w:rFonts w:ascii="Arial" w:cs="Arial" w:eastAsia="Arial" w:hAnsi="Arial"/>
          <w:sz w:val="19"/>
          <w:szCs w:val="19"/>
          <w:color w:val="auto"/>
        </w:rPr>
      </w:pPr>
      <w:r>
        <w:rPr>
          <w:rFonts w:ascii="Arial" w:cs="Arial" w:eastAsia="Arial" w:hAnsi="Arial"/>
          <w:sz w:val="19"/>
          <w:szCs w:val="19"/>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COMPANY HEREBY WAIVE, TO THE FULLEST EXTENT PERMITTED BY LAW, ANY RIGHT TO TRIAL BY JURY OF ANY CLAIM, DEMAND, ACTION, OR CAUSE OF ACTION ARISING OUT OF THIS AGREEMENT OR ANY ATTACHMENT THERETO.</w:t>
      </w:r>
    </w:p>
    <w:p>
      <w:pPr>
        <w:spacing w:after="0" w:line="170" w:lineRule="exact"/>
        <w:rPr>
          <w:sz w:val="20"/>
          <w:szCs w:val="20"/>
          <w:color w:val="auto"/>
        </w:rPr>
      </w:pPr>
    </w:p>
    <w:p>
      <w:pPr>
        <w:ind w:left="9836"/>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9</w:t>
      </w:r>
      <w:r>
        <w:rPr>
          <w:rFonts w:ascii="Arial" w:cs="Arial" w:eastAsia="Arial" w:hAnsi="Arial"/>
          <w:sz w:val="12"/>
          <w:szCs w:val="12"/>
          <w:color w:val="auto"/>
        </w:rPr>
        <w:t xml:space="preserve"> of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74295</wp:posOffset>
            </wp:positionV>
            <wp:extent cx="729107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536"/>
          </w:cols>
          <w:pgMar w:left="1124" w:top="543" w:right="239" w:bottom="1440" w:gutter="0" w:footer="0" w:header="0"/>
        </w:sectPr>
      </w:pPr>
    </w:p>
    <w:bookmarkStart w:id="196" w:name="page197"/>
    <w:bookmarkEnd w:id="196"/>
    <w:p>
      <w:pPr>
        <w:jc w:val="both"/>
        <w:ind w:firstLine="884"/>
        <w:spacing w:after="0" w:line="243" w:lineRule="auto"/>
        <w:tabs>
          <w:tab w:leader="none" w:pos="1131"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Clawback Policy</w:t>
      </w:r>
      <w:r>
        <w:rPr>
          <w:rFonts w:ascii="Arial" w:cs="Arial" w:eastAsia="Arial" w:hAnsi="Arial"/>
          <w:sz w:val="21"/>
          <w:szCs w:val="21"/>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Employee is covered by the Clawback Policy. Employee acknowledges that if Employee is covered by such policy, the policy may result in the recoupment of Performance Share Units awarded, any shares of Common Stock delivered hereunder and profits realized on the sale of such shares either before, on or after the date on which Employee becomes subject to such policy.</w:t>
      </w:r>
    </w:p>
    <w:p>
      <w:pPr>
        <w:spacing w:after="0" w:line="179" w:lineRule="exact"/>
        <w:rPr>
          <w:sz w:val="20"/>
          <w:szCs w:val="20"/>
          <w:color w:val="auto"/>
        </w:rPr>
      </w:pPr>
    </w:p>
    <w:p>
      <w:pPr>
        <w:jc w:val="both"/>
        <w:ind w:firstLine="884"/>
        <w:spacing w:after="0" w:line="256" w:lineRule="auto"/>
        <w:tabs>
          <w:tab w:leader="none" w:pos="1196"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Acceptance of Award</w:t>
      </w:r>
      <w:r>
        <w:rPr>
          <w:rFonts w:ascii="Arial" w:cs="Arial" w:eastAsia="Arial" w:hAnsi="Arial"/>
          <w:sz w:val="20"/>
          <w:szCs w:val="20"/>
          <w:color w:val="auto"/>
        </w:rPr>
        <w:t>. Employee is deemed to accept the award of Performance Share Units under this Agreement and to agree that such award is subject to the terms and conditions set forth in this Agreement and the Plans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Plans and administrative interpretations thereof. Employee further agrees that such terms and conditions will control this Agreement, notwithstanding any provisions in any employment agreement or in any prior awards.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97" w:name="page198"/>
    <w:bookmarkEnd w:id="197"/>
    <w:p>
      <w:pPr>
        <w:jc w:val="center"/>
        <w:ind w:right="1200"/>
        <w:spacing w:after="0"/>
        <w:rPr>
          <w:sz w:val="20"/>
          <w:szCs w:val="20"/>
          <w:color w:val="auto"/>
        </w:rPr>
      </w:pPr>
      <w:r>
        <w:rPr>
          <w:rFonts w:ascii="Arial" w:cs="Arial" w:eastAsia="Arial" w:hAnsi="Arial"/>
          <w:sz w:val="21"/>
          <w:szCs w:val="21"/>
          <w:b w:val="1"/>
          <w:bCs w:val="1"/>
          <w:color w:val="auto"/>
        </w:rPr>
        <w:t>ATTACHMENT I</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Performance Conditions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59690</wp:posOffset>
            </wp:positionV>
            <wp:extent cx="729107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20"/>
          </w:cols>
          <w:pgMar w:left="1440" w:top="325" w:right="239" w:bottom="1440" w:gutter="0" w:footer="0" w:header="0"/>
        </w:sectPr>
      </w:pPr>
    </w:p>
    <w:bookmarkStart w:id="198" w:name="page199"/>
    <w:bookmarkEnd w:id="198"/>
    <w:p>
      <w:pPr>
        <w:jc w:val="center"/>
        <w:ind w:right="880"/>
        <w:spacing w:after="0"/>
        <w:rPr>
          <w:sz w:val="20"/>
          <w:szCs w:val="20"/>
          <w:color w:val="auto"/>
        </w:rPr>
      </w:pPr>
      <w:r>
        <w:rPr>
          <w:rFonts w:ascii="Arial" w:cs="Arial" w:eastAsia="Arial" w:hAnsi="Arial"/>
          <w:sz w:val="21"/>
          <w:szCs w:val="21"/>
          <w:b w:val="1"/>
          <w:bCs w:val="1"/>
          <w:color w:val="auto"/>
        </w:rPr>
        <w:t>ATTACHMENT II</w:t>
      </w:r>
    </w:p>
    <w:p>
      <w:pPr>
        <w:spacing w:after="0" w:line="19" w:lineRule="exact"/>
        <w:rPr>
          <w:sz w:val="20"/>
          <w:szCs w:val="20"/>
          <w:color w:val="auto"/>
        </w:rPr>
      </w:pPr>
    </w:p>
    <w:p>
      <w:pPr>
        <w:jc w:val="center"/>
        <w:ind w:right="880"/>
        <w:spacing w:after="0"/>
        <w:rPr>
          <w:sz w:val="20"/>
          <w:szCs w:val="20"/>
          <w:color w:val="auto"/>
        </w:rPr>
      </w:pPr>
      <w:r>
        <w:rPr>
          <w:rFonts w:ascii="Arial" w:cs="Arial" w:eastAsia="Arial" w:hAnsi="Arial"/>
          <w:sz w:val="21"/>
          <w:szCs w:val="21"/>
          <w:b w:val="1"/>
          <w:bCs w:val="1"/>
          <w:color w:val="auto"/>
        </w:rPr>
        <w:t>Confidential Information, Intellectual Property,</w:t>
      </w:r>
    </w:p>
    <w:p>
      <w:pPr>
        <w:jc w:val="center"/>
        <w:ind w:right="880"/>
        <w:spacing w:after="0"/>
        <w:rPr>
          <w:sz w:val="20"/>
          <w:szCs w:val="20"/>
          <w:color w:val="auto"/>
        </w:rPr>
      </w:pPr>
      <w:r>
        <w:rPr>
          <w:rFonts w:ascii="Arial" w:cs="Arial" w:eastAsia="Arial" w:hAnsi="Arial"/>
          <w:sz w:val="21"/>
          <w:szCs w:val="21"/>
          <w:b w:val="1"/>
          <w:bCs w:val="1"/>
          <w:color w:val="auto"/>
        </w:rPr>
        <w:t>and Non-Compete Agreement</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1. Definitions.</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1.1. “Company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1.2. “Intellectual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1.3. “Pre-existing Intellectual Property” is all Intellectual Property that was authored, conceived, developed, or reduced to practice by Employee before the term of Employee’s employment with the Company or any Affiliate began.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1.4 “Company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the Employee’s working hours; or (d) that is applicable to any activity of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59690</wp:posOffset>
            </wp:positionV>
            <wp:extent cx="729107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540"/>
          </w:cols>
          <w:pgMar w:left="1120" w:top="324" w:right="239" w:bottom="1440" w:gutter="0" w:footer="0" w:header="0"/>
        </w:sectPr>
      </w:pPr>
    </w:p>
    <w:bookmarkStart w:id="199" w:name="page200"/>
    <w:bookmarkEnd w:id="199"/>
    <w:p>
      <w:pPr>
        <w:jc w:val="both"/>
        <w:ind w:left="880"/>
        <w:spacing w:after="0" w:line="267" w:lineRule="auto"/>
        <w:rPr>
          <w:sz w:val="20"/>
          <w:szCs w:val="20"/>
          <w:color w:val="auto"/>
        </w:rPr>
      </w:pPr>
      <w:r>
        <w:rPr>
          <w:rFonts w:ascii="Arial" w:cs="Arial" w:eastAsia="Arial" w:hAnsi="Arial"/>
          <w:sz w:val="21"/>
          <w:szCs w:val="21"/>
          <w:color w:val="auto"/>
        </w:rPr>
        <w:t>includes any Pre-existing Intellectual Property assigned, licensed, or transferred to Company, and any Pre-existing Intellectual Property in which Company has a vested or executory interest.</w:t>
      </w:r>
    </w:p>
    <w:p>
      <w:pPr>
        <w:spacing w:after="0" w:line="153" w:lineRule="exact"/>
        <w:rPr>
          <w:sz w:val="20"/>
          <w:szCs w:val="20"/>
          <w:color w:val="auto"/>
        </w:rPr>
      </w:pPr>
    </w:p>
    <w:p>
      <w:pPr>
        <w:jc w:val="both"/>
        <w:ind w:left="880"/>
        <w:spacing w:after="0" w:line="252" w:lineRule="auto"/>
        <w:rPr>
          <w:sz w:val="20"/>
          <w:szCs w:val="20"/>
          <w:color w:val="auto"/>
        </w:rPr>
      </w:pPr>
      <w:r>
        <w:rPr>
          <w:rFonts w:ascii="Arial" w:cs="Arial" w:eastAsia="Arial" w:hAnsi="Arial"/>
          <w:sz w:val="21"/>
          <w:szCs w:val="21"/>
          <w:color w:val="auto"/>
        </w:rPr>
        <w:t>1.5. “Affiliate” means any entity that now or in the future directly or indirectly controls, is controlled by, or is under common control with Company, where “control” in relation to a company means the direct or indirect ownership of at least fifty-percent of the voting securities or shares.</w:t>
      </w:r>
    </w:p>
    <w:p>
      <w:pPr>
        <w:spacing w:after="0" w:line="169" w:lineRule="exact"/>
        <w:rPr>
          <w:sz w:val="20"/>
          <w:szCs w:val="20"/>
          <w:color w:val="auto"/>
        </w:rPr>
      </w:pPr>
    </w:p>
    <w:p>
      <w:pPr>
        <w:jc w:val="both"/>
        <w:ind w:firstLine="884"/>
        <w:spacing w:after="0" w:line="291" w:lineRule="auto"/>
        <w:tabs>
          <w:tab w:leader="none" w:pos="1098" w:val="left"/>
        </w:tabs>
        <w:numPr>
          <w:ilvl w:val="0"/>
          <w:numId w:val="233"/>
        </w:numPr>
        <w:rPr>
          <w:rFonts w:ascii="Arial" w:cs="Arial" w:eastAsia="Arial" w:hAnsi="Arial"/>
          <w:sz w:val="19"/>
          <w:szCs w:val="19"/>
          <w:color w:val="auto"/>
        </w:rPr>
      </w:pPr>
      <w:r>
        <w:rPr>
          <w:rFonts w:ascii="Arial" w:cs="Arial" w:eastAsia="Arial" w:hAnsi="Arial"/>
          <w:sz w:val="19"/>
          <w:szCs w:val="19"/>
          <w:color w:val="auto"/>
        </w:rPr>
        <w:t>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34" w:lineRule="exact"/>
        <w:rPr>
          <w:rFonts w:ascii="Arial" w:cs="Arial" w:eastAsia="Arial" w:hAnsi="Arial"/>
          <w:sz w:val="19"/>
          <w:szCs w:val="19"/>
          <w:color w:val="auto"/>
        </w:rPr>
      </w:pPr>
    </w:p>
    <w:p>
      <w:pPr>
        <w:jc w:val="both"/>
        <w:ind w:firstLine="884"/>
        <w:spacing w:after="0" w:line="257" w:lineRule="auto"/>
        <w:tabs>
          <w:tab w:leader="none" w:pos="110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Company does not wish to receive from Employee any confidential or proprietary information of a third party to which Employee owes an obligation of confidence. Employee will not disclose to Company or any of its Affiliates or use while employed by Company or any of its Affiliates any information for which he or she is subject to an obligation of confidentiality to any former employer or other third party. Employee represents that his or her duties as an employee of Company and Employee’s performance of this Attachment II do not and will not breach any agreement or duty to keep in confidence information, knowledge, or data acquired by Employee outside of Employee’s employment with Company or any of its Affiliates.</w:t>
      </w:r>
    </w:p>
    <w:p>
      <w:pPr>
        <w:spacing w:after="0" w:line="168" w:lineRule="exact"/>
        <w:rPr>
          <w:rFonts w:ascii="Arial" w:cs="Arial" w:eastAsia="Arial" w:hAnsi="Arial"/>
          <w:sz w:val="20"/>
          <w:szCs w:val="20"/>
          <w:color w:val="auto"/>
        </w:rPr>
      </w:pPr>
    </w:p>
    <w:p>
      <w:pPr>
        <w:jc w:val="both"/>
        <w:ind w:firstLine="884"/>
        <w:spacing w:after="0" w:line="252" w:lineRule="auto"/>
        <w:tabs>
          <w:tab w:leader="none" w:pos="1127" w:val="left"/>
        </w:tabs>
        <w:numPr>
          <w:ilvl w:val="0"/>
          <w:numId w:val="233"/>
        </w:numPr>
        <w:rPr>
          <w:rFonts w:ascii="Arial" w:cs="Arial" w:eastAsia="Arial" w:hAnsi="Arial"/>
          <w:sz w:val="21"/>
          <w:szCs w:val="21"/>
          <w:color w:val="auto"/>
        </w:rPr>
      </w:pPr>
      <w:r>
        <w:rPr>
          <w:rFonts w:ascii="Arial" w:cs="Arial" w:eastAsia="Arial" w:hAnsi="Arial"/>
          <w:sz w:val="21"/>
          <w:szCs w:val="21"/>
          <w:color w:val="auto"/>
        </w:rPr>
        <w:t>During the Employee’s term of employment, the Company or, applicable its Affiliates, will provide Employee and Employee will receive access to Company Confidential Information that is proprietary, confidential, valuable, and relates to Company’s business.</w:t>
      </w:r>
    </w:p>
    <w:p>
      <w:pPr>
        <w:spacing w:after="0" w:line="168" w:lineRule="exact"/>
        <w:rPr>
          <w:rFonts w:ascii="Arial" w:cs="Arial" w:eastAsia="Arial" w:hAnsi="Arial"/>
          <w:sz w:val="21"/>
          <w:szCs w:val="21"/>
          <w:color w:val="auto"/>
        </w:rPr>
      </w:pPr>
    </w:p>
    <w:p>
      <w:pPr>
        <w:jc w:val="both"/>
        <w:ind w:firstLine="884"/>
        <w:spacing w:after="0" w:line="247" w:lineRule="auto"/>
        <w:tabs>
          <w:tab w:leader="none" w:pos="109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Other than in the proper performance of Employee’s duties for the Company or any of its Affiliates, Employee agrees not publish, disclose or transfer to any person or third party, or use in any way other than in Company’s business or that of or any of its Affiliates, any confidential information or material of Company or any of its Affiliates, including Company Confidential Information and Company Intellectual Property, either during or after employment with Company.</w:t>
      </w:r>
    </w:p>
    <w:p>
      <w:pPr>
        <w:spacing w:after="0" w:line="174" w:lineRule="exact"/>
        <w:rPr>
          <w:rFonts w:ascii="Arial" w:cs="Arial" w:eastAsia="Arial" w:hAnsi="Arial"/>
          <w:sz w:val="21"/>
          <w:szCs w:val="21"/>
          <w:color w:val="auto"/>
        </w:rPr>
      </w:pPr>
    </w:p>
    <w:p>
      <w:pPr>
        <w:jc w:val="both"/>
        <w:ind w:firstLine="884"/>
        <w:spacing w:after="0" w:line="256" w:lineRule="auto"/>
        <w:tabs>
          <w:tab w:leader="none" w:pos="1124" w:val="left"/>
        </w:tabs>
        <w:numPr>
          <w:ilvl w:val="0"/>
          <w:numId w:val="233"/>
        </w:numPr>
        <w:rPr>
          <w:rFonts w:ascii="Arial" w:cs="Arial" w:eastAsia="Arial" w:hAnsi="Arial"/>
          <w:sz w:val="20"/>
          <w:szCs w:val="20"/>
          <w:color w:val="auto"/>
        </w:rPr>
      </w:pPr>
      <w:r>
        <w:rPr>
          <w:rFonts w:ascii="Arial" w:cs="Arial" w:eastAsia="Arial" w:hAnsi="Arial"/>
          <w:sz w:val="20"/>
          <w:szCs w:val="20"/>
          <w:color w:val="auto"/>
        </w:rPr>
        <w:t>Except as required in performing Employee's duties for the Company or any of its Affiliates, Employee agrees not remove from Company’s premises or its control any Company Confidential Information including but not limited to equipment, drawings, notes, reports, manuals, invention records, software, customer information, well logs or other data, or other material, whether produced by Employee or obtained from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of Schlumberger-supported systems.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200" w:name="page201"/>
    <w:bookmarkEnd w:id="200"/>
    <w:p>
      <w:pPr>
        <w:jc w:val="both"/>
        <w:ind w:firstLine="884"/>
        <w:spacing w:after="0" w:line="252" w:lineRule="auto"/>
        <w:tabs>
          <w:tab w:leader="none" w:pos="109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During the term of employment with Company or any of its Affiliates, Employee agrees not to engage, as an employee, officer, director, consultant, partner, owner or another capacity, in any activity or business competitive to that of the Company or any of its Affiliates.</w:t>
      </w:r>
    </w:p>
    <w:p>
      <w:pPr>
        <w:spacing w:after="0" w:line="168" w:lineRule="exact"/>
        <w:rPr>
          <w:rFonts w:ascii="Arial" w:cs="Arial" w:eastAsia="Arial" w:hAnsi="Arial"/>
          <w:sz w:val="21"/>
          <w:szCs w:val="21"/>
          <w:color w:val="auto"/>
        </w:rPr>
      </w:pPr>
    </w:p>
    <w:p>
      <w:pPr>
        <w:jc w:val="both"/>
        <w:ind w:firstLine="884"/>
        <w:spacing w:after="0" w:line="244" w:lineRule="auto"/>
        <w:tabs>
          <w:tab w:leader="none" w:pos="1095" w:val="left"/>
        </w:tabs>
        <w:numPr>
          <w:ilvl w:val="1"/>
          <w:numId w:val="234"/>
        </w:numPr>
        <w:rPr>
          <w:rFonts w:ascii="Arial" w:cs="Arial" w:eastAsia="Arial" w:hAnsi="Arial"/>
          <w:sz w:val="21"/>
          <w:szCs w:val="21"/>
          <w:color w:val="auto"/>
        </w:rPr>
      </w:pPr>
      <w:r>
        <w:rPr>
          <w:rFonts w:ascii="Arial" w:cs="Arial" w:eastAsia="Arial" w:hAnsi="Arial"/>
          <w:sz w:val="21"/>
          <w:szCs w:val="21"/>
          <w:color w:val="auto"/>
        </w:rPr>
        <w:t>Employee agrees to deliver all Company Confidential Information and materials to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9" w:lineRule="exact"/>
        <w:rPr>
          <w:rFonts w:ascii="Arial" w:cs="Arial" w:eastAsia="Arial" w:hAnsi="Arial"/>
          <w:sz w:val="21"/>
          <w:szCs w:val="21"/>
          <w:color w:val="auto"/>
        </w:rPr>
      </w:pPr>
    </w:p>
    <w:p>
      <w:pPr>
        <w:jc w:val="both"/>
        <w:ind w:firstLine="884"/>
        <w:spacing w:after="0" w:line="263" w:lineRule="auto"/>
        <w:tabs>
          <w:tab w:leader="none" w:pos="1130" w:val="left"/>
        </w:tabs>
        <w:numPr>
          <w:ilvl w:val="1"/>
          <w:numId w:val="234"/>
        </w:numPr>
        <w:rPr>
          <w:rFonts w:ascii="Arial" w:cs="Arial" w:eastAsia="Arial" w:hAnsi="Arial"/>
          <w:sz w:val="19"/>
          <w:szCs w:val="19"/>
          <w:color w:val="auto"/>
        </w:rPr>
      </w:pPr>
      <w:r>
        <w:rPr>
          <w:rFonts w:ascii="Arial" w:cs="Arial" w:eastAsia="Arial" w:hAnsi="Arial"/>
          <w:sz w:val="19"/>
          <w:szCs w:val="19"/>
          <w:color w:val="auto"/>
        </w:rPr>
        <w:t>Employee recognizes and acknowledges that Company Confidential Information constitutes protectable information belonging to Company and its Affiliates, including deemed trade secrets defined under applicable laws. In order to protect Company and its Affiliates against any unauthorized use or disclosure of Company Confidential Information and in exchange for the Company's promise to provide Employee with access to Company Confidential Information and other consideration during employment with Company and its Affiliates, Employee agrees that for a period of one year following the end of employment with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Company. Moreover, Employee agrees that Company may provide a copy of this Attachment II to any entity for whom Employee provides services in the one-year period following the date of termination of Employee's employment with Company and its Affiliates. In the event of breach by the Employee, the specified period will be extended by the period of time of the breach. Employee recognizes and acknowledges that the business, research, products, and services of Company and its Affiliates are by nature worldwide in scope, and that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w:t>
      </w:r>
    </w:p>
    <w:p>
      <w:pPr>
        <w:spacing w:after="0" w:line="11" w:lineRule="exact"/>
        <w:rPr>
          <w:rFonts w:ascii="Arial" w:cs="Arial" w:eastAsia="Arial" w:hAnsi="Arial"/>
          <w:sz w:val="19"/>
          <w:szCs w:val="19"/>
          <w:color w:val="auto"/>
        </w:rPr>
      </w:pPr>
    </w:p>
    <w:p>
      <w:pPr>
        <w:jc w:val="both"/>
        <w:ind w:firstLine="6"/>
        <w:spacing w:after="0" w:line="268" w:lineRule="auto"/>
        <w:tabs>
          <w:tab w:leader="none" w:pos="331"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in which Company has customers or service assignments about which Employee received or obtained Company Confidential Information during his/her employment with Company; (2) in which Employee had a customer or service assignment for Company in the one-year period preceding Employee's termination; or (3) in which Company had a work site, job site, facility, or office, at which Employee had a work activity for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Terrabone, Union, Vermillion, and West Baton Rouge.</w:t>
      </w:r>
    </w:p>
    <w:p>
      <w:pPr>
        <w:spacing w:after="0" w:line="159" w:lineRule="exact"/>
        <w:rPr>
          <w:rFonts w:ascii="Arial" w:cs="Arial" w:eastAsia="Arial" w:hAnsi="Arial"/>
          <w:sz w:val="19"/>
          <w:szCs w:val="19"/>
          <w:color w:val="auto"/>
        </w:rPr>
      </w:pPr>
    </w:p>
    <w:p>
      <w:pPr>
        <w:jc w:val="both"/>
        <w:ind w:firstLine="884"/>
        <w:spacing w:after="0" w:line="244" w:lineRule="auto"/>
        <w:tabs>
          <w:tab w:leader="none" w:pos="1206" w:val="left"/>
        </w:tabs>
        <w:numPr>
          <w:ilvl w:val="1"/>
          <w:numId w:val="235"/>
        </w:numPr>
        <w:rPr>
          <w:rFonts w:ascii="Arial" w:cs="Arial" w:eastAsia="Arial" w:hAnsi="Arial"/>
          <w:sz w:val="21"/>
          <w:szCs w:val="21"/>
          <w:color w:val="auto"/>
        </w:rPr>
      </w:pPr>
      <w:r>
        <w:rPr>
          <w:rFonts w:ascii="Arial" w:cs="Arial" w:eastAsia="Arial" w:hAnsi="Arial"/>
          <w:sz w:val="21"/>
          <w:szCs w:val="21"/>
          <w:color w:val="auto"/>
        </w:rPr>
        <w:t>Company has attempted to place the most reasonable limitations on Employee’s subsequent employment opportunities consistent with the protection of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Company and its Affiliates may, in their discretion, grant a waiver of one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201" w:name="page202"/>
    <w:bookmarkEnd w:id="201"/>
    <w:p>
      <w:pPr>
        <w:jc w:val="both"/>
        <w:spacing w:after="0" w:line="242" w:lineRule="auto"/>
        <w:rPr>
          <w:sz w:val="20"/>
          <w:szCs w:val="20"/>
          <w:color w:val="auto"/>
        </w:rPr>
      </w:pPr>
      <w:r>
        <w:rPr>
          <w:rFonts w:ascii="Arial" w:cs="Arial" w:eastAsia="Arial" w:hAnsi="Arial"/>
          <w:sz w:val="21"/>
          <w:szCs w:val="21"/>
          <w:color w:val="auto"/>
        </w:rPr>
        <w:t>or more of the restrictions on subsequent employment herein. A request for a waiver must be in writing and must be received by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Company decides to grant a waiver, the waiver may be subject to such restrictions or conditions as Company may impose and will not constitute a waiver of any other term.</w:t>
      </w:r>
    </w:p>
    <w:p>
      <w:pPr>
        <w:spacing w:after="0" w:line="180" w:lineRule="exact"/>
        <w:rPr>
          <w:sz w:val="20"/>
          <w:szCs w:val="20"/>
          <w:color w:val="auto"/>
        </w:rPr>
      </w:pPr>
    </w:p>
    <w:p>
      <w:pPr>
        <w:jc w:val="both"/>
        <w:ind w:firstLine="884"/>
        <w:spacing w:after="0" w:line="255" w:lineRule="auto"/>
        <w:tabs>
          <w:tab w:leader="none" w:pos="1206" w:val="left"/>
        </w:tabs>
        <w:numPr>
          <w:ilvl w:val="0"/>
          <w:numId w:val="236"/>
        </w:numPr>
        <w:rPr>
          <w:rFonts w:ascii="Arial" w:cs="Arial" w:eastAsia="Arial" w:hAnsi="Arial"/>
          <w:sz w:val="20"/>
          <w:szCs w:val="20"/>
          <w:color w:val="auto"/>
        </w:rPr>
      </w:pPr>
      <w:r>
        <w:rPr>
          <w:rFonts w:ascii="Arial" w:cs="Arial" w:eastAsia="Arial" w:hAnsi="Arial"/>
          <w:sz w:val="20"/>
          <w:szCs w:val="20"/>
          <w:color w:val="auto"/>
        </w:rPr>
        <w:t>While employed by Company and its Affiliates, and during the 18-month period or after employment with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Company to leave Company and its Affiliates, diminish their relationship with the Company and its Affiliates, or work for a competing business. This restriction will be limited to persons: (1) with whom Employee had contact or business dealings while employed by Company and its Affiliates; (2) who worked in Employee’s business unit (Group); or (3) about whom Employee had access to confidential information. In the event of breach by the Employee, the specified period will be extended by the period of time of the breach.</w:t>
      </w:r>
    </w:p>
    <w:p>
      <w:pPr>
        <w:spacing w:after="0" w:line="169" w:lineRule="exact"/>
        <w:rPr>
          <w:rFonts w:ascii="Arial" w:cs="Arial" w:eastAsia="Arial" w:hAnsi="Arial"/>
          <w:sz w:val="20"/>
          <w:szCs w:val="20"/>
          <w:color w:val="auto"/>
        </w:rPr>
      </w:pPr>
    </w:p>
    <w:p>
      <w:pPr>
        <w:jc w:val="both"/>
        <w:ind w:firstLine="884"/>
        <w:spacing w:after="0" w:line="256" w:lineRule="auto"/>
        <w:tabs>
          <w:tab w:leader="none" w:pos="1209" w:val="left"/>
        </w:tabs>
        <w:numPr>
          <w:ilvl w:val="0"/>
          <w:numId w:val="236"/>
        </w:numPr>
        <w:rPr>
          <w:rFonts w:ascii="Arial" w:cs="Arial" w:eastAsia="Arial" w:hAnsi="Arial"/>
          <w:sz w:val="20"/>
          <w:szCs w:val="20"/>
          <w:color w:val="auto"/>
        </w:rPr>
      </w:pPr>
      <w:r>
        <w:rPr>
          <w:rFonts w:ascii="Arial" w:cs="Arial" w:eastAsia="Arial" w:hAnsi="Arial"/>
          <w:sz w:val="20"/>
          <w:szCs w:val="20"/>
          <w:color w:val="auto"/>
        </w:rPr>
        <w:t>While employed by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67" w:lineRule="exact"/>
        <w:rPr>
          <w:rFonts w:ascii="Arial" w:cs="Arial" w:eastAsia="Arial" w:hAnsi="Arial"/>
          <w:sz w:val="20"/>
          <w:szCs w:val="20"/>
          <w:color w:val="auto"/>
        </w:rPr>
      </w:pPr>
    </w:p>
    <w:p>
      <w:pPr>
        <w:jc w:val="both"/>
        <w:ind w:firstLine="884"/>
        <w:spacing w:after="0" w:line="254" w:lineRule="auto"/>
        <w:tabs>
          <w:tab w:leader="none" w:pos="1216"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(a) Employee acknowledges that Company has agreed to provide Employee with Company Confidential Information during Employee's employment with Company and its Affiliates. Employee further acknowledges that, if Employee was to leave the employ of Company and its Affiliates for any reason and use or disclose Company Confidential Information, that use or disclosure would cause Company and its Affiliates irreparable harm and injury for which no adequate remedy at law exists. Therefore, in the event of the breach or threatened breach of the provisions of this Attachment II by Employee, Company and its Affiliates will be entitled to: </w:t>
      </w:r>
      <w:r>
        <w:rPr>
          <w:rFonts w:ascii="Arial" w:cs="Arial" w:eastAsia="Arial" w:hAnsi="Arial"/>
          <w:sz w:val="20"/>
          <w:szCs w:val="20"/>
          <w:b w:val="1"/>
          <w:bCs w:val="1"/>
          <w:color w:val="auto"/>
        </w:rPr>
        <w:t>(i) recover from the Employee the value of any portion of the Award that has been paid or delivered; (ii) seek</w:t>
      </w:r>
      <w:r>
        <w:rPr>
          <w:rFonts w:ascii="Arial" w:cs="Arial" w:eastAsia="Arial" w:hAnsi="Arial"/>
          <w:sz w:val="20"/>
          <w:szCs w:val="20"/>
          <w:color w:val="auto"/>
        </w:rPr>
        <w:t xml:space="preserve"> </w:t>
      </w:r>
      <w:r>
        <w:rPr>
          <w:rFonts w:ascii="Arial" w:cs="Arial" w:eastAsia="Arial" w:hAnsi="Arial"/>
          <w:sz w:val="20"/>
          <w:szCs w:val="20"/>
          <w:b w:val="1"/>
          <w:bCs w:val="1"/>
          <w:color w:val="auto"/>
        </w:rPr>
        <w:t>injunctive relief against the Employee pursuant to the provisions of subsection (b) below; (iii) recover all damages, court costs, and attorneys’ fees incurred by the Company in enforcing the provisions of this Award, and (iv) set-off any such sums to which the Company or any of its Affiliates may be entitled hereunder against any sum which may be owed the Employee by the Company and its Affiliates.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15</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202" w:name="page203"/>
    <w:bookmarkEnd w:id="202"/>
    <w:p>
      <w:pPr>
        <w:ind w:right="180" w:firstLine="884"/>
        <w:spacing w:after="0" w:line="243" w:lineRule="auto"/>
        <w:tabs>
          <w:tab w:leader="none" w:pos="1178" w:val="left"/>
        </w:tabs>
        <w:numPr>
          <w:ilvl w:val="0"/>
          <w:numId w:val="237"/>
        </w:numPr>
        <w:rPr>
          <w:rFonts w:ascii="Arial" w:cs="Arial" w:eastAsia="Arial" w:hAnsi="Arial"/>
          <w:sz w:val="21"/>
          <w:szCs w:val="21"/>
          <w:color w:val="auto"/>
        </w:rPr>
      </w:pPr>
      <w:r>
        <w:rPr>
          <w:rFonts w:ascii="Arial" w:cs="Arial" w:eastAsia="Arial" w:hAnsi="Arial"/>
          <w:sz w:val="21"/>
          <w:szCs w:val="21"/>
          <w:color w:val="auto"/>
        </w:rPr>
        <w:t>Because of the difficulty of measuring economic losses to the Company or Employer as a result of a breach of the foregoing covenants, and because of the immediate and irreparable damage that could be caused to the Company for which it would have no other adequate remedy, the Employee agrees that the foregoing covenants may be enforced by the Company in the event of breach by him/her by injunction relief and restraining order, without the necessity of posting a bond, and that such enforcement will not be the Company’s exclusive remedy for a breach but instead will be in addition to all other rights and remedies available to the Company.</w:t>
      </w:r>
    </w:p>
    <w:p>
      <w:pPr>
        <w:spacing w:after="0" w:line="178" w:lineRule="exact"/>
        <w:rPr>
          <w:rFonts w:ascii="Arial" w:cs="Arial" w:eastAsia="Arial" w:hAnsi="Arial"/>
          <w:sz w:val="21"/>
          <w:szCs w:val="21"/>
          <w:color w:val="auto"/>
        </w:rPr>
      </w:pPr>
    </w:p>
    <w:p>
      <w:pPr>
        <w:ind w:right="20" w:firstLine="884"/>
        <w:spacing w:after="0" w:line="244" w:lineRule="auto"/>
        <w:tabs>
          <w:tab w:leader="none" w:pos="1167" w:val="left"/>
        </w:tabs>
        <w:numPr>
          <w:ilvl w:val="0"/>
          <w:numId w:val="237"/>
        </w:numPr>
        <w:rPr>
          <w:rFonts w:ascii="Arial" w:cs="Arial" w:eastAsia="Arial" w:hAnsi="Arial"/>
          <w:sz w:val="21"/>
          <w:szCs w:val="21"/>
          <w:color w:val="auto"/>
        </w:rPr>
      </w:pPr>
      <w:r>
        <w:rPr>
          <w:rFonts w:ascii="Arial" w:cs="Arial" w:eastAsia="Arial" w:hAnsi="Arial"/>
          <w:sz w:val="21"/>
          <w:szCs w:val="21"/>
          <w:color w:val="auto"/>
        </w:rPr>
        <w:t>Each of the covenants in this Attachment II will be construed as an agreement independent of any other provision in this Attachment II, and the existence of any claim or cause of action of the Employee against the Company, whether predicated on this Attachment II or otherwise, will not constitute a defense to the enforcement by the Company of such covenants or provisions. Employee acknowledges that the remedies contained in the Attachment II for violation of this Attachment II are not the exclusive remedies that Company may pursue.</w:t>
      </w:r>
    </w:p>
    <w:p>
      <w:pPr>
        <w:spacing w:after="0" w:line="180" w:lineRule="exact"/>
        <w:rPr>
          <w:sz w:val="20"/>
          <w:szCs w:val="20"/>
          <w:color w:val="auto"/>
        </w:rPr>
      </w:pPr>
    </w:p>
    <w:p>
      <w:pPr>
        <w:ind w:firstLine="884"/>
        <w:spacing w:after="0" w:line="267" w:lineRule="auto"/>
        <w:tabs>
          <w:tab w:leader="none" w:pos="1203" w:val="left"/>
        </w:tabs>
        <w:numPr>
          <w:ilvl w:val="0"/>
          <w:numId w:val="238"/>
        </w:numPr>
        <w:rPr>
          <w:rFonts w:ascii="Arial" w:cs="Arial" w:eastAsia="Arial" w:hAnsi="Arial"/>
          <w:sz w:val="21"/>
          <w:szCs w:val="21"/>
          <w:color w:val="auto"/>
        </w:rPr>
      </w:pPr>
      <w:r>
        <w:rPr>
          <w:rFonts w:ascii="Arial" w:cs="Arial" w:eastAsia="Arial" w:hAnsi="Arial"/>
          <w:sz w:val="21"/>
          <w:szCs w:val="21"/>
          <w:color w:val="auto"/>
        </w:rPr>
        <w:t>Employee agrees to promptly disclose in writing to Company all Company Intellectual Property conceived, developed, improved or reduced to practice by Employee during Employee’s employment with Company and its Affiliates.</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Employee will disclose to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During and after employment with Company, Employee will assist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Company may, in its sole discretion, determine to obtain.</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Employee agrees to assign and hereby assigns to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Company has and will have the royalty-free right to use or otherwise exploit Company Intellectual Property without any further agreement between Company and Employee. Company Intellectual Property remains the exclusive property of Company whether or not deemed to be a “work made for hire” within the meaning of the copyright laws of the United States. For clarity, Employee does not hereby assign or agree to assign any Pre-existing Intellectual Property to Company.</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16</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203" w:name="page204"/>
    <w:bookmarkEnd w:id="203"/>
    <w:p>
      <w:pPr>
        <w:jc w:val="both"/>
        <w:spacing w:after="0" w:line="243" w:lineRule="auto"/>
        <w:rPr>
          <w:sz w:val="20"/>
          <w:szCs w:val="20"/>
          <w:color w:val="auto"/>
        </w:rPr>
      </w:pPr>
      <w:r>
        <w:rPr>
          <w:rFonts w:ascii="Arial" w:cs="Arial" w:eastAsia="Arial" w:hAnsi="Arial"/>
          <w:sz w:val="21"/>
          <w:szCs w:val="21"/>
          <w:color w:val="auto"/>
        </w:rPr>
        <w:t>Employee is hereby notified that certain statutes in some U.S. states relate to ownership and assignment of inventions. At relevant locations and in accordance with those statutes, Company agrees that this Attachment II does not apply to an invention developed by Employee entirely on his or her own time without use of the Company Group’s equipment, supplies, facilities, systems, or confidential information, except for inventions that relate to Company Group’s business, or actual or anticipate research or development of Company Group or work performed by Employee for Company Group. For this purpose, “Company Group” means the Company and all Affiliates.</w:t>
      </w:r>
    </w:p>
    <w:p>
      <w:pPr>
        <w:spacing w:after="0" w:line="179"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31" w:lineRule="exact"/>
        <w:rPr>
          <w:sz w:val="20"/>
          <w:szCs w:val="20"/>
          <w:color w:val="auto"/>
        </w:rPr>
      </w:pPr>
    </w:p>
    <w:p>
      <w:pPr>
        <w:jc w:val="both"/>
        <w:ind w:firstLine="884"/>
        <w:spacing w:after="0" w:line="252" w:lineRule="auto"/>
        <w:tabs>
          <w:tab w:leader="none" w:pos="1199" w:val="left"/>
        </w:tabs>
        <w:numPr>
          <w:ilvl w:val="1"/>
          <w:numId w:val="239"/>
        </w:numPr>
        <w:rPr>
          <w:rFonts w:ascii="Arial" w:cs="Arial" w:eastAsia="Arial" w:hAnsi="Arial"/>
          <w:sz w:val="21"/>
          <w:szCs w:val="21"/>
          <w:color w:val="auto"/>
        </w:rPr>
      </w:pPr>
      <w:r>
        <w:rPr>
          <w:rFonts w:ascii="Arial" w:cs="Arial" w:eastAsia="Arial" w:hAnsi="Arial"/>
          <w:sz w:val="21"/>
          <w:szCs w:val="21"/>
          <w:color w:val="auto"/>
        </w:rPr>
        <w:t>Waiver of any term of this Attachment II by Company will not operate as a waiver of any other term of this Attachment II. A failure to enforce any provision of this Attachment II will not operate as a waiver of Company’s right to enforce any other provision of this Attachment II.</w:t>
      </w:r>
    </w:p>
    <w:p>
      <w:pPr>
        <w:spacing w:after="0" w:line="168" w:lineRule="exact"/>
        <w:rPr>
          <w:rFonts w:ascii="Arial" w:cs="Arial" w:eastAsia="Arial" w:hAnsi="Arial"/>
          <w:sz w:val="21"/>
          <w:szCs w:val="21"/>
          <w:color w:val="auto"/>
        </w:rPr>
      </w:pPr>
    </w:p>
    <w:p>
      <w:pPr>
        <w:jc w:val="both"/>
        <w:ind w:firstLine="884"/>
        <w:spacing w:after="0" w:line="247" w:lineRule="auto"/>
        <w:tabs>
          <w:tab w:leader="none" w:pos="1246" w:val="left"/>
        </w:tabs>
        <w:numPr>
          <w:ilvl w:val="1"/>
          <w:numId w:val="239"/>
        </w:numPr>
        <w:rPr>
          <w:rFonts w:ascii="Arial" w:cs="Arial" w:eastAsia="Arial" w:hAnsi="Arial"/>
          <w:sz w:val="21"/>
          <w:szCs w:val="21"/>
          <w:color w:val="auto"/>
        </w:rPr>
      </w:pPr>
      <w:r>
        <w:rPr>
          <w:rFonts w:ascii="Arial" w:cs="Arial" w:eastAsia="Arial" w:hAnsi="Arial"/>
          <w:sz w:val="21"/>
          <w:szCs w:val="21"/>
          <w:color w:val="auto"/>
        </w:rPr>
        <w:t>Employee represents and warrants that Employee is not a party to any other agreement that will interfere with Employee’s full compliance with this Attachment II or that otherwise may restrict Employee’s employment by Company or the performance of Employee’s duties for Company. Employee agrees not to enter into any agreement, whether oral or written, in conflict with this Attachment II.</w:t>
      </w:r>
    </w:p>
    <w:p>
      <w:pPr>
        <w:spacing w:after="0" w:line="174" w:lineRule="exact"/>
        <w:rPr>
          <w:rFonts w:ascii="Arial" w:cs="Arial" w:eastAsia="Arial" w:hAnsi="Arial"/>
          <w:sz w:val="21"/>
          <w:szCs w:val="21"/>
          <w:color w:val="auto"/>
        </w:rPr>
      </w:pPr>
    </w:p>
    <w:p>
      <w:pPr>
        <w:ind w:firstLine="884"/>
        <w:spacing w:after="0" w:line="267" w:lineRule="auto"/>
        <w:tabs>
          <w:tab w:leader="none" w:pos="1205" w:val="left"/>
        </w:tabs>
        <w:numPr>
          <w:ilvl w:val="1"/>
          <w:numId w:val="239"/>
        </w:numPr>
        <w:rPr>
          <w:rFonts w:ascii="Arial" w:cs="Arial" w:eastAsia="Arial" w:hAnsi="Arial"/>
          <w:sz w:val="21"/>
          <w:szCs w:val="21"/>
          <w:color w:val="auto"/>
        </w:rPr>
      </w:pPr>
      <w:r>
        <w:rPr>
          <w:rFonts w:ascii="Arial" w:cs="Arial" w:eastAsia="Arial" w:hAnsi="Arial"/>
          <w:sz w:val="21"/>
          <w:szCs w:val="21"/>
          <w:color w:val="auto"/>
        </w:rPr>
        <w:t>This Attachment II may be enforced by, will inure to the benefit of, and be binding upon Company, its successors, and assigns. This Attachment II is binding upon Employee’s heirs and legal representatives.</w:t>
      </w:r>
    </w:p>
    <w:p>
      <w:pPr>
        <w:spacing w:after="0" w:line="152" w:lineRule="exact"/>
        <w:rPr>
          <w:rFonts w:ascii="Arial" w:cs="Arial" w:eastAsia="Arial" w:hAnsi="Arial"/>
          <w:sz w:val="21"/>
          <w:szCs w:val="21"/>
          <w:color w:val="auto"/>
        </w:rPr>
      </w:pPr>
    </w:p>
    <w:p>
      <w:pPr>
        <w:jc w:val="both"/>
        <w:ind w:firstLine="884"/>
        <w:spacing w:after="0" w:line="252" w:lineRule="auto"/>
        <w:tabs>
          <w:tab w:leader="none" w:pos="1206" w:val="left"/>
        </w:tabs>
        <w:numPr>
          <w:ilvl w:val="1"/>
          <w:numId w:val="239"/>
        </w:numPr>
        <w:rPr>
          <w:rFonts w:ascii="Arial" w:cs="Arial" w:eastAsia="Arial" w:hAnsi="Arial"/>
          <w:sz w:val="21"/>
          <w:szCs w:val="21"/>
          <w:color w:val="auto"/>
        </w:rPr>
      </w:pPr>
      <w:r>
        <w:rPr>
          <w:rFonts w:ascii="Arial" w:cs="Arial" w:eastAsia="Arial" w:hAnsi="Arial"/>
          <w:sz w:val="21"/>
          <w:szCs w:val="21"/>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68" w:lineRule="exact"/>
        <w:rPr>
          <w:rFonts w:ascii="Arial" w:cs="Arial" w:eastAsia="Arial" w:hAnsi="Arial"/>
          <w:sz w:val="21"/>
          <w:szCs w:val="21"/>
          <w:color w:val="auto"/>
        </w:rPr>
      </w:pPr>
    </w:p>
    <w:p>
      <w:pPr>
        <w:jc w:val="both"/>
        <w:ind w:firstLine="884"/>
        <w:spacing w:after="0" w:line="247" w:lineRule="auto"/>
        <w:tabs>
          <w:tab w:leader="none" w:pos="1234" w:val="left"/>
        </w:tabs>
        <w:numPr>
          <w:ilvl w:val="1"/>
          <w:numId w:val="239"/>
        </w:numPr>
        <w:rPr>
          <w:rFonts w:ascii="Arial" w:cs="Arial" w:eastAsia="Arial" w:hAnsi="Arial"/>
          <w:sz w:val="21"/>
          <w:szCs w:val="21"/>
          <w:color w:val="auto"/>
        </w:rPr>
      </w:pPr>
      <w:r>
        <w:rPr>
          <w:rFonts w:ascii="Arial" w:cs="Arial" w:eastAsia="Arial" w:hAnsi="Arial"/>
          <w:sz w:val="21"/>
          <w:szCs w:val="21"/>
          <w:color w:val="auto"/>
        </w:rPr>
        <w:t>If Employee is employed by an Affiliate of the Company or by accepting a transfer to an Affiliate of Company, Employee agrees to the automatic application of all of the terms of this Attachment II to said Affiliate contemporaneously with the acceptance of such transfer, subject to subsequent agreements, if any, executed by Employee and Affiliate of Company or Company, and to the fullest extent allowed by law.</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17</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204" w:name="page205"/>
    <w:bookmarkEnd w:id="204"/>
    <w:p>
      <w:pPr>
        <w:jc w:val="both"/>
        <w:ind w:firstLine="884"/>
        <w:spacing w:after="0" w:line="242" w:lineRule="auto"/>
        <w:tabs>
          <w:tab w:leader="none" w:pos="1196" w:val="left"/>
        </w:tabs>
        <w:numPr>
          <w:ilvl w:val="0"/>
          <w:numId w:val="240"/>
        </w:numPr>
        <w:rPr>
          <w:rFonts w:ascii="Arial" w:cs="Arial" w:eastAsia="Arial" w:hAnsi="Arial"/>
          <w:sz w:val="21"/>
          <w:szCs w:val="21"/>
          <w:color w:val="auto"/>
        </w:rPr>
      </w:pPr>
      <w:r>
        <w:rPr>
          <w:rFonts w:ascii="Arial" w:cs="Arial" w:eastAsia="Arial" w:hAnsi="Arial"/>
          <w:sz w:val="21"/>
          <w:szCs w:val="21"/>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Company regarding this Attachment II.</w:t>
      </w:r>
    </w:p>
    <w:p>
      <w:pPr>
        <w:spacing w:after="0" w:line="180" w:lineRule="exact"/>
        <w:rPr>
          <w:rFonts w:ascii="Arial" w:cs="Arial" w:eastAsia="Arial" w:hAnsi="Arial"/>
          <w:sz w:val="21"/>
          <w:szCs w:val="21"/>
          <w:color w:val="auto"/>
        </w:rPr>
      </w:pPr>
    </w:p>
    <w:p>
      <w:pPr>
        <w:ind w:firstLine="884"/>
        <w:spacing w:after="0" w:line="292" w:lineRule="auto"/>
        <w:tabs>
          <w:tab w:leader="none" w:pos="1224"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This Confidential Information, Intellectual Property, Non-Compete, and Non-Solicitation Agreement supersedes any previous agreement, oral or written, between Employee and Company relating to the subject matter thereof.</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18</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729107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21"/>
          <w:szCs w:val="21"/>
          <w:b w:val="1"/>
          <w:bCs w:val="1"/>
          <w:color w:val="auto"/>
        </w:rPr>
        <w:t>APPENDIX: INTELLECTUAL PROPERTY ASSIGNMENT,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DISCLOSURE AND WAIVER</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Attachment II, Confidential Information, Intellectual Property, Non-Compete, and Non-Solicitation Agreement this Appendix, and Employee promises to comply with the terms in this Appendix, and all rules, procedures, policies, and requirements that Company may promulgate consistent with this Appendix.</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Automatic Assignment</w:t>
      </w:r>
    </w:p>
    <w:p>
      <w:pPr>
        <w:spacing w:after="0" w:line="21"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The Attachment II, Confidential Information, Intellectual Property, and Non-Compete Agreement contains assignment of all Company Intellectual Property.</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 Duty to Disclose</w:t>
      </w:r>
    </w:p>
    <w:p>
      <w:pPr>
        <w:spacing w:after="0" w:line="2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For all Company Intellectual Property, Employee will complete and submit to Company an IP Disclosure Form. Company’s receipt or acceptance of an IP Disclosure Form does not constitute an admission or agreement to any responses contained therein, does not waive or modify any terms of any agreement between Company and Employee, and does not obligate or bind Company.</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w:t>
      </w:r>
    </w:p>
    <w:p>
      <w:pPr>
        <w:spacing w:after="0" w:line="169"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Waiver of Automatic Assignment</w:t>
      </w:r>
    </w:p>
    <w:p>
      <w:pPr>
        <w:spacing w:after="0" w:line="2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Company may, in its sole discretion, waive the automatic assignment provision using such criteria as Company, in its sole discretion, may decide to use. No waiver of the automatic assignment provision is effective unless in a writing signed by a person authorized by the Company.</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the Attachment II, Confidential Information, Intellectual Property and Non-Compete Agreement, this Appendix, or obtained through fraud, negligence, failure to disclose, or incorrect, incomplete, or defective information on an IP Disclosure Form.</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19</w:t>
      </w:r>
      <w:r>
        <w:rPr>
          <w:rFonts w:ascii="Arial" w:cs="Arial" w:eastAsia="Arial" w:hAnsi="Arial"/>
          <w:sz w:val="14"/>
          <w:szCs w:val="14"/>
          <w:color w:val="auto"/>
        </w:rPr>
        <w:t xml:space="preserve"> of </w:t>
      </w:r>
      <w:r>
        <w:rPr>
          <w:rFonts w:ascii="Arial" w:cs="Arial" w:eastAsia="Arial" w:hAnsi="Arial"/>
          <w:sz w:val="14"/>
          <w:szCs w:val="14"/>
          <w:b w:val="1"/>
          <w:bCs w:val="1"/>
          <w:color w:val="auto"/>
        </w:rPr>
        <w:t>19</w:t>
      </w:r>
    </w:p>
    <w:p>
      <w:pPr>
        <w:sectPr>
          <w:pgSz w:w="11900" w:h="16838" w:orient="portrait"/>
          <w:cols w:equalWidth="0" w:num="1">
            <w:col w:w="11420"/>
          </w:cols>
          <w:pgMar w:left="240" w:top="325"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1"/>
          <w:szCs w:val="21"/>
          <w:b w:val="1"/>
          <w:bCs w:val="1"/>
          <w:color w:val="auto"/>
        </w:rPr>
        <w:t>Exhibit 10.27</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SCHLUMBERGER LIMITED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“Company”)</w:t>
      </w:r>
    </w:p>
    <w:p>
      <w:pPr>
        <w:jc w:val="center"/>
        <w:spacing w:after="0" w:line="237" w:lineRule="auto"/>
        <w:rPr>
          <w:sz w:val="20"/>
          <w:szCs w:val="20"/>
          <w:color w:val="auto"/>
        </w:rPr>
      </w:pPr>
      <w:r>
        <w:rPr>
          <w:rFonts w:ascii="Arial" w:cs="Arial" w:eastAsia="Arial" w:hAnsi="Arial"/>
          <w:sz w:val="21"/>
          <w:szCs w:val="21"/>
          <w:b w:val="1"/>
          <w:bCs w:val="1"/>
          <w:i w:val="1"/>
          <w:iCs w:val="1"/>
          <w:color w:val="auto"/>
        </w:rPr>
        <w:t>Addendum to</w:t>
      </w:r>
    </w:p>
    <w:p>
      <w:pPr>
        <w:jc w:val="center"/>
        <w:spacing w:after="0" w:line="237" w:lineRule="auto"/>
        <w:rPr>
          <w:sz w:val="20"/>
          <w:szCs w:val="20"/>
          <w:color w:val="auto"/>
        </w:rPr>
      </w:pPr>
      <w:r>
        <w:rPr>
          <w:rFonts w:ascii="Arial" w:cs="Arial" w:eastAsia="Arial" w:hAnsi="Arial"/>
          <w:sz w:val="21"/>
          <w:szCs w:val="21"/>
          <w:b w:val="1"/>
          <w:bCs w:val="1"/>
          <w:i w:val="1"/>
          <w:iCs w:val="1"/>
          <w:color w:val="auto"/>
        </w:rPr>
        <w:t>Restricted Stock Unit Award Agreements</w:t>
      </w:r>
    </w:p>
    <w:p>
      <w:pPr>
        <w:jc w:val="center"/>
        <w:spacing w:after="0" w:line="238" w:lineRule="auto"/>
        <w:rPr>
          <w:sz w:val="20"/>
          <w:szCs w:val="20"/>
          <w:color w:val="auto"/>
        </w:rPr>
      </w:pPr>
      <w:r>
        <w:rPr>
          <w:rFonts w:ascii="Arial" w:cs="Arial" w:eastAsia="Arial" w:hAnsi="Arial"/>
          <w:sz w:val="21"/>
          <w:szCs w:val="21"/>
          <w:b w:val="1"/>
          <w:bCs w:val="1"/>
          <w:i w:val="1"/>
          <w:iCs w:val="1"/>
          <w:color w:val="auto"/>
        </w:rPr>
        <w:t>Performance Share Unit Agreements</w:t>
      </w:r>
    </w:p>
    <w:p>
      <w:pPr>
        <w:jc w:val="center"/>
        <w:spacing w:after="0" w:line="237" w:lineRule="auto"/>
        <w:rPr>
          <w:sz w:val="20"/>
          <w:szCs w:val="20"/>
          <w:color w:val="auto"/>
        </w:rPr>
      </w:pPr>
      <w:r>
        <w:rPr>
          <w:rFonts w:ascii="Arial" w:cs="Arial" w:eastAsia="Arial" w:hAnsi="Arial"/>
          <w:sz w:val="21"/>
          <w:szCs w:val="21"/>
          <w:b w:val="1"/>
          <w:bCs w:val="1"/>
          <w:i w:val="1"/>
          <w:iCs w:val="1"/>
          <w:color w:val="auto"/>
        </w:rPr>
        <w:t>Incentive Stock Option Agreements</w:t>
      </w:r>
    </w:p>
    <w:p>
      <w:pPr>
        <w:jc w:val="center"/>
        <w:spacing w:after="0" w:line="238" w:lineRule="auto"/>
        <w:rPr>
          <w:sz w:val="20"/>
          <w:szCs w:val="20"/>
          <w:color w:val="auto"/>
        </w:rPr>
      </w:pPr>
      <w:r>
        <w:rPr>
          <w:rFonts w:ascii="Arial" w:cs="Arial" w:eastAsia="Arial" w:hAnsi="Arial"/>
          <w:sz w:val="21"/>
          <w:szCs w:val="21"/>
          <w:b w:val="1"/>
          <w:bCs w:val="1"/>
          <w:i w:val="1"/>
          <w:iCs w:val="1"/>
          <w:color w:val="auto"/>
        </w:rPr>
        <w:t>Non-qualified Stock Option Agreements</w:t>
      </w:r>
    </w:p>
    <w:p>
      <w:pPr>
        <w:jc w:val="center"/>
        <w:spacing w:after="0"/>
        <w:rPr>
          <w:sz w:val="20"/>
          <w:szCs w:val="20"/>
          <w:color w:val="auto"/>
        </w:rPr>
      </w:pPr>
      <w:r>
        <w:rPr>
          <w:rFonts w:ascii="Arial" w:cs="Arial" w:eastAsia="Arial" w:hAnsi="Arial"/>
          <w:sz w:val="21"/>
          <w:szCs w:val="21"/>
          <w:b w:val="1"/>
          <w:bCs w:val="1"/>
          <w:color w:val="auto"/>
        </w:rPr>
        <w:t>Issued Prior to July 19, 2017</w:t>
      </w:r>
    </w:p>
    <w:p>
      <w:pPr>
        <w:spacing w:after="0" w:line="192" w:lineRule="exact"/>
        <w:rPr>
          <w:sz w:val="20"/>
          <w:szCs w:val="20"/>
          <w:color w:val="auto"/>
        </w:rPr>
      </w:pPr>
    </w:p>
    <w:p>
      <w:pPr>
        <w:jc w:val="both"/>
        <w:ind w:firstLine="439"/>
        <w:spacing w:after="0" w:line="244" w:lineRule="auto"/>
        <w:rPr>
          <w:sz w:val="20"/>
          <w:szCs w:val="20"/>
          <w:color w:val="auto"/>
        </w:rPr>
      </w:pPr>
      <w:r>
        <w:rPr>
          <w:rFonts w:ascii="Arial" w:cs="Arial" w:eastAsia="Arial" w:hAnsi="Arial"/>
          <w:sz w:val="21"/>
          <w:szCs w:val="21"/>
          <w:color w:val="auto"/>
        </w:rPr>
        <w:t>The Compensation Committee of the Board of Directors of Schlumberger Limited (“the Company”) approved “net settlement”, sometimes referred to as “net exercise”, which permits employees to pay the exercise price of stock options with no cash out-of-pocket and no open market sale of shares. The Company withholds enough exercised shares to cover the full exercise price of the stock options and can also cover taxes due on the exercise. Employees receive only the net number of shares. Incentive Stock Options (“ISOs”) granted prior to July 19, 2017, do not qualify for net settlement.</w:t>
      </w:r>
    </w:p>
    <w:p>
      <w:pPr>
        <w:spacing w:after="0" w:line="180" w:lineRule="exact"/>
        <w:rPr>
          <w:sz w:val="20"/>
          <w:szCs w:val="20"/>
          <w:color w:val="auto"/>
        </w:rPr>
      </w:pPr>
    </w:p>
    <w:p>
      <w:pPr>
        <w:jc w:val="both"/>
        <w:ind w:firstLine="439"/>
        <w:spacing w:after="0" w:line="320" w:lineRule="auto"/>
        <w:rPr>
          <w:sz w:val="20"/>
          <w:szCs w:val="20"/>
          <w:color w:val="auto"/>
        </w:rPr>
      </w:pPr>
      <w:r>
        <w:rPr>
          <w:rFonts w:ascii="Arial" w:cs="Arial" w:eastAsia="Arial" w:hAnsi="Arial"/>
          <w:sz w:val="19"/>
          <w:szCs w:val="19"/>
          <w:color w:val="auto"/>
        </w:rPr>
        <w:t>The following supplemental provisions give effect to net settlement as approved by the Committee and apply, effective as of July 19, 2017, to the following stock incentive plans of the Company (all as amended and restated as of July 19, 2017, the “Plans”):</w:t>
      </w:r>
    </w:p>
    <w:p>
      <w:pPr>
        <w:spacing w:after="0" w:line="108" w:lineRule="exact"/>
        <w:rPr>
          <w:sz w:val="20"/>
          <w:szCs w:val="20"/>
          <w:color w:val="auto"/>
        </w:rPr>
      </w:pPr>
    </w:p>
    <w:p>
      <w:pPr>
        <w:ind w:left="880" w:hanging="436"/>
        <w:spacing w:after="0"/>
        <w:tabs>
          <w:tab w:leader="none" w:pos="88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1998 Stock Option Plan;</w:t>
      </w:r>
    </w:p>
    <w:p>
      <w:pPr>
        <w:spacing w:after="0" w:line="170" w:lineRule="exact"/>
        <w:rPr>
          <w:rFonts w:ascii="Arial" w:cs="Arial" w:eastAsia="Arial" w:hAnsi="Arial"/>
          <w:sz w:val="21"/>
          <w:szCs w:val="21"/>
          <w:color w:val="auto"/>
        </w:rPr>
      </w:pPr>
    </w:p>
    <w:p>
      <w:pPr>
        <w:ind w:left="880" w:hanging="436"/>
        <w:spacing w:after="0"/>
        <w:tabs>
          <w:tab w:leader="none" w:pos="88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2001 Stock Option Plan;</w:t>
      </w:r>
    </w:p>
    <w:p>
      <w:pPr>
        <w:spacing w:after="0" w:line="170" w:lineRule="exact"/>
        <w:rPr>
          <w:rFonts w:ascii="Arial" w:cs="Arial" w:eastAsia="Arial" w:hAnsi="Arial"/>
          <w:sz w:val="21"/>
          <w:szCs w:val="21"/>
          <w:color w:val="auto"/>
        </w:rPr>
      </w:pPr>
    </w:p>
    <w:p>
      <w:pPr>
        <w:ind w:left="880" w:hanging="436"/>
        <w:spacing w:after="0"/>
        <w:tabs>
          <w:tab w:leader="none" w:pos="88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2005 Stock Incentive Plan;</w:t>
      </w:r>
    </w:p>
    <w:p>
      <w:pPr>
        <w:spacing w:after="0" w:line="170" w:lineRule="exact"/>
        <w:rPr>
          <w:rFonts w:ascii="Arial" w:cs="Arial" w:eastAsia="Arial" w:hAnsi="Arial"/>
          <w:sz w:val="21"/>
          <w:szCs w:val="21"/>
          <w:color w:val="auto"/>
        </w:rPr>
      </w:pPr>
    </w:p>
    <w:p>
      <w:pPr>
        <w:ind w:left="880" w:hanging="436"/>
        <w:spacing w:after="0"/>
        <w:tabs>
          <w:tab w:leader="none" w:pos="88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2008 Stock Incentive Plan;</w:t>
      </w:r>
    </w:p>
    <w:p>
      <w:pPr>
        <w:spacing w:after="0" w:line="170" w:lineRule="exact"/>
        <w:rPr>
          <w:rFonts w:ascii="Arial" w:cs="Arial" w:eastAsia="Arial" w:hAnsi="Arial"/>
          <w:sz w:val="21"/>
          <w:szCs w:val="21"/>
          <w:color w:val="auto"/>
        </w:rPr>
      </w:pPr>
    </w:p>
    <w:p>
      <w:pPr>
        <w:ind w:left="880" w:hanging="436"/>
        <w:spacing w:after="0"/>
        <w:tabs>
          <w:tab w:leader="none" w:pos="88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2010 Omnibus Stock Incentive Plan;</w:t>
      </w:r>
    </w:p>
    <w:p>
      <w:pPr>
        <w:spacing w:after="0" w:line="170" w:lineRule="exact"/>
        <w:rPr>
          <w:rFonts w:ascii="Arial" w:cs="Arial" w:eastAsia="Arial" w:hAnsi="Arial"/>
          <w:sz w:val="21"/>
          <w:szCs w:val="21"/>
          <w:color w:val="auto"/>
        </w:rPr>
      </w:pPr>
    </w:p>
    <w:p>
      <w:pPr>
        <w:ind w:left="880" w:hanging="436"/>
        <w:spacing w:after="0"/>
        <w:tabs>
          <w:tab w:leader="none" w:pos="88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2013 Omnibus Stock Incentive Plan; and</w:t>
      </w:r>
    </w:p>
    <w:p>
      <w:pPr>
        <w:spacing w:after="0" w:line="170" w:lineRule="exact"/>
        <w:rPr>
          <w:rFonts w:ascii="Arial" w:cs="Arial" w:eastAsia="Arial" w:hAnsi="Arial"/>
          <w:sz w:val="21"/>
          <w:szCs w:val="21"/>
          <w:color w:val="auto"/>
        </w:rPr>
      </w:pPr>
    </w:p>
    <w:p>
      <w:pPr>
        <w:ind w:left="880" w:hanging="436"/>
        <w:spacing w:after="0"/>
        <w:tabs>
          <w:tab w:leader="none" w:pos="88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2017 Omnibus Stock Incentive Plan.</w:t>
      </w:r>
    </w:p>
    <w:p>
      <w:pPr>
        <w:spacing w:after="0" w:line="210" w:lineRule="exact"/>
        <w:rPr>
          <w:sz w:val="20"/>
          <w:szCs w:val="20"/>
          <w:color w:val="auto"/>
        </w:rPr>
      </w:pPr>
    </w:p>
    <w:p>
      <w:pPr>
        <w:jc w:val="both"/>
        <w:ind w:firstLine="439"/>
        <w:spacing w:after="0" w:line="247" w:lineRule="auto"/>
        <w:rPr>
          <w:sz w:val="20"/>
          <w:szCs w:val="20"/>
          <w:color w:val="auto"/>
        </w:rPr>
      </w:pPr>
      <w:r>
        <w:rPr>
          <w:rFonts w:ascii="Arial" w:cs="Arial" w:eastAsia="Arial" w:hAnsi="Arial"/>
          <w:sz w:val="21"/>
          <w:szCs w:val="21"/>
          <w:color w:val="auto"/>
        </w:rPr>
        <w:t>The supplemental provisions also apply to any employee’s Restricted Stock Unit Award Agreement, Performance Share Unit Agreement, Incentive Stock Option Agreement, and Non-Qualified Stock Option Agreement (the “Award Agreements”). As a result, any stock options, restricted stock units and performance share units you hold that were issued under the Plans are subject to the supplemental conditions.</w:t>
      </w:r>
    </w:p>
    <w:p>
      <w:pPr>
        <w:spacing w:after="0" w:line="174" w:lineRule="exact"/>
        <w:rPr>
          <w:sz w:val="20"/>
          <w:szCs w:val="20"/>
          <w:color w:val="auto"/>
        </w:rPr>
      </w:pPr>
    </w:p>
    <w:p>
      <w:pPr>
        <w:jc w:val="both"/>
        <w:ind w:firstLine="439"/>
        <w:spacing w:after="0" w:line="252" w:lineRule="auto"/>
        <w:rPr>
          <w:sz w:val="20"/>
          <w:szCs w:val="20"/>
          <w:color w:val="auto"/>
        </w:rPr>
      </w:pPr>
      <w:r>
        <w:rPr>
          <w:rFonts w:ascii="Arial" w:cs="Arial" w:eastAsia="Arial" w:hAnsi="Arial"/>
          <w:sz w:val="21"/>
          <w:szCs w:val="21"/>
          <w:color w:val="auto"/>
        </w:rPr>
        <w:t>All capitalized terms that are not defined in this Addendum have the meaning set forth in the applicable Plans and the Award Agreements. In the event there is a conflict between provisions in the Award Agreements and these supplemental provisions, these supplemental provisions will apply.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1"/>
          <w:szCs w:val="21"/>
          <w:b w:val="1"/>
          <w:bCs w:val="1"/>
          <w:u w:val="single" w:color="auto"/>
          <w:color w:val="auto"/>
        </w:rPr>
        <w:t>RSU Award Agreement</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Section 6 (</w:t>
      </w:r>
      <w:r>
        <w:rPr>
          <w:rFonts w:ascii="Arial" w:cs="Arial" w:eastAsia="Arial" w:hAnsi="Arial"/>
          <w:sz w:val="21"/>
          <w:szCs w:val="21"/>
          <w:i w:val="1"/>
          <w:iCs w:val="1"/>
          <w:color w:val="auto"/>
        </w:rPr>
        <w:t>January 2017 to April 2017 Agreements</w:t>
      </w:r>
      <w:r>
        <w:rPr>
          <w:rFonts w:ascii="Arial" w:cs="Arial" w:eastAsia="Arial" w:hAnsi="Arial"/>
          <w:sz w:val="21"/>
          <w:szCs w:val="21"/>
          <w:color w:val="auto"/>
        </w:rPr>
        <w:t>) and Section 7 (</w:t>
      </w:r>
      <w:r>
        <w:rPr>
          <w:rFonts w:ascii="Arial" w:cs="Arial" w:eastAsia="Arial" w:hAnsi="Arial"/>
          <w:sz w:val="21"/>
          <w:szCs w:val="21"/>
          <w:i w:val="1"/>
          <w:iCs w:val="1"/>
          <w:color w:val="auto"/>
        </w:rPr>
        <w:t>Prior to January 2017 Agreements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Taxes</w:t>
      </w:r>
      <w:r>
        <w:rPr>
          <w:rFonts w:ascii="Arial" w:cs="Arial" w:eastAsia="Arial" w:hAnsi="Arial"/>
          <w:sz w:val="21"/>
          <w:szCs w:val="21"/>
          <w:color w:val="auto"/>
        </w:rPr>
        <w:t>, is deleted and replaced in its entirety with the following provisions:</w:t>
      </w:r>
    </w:p>
    <w:p>
      <w:pPr>
        <w:spacing w:after="0" w:line="153" w:lineRule="exact"/>
        <w:rPr>
          <w:sz w:val="20"/>
          <w:szCs w:val="20"/>
          <w:color w:val="auto"/>
        </w:rPr>
      </w:pPr>
    </w:p>
    <w:p>
      <w:pPr>
        <w:ind w:left="800" w:hanging="794"/>
        <w:spacing w:after="0"/>
        <w:tabs>
          <w:tab w:leader="none" w:pos="800" w:val="left"/>
        </w:tabs>
        <w:numPr>
          <w:ilvl w:val="0"/>
          <w:numId w:val="242"/>
        </w:numPr>
        <w:rPr>
          <w:rFonts w:ascii="Arial" w:cs="Arial" w:eastAsia="Arial" w:hAnsi="Arial"/>
          <w:sz w:val="21"/>
          <w:szCs w:val="21"/>
          <w:color w:val="auto"/>
        </w:rPr>
      </w:pPr>
      <w:r>
        <w:rPr>
          <w:rFonts w:ascii="Arial" w:cs="Arial" w:eastAsia="Arial" w:hAnsi="Arial"/>
          <w:sz w:val="21"/>
          <w:szCs w:val="21"/>
          <w:u w:val="single" w:color="auto"/>
          <w:color w:val="auto"/>
        </w:rPr>
        <w:t>Tax and Social Insurance Withholding</w:t>
      </w:r>
    </w:p>
    <w:p>
      <w:pPr>
        <w:spacing w:after="0" w:line="210" w:lineRule="exact"/>
        <w:rPr>
          <w:sz w:val="20"/>
          <w:szCs w:val="20"/>
          <w:color w:val="auto"/>
        </w:rPr>
      </w:pPr>
    </w:p>
    <w:p>
      <w:pPr>
        <w:jc w:val="both"/>
        <w:ind w:firstLine="6"/>
        <w:spacing w:after="0"/>
        <w:tabs>
          <w:tab w:leader="none" w:pos="873" w:val="left"/>
        </w:tabs>
        <w:numPr>
          <w:ilvl w:val="0"/>
          <w:numId w:val="243"/>
        </w:numPr>
        <w:rPr>
          <w:rFonts w:ascii="Arial" w:cs="Arial" w:eastAsia="Arial" w:hAnsi="Arial"/>
          <w:sz w:val="21"/>
          <w:szCs w:val="21"/>
          <w:color w:val="auto"/>
        </w:rPr>
      </w:pPr>
      <w:r>
        <w:rPr>
          <w:rFonts w:ascii="Arial" w:cs="Arial" w:eastAsia="Arial" w:hAnsi="Arial"/>
          <w:sz w:val="21"/>
          <w:szCs w:val="21"/>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Restricted Stock Units, including the grant of the Restricted Stock Units, the vesting of the Restricted Stock Units, the conversion of the Restricted Stock Units into shares of Common Stock or the receipt of any equivalent cash payment, the subsequent sale of any shares of Common Stock acquired at vesting, and (ii) does not commit to structure the terms of the grant or any aspect of the Restricted Stock Units to reduce or eliminate Employee’s liability for the Tax-Related Items.</w:t>
      </w:r>
    </w:p>
    <w:p>
      <w:pPr>
        <w:spacing w:after="0" w:line="186" w:lineRule="exact"/>
        <w:rPr>
          <w:rFonts w:ascii="Arial" w:cs="Arial" w:eastAsia="Arial" w:hAnsi="Arial"/>
          <w:sz w:val="21"/>
          <w:szCs w:val="21"/>
          <w:color w:val="auto"/>
        </w:rPr>
      </w:pPr>
    </w:p>
    <w:p>
      <w:pPr>
        <w:jc w:val="both"/>
        <w:ind w:firstLine="6"/>
        <w:spacing w:after="0" w:line="241" w:lineRule="auto"/>
        <w:tabs>
          <w:tab w:leader="none" w:pos="885" w:val="left"/>
        </w:tabs>
        <w:numPr>
          <w:ilvl w:val="0"/>
          <w:numId w:val="243"/>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(“Tax Date”), as applicable, Employee will pay or make adequate arrangements satisfactory to the Company to satisfy all Tax-Related Items. In this regard, Employee authorizes the Company or its agents, at its discretion, to satisfy the obligations with regard to all Tax-Related Items by one or both of the following: (i) accept a cash payment in U.S. dollars in the amount of the Tax-Related Items or (ii) withhold whole shares of Common Stock which would otherwise be delivered to Employee having an aggregate Fair Market Value, determined as of the Tax Date, or withhold an amount of cash from Employee’s wages or other cash compensation which would otherwise be payable to Employee by the Company or from any equivalent cash payment received upon vesting of the Restricted Stock Units, equal to the amount necessary to satisfy any such obligation.</w:t>
      </w:r>
    </w:p>
    <w:p>
      <w:pPr>
        <w:spacing w:after="0" w:line="183" w:lineRule="exact"/>
        <w:rPr>
          <w:rFonts w:ascii="Arial" w:cs="Arial" w:eastAsia="Arial" w:hAnsi="Arial"/>
          <w:sz w:val="21"/>
          <w:szCs w:val="21"/>
          <w:color w:val="auto"/>
        </w:rPr>
      </w:pPr>
    </w:p>
    <w:p>
      <w:pPr>
        <w:jc w:val="both"/>
        <w:ind w:firstLine="6"/>
        <w:spacing w:after="0" w:line="254" w:lineRule="auto"/>
        <w:tabs>
          <w:tab w:leader="none" w:pos="87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Company shall withhold or account for Tax-Related Items by considering applicable minimum statutory withholding rates, unless Employee elects, pursuant to the Company’s prescribed procedures as in effect from time to time, to have withholding for Tax-Related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the Employee if Employee fails to comply with his or her obligations in connection with the Tax-Related Items as described herein.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08" w:name="page209"/>
    <w:bookmarkEnd w:id="208"/>
    <w:p>
      <w:pPr>
        <w:ind w:left="4120"/>
        <w:spacing w:after="0"/>
        <w:rPr>
          <w:sz w:val="20"/>
          <w:szCs w:val="20"/>
          <w:color w:val="auto"/>
        </w:rPr>
      </w:pPr>
      <w:r>
        <w:rPr>
          <w:rFonts w:ascii="Arial" w:cs="Arial" w:eastAsia="Arial" w:hAnsi="Arial"/>
          <w:sz w:val="21"/>
          <w:szCs w:val="21"/>
          <w:b w:val="1"/>
          <w:bCs w:val="1"/>
          <w:u w:val="single" w:color="auto"/>
          <w:color w:val="auto"/>
        </w:rPr>
        <w:t>Three-Year PSU Award Agreement</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Taxes</w:t>
      </w:r>
      <w:r>
        <w:rPr>
          <w:rFonts w:ascii="Arial" w:cs="Arial" w:eastAsia="Arial" w:hAnsi="Arial"/>
          <w:sz w:val="21"/>
          <w:szCs w:val="21"/>
          <w:color w:val="auto"/>
        </w:rPr>
        <w:t>, is deleted and replaced in its entirety with the following provisions:</w:t>
      </w:r>
    </w:p>
    <w:p>
      <w:pPr>
        <w:spacing w:after="0" w:line="210" w:lineRule="exact"/>
        <w:rPr>
          <w:sz w:val="20"/>
          <w:szCs w:val="20"/>
          <w:color w:val="auto"/>
        </w:rPr>
      </w:pPr>
    </w:p>
    <w:p>
      <w:pPr>
        <w:ind w:left="800" w:hanging="794"/>
        <w:spacing w:after="0"/>
        <w:tabs>
          <w:tab w:leader="none" w:pos="800" w:val="left"/>
        </w:tabs>
        <w:numPr>
          <w:ilvl w:val="0"/>
          <w:numId w:val="244"/>
        </w:numPr>
        <w:rPr>
          <w:rFonts w:ascii="Arial" w:cs="Arial" w:eastAsia="Arial" w:hAnsi="Arial"/>
          <w:sz w:val="21"/>
          <w:szCs w:val="21"/>
          <w:color w:val="auto"/>
        </w:rPr>
      </w:pPr>
      <w:r>
        <w:rPr>
          <w:rFonts w:ascii="Arial" w:cs="Arial" w:eastAsia="Arial" w:hAnsi="Arial"/>
          <w:sz w:val="21"/>
          <w:szCs w:val="21"/>
          <w:u w:val="single" w:color="auto"/>
          <w:color w:val="auto"/>
        </w:rPr>
        <w:t>Tax and Social Insurance Withholding</w:t>
      </w:r>
    </w:p>
    <w:p>
      <w:pPr>
        <w:spacing w:after="0" w:line="210" w:lineRule="exact"/>
        <w:rPr>
          <w:sz w:val="20"/>
          <w:szCs w:val="20"/>
          <w:color w:val="auto"/>
        </w:rPr>
      </w:pPr>
    </w:p>
    <w:p>
      <w:pPr>
        <w:jc w:val="both"/>
        <w:ind w:firstLine="6"/>
        <w:spacing w:after="0" w:line="254" w:lineRule="auto"/>
        <w:tabs>
          <w:tab w:leader="none" w:pos="873" w:val="left"/>
        </w:tabs>
        <w:numPr>
          <w:ilvl w:val="0"/>
          <w:numId w:val="245"/>
        </w:numPr>
        <w:rPr>
          <w:rFonts w:ascii="Arial" w:cs="Arial" w:eastAsia="Arial" w:hAnsi="Arial"/>
          <w:sz w:val="20"/>
          <w:szCs w:val="20"/>
          <w:color w:val="auto"/>
        </w:rPr>
      </w:pPr>
      <w:r>
        <w:rPr>
          <w:rFonts w:ascii="Arial" w:cs="Arial" w:eastAsia="Arial" w:hAnsi="Arial"/>
          <w:sz w:val="20"/>
          <w:szCs w:val="20"/>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67" w:lineRule="exact"/>
        <w:rPr>
          <w:rFonts w:ascii="Arial" w:cs="Arial" w:eastAsia="Arial" w:hAnsi="Arial"/>
          <w:sz w:val="20"/>
          <w:szCs w:val="20"/>
          <w:color w:val="auto"/>
        </w:rPr>
      </w:pPr>
    </w:p>
    <w:p>
      <w:pPr>
        <w:jc w:val="both"/>
        <w:ind w:firstLine="6"/>
        <w:spacing w:after="0" w:line="241" w:lineRule="auto"/>
        <w:tabs>
          <w:tab w:leader="none" w:pos="885" w:val="left"/>
        </w:tabs>
        <w:numPr>
          <w:ilvl w:val="0"/>
          <w:numId w:val="245"/>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(“Tax Date”), as applicable, Employee shall pay or make adequate arrangements satisfactory to the Company to satisfy all Tax-Related Items. In this regard, Employee authorizes the Company or its agents, at its discretion, to satisfy the obligations with regard to all Tax-Related Items by one or a combination of the following: (i) accept a cash payment in U.S. dollars in the amount of the Tax-Related Items or (ii) withhold whole Shares which would otherwise be delivered to Employee having an aggregate Fair Market Value, determined as of the Tax Date, or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83" w:lineRule="exact"/>
        <w:rPr>
          <w:rFonts w:ascii="Arial" w:cs="Arial" w:eastAsia="Arial" w:hAnsi="Arial"/>
          <w:sz w:val="21"/>
          <w:szCs w:val="21"/>
          <w:color w:val="auto"/>
        </w:rPr>
      </w:pPr>
    </w:p>
    <w:p>
      <w:pPr>
        <w:jc w:val="both"/>
        <w:ind w:firstLine="6"/>
        <w:spacing w:after="0" w:line="268" w:lineRule="auto"/>
        <w:tabs>
          <w:tab w:leader="none" w:pos="873"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Company shall withhold or account for Tax-Related Items by considering applicable minimum statutory withholding rates, unless Employee elects, pursuant to the Company’s prescribed procedures as in effect from time to time, to have withholding for Tax-Related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the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09" w:name="page210"/>
    <w:bookmarkEnd w:id="209"/>
    <w:p>
      <w:pPr>
        <w:jc w:val="right"/>
        <w:ind w:right="4180"/>
        <w:spacing w:after="0"/>
        <w:rPr>
          <w:sz w:val="20"/>
          <w:szCs w:val="20"/>
          <w:color w:val="auto"/>
        </w:rPr>
      </w:pPr>
      <w:r>
        <w:rPr>
          <w:rFonts w:ascii="Arial" w:cs="Arial" w:eastAsia="Arial" w:hAnsi="Arial"/>
          <w:sz w:val="21"/>
          <w:szCs w:val="21"/>
          <w:b w:val="1"/>
          <w:bCs w:val="1"/>
          <w:u w:val="single" w:color="auto"/>
          <w:color w:val="auto"/>
        </w:rPr>
        <w:t>Two-Year PSU Award Agreement</w:t>
      </w:r>
    </w:p>
    <w:p>
      <w:pPr>
        <w:spacing w:after="0" w:line="216" w:lineRule="exact"/>
        <w:rPr>
          <w:sz w:val="20"/>
          <w:szCs w:val="20"/>
          <w:color w:val="auto"/>
        </w:rPr>
      </w:pPr>
    </w:p>
    <w:p>
      <w:pPr>
        <w:jc w:val="right"/>
        <w:ind w:right="4180"/>
        <w:spacing w:after="0"/>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Taxes</w:t>
      </w:r>
      <w:r>
        <w:rPr>
          <w:rFonts w:ascii="Arial" w:cs="Arial" w:eastAsia="Arial" w:hAnsi="Arial"/>
          <w:sz w:val="19"/>
          <w:szCs w:val="19"/>
          <w:color w:val="auto"/>
        </w:rPr>
        <w:t>, is deleted and replaced in its entirety with the following provisions:</w:t>
      </w:r>
    </w:p>
    <w:p>
      <w:pPr>
        <w:spacing w:after="0" w:line="233" w:lineRule="exact"/>
        <w:rPr>
          <w:sz w:val="20"/>
          <w:szCs w:val="20"/>
          <w:color w:val="auto"/>
        </w:rPr>
      </w:pPr>
    </w:p>
    <w:p>
      <w:pPr>
        <w:ind w:left="800" w:hanging="794"/>
        <w:spacing w:after="0"/>
        <w:tabs>
          <w:tab w:leader="none" w:pos="800" w:val="left"/>
        </w:tabs>
        <w:numPr>
          <w:ilvl w:val="0"/>
          <w:numId w:val="246"/>
        </w:numPr>
        <w:rPr>
          <w:rFonts w:ascii="Arial" w:cs="Arial" w:eastAsia="Arial" w:hAnsi="Arial"/>
          <w:sz w:val="21"/>
          <w:szCs w:val="21"/>
          <w:color w:val="auto"/>
        </w:rPr>
      </w:pPr>
      <w:r>
        <w:rPr>
          <w:rFonts w:ascii="Arial" w:cs="Arial" w:eastAsia="Arial" w:hAnsi="Arial"/>
          <w:sz w:val="21"/>
          <w:szCs w:val="21"/>
          <w:u w:val="single" w:color="auto"/>
          <w:color w:val="auto"/>
        </w:rPr>
        <w:t>Tax and Social Insurance Withholding</w:t>
      </w:r>
    </w:p>
    <w:p>
      <w:pPr>
        <w:spacing w:after="0" w:line="210" w:lineRule="exact"/>
        <w:rPr>
          <w:sz w:val="20"/>
          <w:szCs w:val="20"/>
          <w:color w:val="auto"/>
        </w:rPr>
      </w:pPr>
    </w:p>
    <w:p>
      <w:pPr>
        <w:jc w:val="both"/>
        <w:ind w:firstLine="6"/>
        <w:spacing w:after="0" w:line="254" w:lineRule="auto"/>
        <w:tabs>
          <w:tab w:leader="none" w:pos="873" w:val="left"/>
        </w:tabs>
        <w:numPr>
          <w:ilvl w:val="0"/>
          <w:numId w:val="247"/>
        </w:numPr>
        <w:rPr>
          <w:rFonts w:ascii="Arial" w:cs="Arial" w:eastAsia="Arial" w:hAnsi="Arial"/>
          <w:sz w:val="20"/>
          <w:szCs w:val="20"/>
          <w:color w:val="auto"/>
        </w:rPr>
      </w:pPr>
      <w:r>
        <w:rPr>
          <w:rFonts w:ascii="Arial" w:cs="Arial" w:eastAsia="Arial" w:hAnsi="Arial"/>
          <w:sz w:val="20"/>
          <w:szCs w:val="20"/>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67" w:lineRule="exact"/>
        <w:rPr>
          <w:rFonts w:ascii="Arial" w:cs="Arial" w:eastAsia="Arial" w:hAnsi="Arial"/>
          <w:sz w:val="20"/>
          <w:szCs w:val="20"/>
          <w:color w:val="auto"/>
        </w:rPr>
      </w:pPr>
    </w:p>
    <w:p>
      <w:pPr>
        <w:jc w:val="both"/>
        <w:ind w:firstLine="6"/>
        <w:spacing w:after="0" w:line="241" w:lineRule="auto"/>
        <w:tabs>
          <w:tab w:leader="none" w:pos="885" w:val="left"/>
        </w:tabs>
        <w:numPr>
          <w:ilvl w:val="0"/>
          <w:numId w:val="247"/>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(“Tax Date”), as applicable, Employee shall pay or make adequate arrangements satisfactory to the Company to satisfy all Tax-Related Items. In this regard, Employee authorizes the Company or its agents, at its discretion, to satisfy the obligations with regard to all Tax-Related Items by one or a combination of the following: (i) accept a cash payment in U.S. dollars in the amount of the Tax-Related Items or (ii) withhold whole Shares which would otherwise be delivered to Employee having an aggregate Fair Market Value, determined as of the Tax Date, or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83" w:lineRule="exact"/>
        <w:rPr>
          <w:rFonts w:ascii="Arial" w:cs="Arial" w:eastAsia="Arial" w:hAnsi="Arial"/>
          <w:sz w:val="21"/>
          <w:szCs w:val="21"/>
          <w:color w:val="auto"/>
        </w:rPr>
      </w:pPr>
    </w:p>
    <w:p>
      <w:pPr>
        <w:jc w:val="both"/>
        <w:ind w:firstLine="6"/>
        <w:spacing w:after="0" w:line="268" w:lineRule="auto"/>
        <w:tabs>
          <w:tab w:leader="none" w:pos="873"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Company shall withhold or account for Tax-Related Items by considering applicable minimum statutory withholding rates, unless Employee elects, pursuant to the Company’s prescribed procedures as in effect from time to time, to have withholding for Tax-Related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the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21"/>
          <w:szCs w:val="21"/>
          <w:b w:val="1"/>
          <w:bCs w:val="1"/>
          <w:u w:val="single" w:color="auto"/>
          <w:color w:val="auto"/>
        </w:rPr>
        <w:t>ISO Award Agreement</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Exercise of ISO</w:t>
      </w:r>
      <w:r>
        <w:rPr>
          <w:rFonts w:ascii="Arial" w:cs="Arial" w:eastAsia="Arial" w:hAnsi="Arial"/>
          <w:sz w:val="19"/>
          <w:szCs w:val="19"/>
          <w:color w:val="auto"/>
        </w:rPr>
        <w:t>, subsection (a) (</w:t>
      </w:r>
      <w:r>
        <w:rPr>
          <w:rFonts w:ascii="Arial" w:cs="Arial" w:eastAsia="Arial" w:hAnsi="Arial"/>
          <w:sz w:val="19"/>
          <w:szCs w:val="19"/>
          <w:i w:val="1"/>
          <w:iCs w:val="1"/>
          <w:color w:val="auto"/>
        </w:rPr>
        <w:t>April 2015 to April 2017 Agreements</w:t>
      </w:r>
      <w:r>
        <w:rPr>
          <w:rFonts w:ascii="Arial" w:cs="Arial" w:eastAsia="Arial" w:hAnsi="Arial"/>
          <w:sz w:val="19"/>
          <w:szCs w:val="19"/>
          <w:color w:val="auto"/>
        </w:rPr>
        <w:t>) or Unnumbered paragraph 5 (</w:t>
      </w:r>
      <w:r>
        <w:rPr>
          <w:rFonts w:ascii="Arial" w:cs="Arial" w:eastAsia="Arial" w:hAnsi="Arial"/>
          <w:sz w:val="19"/>
          <w:szCs w:val="19"/>
          <w:i w:val="1"/>
          <w:iCs w:val="1"/>
          <w:color w:val="auto"/>
        </w:rPr>
        <w:t>Agreements prior to</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April 2015</w:t>
      </w:r>
      <w:r>
        <w:rPr>
          <w:rFonts w:ascii="Arial" w:cs="Arial" w:eastAsia="Arial" w:hAnsi="Arial"/>
          <w:sz w:val="21"/>
          <w:szCs w:val="21"/>
          <w:color w:val="auto"/>
        </w:rPr>
        <w:t>) is deleted and replaced in its entirely with the following provisions:</w:t>
      </w:r>
    </w:p>
    <w:p>
      <w:pPr>
        <w:spacing w:after="0" w:line="192" w:lineRule="exact"/>
        <w:rPr>
          <w:sz w:val="20"/>
          <w:szCs w:val="20"/>
          <w:color w:val="auto"/>
        </w:rPr>
      </w:pPr>
    </w:p>
    <w:p>
      <w:pPr>
        <w:jc w:val="both"/>
        <w:ind w:firstLine="884"/>
        <w:spacing w:after="0" w:line="254" w:lineRule="auto"/>
        <w:tabs>
          <w:tab w:leader="none" w:pos="175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This ISO may be exercised only by delivering to the Company a written notice (or an electronic notice in the manner specified by the Compensation Committee of the Board of Directors (the “Board”) of the Company (the “Committee”)) specifying the number of shares of Common Stock you wish to purchase. The Committee, which is authorized by the Board to administer the Plan, hereby notifies you that the ISO price may be paid, subject to such rules and procedures in effect at such time and as the Committee may prescribe from time to time, (1) in cash or certified check, (2) by the delivery of shares of Common Stock with a Fair Market Value at the time of exercise equal to the total ISO price, (3) by authorizing the Company to withhold a number of Option Shares otherwise deliverable on the exercise of the ISO with a Fair Market Value at the time of exercise equal to the total ISO price, (4) by a combination of the methods described in (1), (2) and (3), and (5) subject to applicable law, and the Company’s Securities Transactions – Insider Trading Standard through a broker-assisted cashless exercise, or “sell-to-cover” arrangement in accordance with the procedures approved by the Committee.</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 xml:space="preserve">The following Section 11, </w:t>
      </w:r>
      <w:r>
        <w:rPr>
          <w:rFonts w:ascii="Arial" w:cs="Arial" w:eastAsia="Arial" w:hAnsi="Arial"/>
          <w:sz w:val="21"/>
          <w:szCs w:val="21"/>
          <w:u w:val="single" w:color="auto"/>
          <w:color w:val="auto"/>
        </w:rPr>
        <w:t>Taxes</w:t>
      </w:r>
      <w:r>
        <w:rPr>
          <w:rFonts w:ascii="Arial" w:cs="Arial" w:eastAsia="Arial" w:hAnsi="Arial"/>
          <w:sz w:val="21"/>
          <w:szCs w:val="21"/>
          <w:color w:val="auto"/>
        </w:rPr>
        <w:t>, is added to the ISO Award Agreements dated January 2017 and April 2017 and subsequent sections renumbered accordingly:</w:t>
      </w:r>
    </w:p>
    <w:p>
      <w:pPr>
        <w:spacing w:after="0" w:line="153" w:lineRule="exact"/>
        <w:rPr>
          <w:sz w:val="20"/>
          <w:szCs w:val="20"/>
          <w:color w:val="auto"/>
        </w:rPr>
      </w:pPr>
    </w:p>
    <w:p>
      <w:pPr>
        <w:jc w:val="both"/>
        <w:ind w:firstLine="6"/>
        <w:spacing w:after="0" w:line="256" w:lineRule="auto"/>
        <w:tabs>
          <w:tab w:leader="none" w:pos="895" w:val="left"/>
        </w:tabs>
        <w:numPr>
          <w:ilvl w:val="0"/>
          <w:numId w:val="249"/>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To the extent that the exercise of the ISO hereunder results in income to you for federal or state income tax purposes or in any other case where the Company holds the view that it is obligated to withhold taxes, you shall, at your election, (i) deliver to the Company immediately prior to the time of such receipt or lapse, as the case may be, such amount of money or shares of Common Stock owned by you, at your election, or (ii) authorize the Company to withhold a number of Option Shares, valued at their Fair Market Value, or cash or other form of remuneration then or thereafter payable to you, in any case in an amount necessary to satisfy the Company’s tax withholding obligation (and increased, at your election, pursuant to the Company’s prescribed procedures as in effect from time to time, up to the maximum tax rate applicable to you).</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 xml:space="preserve">The following Section 10, </w:t>
      </w:r>
      <w:r>
        <w:rPr>
          <w:rFonts w:ascii="Arial" w:cs="Arial" w:eastAsia="Arial" w:hAnsi="Arial"/>
          <w:sz w:val="21"/>
          <w:szCs w:val="21"/>
          <w:u w:val="single" w:color="auto"/>
          <w:color w:val="auto"/>
        </w:rPr>
        <w:t>Taxes</w:t>
      </w:r>
      <w:r>
        <w:rPr>
          <w:rFonts w:ascii="Arial" w:cs="Arial" w:eastAsia="Arial" w:hAnsi="Arial"/>
          <w:sz w:val="21"/>
          <w:szCs w:val="21"/>
          <w:color w:val="auto"/>
        </w:rPr>
        <w:t>, is added to the ISO Award Agreements dated between April 2015 and January 2017 and subsequent sections renumbered accordingly:</w:t>
      </w:r>
    </w:p>
    <w:p>
      <w:pPr>
        <w:spacing w:after="0" w:line="153" w:lineRule="exact"/>
        <w:rPr>
          <w:sz w:val="20"/>
          <w:szCs w:val="20"/>
          <w:color w:val="auto"/>
        </w:rPr>
      </w:pPr>
    </w:p>
    <w:p>
      <w:pPr>
        <w:jc w:val="both"/>
        <w:ind w:firstLine="6"/>
        <w:spacing w:after="0" w:line="256" w:lineRule="auto"/>
        <w:tabs>
          <w:tab w:leader="none" w:pos="903" w:val="left"/>
        </w:tabs>
        <w:numPr>
          <w:ilvl w:val="0"/>
          <w:numId w:val="250"/>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To the extent that the exercise of the ISO hereunder results in income to you for federal or state income tax purposes or in any other case where the Company holds the view that it is obligated to withhold taxes, you shall, at your election, (i) deliver to the Company immediately prior to the time of such receipt or lapse, as the case may be, such amount of money or shares of Common Stock owned by you, at your election, or (ii) authorize the Company to withhold a number of Option Shares, valued at their Fair Market Value, or cash or other form of remuneration then or thereafter payable to you, in any case in an amount necessary to satisfy the Company’s tax withholding obligation (and increased, at your election, pursuant to the Company’s prescribed procedures as in effect from time to time, up to the maximum tax rate applicable to you).</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11" w:name="page212"/>
    <w:bookmarkEnd w:id="211"/>
    <w:p>
      <w:pPr>
        <w:spacing w:after="0"/>
        <w:rPr>
          <w:sz w:val="20"/>
          <w:szCs w:val="20"/>
          <w:color w:val="auto"/>
        </w:rPr>
      </w:pPr>
      <w:r>
        <w:rPr>
          <w:rFonts w:ascii="Arial" w:cs="Arial" w:eastAsia="Arial" w:hAnsi="Arial"/>
          <w:sz w:val="21"/>
          <w:szCs w:val="21"/>
          <w:color w:val="auto"/>
        </w:rPr>
        <w:t>The following paragraph is added to the ISO Award Agreements dated prior to April 2015:</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Taxes. To the extent that the exercise of the ISO hereunder results in income to you for federal or state income tax purposes or in any other case where the Company holds the view that it is obligated to withhold taxes, you shall, at your election, (i) deliver to the Company immediately prior to the time of such receipt or lapse, as the case may be, such amount of money or shares of Common Stock owned by you, at your election, or (ii) authorize the Company to withhold a number of Option Shares, valued at their Fair Market Value, or cash or other form of remuneration then or thereafter payable to you, in any case in an amount necessary to satisfy the Company’s tax withholding obligation (and increased, at your election, pursuant to the Company’s prescribed procedures as in effect from time to time, up to the maximum tax rate applicable to you).</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21"/>
          <w:szCs w:val="21"/>
          <w:b w:val="1"/>
          <w:bCs w:val="1"/>
          <w:u w:val="single" w:color="auto"/>
          <w:color w:val="auto"/>
        </w:rPr>
        <w:t>Non-qualified Stock Option Award Agreement</w:t>
      </w:r>
    </w:p>
    <w:p>
      <w:pPr>
        <w:spacing w:after="0" w:line="216" w:lineRule="exact"/>
        <w:rPr>
          <w:sz w:val="20"/>
          <w:szCs w:val="20"/>
          <w:color w:val="auto"/>
        </w:rPr>
      </w:pPr>
    </w:p>
    <w:p>
      <w:pPr>
        <w:ind w:right="20"/>
        <w:spacing w:after="0" w:line="26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Exercise of Non-Qualified</w:t>
      </w:r>
      <w:r>
        <w:rPr>
          <w:rFonts w:ascii="Arial" w:cs="Arial" w:eastAsia="Arial" w:hAnsi="Arial"/>
          <w:sz w:val="21"/>
          <w:szCs w:val="21"/>
          <w:color w:val="auto"/>
        </w:rPr>
        <w:t xml:space="preserve"> Option, subsection (a) (</w:t>
      </w:r>
      <w:r>
        <w:rPr>
          <w:rFonts w:ascii="Arial" w:cs="Arial" w:eastAsia="Arial" w:hAnsi="Arial"/>
          <w:sz w:val="21"/>
          <w:szCs w:val="21"/>
          <w:i w:val="1"/>
          <w:iCs w:val="1"/>
          <w:color w:val="auto"/>
        </w:rPr>
        <w:t>April 2015 to April 2017 Agreements</w:t>
      </w:r>
      <w:r>
        <w:rPr>
          <w:rFonts w:ascii="Arial" w:cs="Arial" w:eastAsia="Arial" w:hAnsi="Arial"/>
          <w:sz w:val="21"/>
          <w:szCs w:val="21"/>
          <w:color w:val="auto"/>
        </w:rPr>
        <w:t>) or Unnumbered paragraph 5 (</w:t>
      </w:r>
      <w:r>
        <w:rPr>
          <w:rFonts w:ascii="Arial" w:cs="Arial" w:eastAsia="Arial" w:hAnsi="Arial"/>
          <w:sz w:val="21"/>
          <w:szCs w:val="21"/>
          <w:i w:val="1"/>
          <w:iCs w:val="1"/>
          <w:color w:val="auto"/>
        </w:rPr>
        <w:t>Agreements prior to April 2015</w:t>
      </w:r>
      <w:r>
        <w:rPr>
          <w:rFonts w:ascii="Arial" w:cs="Arial" w:eastAsia="Arial" w:hAnsi="Arial"/>
          <w:sz w:val="21"/>
          <w:szCs w:val="21"/>
          <w:color w:val="auto"/>
        </w:rPr>
        <w:t>) is deleted and replaced in its entirely with the following provisions</w:t>
      </w:r>
    </w:p>
    <w:p>
      <w:pPr>
        <w:spacing w:after="0" w:line="153" w:lineRule="exact"/>
        <w:rPr>
          <w:sz w:val="20"/>
          <w:szCs w:val="20"/>
          <w:color w:val="auto"/>
        </w:rPr>
      </w:pPr>
    </w:p>
    <w:p>
      <w:pPr>
        <w:ind w:left="800" w:hanging="794"/>
        <w:spacing w:after="0"/>
        <w:tabs>
          <w:tab w:leader="none" w:pos="800"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Exercise of Non-Qualified Option</w:t>
      </w:r>
    </w:p>
    <w:p>
      <w:pPr>
        <w:spacing w:after="0" w:line="209" w:lineRule="exact"/>
        <w:rPr>
          <w:rFonts w:ascii="Arial" w:cs="Arial" w:eastAsia="Arial" w:hAnsi="Arial"/>
          <w:sz w:val="21"/>
          <w:szCs w:val="21"/>
          <w:color w:val="auto"/>
        </w:rPr>
      </w:pPr>
    </w:p>
    <w:p>
      <w:pPr>
        <w:jc w:val="both"/>
        <w:ind w:firstLine="884"/>
        <w:spacing w:after="0" w:line="265" w:lineRule="auto"/>
        <w:tabs>
          <w:tab w:leader="none" w:pos="1750" w:val="left"/>
        </w:tabs>
        <w:numPr>
          <w:ilvl w:val="1"/>
          <w:numId w:val="251"/>
        </w:numPr>
        <w:rPr>
          <w:rFonts w:ascii="Arial" w:cs="Arial" w:eastAsia="Arial" w:hAnsi="Arial"/>
          <w:sz w:val="19"/>
          <w:szCs w:val="19"/>
          <w:color w:val="auto"/>
        </w:rPr>
      </w:pPr>
      <w:r>
        <w:rPr>
          <w:rFonts w:ascii="Arial" w:cs="Arial" w:eastAsia="Arial" w:hAnsi="Arial"/>
          <w:sz w:val="19"/>
          <w:szCs w:val="19"/>
          <w:color w:val="auto"/>
        </w:rPr>
        <w:t>This Non-Qualified Option may be exercised only by delivering to the Company a written notice (or an electronic notice in the manner specified by the Compensation Committee of the Board of Directors (the “Board”) of the Company (the “Committee”)) specifying the number of shares of Common Stock you wish to purchase. The Committee, which is authorized by the Board to administer the Plan, hereby notifies you that the Non-Qualified Option price may be paid, subject to such rules and procedures in effect at such time and as the Committee may prescribe from time to time, (1) in cash or certified check, (2) by the delivery of shares of Common Stock with a Fair Market Value at the time of exercise equal to the total Non-Qualified Option price,</w:t>
      </w:r>
    </w:p>
    <w:p>
      <w:pPr>
        <w:spacing w:after="0" w:line="4" w:lineRule="exact"/>
        <w:rPr>
          <w:rFonts w:ascii="Arial" w:cs="Arial" w:eastAsia="Arial" w:hAnsi="Arial"/>
          <w:sz w:val="19"/>
          <w:szCs w:val="19"/>
          <w:color w:val="auto"/>
        </w:rPr>
      </w:pPr>
    </w:p>
    <w:p>
      <w:pPr>
        <w:jc w:val="both"/>
        <w:spacing w:after="0"/>
        <w:rPr>
          <w:rFonts w:ascii="Arial" w:cs="Arial" w:eastAsia="Arial" w:hAnsi="Arial"/>
          <w:sz w:val="19"/>
          <w:szCs w:val="19"/>
          <w:color w:val="auto"/>
        </w:rPr>
      </w:pPr>
      <w:r>
        <w:rPr>
          <w:rFonts w:ascii="Arial" w:cs="Arial" w:eastAsia="Arial" w:hAnsi="Arial"/>
          <w:sz w:val="21"/>
          <w:szCs w:val="21"/>
          <w:color w:val="auto"/>
        </w:rPr>
        <w:t>(3) by authorizing the Company to withhold a number of Option Shares otherwise deliverable on the exercise of the Non-Qualified Option with a Fair Market Value at the time of exercise equal to the total Non-Qualified Option price, (4) by a combination of the methods described in (1), (2) and (3), and (5) subject to applicable law, and the Company’s Securities Transactions – Insider Trading Standard through a broker-assisted cashless exercise, or “sell-to-cover” arrangement in accordance with the procedures approved by the Committee.</w:t>
      </w:r>
    </w:p>
    <w:p>
      <w:pPr>
        <w:spacing w:after="0" w:line="182" w:lineRule="exact"/>
        <w:rPr>
          <w:sz w:val="20"/>
          <w:szCs w:val="20"/>
          <w:color w:val="auto"/>
        </w:rPr>
      </w:pPr>
    </w:p>
    <w:p>
      <w:pPr>
        <w:spacing w:after="0" w:line="267" w:lineRule="auto"/>
        <w:rPr>
          <w:sz w:val="20"/>
          <w:szCs w:val="20"/>
          <w:color w:val="auto"/>
        </w:rPr>
      </w:pPr>
      <w:r>
        <w:rPr>
          <w:rFonts w:ascii="Arial" w:cs="Arial" w:eastAsia="Arial" w:hAnsi="Arial"/>
          <w:sz w:val="21"/>
          <w:szCs w:val="21"/>
          <w:color w:val="auto"/>
        </w:rPr>
        <w:t xml:space="preserve">The following Section 11, </w:t>
      </w:r>
      <w:r>
        <w:rPr>
          <w:rFonts w:ascii="Arial" w:cs="Arial" w:eastAsia="Arial" w:hAnsi="Arial"/>
          <w:sz w:val="21"/>
          <w:szCs w:val="21"/>
          <w:u w:val="single" w:color="auto"/>
          <w:color w:val="auto"/>
        </w:rPr>
        <w:t>Taxes</w:t>
      </w:r>
      <w:r>
        <w:rPr>
          <w:rFonts w:ascii="Arial" w:cs="Arial" w:eastAsia="Arial" w:hAnsi="Arial"/>
          <w:sz w:val="21"/>
          <w:szCs w:val="21"/>
          <w:color w:val="auto"/>
        </w:rPr>
        <w:t>, is added to the Non-Qualified Award Agreements dated January 2017 and April 2017 and subsequent sections renumbered accordingly:</w:t>
      </w:r>
    </w:p>
    <w:p>
      <w:pPr>
        <w:spacing w:after="0" w:line="153" w:lineRule="exact"/>
        <w:rPr>
          <w:sz w:val="20"/>
          <w:szCs w:val="20"/>
          <w:color w:val="auto"/>
        </w:rPr>
      </w:pPr>
    </w:p>
    <w:p>
      <w:pPr>
        <w:jc w:val="both"/>
        <w:ind w:firstLine="6"/>
        <w:spacing w:after="0" w:line="256" w:lineRule="auto"/>
        <w:tabs>
          <w:tab w:leader="none" w:pos="895" w:val="left"/>
        </w:tabs>
        <w:numPr>
          <w:ilvl w:val="0"/>
          <w:numId w:val="252"/>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To the extent that the exercise of the ISO hereunder results in income to you for federal or state income tax purposes or in any other case where the Company holds the view that it is obligated to withhold taxes, you shall, at your election, (i) deliver to the Company immediately prior to the time of such receipt or lapse, as the case may be, such amount of money or shares of Common Stock owned by you, at your election, or (ii) authorize the Company to withhold a number of Option Shares, valued at their Fair Market Value, or cash or other form of remuneration then or thereafter payable to you, in any case in an amount necessary to satisfy the Company’s tax withholding obligation (and increased, at your election, pursuant to the Company’s prescribed procedures as in effect from time to time, up to the maximum tax rate applicable to you).</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following Section 10, </w:t>
      </w:r>
      <w:r>
        <w:rPr>
          <w:rFonts w:ascii="Arial" w:cs="Arial" w:eastAsia="Arial" w:hAnsi="Arial"/>
          <w:sz w:val="20"/>
          <w:szCs w:val="20"/>
          <w:u w:val="single" w:color="auto"/>
          <w:color w:val="auto"/>
        </w:rPr>
        <w:t>Taxes</w:t>
      </w:r>
      <w:r>
        <w:rPr>
          <w:rFonts w:ascii="Arial" w:cs="Arial" w:eastAsia="Arial" w:hAnsi="Arial"/>
          <w:sz w:val="20"/>
          <w:szCs w:val="20"/>
          <w:color w:val="auto"/>
        </w:rPr>
        <w:t>, is added to the Non-Qualified Stock Option Award Agreements dated between April 2015 and</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January 2017 and subsequent sections renumbered accordingly:</w:t>
      </w:r>
    </w:p>
    <w:p>
      <w:pPr>
        <w:spacing w:after="0" w:line="192" w:lineRule="exact"/>
        <w:rPr>
          <w:sz w:val="20"/>
          <w:szCs w:val="20"/>
          <w:color w:val="auto"/>
        </w:rPr>
      </w:pPr>
    </w:p>
    <w:p>
      <w:pPr>
        <w:jc w:val="both"/>
        <w:ind w:firstLine="6"/>
        <w:spacing w:after="0" w:line="256" w:lineRule="auto"/>
        <w:tabs>
          <w:tab w:leader="none" w:pos="903" w:val="left"/>
        </w:tabs>
        <w:numPr>
          <w:ilvl w:val="0"/>
          <w:numId w:val="253"/>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To the extent that the exercise of the Non-Qualified Option hereunder results in income to you for federal or state income tax purposes or in any other case where the Company holds the view that it is obligated to withhold taxes, you shall, at your election, (i) deliver to the Company immediately prior to the time of such receipt or lapse, as the case may be, such amount of money or shares of Common Stock owned by you, at your election, or (ii) authorize the Company to withhold a number of Option Shares, valued at their Fair Market Value, or cash or other form of remuneration then or thereafter payable to you, in any case in an amount necessary to satisfy the Company’s tax withholding obligation (and increased, at your election, pursuant to the Company’s prescribed procedures as in effect from time to time, up to the maximum tax rate applicable to you).</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29107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13" w:name="page214"/>
    <w:bookmarkEnd w:id="213"/>
    <w:p>
      <w:pPr>
        <w:spacing w:after="0"/>
        <w:rPr>
          <w:sz w:val="20"/>
          <w:szCs w:val="20"/>
          <w:color w:val="auto"/>
        </w:rPr>
      </w:pPr>
      <w:r>
        <w:rPr>
          <w:rFonts w:ascii="Arial" w:cs="Arial" w:eastAsia="Arial" w:hAnsi="Arial"/>
          <w:sz w:val="21"/>
          <w:szCs w:val="21"/>
          <w:color w:val="auto"/>
        </w:rPr>
        <w:t>The following provisions are added to Non-Qualified Stock Option Award Agreements dated prior to April 2015:</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To the extent that the exercise of the Non-Qualified Option hereunder results in income to you for federal or state income tax purposes or in any other case where the Company holds the view that it is obligated to withhold taxes, you shall, at your election, (i) deliver to the Company immediately prior to the time of such receipt or lapse, as the case may be, such amount of money or shares of Common Stock owned by you, at your election, or (ii) authorize the Company to withhold a number of Option Shares, valued at their Fair Market Value, or cash or other form of remuneration then or thereafter payable to you, in any case in an amount necessary to satisfy the Company’s tax withholding obligation (and increased, at your election, pursuant to the Company’s prescribed procedures as in effect from time to time, up to the maximum tax rate applicable to you).</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420"/>
          </w:cols>
          <w:pgMar w:left="240" w:top="556"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Subsidiaries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Listed below are the significant subsidiaries of the Registrant as of December 31, 2018,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2018.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Schlumberger B.V., Netherlands</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Cameron Lux I SARL, Luxembourg</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OneSubsea BV, Netherlands</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Schlumberger Canada Limited, Canada</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SA, France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Services Petroliers Schlumberger, France</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Norge AS, Norway</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Holdings Corporation, Delaware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Cameron International Corporation, Delaware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Technology Corporation, Texas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Smith International Inc., Delaware</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UK Limited, UK</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Plc, UK</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Schlumberger Oilfield UK Plc, UK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Schlumberger Oilfield Holdings Limited, BVI</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Holdings II Limited, BVI</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Dowell Schlumberger Corporation, BVI</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Logelco, Inc., Panama</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Middle East SA., Panama</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Offshore Services Limited, BVI</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Overseas, SA, Panama</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Schlumberger Seaco, Inc., Panama</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Schlumberger Oilfield Eastern Ltd., BVI</w:t>
      </w:r>
    </w:p>
    <w:p>
      <w:pPr>
        <w:sectPr>
          <w:pgSz w:w="11900" w:h="16838" w:orient="portrait"/>
          <w:cols w:equalWidth="0" w:num="1">
            <w:col w:w="11420"/>
          </w:cols>
          <w:pgMar w:left="240" w:top="333"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0" w:lineRule="exact"/>
        <w:rPr>
          <w:sz w:val="20"/>
          <w:szCs w:val="20"/>
          <w:color w:val="auto"/>
        </w:rPr>
      </w:pPr>
    </w:p>
    <w:p>
      <w:pPr>
        <w:jc w:val="both"/>
        <w:ind w:firstLine="761"/>
        <w:spacing w:after="0" w:line="251"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333-36366; 333-104225; 333-115277; 333-124534; 333-151920; 333-173055, as amended by post-effective amendment on Form S-8; 333-188589; 333-188590; 333-218181; and 333-218182); on Form S-3 (No.333-221161); on Form S-4 (No. 333-97899); and on Form S-4 as amended by post-effective amendment on Form S-8 (Nos. 333-207260 and 333-166326) of Schlumberger Limited of our report dated January 23, 2019 relating to the consolidated financial statements and the effectiveness of internal control over financial reporting, which appears in this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8288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January 23, 2019</w:t>
      </w:r>
    </w:p>
    <w:p>
      <w:pPr>
        <w:sectPr>
          <w:pgSz w:w="11900" w:h="16838" w:orient="portrait"/>
          <w:cols w:equalWidth="0" w:num="1">
            <w:col w:w="11420"/>
          </w:cols>
          <w:pgMar w:left="240" w:top="334" w:right="239" w:bottom="1440" w:gutter="0" w:footer="0" w:header="0"/>
        </w:sectPr>
      </w:pPr>
    </w:p>
    <w:bookmarkStart w:id="216" w:name="page217"/>
    <w:bookmarkEnd w:id="216"/>
    <w:p>
      <w:pPr>
        <w:jc w:val="right"/>
        <w:ind w:right="100"/>
        <w:spacing w:after="0"/>
        <w:rPr>
          <w:sz w:val="20"/>
          <w:szCs w:val="20"/>
          <w:color w:val="auto"/>
        </w:rPr>
      </w:pPr>
      <w:r>
        <w:rPr>
          <w:rFonts w:ascii="Arial" w:cs="Arial" w:eastAsia="Arial" w:hAnsi="Arial"/>
          <w:sz w:val="18"/>
          <w:szCs w:val="18"/>
          <w:b w:val="1"/>
          <w:bCs w:val="1"/>
          <w:u w:val="single" w:color="auto"/>
          <w:color w:val="auto"/>
        </w:rPr>
        <w:t>Exhibit 24</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Powers of Attorney</w:t>
      </w:r>
    </w:p>
    <w:p>
      <w:pPr>
        <w:spacing w:after="0" w:line="224"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Each of the undersigned, in the capacity or capacities set forth below his or her signature as a member of the Board of Directors and/or an officer of Schlumberger Limited, a Curaçao corporation, hereby appoints Simon Ayat, Howard Guild and Alexander C. Juden, or any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2018,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520"/>
          </w:cols>
          <w:pgMar w:left="240" w:top="347" w:right="1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0092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3009265" cy="8255"/>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color w:val="auto"/>
        </w:rPr>
        <w:t>Peter L.S. Currie</w:t>
      </w:r>
    </w:p>
    <w:p>
      <w:pPr>
        <w:spacing w:after="0" w:line="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0092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3009265" cy="8255"/>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color w:val="auto"/>
        </w:rPr>
        <w:t>Miguel Galuccio</w:t>
      </w:r>
    </w:p>
    <w:p>
      <w:pPr>
        <w:spacing w:after="0" w:line="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V. Maureen Kempston Darkes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0092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3009265"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V. Maureen Kempston Darkes</w:t>
      </w:r>
    </w:p>
    <w:p>
      <w:pPr>
        <w:spacing w:after="0" w:line="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0092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3009265" cy="82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Paal Kibsgaard</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Chairman of the Board and Chief Executive Officer</w:t>
      </w:r>
    </w:p>
    <w:p>
      <w:pPr>
        <w:spacing w:after="0" w:line="200" w:lineRule="exact"/>
        <w:rPr>
          <w:sz w:val="20"/>
          <w:szCs w:val="20"/>
          <w:color w:val="auto"/>
        </w:rPr>
      </w:pPr>
    </w:p>
    <w:p>
      <w:pPr>
        <w:spacing w:after="0" w:line="39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0092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3009265" cy="825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Nikolay Kudryavtsev</w:t>
      </w:r>
    </w:p>
    <w:p>
      <w:pPr>
        <w:spacing w:after="0" w:line="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0092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3009265" cy="8255"/>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Michael E. Marks</w:t>
      </w:r>
    </w:p>
    <w:p>
      <w:pPr>
        <w:spacing w:after="0" w:line="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 Tatiana Mitrova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center"/>
              <w:ind w:right="1172"/>
              <w:spacing w:after="0" w:line="195" w:lineRule="exact"/>
              <w:rPr>
                <w:sz w:val="20"/>
                <w:szCs w:val="20"/>
                <w:color w:val="auto"/>
              </w:rPr>
            </w:pPr>
            <w:r>
              <w:rPr>
                <w:rFonts w:ascii="Arial" w:cs="Arial" w:eastAsia="Arial" w:hAnsi="Arial"/>
                <w:sz w:val="18"/>
                <w:szCs w:val="18"/>
                <w:color w:val="auto"/>
                <w:w w:val="91"/>
              </w:rPr>
              <w:t>Tatiana Mitrova</w:t>
            </w:r>
          </w:p>
        </w:tc>
      </w:tr>
      <w:tr>
        <w:trPr>
          <w:trHeight w:val="224"/>
        </w:trPr>
        <w:tc>
          <w:tcPr>
            <w:tcW w:w="1280" w:type="dxa"/>
            <w:vAlign w:val="bottom"/>
          </w:tcPr>
          <w:p>
            <w:pPr>
              <w:spacing w:after="0"/>
              <w:rPr>
                <w:sz w:val="19"/>
                <w:szCs w:val="19"/>
                <w:color w:val="auto"/>
              </w:rPr>
            </w:pPr>
          </w:p>
        </w:tc>
        <w:tc>
          <w:tcPr>
            <w:tcW w:w="3520" w:type="dxa"/>
            <w:vAlign w:val="bottom"/>
          </w:tcPr>
          <w:p>
            <w:pPr>
              <w:jc w:val="center"/>
              <w:ind w:right="1172"/>
              <w:spacing w:after="0"/>
              <w:rPr>
                <w:sz w:val="20"/>
                <w:szCs w:val="20"/>
                <w:color w:val="auto"/>
              </w:rPr>
            </w:pPr>
            <w:r>
              <w:rPr>
                <w:rFonts w:ascii="Arial" w:cs="Arial" w:eastAsia="Arial" w:hAnsi="Arial"/>
                <w:sz w:val="18"/>
                <w:szCs w:val="18"/>
                <w:color w:val="auto"/>
                <w:w w:val="91"/>
              </w:rPr>
              <w:t>Director</w:t>
            </w:r>
          </w:p>
        </w:tc>
      </w:tr>
      <w:tr>
        <w:trPr>
          <w:trHeight w:val="704"/>
        </w:trPr>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83"/>
              </w:rPr>
              <w:t>/s/</w:t>
            </w:r>
          </w:p>
        </w:tc>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Indra K. Nooyi</w:t>
            </w:r>
          </w:p>
        </w:tc>
      </w:tr>
      <w:tr>
        <w:trPr>
          <w:trHeight w:val="194"/>
        </w:trPr>
        <w:tc>
          <w:tcPr>
            <w:tcW w:w="1280" w:type="dxa"/>
            <w:vAlign w:val="bottom"/>
          </w:tcPr>
          <w:p>
            <w:pPr>
              <w:spacing w:after="0"/>
              <w:rPr>
                <w:sz w:val="16"/>
                <w:szCs w:val="16"/>
                <w:color w:val="auto"/>
              </w:rPr>
            </w:pPr>
          </w:p>
        </w:tc>
        <w:tc>
          <w:tcPr>
            <w:tcW w:w="3520" w:type="dxa"/>
            <w:vAlign w:val="bottom"/>
          </w:tcPr>
          <w:p>
            <w:pPr>
              <w:jc w:val="center"/>
              <w:ind w:right="1152"/>
              <w:spacing w:after="0" w:line="194" w:lineRule="exact"/>
              <w:rPr>
                <w:sz w:val="20"/>
                <w:szCs w:val="20"/>
                <w:color w:val="auto"/>
              </w:rPr>
            </w:pPr>
            <w:r>
              <w:rPr>
                <w:rFonts w:ascii="Arial" w:cs="Arial" w:eastAsia="Arial" w:hAnsi="Arial"/>
                <w:sz w:val="18"/>
                <w:szCs w:val="18"/>
                <w:color w:val="auto"/>
                <w:w w:val="94"/>
              </w:rPr>
              <w:t>Indra K. Nooyi</w:t>
            </w:r>
          </w:p>
        </w:tc>
      </w:tr>
      <w:tr>
        <w:trPr>
          <w:trHeight w:val="224"/>
        </w:trPr>
        <w:tc>
          <w:tcPr>
            <w:tcW w:w="1280" w:type="dxa"/>
            <w:vAlign w:val="bottom"/>
          </w:tcPr>
          <w:p>
            <w:pPr>
              <w:spacing w:after="0"/>
              <w:rPr>
                <w:sz w:val="19"/>
                <w:szCs w:val="19"/>
                <w:color w:val="auto"/>
              </w:rPr>
            </w:pPr>
          </w:p>
        </w:tc>
        <w:tc>
          <w:tcPr>
            <w:tcW w:w="3520" w:type="dxa"/>
            <w:vAlign w:val="bottom"/>
          </w:tcPr>
          <w:p>
            <w:pPr>
              <w:jc w:val="center"/>
              <w:ind w:right="1172"/>
              <w:spacing w:after="0"/>
              <w:rPr>
                <w:sz w:val="20"/>
                <w:szCs w:val="20"/>
                <w:color w:val="auto"/>
              </w:rPr>
            </w:pPr>
            <w:r>
              <w:rPr>
                <w:rFonts w:ascii="Arial" w:cs="Arial" w:eastAsia="Arial" w:hAnsi="Arial"/>
                <w:sz w:val="18"/>
                <w:szCs w:val="18"/>
                <w:color w:val="auto"/>
                <w:w w:val="91"/>
              </w:rPr>
              <w:t>Director</w:t>
            </w:r>
          </w:p>
        </w:tc>
      </w:tr>
      <w:tr>
        <w:trPr>
          <w:trHeight w:val="704"/>
        </w:trPr>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jc w:val="center"/>
              <w:ind w:right="2252"/>
              <w:spacing w:after="0"/>
              <w:rPr>
                <w:sz w:val="20"/>
                <w:szCs w:val="20"/>
                <w:color w:val="auto"/>
              </w:rPr>
            </w:pPr>
            <w:r>
              <w:rPr>
                <w:rFonts w:ascii="Arial" w:cs="Arial" w:eastAsia="Arial" w:hAnsi="Arial"/>
                <w:sz w:val="18"/>
                <w:szCs w:val="18"/>
                <w:color w:val="auto"/>
                <w:w w:val="87"/>
              </w:rPr>
              <w:t>Lubna S. Olayan</w:t>
            </w:r>
          </w:p>
        </w:tc>
      </w:tr>
      <w:tr>
        <w:trPr>
          <w:trHeight w:val="194"/>
        </w:trPr>
        <w:tc>
          <w:tcPr>
            <w:tcW w:w="1280" w:type="dxa"/>
            <w:vAlign w:val="bottom"/>
          </w:tcPr>
          <w:p>
            <w:pPr>
              <w:spacing w:after="0"/>
              <w:rPr>
                <w:sz w:val="16"/>
                <w:szCs w:val="16"/>
                <w:color w:val="auto"/>
              </w:rPr>
            </w:pPr>
          </w:p>
        </w:tc>
        <w:tc>
          <w:tcPr>
            <w:tcW w:w="3520" w:type="dxa"/>
            <w:vAlign w:val="bottom"/>
          </w:tcPr>
          <w:p>
            <w:pPr>
              <w:jc w:val="center"/>
              <w:ind w:right="1172"/>
              <w:spacing w:after="0" w:line="194" w:lineRule="exact"/>
              <w:rPr>
                <w:sz w:val="20"/>
                <w:szCs w:val="20"/>
                <w:color w:val="auto"/>
              </w:rPr>
            </w:pPr>
            <w:r>
              <w:rPr>
                <w:rFonts w:ascii="Arial" w:cs="Arial" w:eastAsia="Arial" w:hAnsi="Arial"/>
                <w:sz w:val="18"/>
                <w:szCs w:val="18"/>
                <w:color w:val="auto"/>
                <w:w w:val="87"/>
              </w:rPr>
              <w:t>Lubna S. Olayan</w:t>
            </w:r>
          </w:p>
        </w:tc>
      </w:tr>
      <w:tr>
        <w:trPr>
          <w:trHeight w:val="224"/>
        </w:trPr>
        <w:tc>
          <w:tcPr>
            <w:tcW w:w="128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704"/>
        </w:trPr>
        <w:tc>
          <w:tcPr>
            <w:tcW w:w="480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/s/ Mark G. Papa</w:t>
            </w:r>
          </w:p>
        </w:tc>
      </w:tr>
      <w:tr>
        <w:trPr>
          <w:trHeight w:val="194"/>
        </w:trPr>
        <w:tc>
          <w:tcPr>
            <w:tcW w:w="1280" w:type="dxa"/>
            <w:vAlign w:val="bottom"/>
          </w:tcPr>
          <w:p>
            <w:pPr>
              <w:spacing w:after="0"/>
              <w:rPr>
                <w:sz w:val="16"/>
                <w:szCs w:val="16"/>
                <w:color w:val="auto"/>
              </w:rPr>
            </w:pPr>
          </w:p>
        </w:tc>
        <w:tc>
          <w:tcPr>
            <w:tcW w:w="3520" w:type="dxa"/>
            <w:vAlign w:val="bottom"/>
          </w:tcPr>
          <w:p>
            <w:pPr>
              <w:jc w:val="center"/>
              <w:ind w:right="1172"/>
              <w:spacing w:after="0" w:line="194" w:lineRule="exact"/>
              <w:rPr>
                <w:sz w:val="20"/>
                <w:szCs w:val="20"/>
                <w:color w:val="auto"/>
              </w:rPr>
            </w:pPr>
            <w:r>
              <w:rPr>
                <w:rFonts w:ascii="Arial" w:cs="Arial" w:eastAsia="Arial" w:hAnsi="Arial"/>
                <w:sz w:val="18"/>
                <w:szCs w:val="18"/>
                <w:color w:val="auto"/>
                <w:w w:val="88"/>
              </w:rPr>
              <w:t>Mark G. Papa</w:t>
            </w:r>
          </w:p>
        </w:tc>
      </w:tr>
      <w:tr>
        <w:trPr>
          <w:trHeight w:val="224"/>
        </w:trPr>
        <w:tc>
          <w:tcPr>
            <w:tcW w:w="1280" w:type="dxa"/>
            <w:vAlign w:val="bottom"/>
          </w:tcPr>
          <w:p>
            <w:pPr>
              <w:spacing w:after="0"/>
              <w:rPr>
                <w:sz w:val="19"/>
                <w:szCs w:val="19"/>
                <w:color w:val="auto"/>
              </w:rPr>
            </w:pPr>
          </w:p>
        </w:tc>
        <w:tc>
          <w:tcPr>
            <w:tcW w:w="3520" w:type="dxa"/>
            <w:vAlign w:val="bottom"/>
          </w:tcPr>
          <w:p>
            <w:pPr>
              <w:jc w:val="center"/>
              <w:ind w:right="1172"/>
              <w:spacing w:after="0"/>
              <w:rPr>
                <w:sz w:val="20"/>
                <w:szCs w:val="20"/>
                <w:color w:val="auto"/>
              </w:rPr>
            </w:pPr>
            <w:r>
              <w:rPr>
                <w:rFonts w:ascii="Arial" w:cs="Arial" w:eastAsia="Arial" w:hAnsi="Arial"/>
                <w:sz w:val="18"/>
                <w:szCs w:val="18"/>
                <w:color w:val="auto"/>
                <w:w w:val="91"/>
              </w:rPr>
              <w:t>Director</w:t>
            </w:r>
          </w:p>
        </w:tc>
      </w:tr>
      <w:tr>
        <w:trPr>
          <w:trHeight w:val="784"/>
        </w:trPr>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jc w:val="center"/>
              <w:ind w:right="2232"/>
              <w:spacing w:after="0"/>
              <w:rPr>
                <w:sz w:val="20"/>
                <w:szCs w:val="20"/>
                <w:color w:val="auto"/>
              </w:rPr>
            </w:pPr>
            <w:r>
              <w:rPr>
                <w:rFonts w:ascii="Arial" w:cs="Arial" w:eastAsia="Arial" w:hAnsi="Arial"/>
                <w:sz w:val="18"/>
                <w:szCs w:val="18"/>
                <w:color w:val="auto"/>
                <w:w w:val="90"/>
              </w:rPr>
              <w:t>Leo Rafael Reif</w:t>
            </w:r>
          </w:p>
        </w:tc>
      </w:tr>
      <w:tr>
        <w:trPr>
          <w:trHeight w:val="194"/>
        </w:trPr>
        <w:tc>
          <w:tcPr>
            <w:tcW w:w="1280" w:type="dxa"/>
            <w:vAlign w:val="bottom"/>
          </w:tcPr>
          <w:p>
            <w:pPr>
              <w:spacing w:after="0"/>
              <w:rPr>
                <w:sz w:val="16"/>
                <w:szCs w:val="16"/>
                <w:color w:val="auto"/>
              </w:rPr>
            </w:pPr>
          </w:p>
        </w:tc>
        <w:tc>
          <w:tcPr>
            <w:tcW w:w="3520" w:type="dxa"/>
            <w:vAlign w:val="bottom"/>
          </w:tcPr>
          <w:p>
            <w:pPr>
              <w:jc w:val="center"/>
              <w:ind w:right="1172"/>
              <w:spacing w:after="0" w:line="194" w:lineRule="exact"/>
              <w:rPr>
                <w:sz w:val="20"/>
                <w:szCs w:val="20"/>
                <w:color w:val="auto"/>
              </w:rPr>
            </w:pPr>
            <w:r>
              <w:rPr>
                <w:rFonts w:ascii="Arial" w:cs="Arial" w:eastAsia="Arial" w:hAnsi="Arial"/>
                <w:sz w:val="18"/>
                <w:szCs w:val="18"/>
                <w:color w:val="auto"/>
                <w:w w:val="91"/>
              </w:rPr>
              <w:t>Leo Rafael Reif</w:t>
            </w:r>
          </w:p>
        </w:tc>
      </w:tr>
      <w:tr>
        <w:trPr>
          <w:trHeight w:val="224"/>
        </w:trPr>
        <w:tc>
          <w:tcPr>
            <w:tcW w:w="1280" w:type="dxa"/>
            <w:vAlign w:val="bottom"/>
          </w:tcPr>
          <w:p>
            <w:pPr>
              <w:spacing w:after="0"/>
              <w:rPr>
                <w:sz w:val="19"/>
                <w:szCs w:val="19"/>
                <w:color w:val="auto"/>
              </w:rPr>
            </w:pPr>
          </w:p>
        </w:tc>
        <w:tc>
          <w:tcPr>
            <w:tcW w:w="3520" w:type="dxa"/>
            <w:vAlign w:val="bottom"/>
          </w:tcPr>
          <w:p>
            <w:pPr>
              <w:jc w:val="center"/>
              <w:ind w:right="1172"/>
              <w:spacing w:after="0"/>
              <w:rPr>
                <w:sz w:val="20"/>
                <w:szCs w:val="20"/>
                <w:color w:val="auto"/>
              </w:rPr>
            </w:pPr>
            <w:r>
              <w:rPr>
                <w:rFonts w:ascii="Arial" w:cs="Arial" w:eastAsia="Arial" w:hAnsi="Arial"/>
                <w:sz w:val="18"/>
                <w:szCs w:val="18"/>
                <w:color w:val="auto"/>
                <w:w w:val="91"/>
              </w:rPr>
              <w:t>Director</w:t>
            </w:r>
          </w:p>
        </w:tc>
      </w:tr>
      <w:tr>
        <w:trPr>
          <w:trHeight w:val="784"/>
        </w:trPr>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83"/>
              </w:rPr>
              <w:t>/s/</w:t>
            </w:r>
          </w:p>
        </w:tc>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Henri Seydoux</w:t>
            </w:r>
          </w:p>
        </w:tc>
      </w:tr>
      <w:tr>
        <w:trPr>
          <w:trHeight w:val="194"/>
        </w:trPr>
        <w:tc>
          <w:tcPr>
            <w:tcW w:w="1280" w:type="dxa"/>
            <w:vAlign w:val="bottom"/>
          </w:tcPr>
          <w:p>
            <w:pPr>
              <w:spacing w:after="0"/>
              <w:rPr>
                <w:sz w:val="16"/>
                <w:szCs w:val="16"/>
                <w:color w:val="auto"/>
              </w:rPr>
            </w:pPr>
          </w:p>
        </w:tc>
        <w:tc>
          <w:tcPr>
            <w:tcW w:w="3520" w:type="dxa"/>
            <w:vAlign w:val="bottom"/>
          </w:tcPr>
          <w:p>
            <w:pPr>
              <w:jc w:val="center"/>
              <w:ind w:right="1172"/>
              <w:spacing w:after="0" w:line="194" w:lineRule="exact"/>
              <w:rPr>
                <w:sz w:val="20"/>
                <w:szCs w:val="20"/>
                <w:color w:val="auto"/>
              </w:rPr>
            </w:pPr>
            <w:r>
              <w:rPr>
                <w:rFonts w:ascii="Arial" w:cs="Arial" w:eastAsia="Arial" w:hAnsi="Arial"/>
                <w:sz w:val="18"/>
                <w:szCs w:val="18"/>
                <w:color w:val="auto"/>
                <w:w w:val="89"/>
              </w:rPr>
              <w:t>Henri Seydoux</w:t>
            </w:r>
          </w:p>
        </w:tc>
      </w:tr>
      <w:tr>
        <w:trPr>
          <w:trHeight w:val="224"/>
        </w:trPr>
        <w:tc>
          <w:tcPr>
            <w:tcW w:w="1280" w:type="dxa"/>
            <w:vAlign w:val="bottom"/>
          </w:tcPr>
          <w:p>
            <w:pPr>
              <w:spacing w:after="0"/>
              <w:rPr>
                <w:sz w:val="19"/>
                <w:szCs w:val="19"/>
                <w:color w:val="auto"/>
              </w:rPr>
            </w:pPr>
          </w:p>
        </w:tc>
        <w:tc>
          <w:tcPr>
            <w:tcW w:w="3520" w:type="dxa"/>
            <w:vAlign w:val="bottom"/>
          </w:tcPr>
          <w:p>
            <w:pPr>
              <w:jc w:val="center"/>
              <w:ind w:right="1172"/>
              <w:spacing w:after="0"/>
              <w:rPr>
                <w:sz w:val="20"/>
                <w:szCs w:val="20"/>
                <w:color w:val="auto"/>
              </w:rPr>
            </w:pPr>
            <w:r>
              <w:rPr>
                <w:rFonts w:ascii="Arial" w:cs="Arial" w:eastAsia="Arial" w:hAnsi="Arial"/>
                <w:sz w:val="18"/>
                <w:szCs w:val="18"/>
                <w:color w:val="auto"/>
                <w:w w:val="91"/>
              </w:rPr>
              <w:t>Director</w:t>
            </w:r>
          </w:p>
        </w:tc>
      </w:tr>
    </w:tbl>
    <w:p>
      <w:pPr>
        <w:spacing w:after="0" w:line="200" w:lineRule="exact"/>
        <w:rPr>
          <w:sz w:val="20"/>
          <w:szCs w:val="20"/>
          <w:color w:val="auto"/>
        </w:rPr>
      </w:pPr>
    </w:p>
    <w:p>
      <w:pPr>
        <w:sectPr>
          <w:pgSz w:w="11900" w:h="16838" w:orient="portrait"/>
          <w:cols w:equalWidth="0" w:num="2">
            <w:col w:w="6000" w:space="720"/>
            <w:col w:w="4800"/>
          </w:cols>
          <w:pgMar w:left="240" w:top="347"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Date: January 16, 2019</w:t>
      </w:r>
    </w:p>
    <w:p>
      <w:pPr>
        <w:sectPr>
          <w:pgSz w:w="11900" w:h="16838" w:orient="portrait"/>
          <w:cols w:equalWidth="0" w:num="1">
            <w:col w:w="11520"/>
          </w:cols>
          <w:pgMar w:left="240" w:top="347" w:right="139" w:bottom="1440" w:gutter="0" w:footer="0" w:header="0"/>
          <w:type w:val="continuous"/>
        </w:sectPr>
      </w:pPr>
    </w:p>
    <w:bookmarkStart w:id="217" w:name="page218"/>
    <w:bookmarkEnd w:id="21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11" w:lineRule="exact"/>
        <w:rPr>
          <w:rFonts w:ascii="Arial" w:cs="Arial" w:eastAsia="Arial" w:hAnsi="Arial"/>
          <w:sz w:val="18"/>
          <w:szCs w:val="18"/>
          <w:color w:val="auto"/>
        </w:rPr>
      </w:pPr>
    </w:p>
    <w:p>
      <w:pPr>
        <w:ind w:firstLine="386"/>
        <w:spacing w:after="0" w:line="366" w:lineRule="auto"/>
        <w:tabs>
          <w:tab w:leader="none" w:pos="578" w:val="left"/>
        </w:tabs>
        <w:numPr>
          <w:ilvl w:val="0"/>
          <w:numId w:val="2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firstLine="386"/>
        <w:spacing w:after="0" w:line="265" w:lineRule="auto"/>
        <w:tabs>
          <w:tab w:leader="none" w:pos="58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firstLine="386"/>
        <w:spacing w:after="0" w:line="255" w:lineRule="auto"/>
        <w:tabs>
          <w:tab w:leader="none" w:pos="55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jc w:val="both"/>
        <w:ind w:left="1120" w:hanging="516"/>
        <w:spacing w:after="0" w:line="255" w:lineRule="auto"/>
        <w:tabs>
          <w:tab w:leader="none" w:pos="11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18"/>
          <w:szCs w:val="18"/>
          <w:color w:val="auto"/>
        </w:rPr>
      </w:pPr>
    </w:p>
    <w:p>
      <w:pPr>
        <w:jc w:val="both"/>
        <w:ind w:left="1120" w:hanging="516"/>
        <w:spacing w:after="0" w:line="255" w:lineRule="auto"/>
        <w:tabs>
          <w:tab w:leader="none" w:pos="11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8"/>
          <w:szCs w:val="18"/>
          <w:color w:val="auto"/>
        </w:rPr>
      </w:pPr>
    </w:p>
    <w:p>
      <w:pPr>
        <w:ind w:left="1120" w:hanging="516"/>
        <w:spacing w:after="0" w:line="295" w:lineRule="auto"/>
        <w:tabs>
          <w:tab w:leader="none" w:pos="1120" w:val="left"/>
        </w:tabs>
        <w:numPr>
          <w:ilvl w:val="1"/>
          <w:numId w:val="2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7"/>
          <w:szCs w:val="17"/>
          <w:color w:val="auto"/>
        </w:rPr>
      </w:pPr>
    </w:p>
    <w:p>
      <w:pPr>
        <w:jc w:val="both"/>
        <w:ind w:left="1120" w:hanging="516"/>
        <w:spacing w:after="0" w:line="255" w:lineRule="auto"/>
        <w:tabs>
          <w:tab w:leader="none" w:pos="11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8"/>
          <w:szCs w:val="18"/>
          <w:color w:val="auto"/>
        </w:rPr>
      </w:pPr>
    </w:p>
    <w:p>
      <w:pPr>
        <w:ind w:firstLine="386"/>
        <w:spacing w:after="0" w:line="295" w:lineRule="auto"/>
        <w:tabs>
          <w:tab w:leader="none" w:pos="576"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1120" w:hanging="516"/>
        <w:spacing w:after="0" w:line="265" w:lineRule="auto"/>
        <w:tabs>
          <w:tab w:leader="none" w:pos="11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120" w:hanging="516"/>
        <w:spacing w:after="0" w:line="265" w:lineRule="auto"/>
        <w:tabs>
          <w:tab w:leader="none" w:pos="11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Date: January 23,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4"/>
        </w:trPr>
        <w:tc>
          <w:tcPr>
            <w:tcW w:w="6860" w:type="dxa"/>
            <w:vAlign w:val="bottom"/>
          </w:tcPr>
          <w:p>
            <w:pPr>
              <w:spacing w:after="0"/>
              <w:rPr>
                <w:sz w:val="16"/>
                <w:szCs w:val="16"/>
                <w:color w:val="auto"/>
              </w:rPr>
            </w:pPr>
          </w:p>
        </w:tc>
        <w:tc>
          <w:tcPr>
            <w:tcW w:w="4560" w:type="dxa"/>
            <w:vAlign w:val="bottom"/>
          </w:tcPr>
          <w:p>
            <w:pPr>
              <w:ind w:left="40"/>
              <w:spacing w:after="0" w:line="194" w:lineRule="exact"/>
              <w:rPr>
                <w:sz w:val="20"/>
                <w:szCs w:val="20"/>
                <w:color w:val="auto"/>
              </w:rPr>
            </w:pPr>
            <w:r>
              <w:rPr>
                <w:rFonts w:ascii="Arial" w:cs="Arial" w:eastAsia="Arial" w:hAnsi="Arial"/>
                <w:sz w:val="18"/>
                <w:szCs w:val="18"/>
                <w:color w:val="auto"/>
              </w:rPr>
              <w:t>Paal Kibsgaard</w:t>
            </w:r>
          </w:p>
        </w:tc>
      </w:tr>
      <w:tr>
        <w:trPr>
          <w:trHeight w:val="224"/>
        </w:trPr>
        <w:tc>
          <w:tcPr>
            <w:tcW w:w="686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33"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11" w:lineRule="exact"/>
        <w:rPr>
          <w:rFonts w:ascii="Arial" w:cs="Arial" w:eastAsia="Arial" w:hAnsi="Arial"/>
          <w:sz w:val="18"/>
          <w:szCs w:val="18"/>
          <w:color w:val="auto"/>
        </w:rPr>
      </w:pPr>
    </w:p>
    <w:p>
      <w:pPr>
        <w:ind w:firstLine="386"/>
        <w:spacing w:after="0" w:line="366" w:lineRule="auto"/>
        <w:tabs>
          <w:tab w:leader="none" w:pos="578" w:val="left"/>
        </w:tabs>
        <w:numPr>
          <w:ilvl w:val="0"/>
          <w:numId w:val="2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firstLine="386"/>
        <w:spacing w:after="0" w:line="265" w:lineRule="auto"/>
        <w:tabs>
          <w:tab w:leader="none" w:pos="58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firstLine="386"/>
        <w:spacing w:after="0" w:line="255" w:lineRule="auto"/>
        <w:tabs>
          <w:tab w:leader="none" w:pos="55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jc w:val="both"/>
        <w:ind w:left="1120" w:hanging="516"/>
        <w:spacing w:after="0" w:line="255" w:lineRule="auto"/>
        <w:tabs>
          <w:tab w:leader="none" w:pos="11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18"/>
          <w:szCs w:val="18"/>
          <w:color w:val="auto"/>
        </w:rPr>
      </w:pPr>
    </w:p>
    <w:p>
      <w:pPr>
        <w:jc w:val="both"/>
        <w:ind w:left="1120" w:hanging="516"/>
        <w:spacing w:after="0" w:line="255" w:lineRule="auto"/>
        <w:tabs>
          <w:tab w:leader="none" w:pos="11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8"/>
          <w:szCs w:val="18"/>
          <w:color w:val="auto"/>
        </w:rPr>
      </w:pPr>
    </w:p>
    <w:p>
      <w:pPr>
        <w:ind w:left="1120" w:hanging="516"/>
        <w:spacing w:after="0" w:line="295" w:lineRule="auto"/>
        <w:tabs>
          <w:tab w:leader="none" w:pos="112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7"/>
          <w:szCs w:val="17"/>
          <w:color w:val="auto"/>
        </w:rPr>
      </w:pPr>
    </w:p>
    <w:p>
      <w:pPr>
        <w:jc w:val="both"/>
        <w:ind w:left="1120" w:hanging="516"/>
        <w:spacing w:after="0" w:line="255" w:lineRule="auto"/>
        <w:tabs>
          <w:tab w:leader="none" w:pos="11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8"/>
          <w:szCs w:val="18"/>
          <w:color w:val="auto"/>
        </w:rPr>
      </w:pPr>
    </w:p>
    <w:p>
      <w:pPr>
        <w:ind w:firstLine="386"/>
        <w:spacing w:after="0" w:line="295" w:lineRule="auto"/>
        <w:tabs>
          <w:tab w:leader="none" w:pos="57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1120" w:hanging="516"/>
        <w:spacing w:after="0" w:line="265" w:lineRule="auto"/>
        <w:tabs>
          <w:tab w:leader="none" w:pos="11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120" w:hanging="516"/>
        <w:spacing w:after="0" w:line="265" w:lineRule="auto"/>
        <w:tabs>
          <w:tab w:leader="none" w:pos="11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Date: January 23,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686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Arial" w:cs="Arial" w:eastAsia="Arial" w:hAnsi="Arial"/>
                <w:sz w:val="18"/>
                <w:szCs w:val="18"/>
                <w:color w:val="auto"/>
              </w:rPr>
              <w:t>Simon Ayat</w:t>
            </w:r>
          </w:p>
        </w:tc>
      </w:tr>
      <w:tr>
        <w:trPr>
          <w:trHeight w:val="224"/>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347"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on Form 10-K of Schlumberger N.V. (Schlumberger Limited) (the “Company”) for the year ended December 31, 2018 as filed with the Securities and Exchange Commission on the date hereof (the “Report”), I, Paal Kibsgaard, Chief Executive Officer of the Company, certify, pursuant to 18 U.S.C. § 1350, as adopted pursuant to § 906 of the Sarbanes-Oxley Act of 2002, that:</w:t>
      </w:r>
    </w:p>
    <w:p>
      <w:pPr>
        <w:spacing w:after="0" w:line="84" w:lineRule="exact"/>
        <w:rPr>
          <w:sz w:val="20"/>
          <w:szCs w:val="20"/>
          <w:color w:val="auto"/>
        </w:rPr>
      </w:pPr>
    </w:p>
    <w:p>
      <w:pPr>
        <w:ind w:left="1020" w:hanging="509"/>
        <w:spacing w:after="0" w:line="265" w:lineRule="auto"/>
        <w:tabs>
          <w:tab w:leader="none" w:pos="10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3" w:lineRule="exact"/>
        <w:rPr>
          <w:rFonts w:ascii="Arial" w:cs="Arial" w:eastAsia="Arial" w:hAnsi="Arial"/>
          <w:sz w:val="18"/>
          <w:szCs w:val="18"/>
          <w:color w:val="auto"/>
        </w:rPr>
      </w:pPr>
    </w:p>
    <w:p>
      <w:pPr>
        <w:ind w:left="1020" w:hanging="509"/>
        <w:spacing w:after="0"/>
        <w:tabs>
          <w:tab w:leader="none" w:pos="102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Date: January 23,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4"/>
        </w:trPr>
        <w:tc>
          <w:tcPr>
            <w:tcW w:w="6860" w:type="dxa"/>
            <w:vAlign w:val="bottom"/>
          </w:tcPr>
          <w:p>
            <w:pPr>
              <w:spacing w:after="0"/>
              <w:rPr>
                <w:sz w:val="16"/>
                <w:szCs w:val="16"/>
                <w:color w:val="auto"/>
              </w:rPr>
            </w:pPr>
          </w:p>
        </w:tc>
        <w:tc>
          <w:tcPr>
            <w:tcW w:w="4560" w:type="dxa"/>
            <w:vAlign w:val="bottom"/>
          </w:tcPr>
          <w:p>
            <w:pPr>
              <w:ind w:left="40"/>
              <w:spacing w:after="0" w:line="194" w:lineRule="exact"/>
              <w:rPr>
                <w:sz w:val="20"/>
                <w:szCs w:val="20"/>
                <w:color w:val="auto"/>
              </w:rPr>
            </w:pPr>
            <w:r>
              <w:rPr>
                <w:rFonts w:ascii="Arial" w:cs="Arial" w:eastAsia="Arial" w:hAnsi="Arial"/>
                <w:sz w:val="18"/>
                <w:szCs w:val="18"/>
                <w:color w:val="auto"/>
              </w:rPr>
              <w:t>Paal Kibsgaard</w:t>
            </w:r>
          </w:p>
        </w:tc>
      </w:tr>
      <w:tr>
        <w:trPr>
          <w:trHeight w:val="224"/>
        </w:trPr>
        <w:tc>
          <w:tcPr>
            <w:tcW w:w="686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8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334"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2018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64" w:lineRule="exact"/>
        <w:rPr>
          <w:sz w:val="20"/>
          <w:szCs w:val="20"/>
          <w:color w:val="auto"/>
        </w:rPr>
      </w:pPr>
    </w:p>
    <w:p>
      <w:pPr>
        <w:ind w:left="1020" w:hanging="509"/>
        <w:spacing w:after="0" w:line="265" w:lineRule="auto"/>
        <w:tabs>
          <w:tab w:leader="none" w:pos="10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3" w:lineRule="exact"/>
        <w:rPr>
          <w:rFonts w:ascii="Arial" w:cs="Arial" w:eastAsia="Arial" w:hAnsi="Arial"/>
          <w:sz w:val="18"/>
          <w:szCs w:val="18"/>
          <w:color w:val="auto"/>
        </w:rPr>
      </w:pPr>
    </w:p>
    <w:p>
      <w:pPr>
        <w:ind w:left="1020" w:hanging="509"/>
        <w:spacing w:after="0"/>
        <w:tabs>
          <w:tab w:leader="none" w:pos="1020"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Date: January 23,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686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Arial" w:cs="Arial" w:eastAsia="Arial" w:hAnsi="Arial"/>
                <w:sz w:val="18"/>
                <w:szCs w:val="18"/>
                <w:color w:val="auto"/>
              </w:rPr>
              <w:t>Simon Ayat</w:t>
            </w:r>
          </w:p>
        </w:tc>
      </w:tr>
      <w:tr>
        <w:trPr>
          <w:trHeight w:val="224"/>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8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347"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2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90"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full year ended December 31, 2018. Due to timing and other factors, the data may not agree with the mine data retrieval system maintained by the MSHA at www.MSHA.gov.</w:t>
      </w:r>
    </w:p>
    <w:p>
      <w:pPr>
        <w:spacing w:after="0" w:line="270"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Full Year 2018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(whole dollars)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5"/>
              </w:rPr>
              <w:t>Pattern of</w:t>
            </w:r>
          </w:p>
        </w:tc>
        <w:tc>
          <w:tcPr>
            <w:tcW w:w="840" w:type="dxa"/>
            <w:vAlign w:val="bottom"/>
          </w:tcPr>
          <w:p>
            <w:pPr>
              <w:spacing w:after="0" w:line="133" w:lineRule="exact"/>
              <w:rPr>
                <w:sz w:val="20"/>
                <w:szCs w:val="20"/>
                <w:color w:val="auto"/>
              </w:rPr>
            </w:pPr>
            <w:r>
              <w:rPr>
                <w:rFonts w:ascii="Arial" w:cs="Arial" w:eastAsia="Arial" w:hAnsi="Arial"/>
                <w:sz w:val="12"/>
                <w:szCs w:val="12"/>
                <w:color w:val="auto"/>
                <w:w w:val="93"/>
              </w:rPr>
              <w:t>Received Notice</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95"/>
              </w:rPr>
              <w:t>Legal</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6"/>
              </w:rPr>
              <w:t>Violations</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8"/>
              </w:rPr>
              <w:t>of Potential to</w:t>
            </w:r>
          </w:p>
        </w:tc>
        <w:tc>
          <w:tcPr>
            <w:tcW w:w="700" w:type="dxa"/>
            <w:vAlign w:val="bottom"/>
          </w:tcPr>
          <w:p>
            <w:pPr>
              <w:spacing w:after="0" w:line="133" w:lineRule="exact"/>
              <w:rPr>
                <w:sz w:val="20"/>
                <w:szCs w:val="20"/>
                <w:color w:val="auto"/>
              </w:rPr>
            </w:pPr>
            <w:r>
              <w:rPr>
                <w:rFonts w:ascii="Arial" w:cs="Arial" w:eastAsia="Arial" w:hAnsi="Arial"/>
                <w:sz w:val="12"/>
                <w:szCs w:val="12"/>
                <w:color w:val="auto"/>
                <w:w w:val="94"/>
              </w:rPr>
              <w:t>Legal Actions</w:t>
            </w:r>
          </w:p>
        </w:tc>
        <w:tc>
          <w:tcPr>
            <w:tcW w:w="78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96"/>
              </w:rPr>
              <w:t>Actions</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780" w:type="dxa"/>
            <w:vAlign w:val="bottom"/>
          </w:tcPr>
          <w:p>
            <w:pPr>
              <w:jc w:val="center"/>
              <w:ind w:left="78"/>
              <w:spacing w:after="0" w:line="133" w:lineRule="exact"/>
              <w:rPr>
                <w:sz w:val="20"/>
                <w:szCs w:val="20"/>
                <w:color w:val="auto"/>
              </w:rPr>
            </w:pPr>
            <w:r>
              <w:rPr>
                <w:rFonts w:ascii="Arial" w:cs="Arial" w:eastAsia="Arial" w:hAnsi="Arial"/>
                <w:sz w:val="12"/>
                <w:szCs w:val="12"/>
                <w:color w:val="auto"/>
                <w:w w:val="94"/>
              </w:rPr>
              <w:t>Section 104</w:t>
            </w:r>
          </w:p>
        </w:tc>
        <w:tc>
          <w:tcPr>
            <w:tcW w:w="8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 104(d)</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rPr>
              <w:t>Mining</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2"/>
              </w:rPr>
              <w:t>Under Section</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1"/>
              </w:rPr>
              <w:t>Have Pattern</w:t>
            </w:r>
          </w:p>
        </w:tc>
        <w:tc>
          <w:tcPr>
            <w:tcW w:w="700" w:type="dxa"/>
            <w:vAlign w:val="bottom"/>
          </w:tcPr>
          <w:p>
            <w:pPr>
              <w:ind w:left="20"/>
              <w:spacing w:after="0" w:line="133" w:lineRule="exact"/>
              <w:rPr>
                <w:sz w:val="20"/>
                <w:szCs w:val="20"/>
                <w:color w:val="auto"/>
              </w:rPr>
            </w:pPr>
            <w:r>
              <w:rPr>
                <w:rFonts w:ascii="Arial" w:cs="Arial" w:eastAsia="Arial" w:hAnsi="Arial"/>
                <w:sz w:val="12"/>
                <w:szCs w:val="12"/>
                <w:color w:val="auto"/>
                <w:w w:val="89"/>
              </w:rPr>
              <w:t>Pending as of</w:t>
            </w:r>
          </w:p>
        </w:tc>
        <w:tc>
          <w:tcPr>
            <w:tcW w:w="780" w:type="dxa"/>
            <w:vAlign w:val="bottom"/>
          </w:tcPr>
          <w:p>
            <w:pPr>
              <w:jc w:val="center"/>
              <w:spacing w:after="0" w:line="133" w:lineRule="exact"/>
              <w:rPr>
                <w:sz w:val="20"/>
                <w:szCs w:val="20"/>
                <w:color w:val="auto"/>
              </w:rPr>
            </w:pPr>
            <w:r>
              <w:rPr>
                <w:rFonts w:ascii="Arial" w:cs="Arial" w:eastAsia="Arial" w:hAnsi="Arial"/>
                <w:sz w:val="12"/>
                <w:szCs w:val="12"/>
                <w:color w:val="auto"/>
                <w:w w:val="94"/>
              </w:rPr>
              <w:t>Legal Actions</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91"/>
              </w:rPr>
              <w:t>Resolved</w:t>
            </w:r>
          </w:p>
        </w:tc>
        <w:tc>
          <w:tcPr>
            <w:tcW w:w="0" w:type="dxa"/>
            <w:vAlign w:val="bottom"/>
          </w:tcPr>
          <w:p>
            <w:pPr>
              <w:spacing w:after="0"/>
              <w:rPr>
                <w:sz w:val="1"/>
                <w:szCs w:val="1"/>
                <w:color w:val="auto"/>
              </w:rPr>
            </w:pPr>
          </w:p>
        </w:tc>
      </w:tr>
      <w:tr>
        <w:trPr>
          <w:trHeight w:val="133"/>
        </w:trPr>
        <w:tc>
          <w:tcPr>
            <w:tcW w:w="1940" w:type="dxa"/>
            <w:vAlign w:val="bottom"/>
          </w:tcPr>
          <w:p>
            <w:pPr>
              <w:spacing w:after="0" w:line="133" w:lineRule="exact"/>
              <w:rPr>
                <w:sz w:val="20"/>
                <w:szCs w:val="20"/>
                <w:color w:val="auto"/>
              </w:rPr>
            </w:pPr>
            <w:r>
              <w:rPr>
                <w:rFonts w:ascii="Arial" w:cs="Arial" w:eastAsia="Arial" w:hAnsi="Arial"/>
                <w:sz w:val="12"/>
                <w:szCs w:val="12"/>
                <w:color w:val="auto"/>
              </w:rPr>
              <w:t>Mine or Operating Name/MSHA</w:t>
            </w:r>
          </w:p>
        </w:tc>
        <w:tc>
          <w:tcPr>
            <w:tcW w:w="780" w:type="dxa"/>
            <w:vAlign w:val="bottom"/>
          </w:tcPr>
          <w:p>
            <w:pPr>
              <w:jc w:val="center"/>
              <w:ind w:left="78"/>
              <w:spacing w:after="0" w:line="133" w:lineRule="exact"/>
              <w:rPr>
                <w:sz w:val="20"/>
                <w:szCs w:val="20"/>
                <w:color w:val="auto"/>
              </w:rPr>
            </w:pPr>
            <w:r>
              <w:rPr>
                <w:rFonts w:ascii="Arial" w:cs="Arial" w:eastAsia="Arial" w:hAnsi="Arial"/>
                <w:sz w:val="12"/>
                <w:szCs w:val="12"/>
                <w:color w:val="auto"/>
                <w:w w:val="99"/>
              </w:rPr>
              <w:t>S&amp;S</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w w:val="99"/>
              </w:rPr>
              <w:t>Section 104(b)</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4"/>
              </w:rPr>
              <w:t>Citations and</w:t>
            </w: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Section 110(b)</w:t>
            </w:r>
          </w:p>
        </w:tc>
        <w:tc>
          <w:tcPr>
            <w:tcW w:w="1700" w:type="dxa"/>
            <w:vAlign w:val="bottom"/>
            <w:gridSpan w:val="2"/>
          </w:tcPr>
          <w:p>
            <w:pPr>
              <w:ind w:left="60"/>
              <w:spacing w:after="0" w:line="133" w:lineRule="exact"/>
              <w:rPr>
                <w:sz w:val="20"/>
                <w:szCs w:val="20"/>
                <w:color w:val="auto"/>
              </w:rPr>
            </w:pPr>
            <w:r>
              <w:rPr>
                <w:rFonts w:ascii="Arial" w:cs="Arial" w:eastAsia="Arial" w:hAnsi="Arial"/>
                <w:sz w:val="12"/>
                <w:szCs w:val="12"/>
                <w:color w:val="auto"/>
                <w:w w:val="94"/>
              </w:rPr>
              <w:t>Section 107(a) Proposed MSHA</w:t>
            </w:r>
          </w:p>
        </w:tc>
        <w:tc>
          <w:tcPr>
            <w:tcW w:w="660" w:type="dxa"/>
            <w:vAlign w:val="bottom"/>
          </w:tcPr>
          <w:p>
            <w:pPr>
              <w:jc w:val="center"/>
              <w:ind w:left="18"/>
              <w:spacing w:after="0" w:line="133" w:lineRule="exact"/>
              <w:rPr>
                <w:sz w:val="20"/>
                <w:szCs w:val="20"/>
                <w:color w:val="auto"/>
              </w:rPr>
            </w:pPr>
            <w:r>
              <w:rPr>
                <w:rFonts w:ascii="Arial" w:cs="Arial" w:eastAsia="Arial" w:hAnsi="Arial"/>
                <w:sz w:val="12"/>
                <w:szCs w:val="12"/>
                <w:color w:val="auto"/>
                <w:w w:val="91"/>
              </w:rPr>
              <w:t>Related</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7"/>
              </w:rPr>
              <w:t>104(e)</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4"/>
              </w:rPr>
              <w:t>Under Section</w:t>
            </w:r>
          </w:p>
        </w:tc>
        <w:tc>
          <w:tcPr>
            <w:tcW w:w="700" w:type="dxa"/>
            <w:vAlign w:val="bottom"/>
          </w:tcPr>
          <w:p>
            <w:pPr>
              <w:ind w:left="60"/>
              <w:spacing w:after="0" w:line="133" w:lineRule="exact"/>
              <w:rPr>
                <w:sz w:val="20"/>
                <w:szCs w:val="20"/>
                <w:color w:val="auto"/>
              </w:rPr>
            </w:pPr>
            <w:r>
              <w:rPr>
                <w:rFonts w:ascii="Arial" w:cs="Arial" w:eastAsia="Arial" w:hAnsi="Arial"/>
                <w:sz w:val="12"/>
                <w:szCs w:val="12"/>
                <w:color w:val="auto"/>
              </w:rPr>
              <w:t>Last Day of</w:t>
            </w:r>
          </w:p>
        </w:tc>
        <w:tc>
          <w:tcPr>
            <w:tcW w:w="780" w:type="dxa"/>
            <w:vAlign w:val="bottom"/>
          </w:tcPr>
          <w:p>
            <w:pPr>
              <w:jc w:val="center"/>
              <w:spacing w:after="0" w:line="133" w:lineRule="exact"/>
              <w:rPr>
                <w:sz w:val="20"/>
                <w:szCs w:val="20"/>
                <w:color w:val="auto"/>
              </w:rPr>
            </w:pPr>
            <w:r>
              <w:rPr>
                <w:rFonts w:ascii="Arial" w:cs="Arial" w:eastAsia="Arial" w:hAnsi="Arial"/>
                <w:sz w:val="12"/>
                <w:szCs w:val="12"/>
                <w:color w:val="auto"/>
                <w:w w:val="95"/>
              </w:rPr>
              <w:t>Initiated</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rPr>
              <w:t>During</w:t>
            </w:r>
          </w:p>
        </w:tc>
        <w:tc>
          <w:tcPr>
            <w:tcW w:w="0" w:type="dxa"/>
            <w:vAlign w:val="bottom"/>
          </w:tcPr>
          <w:p>
            <w:pPr>
              <w:spacing w:after="0"/>
              <w:rPr>
                <w:sz w:val="1"/>
                <w:szCs w:val="1"/>
                <w:color w:val="auto"/>
              </w:rPr>
            </w:pPr>
          </w:p>
        </w:tc>
      </w:tr>
      <w:tr>
        <w:trPr>
          <w:trHeight w:val="147"/>
        </w:trPr>
        <w:tc>
          <w:tcPr>
            <w:tcW w:w="1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780" w:type="dxa"/>
            <w:vAlign w:val="bottom"/>
            <w:tcBorders>
              <w:bottom w:val="single" w:sz="8" w:color="auto"/>
            </w:tcBorders>
          </w:tcPr>
          <w:p>
            <w:pPr>
              <w:jc w:val="center"/>
              <w:ind w:left="78"/>
              <w:spacing w:after="0"/>
              <w:rPr>
                <w:sz w:val="20"/>
                <w:szCs w:val="20"/>
                <w:color w:val="auto"/>
              </w:rPr>
            </w:pPr>
            <w:r>
              <w:rPr>
                <w:rFonts w:ascii="Arial" w:cs="Arial" w:eastAsia="Arial" w:hAnsi="Arial"/>
                <w:sz w:val="12"/>
                <w:szCs w:val="12"/>
                <w:color w:val="auto"/>
                <w:w w:val="94"/>
              </w:rPr>
              <w:t>Citations</w:t>
            </w: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Orders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Orders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 Violations</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Orders</w:t>
            </w: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w w:val="91"/>
              </w:rPr>
              <w:t xml:space="preserve">Assessments </w:t>
            </w:r>
            <w:r>
              <w:rPr>
                <w:rFonts w:ascii="Arial" w:cs="Arial" w:eastAsia="Arial" w:hAnsi="Arial"/>
                <w:sz w:val="10"/>
                <w:szCs w:val="10"/>
                <w:color w:val="auto"/>
                <w:w w:val="91"/>
              </w:rPr>
              <w:t>(1)</w:t>
            </w:r>
          </w:p>
        </w:tc>
        <w:tc>
          <w:tcPr>
            <w:tcW w:w="66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5"/>
              </w:rPr>
              <w:t>Fatalities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104(e) (yes/no)</w:t>
            </w: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Period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During Period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780" w:type="dxa"/>
            <w:vAlign w:val="bottom"/>
          </w:tcPr>
          <w:p>
            <w:pPr>
              <w:jc w:val="right"/>
              <w:ind w:right="538"/>
              <w:spacing w:after="0"/>
              <w:rPr>
                <w:sz w:val="20"/>
                <w:szCs w:val="20"/>
                <w:color w:val="auto"/>
              </w:rPr>
            </w:pPr>
            <w:r>
              <w:rPr>
                <w:rFonts w:ascii="Arial" w:cs="Arial" w:eastAsia="Arial" w:hAnsi="Arial"/>
                <w:sz w:val="12"/>
                <w:szCs w:val="12"/>
                <w:color w:val="auto"/>
              </w:rPr>
              <w:t>0</w:t>
            </w:r>
          </w:p>
        </w:tc>
        <w:tc>
          <w:tcPr>
            <w:tcW w:w="820" w:type="dxa"/>
            <w:vAlign w:val="bottom"/>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tcPr>
          <w:p>
            <w:pPr>
              <w:ind w:left="120"/>
              <w:spacing w:after="0"/>
              <w:rPr>
                <w:sz w:val="20"/>
                <w:szCs w:val="20"/>
                <w:color w:val="auto"/>
              </w:rPr>
            </w:pPr>
            <w:r>
              <w:rPr>
                <w:rFonts w:ascii="Arial" w:cs="Arial" w:eastAsia="Arial" w:hAnsi="Arial"/>
                <w:sz w:val="12"/>
                <w:szCs w:val="12"/>
                <w:color w:val="auto"/>
              </w:rPr>
              <w:t>$118</w:t>
            </w:r>
          </w:p>
        </w:tc>
        <w:tc>
          <w:tcPr>
            <w:tcW w:w="660" w:type="dxa"/>
            <w:vAlign w:val="bottom"/>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tcPr>
          <w:p>
            <w:pPr>
              <w:ind w:left="60"/>
              <w:spacing w:after="0"/>
              <w:rPr>
                <w:sz w:val="20"/>
                <w:szCs w:val="20"/>
                <w:color w:val="auto"/>
              </w:rPr>
            </w:pPr>
            <w:r>
              <w:rPr>
                <w:rFonts w:ascii="Arial" w:cs="Arial" w:eastAsia="Arial" w:hAnsi="Arial"/>
                <w:sz w:val="12"/>
                <w:szCs w:val="12"/>
                <w:color w:val="auto"/>
              </w:rPr>
              <w:t>N</w:t>
            </w:r>
          </w:p>
        </w:tc>
        <w:tc>
          <w:tcPr>
            <w:tcW w:w="840" w:type="dxa"/>
            <w:vAlign w:val="bottom"/>
          </w:tcPr>
          <w:p>
            <w:pPr>
              <w:spacing w:after="0"/>
              <w:rPr>
                <w:sz w:val="20"/>
                <w:szCs w:val="20"/>
                <w:color w:val="auto"/>
              </w:rPr>
            </w:pPr>
            <w:r>
              <w:rPr>
                <w:rFonts w:ascii="Arial" w:cs="Arial" w:eastAsia="Arial" w:hAnsi="Arial"/>
                <w:sz w:val="12"/>
                <w:szCs w:val="12"/>
                <w:color w:val="auto"/>
              </w:rPr>
              <w:t>N</w:t>
            </w:r>
          </w:p>
        </w:tc>
        <w:tc>
          <w:tcPr>
            <w:tcW w:w="700" w:type="dxa"/>
            <w:vAlign w:val="bottom"/>
          </w:tcPr>
          <w:p>
            <w:pPr>
              <w:spacing w:after="0"/>
              <w:rPr>
                <w:sz w:val="20"/>
                <w:szCs w:val="20"/>
                <w:color w:val="auto"/>
              </w:rPr>
            </w:pPr>
            <w:r>
              <w:rPr>
                <w:rFonts w:ascii="Arial" w:cs="Arial" w:eastAsia="Arial" w:hAnsi="Arial"/>
                <w:sz w:val="12"/>
                <w:szCs w:val="12"/>
                <w:color w:val="auto"/>
              </w:rPr>
              <w:t>0</w:t>
            </w:r>
          </w:p>
        </w:tc>
        <w:tc>
          <w:tcPr>
            <w:tcW w:w="780" w:type="dxa"/>
            <w:vAlign w:val="bottom"/>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72"/>
        </w:trPr>
        <w:tc>
          <w:tcPr>
            <w:tcW w:w="2720" w:type="dxa"/>
            <w:vAlign w:val="bottom"/>
            <w:gridSpan w:val="2"/>
          </w:tcPr>
          <w:p>
            <w:pPr>
              <w:spacing w:after="0"/>
              <w:rPr>
                <w:sz w:val="20"/>
                <w:szCs w:val="20"/>
                <w:color w:val="auto"/>
              </w:rPr>
            </w:pPr>
            <w:r>
              <w:rPr>
                <w:rFonts w:ascii="Arial" w:cs="Arial" w:eastAsia="Arial" w:hAnsi="Arial"/>
                <w:sz w:val="12"/>
                <w:szCs w:val="12"/>
                <w:color w:val="auto"/>
              </w:rPr>
              <w:t>Battle Mountain Grinding Plant/26008280</w:t>
            </w:r>
          </w:p>
        </w:tc>
        <w:tc>
          <w:tcPr>
            <w:tcW w:w="820" w:type="dxa"/>
            <w:vAlign w:val="bottom"/>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tcPr>
          <w:p>
            <w:pPr>
              <w:ind w:left="120"/>
              <w:spacing w:after="0"/>
              <w:rPr>
                <w:sz w:val="20"/>
                <w:szCs w:val="20"/>
                <w:color w:val="auto"/>
              </w:rPr>
            </w:pPr>
            <w:r>
              <w:rPr>
                <w:rFonts w:ascii="Arial" w:cs="Arial" w:eastAsia="Arial" w:hAnsi="Arial"/>
                <w:sz w:val="12"/>
                <w:szCs w:val="12"/>
                <w:color w:val="auto"/>
              </w:rPr>
              <w:t>$118</w:t>
            </w:r>
          </w:p>
        </w:tc>
        <w:tc>
          <w:tcPr>
            <w:tcW w:w="660" w:type="dxa"/>
            <w:vAlign w:val="bottom"/>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tcPr>
          <w:p>
            <w:pPr>
              <w:ind w:left="60"/>
              <w:spacing w:after="0"/>
              <w:rPr>
                <w:sz w:val="20"/>
                <w:szCs w:val="20"/>
                <w:color w:val="auto"/>
              </w:rPr>
            </w:pPr>
            <w:r>
              <w:rPr>
                <w:rFonts w:ascii="Arial" w:cs="Arial" w:eastAsia="Arial" w:hAnsi="Arial"/>
                <w:sz w:val="12"/>
                <w:szCs w:val="12"/>
                <w:color w:val="auto"/>
              </w:rPr>
              <w:t>N</w:t>
            </w:r>
          </w:p>
        </w:tc>
        <w:tc>
          <w:tcPr>
            <w:tcW w:w="840" w:type="dxa"/>
            <w:vAlign w:val="bottom"/>
          </w:tcPr>
          <w:p>
            <w:pPr>
              <w:spacing w:after="0"/>
              <w:rPr>
                <w:sz w:val="20"/>
                <w:szCs w:val="20"/>
                <w:color w:val="auto"/>
              </w:rPr>
            </w:pPr>
            <w:r>
              <w:rPr>
                <w:rFonts w:ascii="Arial" w:cs="Arial" w:eastAsia="Arial" w:hAnsi="Arial"/>
                <w:sz w:val="12"/>
                <w:szCs w:val="12"/>
                <w:color w:val="auto"/>
              </w:rPr>
              <w:t>N</w:t>
            </w:r>
          </w:p>
        </w:tc>
        <w:tc>
          <w:tcPr>
            <w:tcW w:w="700" w:type="dxa"/>
            <w:vAlign w:val="bottom"/>
          </w:tcPr>
          <w:p>
            <w:pPr>
              <w:spacing w:after="0"/>
              <w:rPr>
                <w:sz w:val="20"/>
                <w:szCs w:val="20"/>
                <w:color w:val="auto"/>
              </w:rPr>
            </w:pPr>
            <w:r>
              <w:rPr>
                <w:rFonts w:ascii="Arial" w:cs="Arial" w:eastAsia="Arial" w:hAnsi="Arial"/>
                <w:sz w:val="12"/>
                <w:szCs w:val="12"/>
                <w:color w:val="auto"/>
              </w:rPr>
              <w:t>0</w:t>
            </w:r>
          </w:p>
        </w:tc>
        <w:tc>
          <w:tcPr>
            <w:tcW w:w="780" w:type="dxa"/>
            <w:vAlign w:val="bottom"/>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48"/>
        </w:trPr>
        <w:tc>
          <w:tcPr>
            <w:tcW w:w="1940" w:type="dxa"/>
            <w:vAlign w:val="bottom"/>
          </w:tcPr>
          <w:p>
            <w:pPr>
              <w:spacing w:after="0"/>
              <w:rPr>
                <w:sz w:val="20"/>
                <w:szCs w:val="20"/>
                <w:color w:val="auto"/>
              </w:rPr>
            </w:pPr>
            <w:r>
              <w:rPr>
                <w:rFonts w:ascii="Arial" w:cs="Arial" w:eastAsia="Arial" w:hAnsi="Arial"/>
                <w:sz w:val="12"/>
                <w:szCs w:val="12"/>
                <w:color w:val="auto"/>
              </w:rPr>
              <w:t>Galveston GBT Barite Grinding</w:t>
            </w:r>
          </w:p>
        </w:tc>
        <w:tc>
          <w:tcPr>
            <w:tcW w:w="780" w:type="dxa"/>
            <w:vAlign w:val="bottom"/>
            <w:vMerge w:val="restart"/>
          </w:tcPr>
          <w:p>
            <w:pPr>
              <w:jc w:val="right"/>
              <w:ind w:right="538"/>
              <w:spacing w:after="0"/>
              <w:rPr>
                <w:sz w:val="20"/>
                <w:szCs w:val="20"/>
                <w:color w:val="auto"/>
              </w:rPr>
            </w:pPr>
            <w:r>
              <w:rPr>
                <w:rFonts w:ascii="Arial" w:cs="Arial" w:eastAsia="Arial" w:hAnsi="Arial"/>
                <w:sz w:val="12"/>
                <w:szCs w:val="12"/>
                <w:color w:val="auto"/>
              </w:rPr>
              <w:t>0</w:t>
            </w:r>
          </w:p>
        </w:tc>
        <w:tc>
          <w:tcPr>
            <w:tcW w:w="820" w:type="dxa"/>
            <w:vAlign w:val="bottom"/>
            <w:vMerge w:val="restart"/>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$472</w:t>
            </w:r>
          </w:p>
        </w:tc>
        <w:tc>
          <w:tcPr>
            <w:tcW w:w="660" w:type="dxa"/>
            <w:vAlign w:val="bottom"/>
            <w:vMerge w:val="restart"/>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ind w:left="60"/>
              <w:spacing w:after="0"/>
              <w:rPr>
                <w:sz w:val="20"/>
                <w:szCs w:val="20"/>
                <w:color w:val="auto"/>
              </w:rPr>
            </w:pPr>
            <w:r>
              <w:rPr>
                <w:rFonts w:ascii="Arial" w:cs="Arial" w:eastAsia="Arial" w:hAnsi="Arial"/>
                <w:sz w:val="12"/>
                <w:szCs w:val="12"/>
                <w:color w:val="auto"/>
              </w:rPr>
              <w:t>N</w:t>
            </w:r>
          </w:p>
        </w:tc>
        <w:tc>
          <w:tcPr>
            <w:tcW w:w="840" w:type="dxa"/>
            <w:vAlign w:val="bottom"/>
            <w:vMerge w:val="restart"/>
          </w:tcPr>
          <w:p>
            <w:pP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spacing w:after="0"/>
              <w:rPr>
                <w:sz w:val="20"/>
                <w:szCs w:val="20"/>
                <w:color w:val="auto"/>
              </w:rPr>
            </w:pPr>
            <w:r>
              <w:rPr>
                <w:rFonts w:ascii="Arial" w:cs="Arial" w:eastAsia="Arial" w:hAnsi="Arial"/>
                <w:sz w:val="12"/>
                <w:szCs w:val="12"/>
                <w:color w:val="auto"/>
              </w:rPr>
              <w:t>0</w:t>
            </w:r>
          </w:p>
        </w:tc>
        <w:tc>
          <w:tcPr>
            <w:tcW w:w="780" w:type="dxa"/>
            <w:vAlign w:val="bottom"/>
            <w:vMerge w:val="restart"/>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40" w:type="dxa"/>
            <w:vAlign w:val="bottom"/>
            <w:vMerge w:val="restart"/>
          </w:tcPr>
          <w:p>
            <w:pPr>
              <w:spacing w:after="0"/>
              <w:rPr>
                <w:sz w:val="20"/>
                <w:szCs w:val="20"/>
                <w:color w:val="auto"/>
              </w:rPr>
            </w:pPr>
            <w:r>
              <w:rPr>
                <w:rFonts w:ascii="Arial" w:cs="Arial" w:eastAsia="Arial" w:hAnsi="Arial"/>
                <w:sz w:val="12"/>
                <w:szCs w:val="12"/>
                <w:color w:val="auto"/>
              </w:rPr>
              <w:t>Plant/4104675</w:t>
            </w: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940" w:type="dxa"/>
            <w:vAlign w:val="bottom"/>
          </w:tcPr>
          <w:p>
            <w:pPr>
              <w:spacing w:after="0"/>
              <w:rPr>
                <w:sz w:val="20"/>
                <w:szCs w:val="20"/>
                <w:color w:val="auto"/>
              </w:rPr>
            </w:pPr>
            <w:r>
              <w:rPr>
                <w:rFonts w:ascii="Arial" w:cs="Arial" w:eastAsia="Arial" w:hAnsi="Arial"/>
                <w:sz w:val="12"/>
                <w:szCs w:val="12"/>
                <w:color w:val="auto"/>
              </w:rPr>
              <w:t>Greybull Milling Operation/4800602</w:t>
            </w:r>
          </w:p>
        </w:tc>
        <w:tc>
          <w:tcPr>
            <w:tcW w:w="780" w:type="dxa"/>
            <w:vAlign w:val="bottom"/>
          </w:tcPr>
          <w:p>
            <w:pPr>
              <w:jc w:val="right"/>
              <w:ind w:right="538"/>
              <w:spacing w:after="0"/>
              <w:rPr>
                <w:sz w:val="20"/>
                <w:szCs w:val="20"/>
                <w:color w:val="auto"/>
              </w:rPr>
            </w:pPr>
            <w:r>
              <w:rPr>
                <w:rFonts w:ascii="Arial" w:cs="Arial" w:eastAsia="Arial" w:hAnsi="Arial"/>
                <w:sz w:val="12"/>
                <w:szCs w:val="12"/>
                <w:color w:val="auto"/>
              </w:rPr>
              <w:t>1</w:t>
            </w:r>
          </w:p>
        </w:tc>
        <w:tc>
          <w:tcPr>
            <w:tcW w:w="820" w:type="dxa"/>
            <w:vAlign w:val="bottom"/>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tcPr>
          <w:p>
            <w:pPr>
              <w:ind w:left="120"/>
              <w:spacing w:after="0"/>
              <w:rPr>
                <w:sz w:val="20"/>
                <w:szCs w:val="20"/>
                <w:color w:val="auto"/>
              </w:rPr>
            </w:pPr>
            <w:r>
              <w:rPr>
                <w:rFonts w:ascii="Arial" w:cs="Arial" w:eastAsia="Arial" w:hAnsi="Arial"/>
                <w:sz w:val="12"/>
                <w:szCs w:val="12"/>
                <w:color w:val="auto"/>
              </w:rPr>
              <w:t>*$708</w:t>
            </w:r>
          </w:p>
        </w:tc>
        <w:tc>
          <w:tcPr>
            <w:tcW w:w="660" w:type="dxa"/>
            <w:vAlign w:val="bottom"/>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tcPr>
          <w:p>
            <w:pPr>
              <w:ind w:left="60"/>
              <w:spacing w:after="0"/>
              <w:rPr>
                <w:sz w:val="20"/>
                <w:szCs w:val="20"/>
                <w:color w:val="auto"/>
              </w:rPr>
            </w:pPr>
            <w:r>
              <w:rPr>
                <w:rFonts w:ascii="Arial" w:cs="Arial" w:eastAsia="Arial" w:hAnsi="Arial"/>
                <w:sz w:val="12"/>
                <w:szCs w:val="12"/>
                <w:color w:val="auto"/>
              </w:rPr>
              <w:t>N</w:t>
            </w:r>
          </w:p>
        </w:tc>
        <w:tc>
          <w:tcPr>
            <w:tcW w:w="840" w:type="dxa"/>
            <w:vAlign w:val="bottom"/>
          </w:tcPr>
          <w:p>
            <w:pPr>
              <w:spacing w:after="0"/>
              <w:rPr>
                <w:sz w:val="20"/>
                <w:szCs w:val="20"/>
                <w:color w:val="auto"/>
              </w:rPr>
            </w:pPr>
            <w:r>
              <w:rPr>
                <w:rFonts w:ascii="Arial" w:cs="Arial" w:eastAsia="Arial" w:hAnsi="Arial"/>
                <w:sz w:val="12"/>
                <w:szCs w:val="12"/>
                <w:color w:val="auto"/>
              </w:rPr>
              <w:t>N</w:t>
            </w:r>
          </w:p>
        </w:tc>
        <w:tc>
          <w:tcPr>
            <w:tcW w:w="700" w:type="dxa"/>
            <w:vAlign w:val="bottom"/>
          </w:tcPr>
          <w:p>
            <w:pPr>
              <w:spacing w:after="0"/>
              <w:rPr>
                <w:sz w:val="20"/>
                <w:szCs w:val="20"/>
                <w:color w:val="auto"/>
              </w:rPr>
            </w:pPr>
            <w:r>
              <w:rPr>
                <w:rFonts w:ascii="Arial" w:cs="Arial" w:eastAsia="Arial" w:hAnsi="Arial"/>
                <w:sz w:val="12"/>
                <w:szCs w:val="12"/>
                <w:color w:val="auto"/>
              </w:rPr>
              <w:t>0</w:t>
            </w:r>
          </w:p>
        </w:tc>
        <w:tc>
          <w:tcPr>
            <w:tcW w:w="780" w:type="dxa"/>
            <w:vAlign w:val="bottom"/>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438"/>
        </w:trPr>
        <w:tc>
          <w:tcPr>
            <w:tcW w:w="1940" w:type="dxa"/>
            <w:vAlign w:val="bottom"/>
          </w:tcPr>
          <w:p>
            <w:pPr>
              <w:spacing w:after="0"/>
              <w:rPr>
                <w:sz w:val="20"/>
                <w:szCs w:val="20"/>
                <w:color w:val="auto"/>
              </w:rPr>
            </w:pPr>
            <w:r>
              <w:rPr>
                <w:rFonts w:ascii="Arial" w:cs="Arial" w:eastAsia="Arial" w:hAnsi="Arial"/>
                <w:sz w:val="12"/>
                <w:szCs w:val="12"/>
                <w:color w:val="auto"/>
              </w:rPr>
              <w:t>Greybull Mining Operation/4800603</w:t>
            </w:r>
          </w:p>
        </w:tc>
        <w:tc>
          <w:tcPr>
            <w:tcW w:w="780" w:type="dxa"/>
            <w:vAlign w:val="bottom"/>
          </w:tcPr>
          <w:p>
            <w:pPr>
              <w:jc w:val="right"/>
              <w:ind w:right="538"/>
              <w:spacing w:after="0"/>
              <w:rPr>
                <w:sz w:val="20"/>
                <w:szCs w:val="20"/>
                <w:color w:val="auto"/>
              </w:rPr>
            </w:pPr>
            <w:r>
              <w:rPr>
                <w:rFonts w:ascii="Arial" w:cs="Arial" w:eastAsia="Arial" w:hAnsi="Arial"/>
                <w:sz w:val="12"/>
                <w:szCs w:val="12"/>
                <w:color w:val="auto"/>
              </w:rPr>
              <w:t>0</w:t>
            </w:r>
          </w:p>
        </w:tc>
        <w:tc>
          <w:tcPr>
            <w:tcW w:w="820" w:type="dxa"/>
            <w:vAlign w:val="bottom"/>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tcPr>
          <w:p>
            <w:pPr>
              <w:ind w:left="120"/>
              <w:spacing w:after="0"/>
              <w:rPr>
                <w:sz w:val="20"/>
                <w:szCs w:val="20"/>
                <w:color w:val="auto"/>
              </w:rPr>
            </w:pPr>
            <w:r>
              <w:rPr>
                <w:rFonts w:ascii="Arial" w:cs="Arial" w:eastAsia="Arial" w:hAnsi="Arial"/>
                <w:sz w:val="12"/>
                <w:szCs w:val="12"/>
                <w:color w:val="auto"/>
              </w:rPr>
              <w:t>$118</w:t>
            </w:r>
          </w:p>
        </w:tc>
        <w:tc>
          <w:tcPr>
            <w:tcW w:w="660" w:type="dxa"/>
            <w:vAlign w:val="bottom"/>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tcPr>
          <w:p>
            <w:pPr>
              <w:ind w:left="60"/>
              <w:spacing w:after="0"/>
              <w:rPr>
                <w:sz w:val="20"/>
                <w:szCs w:val="20"/>
                <w:color w:val="auto"/>
              </w:rPr>
            </w:pPr>
            <w:r>
              <w:rPr>
                <w:rFonts w:ascii="Arial" w:cs="Arial" w:eastAsia="Arial" w:hAnsi="Arial"/>
                <w:sz w:val="12"/>
                <w:szCs w:val="12"/>
                <w:color w:val="auto"/>
              </w:rPr>
              <w:t>N</w:t>
            </w:r>
          </w:p>
        </w:tc>
        <w:tc>
          <w:tcPr>
            <w:tcW w:w="840" w:type="dxa"/>
            <w:vAlign w:val="bottom"/>
          </w:tcPr>
          <w:p>
            <w:pPr>
              <w:spacing w:after="0"/>
              <w:rPr>
                <w:sz w:val="20"/>
                <w:szCs w:val="20"/>
                <w:color w:val="auto"/>
              </w:rPr>
            </w:pPr>
            <w:r>
              <w:rPr>
                <w:rFonts w:ascii="Arial" w:cs="Arial" w:eastAsia="Arial" w:hAnsi="Arial"/>
                <w:sz w:val="12"/>
                <w:szCs w:val="12"/>
                <w:color w:val="auto"/>
              </w:rPr>
              <w:t>N</w:t>
            </w:r>
          </w:p>
        </w:tc>
        <w:tc>
          <w:tcPr>
            <w:tcW w:w="700" w:type="dxa"/>
            <w:vAlign w:val="bottom"/>
          </w:tcPr>
          <w:p>
            <w:pPr>
              <w:spacing w:after="0"/>
              <w:rPr>
                <w:sz w:val="20"/>
                <w:szCs w:val="20"/>
                <w:color w:val="auto"/>
              </w:rPr>
            </w:pPr>
            <w:r>
              <w:rPr>
                <w:rFonts w:ascii="Arial" w:cs="Arial" w:eastAsia="Arial" w:hAnsi="Arial"/>
                <w:sz w:val="12"/>
                <w:szCs w:val="12"/>
                <w:color w:val="auto"/>
              </w:rPr>
              <w:t>0</w:t>
            </w:r>
          </w:p>
        </w:tc>
        <w:tc>
          <w:tcPr>
            <w:tcW w:w="780" w:type="dxa"/>
            <w:vAlign w:val="bottom"/>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72"/>
        </w:trPr>
        <w:tc>
          <w:tcPr>
            <w:tcW w:w="1940" w:type="dxa"/>
            <w:vAlign w:val="bottom"/>
          </w:tcPr>
          <w:p>
            <w:pPr>
              <w:spacing w:after="0"/>
              <w:rPr>
                <w:sz w:val="20"/>
                <w:szCs w:val="20"/>
                <w:color w:val="auto"/>
              </w:rPr>
            </w:pPr>
            <w:r>
              <w:rPr>
                <w:rFonts w:ascii="Arial" w:cs="Arial" w:eastAsia="Arial" w:hAnsi="Arial"/>
                <w:sz w:val="12"/>
                <w:szCs w:val="12"/>
                <w:color w:val="auto"/>
              </w:rPr>
              <w:t>Greystone Mine/2600411</w:t>
            </w:r>
          </w:p>
        </w:tc>
        <w:tc>
          <w:tcPr>
            <w:tcW w:w="780" w:type="dxa"/>
            <w:vAlign w:val="bottom"/>
          </w:tcPr>
          <w:p>
            <w:pPr>
              <w:jc w:val="right"/>
              <w:ind w:right="538"/>
              <w:spacing w:after="0"/>
              <w:rPr>
                <w:sz w:val="20"/>
                <w:szCs w:val="20"/>
                <w:color w:val="auto"/>
              </w:rPr>
            </w:pPr>
            <w:r>
              <w:rPr>
                <w:rFonts w:ascii="Arial" w:cs="Arial" w:eastAsia="Arial" w:hAnsi="Arial"/>
                <w:sz w:val="12"/>
                <w:szCs w:val="12"/>
                <w:color w:val="auto"/>
              </w:rPr>
              <w:t>0</w:t>
            </w:r>
          </w:p>
        </w:tc>
        <w:tc>
          <w:tcPr>
            <w:tcW w:w="820" w:type="dxa"/>
            <w:vAlign w:val="bottom"/>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tcPr>
          <w:p>
            <w:pPr>
              <w:ind w:left="120"/>
              <w:spacing w:after="0"/>
              <w:rPr>
                <w:sz w:val="20"/>
                <w:szCs w:val="20"/>
                <w:color w:val="auto"/>
              </w:rPr>
            </w:pPr>
            <w:r>
              <w:rPr>
                <w:rFonts w:ascii="Arial" w:cs="Arial" w:eastAsia="Arial" w:hAnsi="Arial"/>
                <w:sz w:val="12"/>
                <w:szCs w:val="12"/>
                <w:color w:val="auto"/>
              </w:rPr>
              <w:t>$118</w:t>
            </w:r>
          </w:p>
        </w:tc>
        <w:tc>
          <w:tcPr>
            <w:tcW w:w="660" w:type="dxa"/>
            <w:vAlign w:val="bottom"/>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tcPr>
          <w:p>
            <w:pPr>
              <w:ind w:left="60"/>
              <w:spacing w:after="0"/>
              <w:rPr>
                <w:sz w:val="20"/>
                <w:szCs w:val="20"/>
                <w:color w:val="auto"/>
              </w:rPr>
            </w:pPr>
            <w:r>
              <w:rPr>
                <w:rFonts w:ascii="Arial" w:cs="Arial" w:eastAsia="Arial" w:hAnsi="Arial"/>
                <w:sz w:val="12"/>
                <w:szCs w:val="12"/>
                <w:color w:val="auto"/>
              </w:rPr>
              <w:t>N</w:t>
            </w:r>
          </w:p>
        </w:tc>
        <w:tc>
          <w:tcPr>
            <w:tcW w:w="840" w:type="dxa"/>
            <w:vAlign w:val="bottom"/>
          </w:tcPr>
          <w:p>
            <w:pPr>
              <w:spacing w:after="0"/>
              <w:rPr>
                <w:sz w:val="20"/>
                <w:szCs w:val="20"/>
                <w:color w:val="auto"/>
              </w:rPr>
            </w:pPr>
            <w:r>
              <w:rPr>
                <w:rFonts w:ascii="Arial" w:cs="Arial" w:eastAsia="Arial" w:hAnsi="Arial"/>
                <w:sz w:val="12"/>
                <w:szCs w:val="12"/>
                <w:color w:val="auto"/>
              </w:rPr>
              <w:t>N</w:t>
            </w:r>
          </w:p>
        </w:tc>
        <w:tc>
          <w:tcPr>
            <w:tcW w:w="700" w:type="dxa"/>
            <w:vAlign w:val="bottom"/>
          </w:tcPr>
          <w:p>
            <w:pPr>
              <w:spacing w:after="0"/>
              <w:rPr>
                <w:sz w:val="20"/>
                <w:szCs w:val="20"/>
                <w:color w:val="auto"/>
              </w:rPr>
            </w:pPr>
            <w:r>
              <w:rPr>
                <w:rFonts w:ascii="Arial" w:cs="Arial" w:eastAsia="Arial" w:hAnsi="Arial"/>
                <w:sz w:val="12"/>
                <w:szCs w:val="12"/>
                <w:color w:val="auto"/>
              </w:rPr>
              <w:t>0</w:t>
            </w:r>
          </w:p>
        </w:tc>
        <w:tc>
          <w:tcPr>
            <w:tcW w:w="780" w:type="dxa"/>
            <w:vAlign w:val="bottom"/>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780" w:type="dxa"/>
            <w:vAlign w:val="bottom"/>
            <w:vMerge w:val="restart"/>
          </w:tcPr>
          <w:p>
            <w:pPr>
              <w:jc w:val="right"/>
              <w:ind w:right="538"/>
              <w:spacing w:after="0"/>
              <w:rPr>
                <w:sz w:val="20"/>
                <w:szCs w:val="20"/>
                <w:color w:val="auto"/>
              </w:rPr>
            </w:pPr>
            <w:r>
              <w:rPr>
                <w:rFonts w:ascii="Arial" w:cs="Arial" w:eastAsia="Arial" w:hAnsi="Arial"/>
                <w:sz w:val="12"/>
                <w:szCs w:val="12"/>
                <w:color w:val="auto"/>
              </w:rPr>
              <w:t>0</w:t>
            </w:r>
          </w:p>
        </w:tc>
        <w:tc>
          <w:tcPr>
            <w:tcW w:w="820" w:type="dxa"/>
            <w:vAlign w:val="bottom"/>
            <w:vMerge w:val="restart"/>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$0</w:t>
            </w:r>
          </w:p>
        </w:tc>
        <w:tc>
          <w:tcPr>
            <w:tcW w:w="660" w:type="dxa"/>
            <w:vAlign w:val="bottom"/>
            <w:vMerge w:val="restart"/>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ind w:left="60"/>
              <w:spacing w:after="0"/>
              <w:rPr>
                <w:sz w:val="20"/>
                <w:szCs w:val="20"/>
                <w:color w:val="auto"/>
              </w:rPr>
            </w:pPr>
            <w:r>
              <w:rPr>
                <w:rFonts w:ascii="Arial" w:cs="Arial" w:eastAsia="Arial" w:hAnsi="Arial"/>
                <w:sz w:val="12"/>
                <w:szCs w:val="12"/>
                <w:color w:val="auto"/>
              </w:rPr>
              <w:t>N</w:t>
            </w:r>
          </w:p>
        </w:tc>
        <w:tc>
          <w:tcPr>
            <w:tcW w:w="840" w:type="dxa"/>
            <w:vAlign w:val="bottom"/>
            <w:vMerge w:val="restart"/>
          </w:tcPr>
          <w:p>
            <w:pP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spacing w:after="0"/>
              <w:rPr>
                <w:sz w:val="20"/>
                <w:szCs w:val="20"/>
                <w:color w:val="auto"/>
              </w:rPr>
            </w:pPr>
            <w:r>
              <w:rPr>
                <w:rFonts w:ascii="Arial" w:cs="Arial" w:eastAsia="Arial" w:hAnsi="Arial"/>
                <w:sz w:val="12"/>
                <w:szCs w:val="12"/>
                <w:color w:val="auto"/>
              </w:rPr>
              <w:t>0</w:t>
            </w:r>
          </w:p>
        </w:tc>
        <w:tc>
          <w:tcPr>
            <w:tcW w:w="780" w:type="dxa"/>
            <w:vAlign w:val="bottom"/>
            <w:vMerge w:val="restart"/>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40" w:type="dxa"/>
            <w:vAlign w:val="bottom"/>
            <w:vMerge w:val="restart"/>
          </w:tcPr>
          <w:p>
            <w:pPr>
              <w:spacing w:after="0"/>
              <w:rPr>
                <w:sz w:val="20"/>
                <w:szCs w:val="20"/>
                <w:color w:val="auto"/>
              </w:rPr>
            </w:pPr>
            <w:r>
              <w:rPr>
                <w:rFonts w:ascii="Arial" w:cs="Arial" w:eastAsia="Arial" w:hAnsi="Arial"/>
                <w:sz w:val="12"/>
                <w:szCs w:val="12"/>
                <w:color w:val="auto"/>
              </w:rPr>
              <w:t>Plant/2601390</w:t>
            </w: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Arial" w:cs="Arial" w:eastAsia="Arial" w:hAnsi="Arial"/>
                <w:sz w:val="12"/>
                <w:szCs w:val="12"/>
                <w:color w:val="auto"/>
              </w:rPr>
              <w:t>Wisconsin Proppants Hixton</w:t>
            </w:r>
          </w:p>
        </w:tc>
        <w:tc>
          <w:tcPr>
            <w:tcW w:w="780" w:type="dxa"/>
            <w:vAlign w:val="bottom"/>
            <w:vMerge w:val="restart"/>
          </w:tcPr>
          <w:p>
            <w:pPr>
              <w:jc w:val="right"/>
              <w:ind w:right="538"/>
              <w:spacing w:after="0"/>
              <w:rPr>
                <w:sz w:val="20"/>
                <w:szCs w:val="20"/>
                <w:color w:val="auto"/>
              </w:rPr>
            </w:pPr>
            <w:r>
              <w:rPr>
                <w:rFonts w:ascii="Arial" w:cs="Arial" w:eastAsia="Arial" w:hAnsi="Arial"/>
                <w:sz w:val="12"/>
                <w:szCs w:val="12"/>
                <w:color w:val="auto"/>
              </w:rPr>
              <w:t>1</w:t>
            </w:r>
          </w:p>
        </w:tc>
        <w:tc>
          <w:tcPr>
            <w:tcW w:w="820" w:type="dxa"/>
            <w:vAlign w:val="bottom"/>
            <w:vMerge w:val="restart"/>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*$399</w:t>
            </w:r>
          </w:p>
        </w:tc>
        <w:tc>
          <w:tcPr>
            <w:tcW w:w="660" w:type="dxa"/>
            <w:vAlign w:val="bottom"/>
            <w:vMerge w:val="restart"/>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ind w:left="60"/>
              <w:spacing w:after="0"/>
              <w:rPr>
                <w:sz w:val="20"/>
                <w:szCs w:val="20"/>
                <w:color w:val="auto"/>
              </w:rPr>
            </w:pPr>
            <w:r>
              <w:rPr>
                <w:rFonts w:ascii="Arial" w:cs="Arial" w:eastAsia="Arial" w:hAnsi="Arial"/>
                <w:sz w:val="12"/>
                <w:szCs w:val="12"/>
                <w:color w:val="auto"/>
              </w:rPr>
              <w:t>N</w:t>
            </w:r>
          </w:p>
        </w:tc>
        <w:tc>
          <w:tcPr>
            <w:tcW w:w="840" w:type="dxa"/>
            <w:vAlign w:val="bottom"/>
            <w:vMerge w:val="restart"/>
          </w:tcPr>
          <w:p>
            <w:pP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spacing w:after="0"/>
              <w:rPr>
                <w:sz w:val="20"/>
                <w:szCs w:val="20"/>
                <w:color w:val="auto"/>
              </w:rPr>
            </w:pPr>
            <w:r>
              <w:rPr>
                <w:rFonts w:ascii="Arial" w:cs="Arial" w:eastAsia="Arial" w:hAnsi="Arial"/>
                <w:sz w:val="12"/>
                <w:szCs w:val="12"/>
                <w:color w:val="auto"/>
              </w:rPr>
              <w:t>0</w:t>
            </w:r>
          </w:p>
        </w:tc>
        <w:tc>
          <w:tcPr>
            <w:tcW w:w="780" w:type="dxa"/>
            <w:vAlign w:val="bottom"/>
            <w:vMerge w:val="restart"/>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40" w:type="dxa"/>
            <w:vAlign w:val="bottom"/>
            <w:vMerge w:val="restart"/>
          </w:tcPr>
          <w:p>
            <w:pPr>
              <w:spacing w:after="0"/>
              <w:rPr>
                <w:sz w:val="20"/>
                <w:szCs w:val="20"/>
                <w:color w:val="auto"/>
              </w:rPr>
            </w:pPr>
            <w:r>
              <w:rPr>
                <w:rFonts w:ascii="Arial" w:cs="Arial" w:eastAsia="Arial" w:hAnsi="Arial"/>
                <w:sz w:val="12"/>
                <w:szCs w:val="12"/>
                <w:color w:val="auto"/>
              </w:rPr>
              <w:t>Mine/4703742</w:t>
            </w: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Arial" w:cs="Arial" w:eastAsia="Arial" w:hAnsi="Arial"/>
                <w:sz w:val="12"/>
                <w:szCs w:val="12"/>
                <w:color w:val="auto"/>
              </w:rPr>
              <w:t>Wisconsin Proppants Alma</w:t>
            </w:r>
          </w:p>
        </w:tc>
        <w:tc>
          <w:tcPr>
            <w:tcW w:w="780" w:type="dxa"/>
            <w:vAlign w:val="bottom"/>
            <w:vMerge w:val="restart"/>
          </w:tcPr>
          <w:p>
            <w:pPr>
              <w:jc w:val="right"/>
              <w:ind w:right="538"/>
              <w:spacing w:after="0"/>
              <w:rPr>
                <w:sz w:val="20"/>
                <w:szCs w:val="20"/>
                <w:color w:val="auto"/>
              </w:rPr>
            </w:pPr>
            <w:r>
              <w:rPr>
                <w:rFonts w:ascii="Arial" w:cs="Arial" w:eastAsia="Arial" w:hAnsi="Arial"/>
                <w:sz w:val="12"/>
                <w:szCs w:val="12"/>
                <w:color w:val="auto"/>
              </w:rPr>
              <w:t>0</w:t>
            </w:r>
          </w:p>
        </w:tc>
        <w:tc>
          <w:tcPr>
            <w:tcW w:w="820" w:type="dxa"/>
            <w:vAlign w:val="bottom"/>
            <w:vMerge w:val="restart"/>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$0</w:t>
            </w:r>
          </w:p>
        </w:tc>
        <w:tc>
          <w:tcPr>
            <w:tcW w:w="660" w:type="dxa"/>
            <w:vAlign w:val="bottom"/>
            <w:vMerge w:val="restart"/>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ind w:left="60"/>
              <w:spacing w:after="0"/>
              <w:rPr>
                <w:sz w:val="20"/>
                <w:szCs w:val="20"/>
                <w:color w:val="auto"/>
              </w:rPr>
            </w:pPr>
            <w:r>
              <w:rPr>
                <w:rFonts w:ascii="Arial" w:cs="Arial" w:eastAsia="Arial" w:hAnsi="Arial"/>
                <w:sz w:val="12"/>
                <w:szCs w:val="12"/>
                <w:color w:val="auto"/>
              </w:rPr>
              <w:t>N</w:t>
            </w:r>
          </w:p>
        </w:tc>
        <w:tc>
          <w:tcPr>
            <w:tcW w:w="840" w:type="dxa"/>
            <w:vAlign w:val="bottom"/>
            <w:vMerge w:val="restart"/>
          </w:tcPr>
          <w:p>
            <w:pP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spacing w:after="0"/>
              <w:rPr>
                <w:sz w:val="20"/>
                <w:szCs w:val="20"/>
                <w:color w:val="auto"/>
              </w:rPr>
            </w:pPr>
            <w:r>
              <w:rPr>
                <w:rFonts w:ascii="Arial" w:cs="Arial" w:eastAsia="Arial" w:hAnsi="Arial"/>
                <w:sz w:val="12"/>
                <w:szCs w:val="12"/>
                <w:color w:val="auto"/>
              </w:rPr>
              <w:t>0</w:t>
            </w:r>
          </w:p>
        </w:tc>
        <w:tc>
          <w:tcPr>
            <w:tcW w:w="780" w:type="dxa"/>
            <w:vAlign w:val="bottom"/>
            <w:vMerge w:val="restart"/>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40" w:type="dxa"/>
            <w:vAlign w:val="bottom"/>
            <w:vMerge w:val="restart"/>
          </w:tcPr>
          <w:p>
            <w:pPr>
              <w:spacing w:after="0"/>
              <w:rPr>
                <w:sz w:val="20"/>
                <w:szCs w:val="20"/>
                <w:color w:val="auto"/>
              </w:rPr>
            </w:pPr>
            <w:r>
              <w:rPr>
                <w:rFonts w:ascii="Arial" w:cs="Arial" w:eastAsia="Arial" w:hAnsi="Arial"/>
                <w:sz w:val="12"/>
                <w:szCs w:val="12"/>
                <w:color w:val="auto"/>
              </w:rPr>
              <w:t>Mine/4703823</w:t>
            </w: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Arial" w:cs="Arial" w:eastAsia="Arial" w:hAnsi="Arial"/>
                <w:sz w:val="12"/>
                <w:szCs w:val="12"/>
                <w:color w:val="auto"/>
              </w:rPr>
              <w:t>Wisconsin Proppants Monahans</w:t>
            </w:r>
          </w:p>
        </w:tc>
        <w:tc>
          <w:tcPr>
            <w:tcW w:w="780" w:type="dxa"/>
            <w:vAlign w:val="bottom"/>
            <w:vMerge w:val="restart"/>
          </w:tcPr>
          <w:p>
            <w:pPr>
              <w:jc w:val="right"/>
              <w:ind w:right="538"/>
              <w:spacing w:after="0"/>
              <w:rPr>
                <w:sz w:val="20"/>
                <w:szCs w:val="20"/>
                <w:color w:val="auto"/>
              </w:rPr>
            </w:pPr>
            <w:r>
              <w:rPr>
                <w:rFonts w:ascii="Arial" w:cs="Arial" w:eastAsia="Arial" w:hAnsi="Arial"/>
                <w:sz w:val="12"/>
                <w:szCs w:val="12"/>
                <w:color w:val="auto"/>
              </w:rPr>
              <w:t>2</w:t>
            </w:r>
          </w:p>
        </w:tc>
        <w:tc>
          <w:tcPr>
            <w:tcW w:w="820" w:type="dxa"/>
            <w:vAlign w:val="bottom"/>
            <w:vMerge w:val="restart"/>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$774</w:t>
            </w:r>
          </w:p>
        </w:tc>
        <w:tc>
          <w:tcPr>
            <w:tcW w:w="660" w:type="dxa"/>
            <w:vAlign w:val="bottom"/>
            <w:vMerge w:val="restart"/>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ind w:left="60"/>
              <w:spacing w:after="0"/>
              <w:rPr>
                <w:sz w:val="20"/>
                <w:szCs w:val="20"/>
                <w:color w:val="auto"/>
              </w:rPr>
            </w:pPr>
            <w:r>
              <w:rPr>
                <w:rFonts w:ascii="Arial" w:cs="Arial" w:eastAsia="Arial" w:hAnsi="Arial"/>
                <w:sz w:val="12"/>
                <w:szCs w:val="12"/>
                <w:color w:val="auto"/>
              </w:rPr>
              <w:t>N</w:t>
            </w:r>
          </w:p>
        </w:tc>
        <w:tc>
          <w:tcPr>
            <w:tcW w:w="840" w:type="dxa"/>
            <w:vAlign w:val="bottom"/>
            <w:vMerge w:val="restart"/>
          </w:tcPr>
          <w:p>
            <w:pP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spacing w:after="0"/>
              <w:rPr>
                <w:sz w:val="20"/>
                <w:szCs w:val="20"/>
                <w:color w:val="auto"/>
              </w:rPr>
            </w:pPr>
            <w:r>
              <w:rPr>
                <w:rFonts w:ascii="Arial" w:cs="Arial" w:eastAsia="Arial" w:hAnsi="Arial"/>
                <w:sz w:val="12"/>
                <w:szCs w:val="12"/>
                <w:color w:val="auto"/>
              </w:rPr>
              <w:t>0</w:t>
            </w:r>
          </w:p>
        </w:tc>
        <w:tc>
          <w:tcPr>
            <w:tcW w:w="780" w:type="dxa"/>
            <w:vAlign w:val="bottom"/>
            <w:vMerge w:val="restart"/>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40" w:type="dxa"/>
            <w:vAlign w:val="bottom"/>
            <w:vMerge w:val="restart"/>
          </w:tcPr>
          <w:p>
            <w:pPr>
              <w:spacing w:after="0"/>
              <w:rPr>
                <w:sz w:val="20"/>
                <w:szCs w:val="20"/>
                <w:color w:val="auto"/>
              </w:rPr>
            </w:pPr>
            <w:r>
              <w:rPr>
                <w:rFonts w:ascii="Arial" w:cs="Arial" w:eastAsia="Arial" w:hAnsi="Arial"/>
                <w:sz w:val="12"/>
                <w:szCs w:val="12"/>
                <w:color w:val="auto"/>
              </w:rPr>
              <w:t>Mine/4105336</w:t>
            </w: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940" w:type="dxa"/>
            <w:vAlign w:val="bottom"/>
          </w:tcPr>
          <w:p>
            <w:pPr>
              <w:spacing w:after="0"/>
              <w:rPr>
                <w:sz w:val="20"/>
                <w:szCs w:val="20"/>
                <w:color w:val="auto"/>
              </w:rPr>
            </w:pPr>
            <w:r>
              <w:rPr>
                <w:rFonts w:ascii="Arial" w:cs="Arial" w:eastAsia="Arial" w:hAnsi="Arial"/>
                <w:sz w:val="12"/>
                <w:szCs w:val="12"/>
                <w:color w:val="auto"/>
              </w:rPr>
              <w:t>High Roller Sand/4105321</w:t>
            </w:r>
          </w:p>
        </w:tc>
        <w:tc>
          <w:tcPr>
            <w:tcW w:w="780" w:type="dxa"/>
            <w:vAlign w:val="bottom"/>
          </w:tcPr>
          <w:p>
            <w:pPr>
              <w:jc w:val="right"/>
              <w:ind w:right="538"/>
              <w:spacing w:after="0"/>
              <w:rPr>
                <w:sz w:val="20"/>
                <w:szCs w:val="20"/>
                <w:color w:val="auto"/>
              </w:rPr>
            </w:pPr>
            <w:r>
              <w:rPr>
                <w:rFonts w:ascii="Arial" w:cs="Arial" w:eastAsia="Arial" w:hAnsi="Arial"/>
                <w:sz w:val="12"/>
                <w:szCs w:val="12"/>
                <w:color w:val="auto"/>
              </w:rPr>
              <w:t>3</w:t>
            </w:r>
          </w:p>
        </w:tc>
        <w:tc>
          <w:tcPr>
            <w:tcW w:w="820" w:type="dxa"/>
            <w:vAlign w:val="bottom"/>
          </w:tcPr>
          <w:p>
            <w:pPr>
              <w:jc w:val="right"/>
              <w:ind w:right="658"/>
              <w:spacing w:after="0"/>
              <w:rPr>
                <w:sz w:val="20"/>
                <w:szCs w:val="20"/>
                <w:color w:val="auto"/>
              </w:rPr>
            </w:pPr>
            <w:r>
              <w:rPr>
                <w:rFonts w:ascii="Arial" w:cs="Arial" w:eastAsia="Arial" w:hAnsi="Arial"/>
                <w:sz w:val="12"/>
                <w:szCs w:val="12"/>
                <w:color w:val="auto"/>
              </w:rPr>
              <w:t>0</w:t>
            </w:r>
          </w:p>
        </w:tc>
        <w:tc>
          <w:tcPr>
            <w:tcW w:w="840" w:type="dxa"/>
            <w:vAlign w:val="bottom"/>
          </w:tcPr>
          <w:p>
            <w:pPr>
              <w:jc w:val="right"/>
              <w:ind w:right="69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right"/>
              <w:ind w:right="698"/>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1000" w:type="dxa"/>
            <w:vAlign w:val="bottom"/>
          </w:tcPr>
          <w:p>
            <w:pPr>
              <w:ind w:left="120"/>
              <w:spacing w:after="0"/>
              <w:rPr>
                <w:sz w:val="20"/>
                <w:szCs w:val="20"/>
                <w:color w:val="auto"/>
              </w:rPr>
            </w:pPr>
            <w:r>
              <w:rPr>
                <w:rFonts w:ascii="Arial" w:cs="Arial" w:eastAsia="Arial" w:hAnsi="Arial"/>
                <w:sz w:val="12"/>
                <w:szCs w:val="12"/>
                <w:color w:val="auto"/>
              </w:rPr>
              <w:t>$2,056</w:t>
            </w:r>
          </w:p>
        </w:tc>
        <w:tc>
          <w:tcPr>
            <w:tcW w:w="660" w:type="dxa"/>
            <w:vAlign w:val="bottom"/>
          </w:tcPr>
          <w:p>
            <w:pPr>
              <w:jc w:val="right"/>
              <w:ind w:right="518"/>
              <w:spacing w:after="0"/>
              <w:rPr>
                <w:sz w:val="20"/>
                <w:szCs w:val="20"/>
                <w:color w:val="auto"/>
              </w:rPr>
            </w:pPr>
            <w:r>
              <w:rPr>
                <w:rFonts w:ascii="Arial" w:cs="Arial" w:eastAsia="Arial" w:hAnsi="Arial"/>
                <w:sz w:val="12"/>
                <w:szCs w:val="12"/>
                <w:color w:val="auto"/>
                <w:w w:val="89"/>
              </w:rPr>
              <w:t>0</w:t>
            </w:r>
          </w:p>
        </w:tc>
        <w:tc>
          <w:tcPr>
            <w:tcW w:w="800" w:type="dxa"/>
            <w:vAlign w:val="bottom"/>
          </w:tcPr>
          <w:p>
            <w:pPr>
              <w:ind w:left="60"/>
              <w:spacing w:after="0"/>
              <w:rPr>
                <w:sz w:val="20"/>
                <w:szCs w:val="20"/>
                <w:color w:val="auto"/>
              </w:rPr>
            </w:pPr>
            <w:r>
              <w:rPr>
                <w:rFonts w:ascii="Arial" w:cs="Arial" w:eastAsia="Arial" w:hAnsi="Arial"/>
                <w:sz w:val="12"/>
                <w:szCs w:val="12"/>
                <w:color w:val="auto"/>
              </w:rPr>
              <w:t>N</w:t>
            </w:r>
          </w:p>
        </w:tc>
        <w:tc>
          <w:tcPr>
            <w:tcW w:w="840" w:type="dxa"/>
            <w:vAlign w:val="bottom"/>
          </w:tcPr>
          <w:p>
            <w:pPr>
              <w:spacing w:after="0"/>
              <w:rPr>
                <w:sz w:val="20"/>
                <w:szCs w:val="20"/>
                <w:color w:val="auto"/>
              </w:rPr>
            </w:pPr>
            <w:r>
              <w:rPr>
                <w:rFonts w:ascii="Arial" w:cs="Arial" w:eastAsia="Arial" w:hAnsi="Arial"/>
                <w:sz w:val="12"/>
                <w:szCs w:val="12"/>
                <w:color w:val="auto"/>
              </w:rPr>
              <w:t>N</w:t>
            </w:r>
          </w:p>
        </w:tc>
        <w:tc>
          <w:tcPr>
            <w:tcW w:w="700" w:type="dxa"/>
            <w:vAlign w:val="bottom"/>
          </w:tcPr>
          <w:p>
            <w:pPr>
              <w:spacing w:after="0"/>
              <w:rPr>
                <w:sz w:val="20"/>
                <w:szCs w:val="20"/>
                <w:color w:val="auto"/>
              </w:rPr>
            </w:pPr>
            <w:r>
              <w:rPr>
                <w:rFonts w:ascii="Arial" w:cs="Arial" w:eastAsia="Arial" w:hAnsi="Arial"/>
                <w:sz w:val="12"/>
                <w:szCs w:val="12"/>
                <w:color w:val="auto"/>
              </w:rPr>
              <w:t>0</w:t>
            </w:r>
          </w:p>
        </w:tc>
        <w:tc>
          <w:tcPr>
            <w:tcW w:w="780" w:type="dxa"/>
            <w:vAlign w:val="bottom"/>
          </w:tcPr>
          <w:p>
            <w:pPr>
              <w:jc w:val="right"/>
              <w:ind w:right="6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right"/>
              <w:ind w:right="558"/>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00" w:right="40" w:hanging="522"/>
        <w:spacing w:after="0" w:line="268" w:lineRule="auto"/>
        <w:tabs>
          <w:tab w:leader="none" w:pos="90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December 31, 2018, regardless of whether the assessment has been challenged or appealed, for citations and orders occurring during the full year 2018.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*As of January 7, 2019, MSHA had not yet proposed an assessment for (1) S&amp;S citation and (1) non-S&amp;S citation at Greybull Milling Operations/4800602.</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 As of January 7, 2019, MSHA had not yet proposed an assessment for (1) S&amp;S citation and (2) non-S&amp;S citations at Wisconsin Proppants Hixton Mine/4703742.</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C6AFD4"/>
    <w:multiLevelType w:val="hybridMultilevel"/>
    <w:lvl w:ilvl="0">
      <w:lvlJc w:val="left"/>
      <w:lvlText w:val="☑"/>
      <w:numFmt w:val="bullet"/>
      <w:start w:val="1"/>
    </w:lvl>
  </w:abstractNum>
  <w:abstractNum w:abstractNumId="1">
    <w:nsid w:val="19E21BB2"/>
    <w:multiLevelType w:val="hybridMultilevel"/>
    <w:lvl w:ilvl="0">
      <w:lvlJc w:val="left"/>
      <w:lvlText w:val="☐"/>
      <w:numFmt w:val="bullet"/>
      <w:start w:val="1"/>
    </w:lvl>
  </w:abstractNum>
  <w:abstractNum w:abstractNumId="2">
    <w:nsid w:val="75E0858A"/>
    <w:multiLevelType w:val="hybridMultilevel"/>
    <w:lvl w:ilvl="0">
      <w:lvlJc w:val="left"/>
      <w:lvlText w:val="•"/>
      <w:numFmt w:val="bullet"/>
      <w:start w:val="1"/>
    </w:lvl>
  </w:abstractNum>
  <w:abstractNum w:abstractNumId="3">
    <w:nsid w:val="57A61A29"/>
    <w:multiLevelType w:val="hybridMultilevel"/>
    <w:lvl w:ilvl="0">
      <w:lvlJc w:val="left"/>
      <w:lvlText w:val="•"/>
      <w:numFmt w:val="bullet"/>
      <w:start w:val="1"/>
    </w:lvl>
  </w:abstractNum>
  <w:abstractNum w:abstractNumId="4">
    <w:nsid w:val="5399C654"/>
    <w:multiLevelType w:val="hybridMultilevel"/>
    <w:lvl w:ilvl="0">
      <w:lvlJc w:val="left"/>
      <w:lvlText w:val="•"/>
      <w:numFmt w:val="bullet"/>
      <w:start w:val="1"/>
    </w:lvl>
  </w:abstractNum>
  <w:abstractNum w:abstractNumId="5">
    <w:nsid w:val="20EE1348"/>
    <w:multiLevelType w:val="hybridMultilevel"/>
    <w:lvl w:ilvl="0">
      <w:lvlJc w:val="left"/>
      <w:lvlText w:val="•"/>
      <w:numFmt w:val="bullet"/>
      <w:start w:val="1"/>
    </w:lvl>
  </w:abstractNum>
  <w:abstractNum w:abstractNumId="6">
    <w:nsid w:val="4427069A"/>
    <w:multiLevelType w:val="hybridMultilevel"/>
    <w:lvl w:ilvl="0">
      <w:lvlJc w:val="left"/>
      <w:lvlText w:val="•"/>
      <w:numFmt w:val="bullet"/>
      <w:start w:val="1"/>
    </w:lvl>
  </w:abstractNum>
  <w:abstractNum w:abstractNumId="7">
    <w:nsid w:val="B37E80A"/>
    <w:multiLevelType w:val="hybridMultilevel"/>
    <w:lvl w:ilvl="0">
      <w:lvlJc w:val="left"/>
      <w:lvlText w:val="•"/>
      <w:numFmt w:val="bullet"/>
      <w:start w:val="1"/>
    </w:lvl>
  </w:abstractNum>
  <w:abstractNum w:abstractNumId="8">
    <w:nsid w:val="2157F6BC"/>
    <w:multiLevelType w:val="hybridMultilevel"/>
    <w:lvl w:ilvl="0">
      <w:lvlJc w:val="left"/>
      <w:lvlText w:val="●"/>
      <w:numFmt w:val="bullet"/>
      <w:start w:val="1"/>
    </w:lvl>
  </w:abstractNum>
  <w:abstractNum w:abstractNumId="9">
    <w:nsid w:val="704E1DD5"/>
    <w:multiLevelType w:val="hybridMultilevel"/>
    <w:lvl w:ilvl="0">
      <w:lvlJc w:val="left"/>
      <w:lvlText w:val="●"/>
      <w:numFmt w:val="bullet"/>
      <w:start w:val="1"/>
    </w:lvl>
  </w:abstractNum>
  <w:abstractNum w:abstractNumId="10">
    <w:nsid w:val="57D2F10E"/>
    <w:multiLevelType w:val="hybridMultilevel"/>
    <w:lvl w:ilvl="0">
      <w:lvlJc w:val="left"/>
      <w:lvlText w:val="●"/>
      <w:numFmt w:val="bullet"/>
      <w:start w:val="1"/>
    </w:lvl>
  </w:abstractNum>
  <w:abstractNum w:abstractNumId="11">
    <w:nsid w:val="BFFAE18"/>
    <w:multiLevelType w:val="hybridMultilevel"/>
    <w:lvl w:ilvl="0">
      <w:lvlJc w:val="left"/>
      <w:lvlText w:val="(%1)"/>
      <w:numFmt w:val="decimal"/>
      <w:start w:val="1"/>
    </w:lvl>
  </w:abstractNum>
  <w:abstractNum w:abstractNumId="12">
    <w:nsid w:val="E3E47A8"/>
    <w:multiLevelType w:val="hybridMultilevel"/>
    <w:lvl w:ilvl="0">
      <w:lvlJc w:val="left"/>
      <w:lvlText w:val="(%1)"/>
      <w:numFmt w:val="decimal"/>
      <w:start w:val="1"/>
    </w:lvl>
  </w:abstractNum>
  <w:abstractNum w:abstractNumId="13">
    <w:nsid w:val="2E48F044"/>
    <w:multiLevelType w:val="hybridMultilevel"/>
    <w:lvl w:ilvl="0">
      <w:lvlJc w:val="left"/>
      <w:lvlText w:val="(%1)"/>
      <w:numFmt w:val="decimal"/>
      <w:start w:val="1"/>
    </w:lvl>
  </w:abstractNum>
  <w:abstractNum w:abstractNumId="14">
    <w:nsid w:val="49D0FEAC"/>
    <w:multiLevelType w:val="hybridMultilevel"/>
    <w:lvl w:ilvl="0">
      <w:lvlJc w:val="left"/>
      <w:lvlText w:val="(%1)"/>
      <w:numFmt w:val="decimal"/>
      <w:start w:val="1"/>
    </w:lvl>
  </w:abstractNum>
  <w:abstractNum w:abstractNumId="15">
    <w:nsid w:val="4BEE5A5B"/>
    <w:multiLevelType w:val="hybridMultilevel"/>
    <w:lvl w:ilvl="0">
      <w:lvlJc w:val="left"/>
      <w:lvlText w:val="•"/>
      <w:numFmt w:val="bullet"/>
      <w:start w:val="1"/>
    </w:lvl>
  </w:abstractNum>
  <w:abstractNum w:abstractNumId="16">
    <w:nsid w:val="5551B9F3"/>
    <w:multiLevelType w:val="hybridMultilevel"/>
    <w:lvl w:ilvl="0">
      <w:lvlJc w:val="left"/>
      <w:lvlText w:val="•"/>
      <w:numFmt w:val="bullet"/>
      <w:start w:val="1"/>
    </w:lvl>
  </w:abstractNum>
  <w:abstractNum w:abstractNumId="17">
    <w:nsid w:val="24F6AB8E"/>
    <w:multiLevelType w:val="hybridMultilevel"/>
    <w:lvl w:ilvl="0">
      <w:lvlJc w:val="left"/>
      <w:lvlText w:val="●"/>
      <w:numFmt w:val="bullet"/>
      <w:start w:val="1"/>
    </w:lvl>
  </w:abstractNum>
  <w:abstractNum w:abstractNumId="18">
    <w:nsid w:val="634C574C"/>
    <w:multiLevelType w:val="hybridMultilevel"/>
    <w:lvl w:ilvl="0">
      <w:lvlJc w:val="left"/>
      <w:lvlText w:val="•"/>
      <w:numFmt w:val="bullet"/>
      <w:start w:val="1"/>
    </w:lvl>
    <w:lvl w:ilvl="1">
      <w:lvlJc w:val="left"/>
      <w:lvlText w:val="−"/>
      <w:numFmt w:val="bullet"/>
      <w:start w:val="1"/>
    </w:lvl>
  </w:abstractNum>
  <w:abstractNum w:abstractNumId="19">
    <w:nsid w:val="24E99DD7"/>
    <w:multiLevelType w:val="hybridMultilevel"/>
    <w:lvl w:ilvl="0">
      <w:lvlJc w:val="left"/>
      <w:lvlText w:val="(%1)"/>
      <w:numFmt w:val="decimal"/>
      <w:start w:val="1"/>
    </w:lvl>
  </w:abstractNum>
  <w:abstractNum w:abstractNumId="20">
    <w:nsid w:val="2A31B62D"/>
    <w:multiLevelType w:val="hybridMultilevel"/>
    <w:lvl w:ilvl="0">
      <w:lvlJc w:val="left"/>
      <w:lvlText w:val="●"/>
      <w:numFmt w:val="bullet"/>
      <w:start w:val="1"/>
    </w:lvl>
  </w:abstractNum>
  <w:abstractNum w:abstractNumId="21">
    <w:nsid w:val="1849C29B"/>
    <w:multiLevelType w:val="hybridMultilevel"/>
    <w:lvl w:ilvl="0">
      <w:lvlJc w:val="left"/>
      <w:lvlText w:val="●"/>
      <w:numFmt w:val="bullet"/>
      <w:start w:val="1"/>
    </w:lvl>
  </w:abstractNum>
  <w:abstractNum w:abstractNumId="22">
    <w:nsid w:val="7DFF9D09"/>
    <w:multiLevelType w:val="hybridMultilevel"/>
    <w:lvl w:ilvl="0">
      <w:lvlJc w:val="left"/>
      <w:lvlText w:val="(%1)"/>
      <w:numFmt w:val="decimal"/>
      <w:start w:val="1"/>
    </w:lvl>
  </w:abstractNum>
  <w:abstractNum w:abstractNumId="23">
    <w:nsid w:val="754342"/>
    <w:multiLevelType w:val="hybridMultilevel"/>
    <w:lvl w:ilvl="0">
      <w:lvlJc w:val="left"/>
      <w:lvlText w:val="%1."/>
      <w:numFmt w:val="decimal"/>
      <w:start w:val="1"/>
    </w:lvl>
  </w:abstractNum>
  <w:abstractNum w:abstractNumId="24">
    <w:nsid w:val="69E7F3E5"/>
    <w:multiLevelType w:val="hybridMultilevel"/>
    <w:lvl w:ilvl="0">
      <w:lvlJc w:val="left"/>
      <w:lvlText w:val="%1."/>
      <w:numFmt w:val="decimal"/>
      <w:start w:val="2"/>
    </w:lvl>
  </w:abstractNum>
  <w:abstractNum w:abstractNumId="25">
    <w:nsid w:val="2A6DE806"/>
    <w:multiLevelType w:val="hybridMultilevel"/>
    <w:lvl w:ilvl="0">
      <w:lvlJc w:val="left"/>
      <w:lvlText w:val="%1."/>
      <w:numFmt w:val="decimal"/>
      <w:start w:val="3"/>
    </w:lvl>
  </w:abstractNum>
  <w:abstractNum w:abstractNumId="26">
    <w:nsid w:val="1816F8C4"/>
    <w:multiLevelType w:val="hybridMultilevel"/>
    <w:lvl w:ilvl="0">
      <w:lvlJc w:val="left"/>
      <w:lvlText w:val="•"/>
      <w:numFmt w:val="bullet"/>
      <w:start w:val="1"/>
    </w:lvl>
  </w:abstractNum>
  <w:abstractNum w:abstractNumId="27">
    <w:nsid w:val="37DF2233"/>
    <w:multiLevelType w:val="hybridMultilevel"/>
    <w:lvl w:ilvl="0">
      <w:lvlJc w:val="left"/>
      <w:lvlText w:val="•"/>
      <w:numFmt w:val="bullet"/>
      <w:start w:val="1"/>
    </w:lvl>
  </w:abstractNum>
  <w:abstractNum w:abstractNumId="28">
    <w:nsid w:val="7AB49DAF"/>
    <w:multiLevelType w:val="hybridMultilevel"/>
    <w:lvl w:ilvl="0">
      <w:lvlJc w:val="left"/>
      <w:lvlText w:val="•"/>
      <w:numFmt w:val="bullet"/>
      <w:start w:val="1"/>
    </w:lvl>
  </w:abstractNum>
  <w:abstractNum w:abstractNumId="29">
    <w:nsid w:val="759F82CD"/>
    <w:multiLevelType w:val="hybridMultilevel"/>
    <w:lvl w:ilvl="0">
      <w:lvlJc w:val="left"/>
      <w:lvlText w:val="•"/>
      <w:numFmt w:val="bullet"/>
      <w:start w:val="1"/>
    </w:lvl>
  </w:abstractNum>
  <w:abstractNum w:abstractNumId="30">
    <w:nsid w:val="61E74EA3"/>
    <w:multiLevelType w:val="hybridMultilevel"/>
    <w:lvl w:ilvl="0">
      <w:lvlJc w:val="left"/>
      <w:lvlText w:val="•"/>
      <w:numFmt w:val="bullet"/>
      <w:start w:val="1"/>
    </w:lvl>
    <w:lvl w:ilvl="1">
      <w:lvlJc w:val="left"/>
      <w:lvlText w:val="-"/>
      <w:numFmt w:val="bullet"/>
      <w:start w:val="1"/>
    </w:lvl>
  </w:abstractNum>
  <w:abstractNum w:abstractNumId="31">
    <w:nsid w:val="597B4D84"/>
    <w:multiLevelType w:val="hybridMultilevel"/>
    <w:lvl w:ilvl="0">
      <w:lvlJc w:val="left"/>
      <w:lvlText w:val="•"/>
      <w:numFmt w:val="bullet"/>
      <w:start w:val="1"/>
    </w:lvl>
  </w:abstractNum>
  <w:abstractNum w:abstractNumId="32">
    <w:nsid w:val="F819E7F"/>
    <w:multiLevelType w:val="hybridMultilevel"/>
    <w:lvl w:ilvl="0">
      <w:lvlJc w:val="left"/>
      <w:lvlText w:val="%1."/>
      <w:numFmt w:val="decimal"/>
      <w:start w:val="4"/>
    </w:lvl>
  </w:abstractNum>
  <w:abstractNum w:abstractNumId="33">
    <w:nsid w:val="57C7D42D"/>
    <w:multiLevelType w:val="hybridMultilevel"/>
    <w:lvl w:ilvl="0">
      <w:lvlJc w:val="left"/>
      <w:lvlText w:val="(%1)"/>
      <w:numFmt w:val="decimal"/>
      <w:start w:val="1"/>
    </w:lvl>
  </w:abstractNum>
  <w:abstractNum w:abstractNumId="34">
    <w:nsid w:val="312167AD"/>
    <w:multiLevelType w:val="hybridMultilevel"/>
    <w:lvl w:ilvl="0">
      <w:lvlJc w:val="left"/>
      <w:lvlText w:val="%1."/>
      <w:numFmt w:val="decimal"/>
      <w:start w:val="5"/>
    </w:lvl>
  </w:abstractNum>
  <w:abstractNum w:abstractNumId="35">
    <w:nsid w:val="631B64D4"/>
    <w:multiLevelType w:val="hybridMultilevel"/>
    <w:lvl w:ilvl="0">
      <w:lvlJc w:val="left"/>
      <w:lvlText w:val="%1."/>
      <w:numFmt w:val="decimal"/>
      <w:start w:val="7"/>
    </w:lvl>
  </w:abstractNum>
  <w:abstractNum w:abstractNumId="36">
    <w:nsid w:val="78B5E776"/>
    <w:multiLevelType w:val="hybridMultilevel"/>
    <w:lvl w:ilvl="0">
      <w:lvlJc w:val="left"/>
      <w:lvlText w:val="%1."/>
      <w:numFmt w:val="decimal"/>
      <w:start w:val="10"/>
    </w:lvl>
  </w:abstractNum>
  <w:abstractNum w:abstractNumId="37">
    <w:nsid w:val="75486E47"/>
    <w:multiLevelType w:val="hybridMultilevel"/>
    <w:lvl w:ilvl="0">
      <w:lvlJc w:val="left"/>
      <w:lvlText w:val="%1."/>
      <w:numFmt w:val="decimal"/>
      <w:start w:val="11"/>
    </w:lvl>
  </w:abstractNum>
  <w:abstractNum w:abstractNumId="38">
    <w:nsid w:val="6E534CDE"/>
    <w:multiLevelType w:val="hybridMultilevel"/>
    <w:lvl w:ilvl="0">
      <w:lvlJc w:val="left"/>
      <w:lvlText w:val="%1."/>
      <w:numFmt w:val="decimal"/>
      <w:start w:val="12"/>
    </w:lvl>
  </w:abstractNum>
  <w:abstractNum w:abstractNumId="39">
    <w:nsid w:val="1A0DDE32"/>
    <w:multiLevelType w:val="hybridMultilevel"/>
    <w:lvl w:ilvl="0">
      <w:lvlJc w:val="left"/>
      <w:lvlText w:val="%1."/>
      <w:numFmt w:val="decimal"/>
      <w:start w:val="13"/>
    </w:lvl>
  </w:abstractNum>
  <w:abstractNum w:abstractNumId="40">
    <w:nsid w:val="65968C1C"/>
    <w:multiLevelType w:val="hybridMultilevel"/>
    <w:lvl w:ilvl="0">
      <w:lvlJc w:val="left"/>
      <w:lvlText w:val="%1."/>
      <w:numFmt w:val="decimal"/>
      <w:start w:val="14"/>
    </w:lvl>
  </w:abstractNum>
  <w:abstractNum w:abstractNumId="41">
    <w:nsid w:val="46263DEC"/>
    <w:multiLevelType w:val="hybridMultilevel"/>
    <w:lvl w:ilvl="0">
      <w:lvlJc w:val="left"/>
      <w:lvlText w:val="%1."/>
      <w:numFmt w:val="decimal"/>
      <w:start w:val="15"/>
    </w:lvl>
  </w:abstractNum>
  <w:abstractNum w:abstractNumId="42">
    <w:nsid w:val="260D8C4A"/>
    <w:multiLevelType w:val="hybridMultilevel"/>
    <w:lvl w:ilvl="0">
      <w:lvlJc w:val="left"/>
      <w:lvlText w:val="$"/>
      <w:numFmt w:val="bullet"/>
      <w:start w:val="1"/>
    </w:lvl>
  </w:abstractNum>
  <w:abstractNum w:abstractNumId="43">
    <w:nsid w:val="73D4D3C4"/>
    <w:multiLevelType w:val="hybridMultilevel"/>
    <w:lvl w:ilvl="0">
      <w:lvlJc w:val="left"/>
      <w:lvlText w:val="$"/>
      <w:numFmt w:val="bullet"/>
      <w:start w:val="1"/>
    </w:lvl>
  </w:abstractNum>
  <w:abstractNum w:abstractNumId="44">
    <w:nsid w:val="746F2E30"/>
    <w:multiLevelType w:val="hybridMultilevel"/>
    <w:lvl w:ilvl="0">
      <w:lvlJc w:val="left"/>
      <w:lvlText w:val="$"/>
      <w:numFmt w:val="bullet"/>
      <w:start w:val="1"/>
    </w:lvl>
  </w:abstractNum>
  <w:abstractNum w:abstractNumId="45">
    <w:nsid w:val="6FDE8AF6"/>
    <w:multiLevelType w:val="hybridMultilevel"/>
    <w:lvl w:ilvl="0">
      <w:lvlJc w:val="left"/>
      <w:lvlText w:val="$"/>
      <w:numFmt w:val="bullet"/>
      <w:start w:val="1"/>
    </w:lvl>
  </w:abstractNum>
  <w:abstractNum w:abstractNumId="46">
    <w:nsid w:val="3FC32E20"/>
    <w:multiLevelType w:val="hybridMultilevel"/>
    <w:lvl w:ilvl="0">
      <w:lvlJc w:val="left"/>
      <w:lvlText w:val="$"/>
      <w:numFmt w:val="bullet"/>
      <w:start w:val="1"/>
    </w:lvl>
  </w:abstractNum>
  <w:abstractNum w:abstractNumId="47">
    <w:nsid w:val="49C0E823"/>
    <w:multiLevelType w:val="hybridMultilevel"/>
    <w:lvl w:ilvl="0">
      <w:lvlJc w:val="left"/>
      <w:lvlText w:val="%1."/>
      <w:numFmt w:val="decimal"/>
      <w:start w:val="16"/>
    </w:lvl>
  </w:abstractNum>
  <w:abstractNum w:abstractNumId="48">
    <w:nsid w:val="14D53685"/>
    <w:multiLevelType w:val="hybridMultilevel"/>
    <w:lvl w:ilvl="0">
      <w:lvlJc w:val="left"/>
      <w:lvlText w:val="%1."/>
      <w:numFmt w:val="decimal"/>
      <w:start w:val="17"/>
    </w:lvl>
  </w:abstractNum>
  <w:abstractNum w:abstractNumId="49">
    <w:nsid w:val="230F856C"/>
    <w:multiLevelType w:val="hybridMultilevel"/>
    <w:lvl w:ilvl="0">
      <w:lvlJc w:val="left"/>
      <w:lvlText w:val="●"/>
      <w:numFmt w:val="bullet"/>
      <w:start w:val="1"/>
    </w:lvl>
  </w:abstractNum>
  <w:abstractNum w:abstractNumId="50">
    <w:nsid w:val="6EAA85FB"/>
    <w:multiLevelType w:val="hybridMultilevel"/>
    <w:lvl w:ilvl="0">
      <w:lvlJc w:val="left"/>
      <w:lvlText w:val="(%1)"/>
      <w:numFmt w:val="decimal"/>
      <w:start w:val="1"/>
    </w:lvl>
  </w:abstractNum>
  <w:abstractNum w:abstractNumId="51">
    <w:nsid w:val="3F06ECB2"/>
    <w:multiLevelType w:val="hybridMultilevel"/>
    <w:lvl w:ilvl="0">
      <w:lvlJc w:val="left"/>
      <w:lvlText w:val="●"/>
      <w:numFmt w:val="bullet"/>
      <w:start w:val="1"/>
    </w:lvl>
    <w:lvl w:ilvl="1">
      <w:lvlJc w:val="left"/>
      <w:lvlText w:val="●"/>
      <w:numFmt w:val="bullet"/>
      <w:start w:val="1"/>
    </w:lvl>
  </w:abstractNum>
  <w:abstractNum w:abstractNumId="52">
    <w:nsid w:val="3B594807"/>
    <w:multiLevelType w:val="hybridMultilevel"/>
    <w:lvl w:ilvl="0">
      <w:lvlJc w:val="left"/>
      <w:lvlText w:val="(%1)"/>
      <w:numFmt w:val="lowerLetter"/>
      <w:start w:val="1"/>
    </w:lvl>
  </w:abstractNum>
  <w:abstractNum w:abstractNumId="53">
    <w:nsid w:val="6CAA2304"/>
    <w:multiLevelType w:val="hybridMultilevel"/>
    <w:lvl w:ilvl="0">
      <w:lvlJc w:val="left"/>
      <w:lvlText w:val="%1."/>
      <w:numFmt w:val="decimal"/>
      <w:start w:val="19"/>
    </w:lvl>
  </w:abstractNum>
  <w:abstractNum w:abstractNumId="54">
    <w:nsid w:val="3F7C2FF4"/>
    <w:multiLevelType w:val="hybridMultilevel"/>
    <w:lvl w:ilvl="0">
      <w:lvlJc w:val="left"/>
      <w:lvlText w:val="(%1)"/>
      <w:numFmt w:val="decimal"/>
      <w:start w:val="1"/>
    </w:lvl>
  </w:abstractNum>
  <w:abstractNum w:abstractNumId="55">
    <w:nsid w:val="25413BEC"/>
    <w:multiLevelType w:val="hybridMultilevel"/>
    <w:lvl w:ilvl="0">
      <w:lvlJc w:val="left"/>
      <w:lvlText w:val="*"/>
      <w:numFmt w:val="bullet"/>
      <w:start w:val="1"/>
    </w:lvl>
  </w:abstractNum>
  <w:abstractNum w:abstractNumId="56">
    <w:nsid w:val="17180B0B"/>
    <w:multiLevelType w:val="hybridMultilevel"/>
    <w:lvl w:ilvl="0">
      <w:lvlJc w:val="left"/>
      <w:lvlText w:val="%1"/>
      <w:numFmt w:val="lowerLetter"/>
      <w:start w:val="1"/>
    </w:lvl>
    <w:lvl w:ilvl="1">
      <w:lvlJc w:val="left"/>
      <w:lvlText w:val="(%2)"/>
      <w:numFmt w:val="decimal"/>
      <w:start w:val="2"/>
    </w:lvl>
  </w:abstractNum>
  <w:abstractNum w:abstractNumId="57">
    <w:nsid w:val="579328B9"/>
    <w:multiLevelType w:val="hybridMultilevel"/>
    <w:lvl w:ilvl="0">
      <w:lvlJc w:val="left"/>
      <w:lvlText w:val="(%1)"/>
      <w:numFmt w:val="lowerLetter"/>
      <w:start w:val="2"/>
    </w:lvl>
    <w:lvl w:ilvl="1">
      <w:lvlJc w:val="left"/>
      <w:lvlText w:val="%2"/>
      <w:numFmt w:val="decimal"/>
      <w:start w:val="1"/>
    </w:lvl>
  </w:abstractNum>
  <w:abstractNum w:abstractNumId="58">
    <w:nsid w:val="5D205E20"/>
    <w:multiLevelType w:val="hybridMultilevel"/>
    <w:lvl w:ilvl="0">
      <w:lvlJc w:val="left"/>
      <w:lvlText w:val="(*)"/>
      <w:numFmt w:val="bullet"/>
      <w:start w:val="1"/>
    </w:lvl>
  </w:abstractNum>
  <w:abstractNum w:abstractNumId="59">
    <w:nsid w:val="11CCA8BA"/>
    <w:multiLevelType w:val="hybridMultilevel"/>
    <w:lvl w:ilvl="0">
      <w:lvlJc w:val="left"/>
      <w:lvlText w:val="(%1)"/>
      <w:numFmt w:val="lowerLetter"/>
      <w:start w:val="1"/>
    </w:lvl>
  </w:abstractNum>
  <w:abstractNum w:abstractNumId="60">
    <w:nsid w:val="4D32AB86"/>
    <w:multiLevelType w:val="hybridMultilevel"/>
    <w:lvl w:ilvl="0">
      <w:lvlJc w:val="left"/>
      <w:lvlText w:val="(%1)"/>
      <w:numFmt w:val="lowerLetter"/>
      <w:start w:val="1"/>
    </w:lvl>
  </w:abstractNum>
  <w:abstractNum w:abstractNumId="61">
    <w:nsid w:val="3F07ACC3"/>
    <w:multiLevelType w:val="hybridMultilevel"/>
    <w:lvl w:ilvl="0">
      <w:lvlJc w:val="left"/>
      <w:lvlText w:val="(%1)"/>
      <w:numFmt w:val="lowerLetter"/>
      <w:start w:val="2"/>
    </w:lvl>
  </w:abstractNum>
  <w:abstractNum w:abstractNumId="62">
    <w:nsid w:val="6B47F63E"/>
    <w:multiLevelType w:val="hybridMultilevel"/>
    <w:lvl w:ilvl="0">
      <w:lvlJc w:val="left"/>
      <w:lvlText w:val="(%1)"/>
      <w:numFmt w:val="lowerLetter"/>
      <w:start w:val="1"/>
    </w:lvl>
  </w:abstractNum>
  <w:abstractNum w:abstractNumId="63">
    <w:nsid w:val="5CB44A05"/>
    <w:multiLevelType w:val="hybridMultilevel"/>
    <w:lvl w:ilvl="0">
      <w:lvlJc w:val="left"/>
      <w:lvlText w:val="(%1)"/>
      <w:numFmt w:val="upperLetter"/>
      <w:start w:val="1"/>
    </w:lvl>
  </w:abstractNum>
  <w:abstractNum w:abstractNumId="64">
    <w:nsid w:val="16CF80F1"/>
    <w:multiLevelType w:val="hybridMultilevel"/>
    <w:lvl w:ilvl="0">
      <w:lvlJc w:val="left"/>
      <w:lvlText w:val="(%1)"/>
      <w:numFmt w:val="lowerLetter"/>
      <w:start w:val="1"/>
    </w:lvl>
  </w:abstractNum>
  <w:abstractNum w:abstractNumId="65">
    <w:nsid w:val="1C695DEC"/>
    <w:multiLevelType w:val="hybridMultilevel"/>
    <w:lvl w:ilvl="0">
      <w:lvlJc w:val="left"/>
      <w:lvlText w:val="(%1)"/>
      <w:numFmt w:val="lowerLetter"/>
      <w:start w:val="1"/>
    </w:lvl>
  </w:abstractNum>
  <w:abstractNum w:abstractNumId="66">
    <w:nsid w:val="3FCFAED9"/>
    <w:multiLevelType w:val="hybridMultilevel"/>
    <w:lvl w:ilvl="0">
      <w:lvlJc w:val="left"/>
      <w:lvlText w:val="А"/>
      <w:numFmt w:val="bullet"/>
      <w:start w:val="1"/>
    </w:lvl>
  </w:abstractNum>
  <w:abstractNum w:abstractNumId="67">
    <w:nsid w:val="F856867"/>
    <w:multiLevelType w:val="hybridMultilevel"/>
    <w:lvl w:ilvl="0">
      <w:lvlJc w:val="left"/>
      <w:lvlText w:val="(%1)"/>
      <w:numFmt w:val="lowerLetter"/>
      <w:start w:val="2"/>
    </w:lvl>
  </w:abstractNum>
  <w:abstractNum w:abstractNumId="68">
    <w:nsid w:val="11B1CC33"/>
    <w:multiLevelType w:val="hybridMultilevel"/>
    <w:lvl w:ilvl="0">
      <w:lvlJc w:val="left"/>
      <w:lvlText w:val="(%1)"/>
      <w:numFmt w:val="lowerLetter"/>
      <w:start w:val="1"/>
    </w:lvl>
  </w:abstractNum>
  <w:abstractNum w:abstractNumId="69">
    <w:nsid w:val="2E22FBB7"/>
    <w:multiLevelType w:val="hybridMultilevel"/>
    <w:lvl w:ilvl="0">
      <w:lvlJc w:val="left"/>
      <w:lvlText w:val="(%1)"/>
      <w:numFmt w:val="lowerLetter"/>
      <w:start w:val="1"/>
    </w:lvl>
    <w:lvl w:ilvl="1">
      <w:lvlJc w:val="left"/>
      <w:lvlText w:val="(%2)"/>
      <w:numFmt w:val="lowerRoman"/>
      <w:start w:val="1"/>
    </w:lvl>
  </w:abstractNum>
  <w:abstractNum w:abstractNumId="70">
    <w:nsid w:val="29934699"/>
    <w:multiLevelType w:val="hybridMultilevel"/>
    <w:lvl w:ilvl="0">
      <w:lvlJc w:val="left"/>
      <w:lvlText w:val="(%1)"/>
      <w:numFmt w:val="lowerRoman"/>
      <w:start w:val="2"/>
    </w:lvl>
  </w:abstractNum>
  <w:abstractNum w:abstractNumId="71">
    <w:nsid w:val="77485850"/>
    <w:multiLevelType w:val="hybridMultilevel"/>
    <w:lvl w:ilvl="0">
      <w:lvlJc w:val="left"/>
      <w:lvlText w:val="(%1)"/>
      <w:numFmt w:val="lowerLetter"/>
      <w:start w:val="3"/>
    </w:lvl>
  </w:abstractNum>
  <w:abstractNum w:abstractNumId="72">
    <w:nsid w:val="744939A3"/>
    <w:multiLevelType w:val="hybridMultilevel"/>
    <w:lvl w:ilvl="0">
      <w:lvlJc w:val="left"/>
      <w:lvlText w:val="(%1)"/>
      <w:numFmt w:val="lowerRoman"/>
      <w:start w:val="1"/>
    </w:lvl>
  </w:abstractNum>
  <w:abstractNum w:abstractNumId="73">
    <w:nsid w:val="4FA0D2E3"/>
    <w:multiLevelType w:val="hybridMultilevel"/>
    <w:lvl w:ilvl="0">
      <w:lvlJc w:val="left"/>
      <w:lvlText w:val="(%1)"/>
      <w:numFmt w:val="lowerLetter"/>
      <w:start w:val="1"/>
    </w:lvl>
  </w:abstractNum>
  <w:abstractNum w:abstractNumId="74">
    <w:nsid w:val="6B1D2C14"/>
    <w:multiLevelType w:val="hybridMultilevel"/>
    <w:lvl w:ilvl="0">
      <w:lvlJc w:val="left"/>
      <w:lvlText w:val="(%1)"/>
      <w:numFmt w:val="lowerLetter"/>
      <w:start w:val="1"/>
    </w:lvl>
  </w:abstractNum>
  <w:abstractNum w:abstractNumId="75">
    <w:nsid w:val="68B867D3"/>
    <w:multiLevelType w:val="hybridMultilevel"/>
    <w:lvl w:ilvl="0">
      <w:lvlJc w:val="left"/>
      <w:lvlText w:val="%1"/>
      <w:numFmt w:val="lowerLetter"/>
      <w:start w:val="1"/>
    </w:lvl>
    <w:lvl w:ilvl="1">
      <w:lvlJc w:val="left"/>
      <w:lvlText w:val="(%2)"/>
      <w:numFmt w:val="lowerLetter"/>
      <w:start w:val="2"/>
    </w:lvl>
  </w:abstractNum>
  <w:abstractNum w:abstractNumId="76">
    <w:nsid w:val="3F7F5DD9"/>
    <w:multiLevelType w:val="hybridMultilevel"/>
    <w:lvl w:ilvl="0">
      <w:lvlJc w:val="left"/>
      <w:lvlText w:val="(%1)"/>
      <w:numFmt w:val="lowerLetter"/>
      <w:start w:val="35"/>
    </w:lvl>
    <w:lvl w:ilvl="1">
      <w:lvlJc w:val="left"/>
      <w:lvlText w:val="%2"/>
      <w:numFmt w:val="lowerLetter"/>
      <w:start w:val="1"/>
    </w:lvl>
  </w:abstractNum>
  <w:abstractNum w:abstractNumId="77">
    <w:nsid w:val="2AE05A34"/>
    <w:multiLevelType w:val="hybridMultilevel"/>
    <w:lvl w:ilvl="0">
      <w:lvlJc w:val="left"/>
      <w:lvlText w:val="(%1)"/>
      <w:numFmt w:val="lowerLetter"/>
      <w:start w:val="1"/>
    </w:lvl>
  </w:abstractNum>
  <w:abstractNum w:abstractNumId="78">
    <w:nsid w:val="32794FF7"/>
    <w:multiLevelType w:val="hybridMultilevel"/>
    <w:lvl w:ilvl="0">
      <w:lvlJc w:val="left"/>
      <w:lvlText w:val="(%1)"/>
      <w:numFmt w:val="upperLetter"/>
      <w:start w:val="1"/>
    </w:lvl>
  </w:abstractNum>
  <w:abstractNum w:abstractNumId="79">
    <w:nsid w:val="5454945E"/>
    <w:multiLevelType w:val="hybridMultilevel"/>
    <w:lvl w:ilvl="0">
      <w:lvlJc w:val="left"/>
      <w:lvlText w:val="(%1)"/>
      <w:numFmt w:val="decimal"/>
      <w:start w:val="17"/>
    </w:lvl>
  </w:abstractNum>
  <w:abstractNum w:abstractNumId="80">
    <w:nsid w:val="4DEFDFA0"/>
    <w:multiLevelType w:val="hybridMultilevel"/>
    <w:lvl w:ilvl="0">
      <w:lvlJc w:val="left"/>
      <w:lvlText w:val="%1."/>
      <w:numFmt w:val="decimal"/>
      <w:start w:val="1"/>
    </w:lvl>
  </w:abstractNum>
  <w:abstractNum w:abstractNumId="81">
    <w:nsid w:val="2123D5F2"/>
    <w:multiLevelType w:val="hybridMultilevel"/>
    <w:lvl w:ilvl="0">
      <w:lvlJc w:val="left"/>
      <w:lvlText w:val="%1."/>
      <w:numFmt w:val="decimal"/>
      <w:start w:val="2"/>
    </w:lvl>
    <w:lvl w:ilvl="1">
      <w:lvlJc w:val="left"/>
      <w:lvlText w:val="(%2)"/>
      <w:numFmt w:val="lowerLetter"/>
      <w:start w:val="1"/>
    </w:lvl>
  </w:abstractNum>
  <w:abstractNum w:abstractNumId="82">
    <w:nsid w:val="135B8110"/>
    <w:multiLevelType w:val="hybridMultilevel"/>
    <w:lvl w:ilvl="0">
      <w:lvlJc w:val="left"/>
      <w:lvlText w:val="%1."/>
      <w:numFmt w:val="decimal"/>
      <w:start w:val="3"/>
    </w:lvl>
    <w:lvl w:ilvl="1">
      <w:lvlJc w:val="left"/>
      <w:lvlText w:val="(%2)"/>
      <w:numFmt w:val="lowerLetter"/>
      <w:start w:val="1"/>
    </w:lvl>
  </w:abstractNum>
  <w:abstractNum w:abstractNumId="83">
    <w:nsid w:val="94927A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84">
    <w:nsid w:val="DCDF8F6"/>
    <w:multiLevelType w:val="hybridMultilevel"/>
    <w:lvl w:ilvl="0">
      <w:lvlJc w:val="left"/>
      <w:lvlText w:val="(%1)"/>
      <w:numFmt w:val="lowerRoman"/>
      <w:start w:val="3"/>
    </w:lvl>
    <w:lvl w:ilvl="1">
      <w:lvlJc w:val="left"/>
      <w:lvlText w:val="(%2)"/>
      <w:numFmt w:val="upperLetter"/>
      <w:start w:val="1"/>
    </w:lvl>
  </w:abstractNum>
  <w:abstractNum w:abstractNumId="85">
    <w:nsid w:val="52D7B105"/>
    <w:multiLevelType w:val="hybridMultilevel"/>
    <w:lvl w:ilvl="0">
      <w:lvlJc w:val="left"/>
      <w:lvlText w:val="(%1)"/>
      <w:numFmt w:val="lowerRoman"/>
      <w:start w:val="5"/>
    </w:lvl>
    <w:lvl w:ilvl="1">
      <w:lvlJc w:val="left"/>
      <w:lvlText w:val="(%2)"/>
      <w:numFmt w:val="upperLetter"/>
      <w:start w:val="1"/>
    </w:lvl>
  </w:abstractNum>
  <w:abstractNum w:abstractNumId="86">
    <w:nsid w:val="2E8A6394"/>
    <w:multiLevelType w:val="hybridMultilevel"/>
    <w:lvl w:ilvl="0">
      <w:lvlJc w:val="left"/>
      <w:lvlText w:val="(%1)"/>
      <w:numFmt w:val="upperLetter"/>
      <w:start w:val="4"/>
    </w:lvl>
  </w:abstractNum>
  <w:abstractNum w:abstractNumId="87">
    <w:nsid w:val="24E60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88">
    <w:nsid w:val="2A6AD9B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9">
    <w:nsid w:val="BAAC1B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0">
    <w:nsid w:val="36B2ACBC"/>
    <w:multiLevelType w:val="hybridMultilevel"/>
    <w:lvl w:ilvl="0">
      <w:lvlJc w:val="left"/>
      <w:lvlText w:val="%1."/>
      <w:numFmt w:val="decimal"/>
      <w:start w:val="7"/>
    </w:lvl>
  </w:abstractNum>
  <w:abstractNum w:abstractNumId="91">
    <w:nsid w:val="779D854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2">
    <w:nsid w:val="4AB26E78"/>
    <w:multiLevelType w:val="hybridMultilevel"/>
    <w:lvl w:ilvl="0">
      <w:lvlJc w:val="left"/>
      <w:lvlText w:val="%1."/>
      <w:numFmt w:val="decimal"/>
      <w:start w:val="9"/>
    </w:lvl>
  </w:abstractNum>
  <w:abstractNum w:abstractNumId="93">
    <w:nsid w:val="21FAA2FA"/>
    <w:multiLevelType w:val="hybridMultilevel"/>
    <w:lvl w:ilvl="0">
      <w:lvlJc w:val="left"/>
      <w:lvlText w:val="%1."/>
      <w:numFmt w:val="decimal"/>
      <w:start w:val="10"/>
    </w:lvl>
  </w:abstractNum>
  <w:abstractNum w:abstractNumId="94">
    <w:nsid w:val="5451CF49"/>
    <w:multiLevelType w:val="hybridMultilevel"/>
    <w:lvl w:ilvl="0">
      <w:lvlJc w:val="left"/>
      <w:lvlText w:val="%1."/>
      <w:numFmt w:val="decimal"/>
      <w:start w:val="11"/>
    </w:lvl>
  </w:abstractNum>
  <w:abstractNum w:abstractNumId="95">
    <w:nsid w:val="6181EF69"/>
    <w:multiLevelType w:val="hybridMultilevel"/>
    <w:lvl w:ilvl="0">
      <w:lvlJc w:val="left"/>
      <w:lvlText w:val="%1."/>
      <w:numFmt w:val="decimal"/>
      <w:start w:val="12"/>
    </w:lvl>
  </w:abstractNum>
  <w:abstractNum w:abstractNumId="96">
    <w:nsid w:val="3E6400E6"/>
    <w:multiLevelType w:val="hybridMultilevel"/>
    <w:lvl w:ilvl="0">
      <w:lvlJc w:val="left"/>
      <w:lvlText w:val="(%1)"/>
      <w:numFmt w:val="lowerLetter"/>
      <w:start w:val="1"/>
    </w:lvl>
  </w:abstractNum>
  <w:abstractNum w:abstractNumId="97">
    <w:nsid w:val="14217E23"/>
    <w:multiLevelType w:val="hybridMultilevel"/>
    <w:lvl w:ilvl="0">
      <w:lvlJc w:val="left"/>
      <w:lvlText w:val="(%1)"/>
      <w:numFmt w:val="lowerLetter"/>
      <w:start w:val="2"/>
    </w:lvl>
  </w:abstractNum>
  <w:abstractNum w:abstractNumId="98">
    <w:nsid w:val="710757D0"/>
    <w:multiLevelType w:val="hybridMultilevel"/>
    <w:lvl w:ilvl="0">
      <w:lvlJc w:val="left"/>
      <w:lvlText w:val="%1."/>
      <w:numFmt w:val="decimal"/>
      <w:start w:val="13"/>
    </w:lvl>
  </w:abstractNum>
  <w:abstractNum w:abstractNumId="99">
    <w:nsid w:val="5015CD1A"/>
    <w:multiLevelType w:val="hybridMultilevel"/>
    <w:lvl w:ilvl="0">
      <w:lvlJc w:val="left"/>
      <w:lvlText w:val="%1."/>
      <w:numFmt w:val="decimal"/>
      <w:start w:val="1"/>
    </w:lvl>
  </w:abstractNum>
  <w:abstractNum w:abstractNumId="100">
    <w:nsid w:val="424479DA"/>
    <w:multiLevelType w:val="hybridMultilevel"/>
    <w:lvl w:ilvl="0">
      <w:lvlJc w:val="left"/>
      <w:lvlText w:val="%1."/>
      <w:numFmt w:val="decimal"/>
      <w:start w:val="2"/>
    </w:lvl>
    <w:lvl w:ilvl="1">
      <w:lvlJc w:val="left"/>
      <w:lvlText w:val="(%2)"/>
      <w:numFmt w:val="lowerLetter"/>
      <w:start w:val="1"/>
    </w:lvl>
  </w:abstractNum>
  <w:abstractNum w:abstractNumId="101">
    <w:nsid w:val="1A9A9E6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2">
    <w:nsid w:val="475E256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3">
    <w:nsid w:val="368DB37E"/>
    <w:multiLevelType w:val="hybridMultilevel"/>
    <w:lvl w:ilvl="0">
      <w:lvlJc w:val="left"/>
      <w:lvlText w:val="%1."/>
      <w:numFmt w:val="decimal"/>
      <w:start w:val="4"/>
    </w:lvl>
  </w:abstractNum>
  <w:abstractNum w:abstractNumId="104">
    <w:nsid w:val="6A3B714C"/>
    <w:multiLevelType w:val="hybridMultilevel"/>
    <w:lvl w:ilvl="0">
      <w:lvlJc w:val="left"/>
      <w:lvlText w:val="%1."/>
      <w:numFmt w:val="decimal"/>
      <w:start w:val="5"/>
    </w:lvl>
    <w:lvl w:ilvl="1">
      <w:lvlJc w:val="left"/>
      <w:lvlText w:val="(%2)"/>
      <w:numFmt w:val="lowerLetter"/>
      <w:start w:val="1"/>
    </w:lvl>
  </w:abstractNum>
  <w:abstractNum w:abstractNumId="105">
    <w:nsid w:val="327B517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6">
    <w:nsid w:val="1F461B51"/>
    <w:multiLevelType w:val="hybridMultilevel"/>
    <w:lvl w:ilvl="0">
      <w:lvlJc w:val="left"/>
      <w:lvlText w:val="(%1)"/>
      <w:numFmt w:val="lowerRoman"/>
      <w:start w:val="2"/>
    </w:lvl>
    <w:lvl w:ilvl="1">
      <w:lvlJc w:val="left"/>
      <w:lvlText w:val="(%2)"/>
      <w:numFmt w:val="upperLetter"/>
      <w:start w:val="1"/>
    </w:lvl>
  </w:abstractNum>
  <w:abstractNum w:abstractNumId="107">
    <w:nsid w:val="29BACF25"/>
    <w:multiLevelType w:val="hybridMultilevel"/>
    <w:lvl w:ilvl="0">
      <w:lvlJc w:val="left"/>
      <w:lvlText w:val="(%1)"/>
      <w:numFmt w:val="lowerRoman"/>
      <w:start w:val="5"/>
    </w:lvl>
    <w:lvl w:ilvl="1">
      <w:lvlJc w:val="left"/>
      <w:lvlText w:val="(%2)"/>
      <w:numFmt w:val="upperLetter"/>
      <w:start w:val="1"/>
    </w:lvl>
  </w:abstractNum>
  <w:abstractNum w:abstractNumId="108">
    <w:nsid w:val="5D5BABB3"/>
    <w:multiLevelType w:val="hybridMultilevel"/>
    <w:lvl w:ilvl="0">
      <w:lvlJc w:val="left"/>
      <w:lvlText w:val="(%1)"/>
      <w:numFmt w:val="upperLetter"/>
      <w:start w:val="3"/>
    </w:lvl>
  </w:abstractNum>
  <w:abstractNum w:abstractNumId="109">
    <w:nsid w:val="51BF6B48"/>
    <w:multiLevelType w:val="hybridMultilevel"/>
    <w:lvl w:ilvl="0">
      <w:lvlJc w:val="left"/>
      <w:lvlText w:val="%1."/>
      <w:numFmt w:val="decimal"/>
      <w:start w:val="6"/>
    </w:lvl>
  </w:abstractNum>
  <w:abstractNum w:abstractNumId="110">
    <w:nsid w:val="7E0F6384"/>
    <w:multiLevelType w:val="hybridMultilevel"/>
    <w:lvl w:ilvl="0">
      <w:lvlJc w:val="left"/>
      <w:lvlText w:val="(%1)"/>
      <w:numFmt w:val="lowerLetter"/>
      <w:start w:val="1"/>
    </w:lvl>
  </w:abstractNum>
  <w:abstractNum w:abstractNumId="111">
    <w:nsid w:val="2B4B8B53"/>
    <w:multiLevelType w:val="hybridMultilevel"/>
    <w:lvl w:ilvl="0">
      <w:lvlJc w:val="left"/>
      <w:lvlText w:val="%1."/>
      <w:numFmt w:val="decimal"/>
      <w:start w:val="7"/>
    </w:lvl>
  </w:abstractNum>
  <w:abstractNum w:abstractNumId="112">
    <w:nsid w:val="72E3413A"/>
    <w:multiLevelType w:val="hybridMultilevel"/>
    <w:lvl w:ilvl="0">
      <w:lvlJc w:val="left"/>
      <w:lvlText w:val="%1."/>
      <w:numFmt w:val="decimal"/>
      <w:start w:val="8"/>
    </w:lvl>
  </w:abstractNum>
  <w:abstractNum w:abstractNumId="113">
    <w:nsid w:val="116AE494"/>
    <w:multiLevelType w:val="hybridMultilevel"/>
    <w:lvl w:ilvl="0">
      <w:lvlJc w:val="left"/>
      <w:lvlText w:val="%1."/>
      <w:numFmt w:val="decimal"/>
      <w:start w:val="9"/>
    </w:lvl>
    <w:lvl w:ilvl="1">
      <w:lvlJc w:val="left"/>
      <w:lvlText w:val="(%2)"/>
      <w:numFmt w:val="lowerLetter"/>
      <w:start w:val="1"/>
    </w:lvl>
  </w:abstractNum>
  <w:abstractNum w:abstractNumId="114">
    <w:nsid w:val="3494B2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5">
    <w:nsid w:val="B13A3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6">
    <w:nsid w:val="6442959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17">
    <w:nsid w:val="631F1690"/>
    <w:multiLevelType w:val="hybridMultilevel"/>
    <w:lvl w:ilvl="0">
      <w:lvlJc w:val="left"/>
      <w:lvlText w:val="(%1)"/>
      <w:numFmt w:val="lowerLetter"/>
      <w:start w:val="1"/>
    </w:lvl>
  </w:abstractNum>
  <w:abstractNum w:abstractNumId="118">
    <w:nsid w:val="25973E32"/>
    <w:multiLevelType w:val="hybridMultilevel"/>
    <w:lvl w:ilvl="0">
      <w:lvlJc w:val="left"/>
      <w:lvlText w:val="%1."/>
      <w:numFmt w:val="decimal"/>
      <w:start w:val="1"/>
    </w:lvl>
  </w:abstractNum>
  <w:abstractNum w:abstractNumId="119">
    <w:nsid w:val="EAD6F57"/>
    <w:multiLevelType w:val="hybridMultilevel"/>
    <w:lvl w:ilvl="0">
      <w:lvlJc w:val="left"/>
      <w:lvlText w:val="%1."/>
      <w:numFmt w:val="decimal"/>
      <w:start w:val="2"/>
    </w:lvl>
    <w:lvl w:ilvl="1">
      <w:lvlJc w:val="left"/>
      <w:lvlText w:val="(%2)"/>
      <w:numFmt w:val="lowerLetter"/>
      <w:start w:val="1"/>
    </w:lvl>
  </w:abstractNum>
  <w:abstractNum w:abstractNumId="120">
    <w:nsid w:val="6EC9D84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1">
    <w:nsid w:val="5C49EAEE"/>
    <w:multiLevelType w:val="hybridMultilevel"/>
    <w:lvl w:ilvl="0">
      <w:lvlJc w:val="left"/>
      <w:lvlText w:val="%1."/>
      <w:numFmt w:val="decimal"/>
      <w:start w:val="5"/>
    </w:lvl>
    <w:lvl w:ilvl="1">
      <w:lvlJc w:val="left"/>
      <w:lvlText w:val="(%2)"/>
      <w:numFmt w:val="lowerLetter"/>
      <w:start w:val="1"/>
    </w:lvl>
  </w:abstractNum>
  <w:abstractNum w:abstractNumId="122">
    <w:nsid w:val="64AF49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3">
    <w:nsid w:val="397C46BC"/>
    <w:multiLevelType w:val="hybridMultilevel"/>
    <w:lvl w:ilvl="0">
      <w:lvlJc w:val="left"/>
      <w:lvlText w:val="(%1)"/>
      <w:numFmt w:val="lowerRoman"/>
      <w:start w:val="4"/>
    </w:lvl>
    <w:lvl w:ilvl="1">
      <w:lvlJc w:val="left"/>
      <w:lvlText w:val="(%2)"/>
      <w:numFmt w:val="decimal"/>
      <w:start w:val="59"/>
    </w:lvl>
    <w:lvl w:ilvl="2">
      <w:lvlJc w:val="left"/>
      <w:lvlText w:val="(%3)"/>
      <w:numFmt w:val="upperLetter"/>
      <w:start w:val="1"/>
    </w:lvl>
  </w:abstractNum>
  <w:abstractNum w:abstractNumId="124">
    <w:nsid w:val="7E448DE9"/>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4"/>
    </w:lvl>
  </w:abstractNum>
  <w:abstractNum w:abstractNumId="125">
    <w:nsid w:val="5A9CC3E5"/>
    <w:multiLevelType w:val="hybridMultilevel"/>
    <w:lvl w:ilvl="0">
      <w:lvlJc w:val="left"/>
      <w:lvlText w:val="(%1)"/>
      <w:numFmt w:val="lowerRoman"/>
      <w:start w:val="5"/>
    </w:lvl>
    <w:lvl w:ilvl="1">
      <w:lvlJc w:val="left"/>
      <w:lvlText w:val="(%2)"/>
      <w:numFmt w:val="upperLetter"/>
      <w:start w:val="1"/>
    </w:lvl>
  </w:abstractNum>
  <w:abstractNum w:abstractNumId="126">
    <w:nsid w:val="1AFE3625"/>
    <w:multiLevelType w:val="hybridMultilevel"/>
    <w:lvl w:ilvl="0">
      <w:lvlJc w:val="left"/>
      <w:lvlText w:val="%1"/>
      <w:numFmt w:val="decimal"/>
      <w:start w:val="1"/>
    </w:lvl>
    <w:lvl w:ilvl="1">
      <w:lvlJc w:val="left"/>
      <w:lvlText w:val="(%2)"/>
      <w:numFmt w:val="upperLetter"/>
      <w:start w:val="4"/>
    </w:lvl>
  </w:abstractNum>
  <w:abstractNum w:abstractNumId="127">
    <w:nsid w:val="3CA88ECF"/>
    <w:multiLevelType w:val="hybridMultilevel"/>
    <w:lvl w:ilvl="0">
      <w:lvlJc w:val="left"/>
      <w:lvlText w:val="%1."/>
      <w:numFmt w:val="decimal"/>
      <w:start w:val="6"/>
    </w:lvl>
    <w:lvl w:ilvl="1">
      <w:lvlJc w:val="left"/>
      <w:lvlText w:val="%2"/>
      <w:numFmt w:val="upperLetter"/>
      <w:start w:val="1"/>
    </w:lvl>
  </w:abstractNum>
  <w:abstractNum w:abstractNumId="128">
    <w:nsid w:val="6EBE4208"/>
    <w:multiLevelType w:val="hybridMultilevel"/>
    <w:lvl w:ilvl="0">
      <w:lvlJc w:val="left"/>
      <w:lvlText w:val="(%1)"/>
      <w:numFmt w:val="lowerLetter"/>
      <w:start w:val="1"/>
    </w:lvl>
  </w:abstractNum>
  <w:abstractNum w:abstractNumId="129">
    <w:nsid w:val="C058DF5"/>
    <w:multiLevelType w:val="hybridMultilevel"/>
    <w:lvl w:ilvl="0">
      <w:lvlJc w:val="left"/>
      <w:lvlText w:val="%1."/>
      <w:numFmt w:val="decimal"/>
      <w:start w:val="7"/>
    </w:lvl>
  </w:abstractNum>
  <w:abstractNum w:abstractNumId="130">
    <w:nsid w:val="CBE5BE9"/>
    <w:multiLevelType w:val="hybridMultilevel"/>
    <w:lvl w:ilvl="0">
      <w:lvlJc w:val="left"/>
      <w:lvlText w:val="%1."/>
      <w:numFmt w:val="decimal"/>
      <w:start w:val="8"/>
    </w:lvl>
  </w:abstractNum>
  <w:abstractNum w:abstractNumId="131">
    <w:nsid w:val="3102BBE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32">
    <w:nsid w:val="26A02C5E"/>
    <w:multiLevelType w:val="hybridMultilevel"/>
    <w:lvl w:ilvl="0">
      <w:lvlJc w:val="left"/>
      <w:lvlText w:val="%1"/>
      <w:numFmt w:val="decimal"/>
      <w:start w:val="1"/>
    </w:lvl>
    <w:lvl w:ilvl="1">
      <w:lvlJc w:val="left"/>
      <w:lvlText w:val="(%2)"/>
      <w:numFmt w:val="lowerLetter"/>
      <w:start w:val="4"/>
    </w:lvl>
  </w:abstractNum>
  <w:abstractNum w:abstractNumId="133">
    <w:nsid w:val="541C8153"/>
    <w:multiLevelType w:val="hybridMultilevel"/>
    <w:lvl w:ilvl="0">
      <w:lvlJc w:val="left"/>
      <w:lvlText w:val="%1."/>
      <w:numFmt w:val="decimal"/>
      <w:start w:val="10"/>
    </w:lvl>
    <w:lvl w:ilvl="1">
      <w:lvlJc w:val="left"/>
      <w:lvlText w:val="%2"/>
      <w:numFmt w:val="lowerLetter"/>
      <w:start w:val="1"/>
    </w:lvl>
  </w:abstractNum>
  <w:abstractNum w:abstractNumId="134">
    <w:nsid w:val="67906F60"/>
    <w:multiLevelType w:val="hybridMultilevel"/>
    <w:lvl w:ilvl="0">
      <w:lvlJc w:val="left"/>
      <w:lvlText w:val="%1."/>
      <w:numFmt w:val="decimal"/>
      <w:start w:val="11"/>
    </w:lvl>
  </w:abstractNum>
  <w:abstractNum w:abstractNumId="135">
    <w:nsid w:val="10DB9DAA"/>
    <w:multiLevelType w:val="hybridMultilevel"/>
    <w:lvl w:ilvl="0">
      <w:lvlJc w:val="left"/>
      <w:lvlText w:val="%1."/>
      <w:numFmt w:val="decimal"/>
      <w:start w:val="12"/>
    </w:lvl>
  </w:abstractNum>
  <w:abstractNum w:abstractNumId="136">
    <w:nsid w:val="697D2D2"/>
    <w:multiLevelType w:val="hybridMultilevel"/>
    <w:lvl w:ilvl="0">
      <w:lvlJc w:val="left"/>
      <w:lvlText w:val="(%1)"/>
      <w:numFmt w:val="lowerLetter"/>
      <w:start w:val="1"/>
    </w:lvl>
  </w:abstractNum>
  <w:abstractNum w:abstractNumId="137">
    <w:nsid w:val="6D68AB2"/>
    <w:multiLevelType w:val="hybridMultilevel"/>
    <w:lvl w:ilvl="0">
      <w:lvlJc w:val="left"/>
      <w:lvlText w:val="(%1)"/>
      <w:numFmt w:val="lowerLetter"/>
      <w:start w:val="2"/>
    </w:lvl>
  </w:abstractNum>
  <w:abstractNum w:abstractNumId="138">
    <w:nsid w:val="3A966CD0"/>
    <w:multiLevelType w:val="hybridMultilevel"/>
    <w:lvl w:ilvl="0">
      <w:lvlJc w:val="left"/>
      <w:lvlText w:val="%1."/>
      <w:numFmt w:val="decimal"/>
      <w:start w:val="13"/>
    </w:lvl>
  </w:abstractNum>
  <w:abstractNum w:abstractNumId="139">
    <w:nsid w:val="63F37E85"/>
    <w:multiLevelType w:val="hybridMultilevel"/>
    <w:lvl w:ilvl="0">
      <w:lvlJc w:val="left"/>
      <w:lvlText w:val="%1."/>
      <w:numFmt w:val="decimal"/>
      <w:start w:val="14"/>
    </w:lvl>
  </w:abstractNum>
  <w:abstractNum w:abstractNumId="140">
    <w:nsid w:val="5895F5FA"/>
    <w:multiLevelType w:val="hybridMultilevel"/>
    <w:lvl w:ilvl="0">
      <w:lvlJc w:val="left"/>
      <w:lvlText w:val="%1."/>
      <w:numFmt w:val="decimal"/>
      <w:start w:val="1"/>
    </w:lvl>
  </w:abstractNum>
  <w:abstractNum w:abstractNumId="141">
    <w:nsid w:val="38A5D054"/>
    <w:multiLevelType w:val="hybridMultilevel"/>
    <w:lvl w:ilvl="0">
      <w:lvlJc w:val="left"/>
      <w:lvlText w:val="%1."/>
      <w:numFmt w:val="decimal"/>
      <w:start w:val="3"/>
    </w:lvl>
  </w:abstractNum>
  <w:abstractNum w:abstractNumId="142">
    <w:nsid w:val="F3F09D8"/>
    <w:multiLevelType w:val="hybridMultilevel"/>
    <w:lvl w:ilvl="0">
      <w:lvlJc w:val="left"/>
      <w:lvlText w:val="(%1)"/>
      <w:numFmt w:val="lowerLetter"/>
      <w:start w:val="1"/>
    </w:lvl>
  </w:abstractNum>
  <w:abstractNum w:abstractNumId="143">
    <w:nsid w:val="4B793735"/>
    <w:multiLevelType w:val="hybridMultilevel"/>
    <w:lvl w:ilvl="0">
      <w:lvlJc w:val="left"/>
      <w:lvlText w:val="(%1)"/>
      <w:numFmt w:val="lowerLetter"/>
      <w:start w:val="4"/>
    </w:lvl>
  </w:abstractNum>
  <w:abstractNum w:abstractNumId="144">
    <w:nsid w:val="4A10B4E8"/>
    <w:multiLevelType w:val="hybridMultilevel"/>
    <w:lvl w:ilvl="0">
      <w:lvlJc w:val="left"/>
      <w:lvlText w:val="%1."/>
      <w:numFmt w:val="decimal"/>
      <w:start w:val="5"/>
    </w:lvl>
  </w:abstractNum>
  <w:abstractNum w:abstractNumId="145">
    <w:nsid w:val="43D3BCD4"/>
    <w:multiLevelType w:val="hybridMultilevel"/>
    <w:lvl w:ilvl="0">
      <w:lvlJc w:val="left"/>
      <w:lvlText w:val="•"/>
      <w:numFmt w:val="bullet"/>
      <w:start w:val="1"/>
    </w:lvl>
    <w:lvl w:ilvl="1">
      <w:lvlJc w:val="left"/>
      <w:lvlText w:val="(%2)"/>
      <w:numFmt w:val="lowerLetter"/>
      <w:start w:val="1"/>
    </w:lvl>
  </w:abstractNum>
  <w:abstractNum w:abstractNumId="146">
    <w:nsid w:val="4C2A7166"/>
    <w:multiLevelType w:val="hybridMultilevel"/>
    <w:lvl w:ilvl="0">
      <w:lvlJc w:val="left"/>
      <w:lvlText w:val="•"/>
      <w:numFmt w:val="bullet"/>
      <w:start w:val="1"/>
    </w:lvl>
  </w:abstractNum>
  <w:abstractNum w:abstractNumId="147">
    <w:nsid w:val="2E534A82"/>
    <w:multiLevelType w:val="hybridMultilevel"/>
    <w:lvl w:ilvl="0">
      <w:lvlJc w:val="left"/>
      <w:lvlText w:val="(%1)"/>
      <w:numFmt w:val="lowerLetter"/>
      <w:start w:val="2"/>
    </w:lvl>
  </w:abstractNum>
  <w:abstractNum w:abstractNumId="148">
    <w:nsid w:val="26F2D364"/>
    <w:multiLevelType w:val="hybridMultilevel"/>
    <w:lvl w:ilvl="0">
      <w:lvlJc w:val="left"/>
      <w:lvlText w:val="%1."/>
      <w:numFmt w:val="decimal"/>
      <w:start w:val="6"/>
    </w:lvl>
  </w:abstractNum>
  <w:abstractNum w:abstractNumId="149">
    <w:nsid w:val="71C1AF98"/>
    <w:multiLevelType w:val="hybridMultilevel"/>
    <w:lvl w:ilvl="0">
      <w:lvlJc w:val="left"/>
      <w:lvlText w:val="(%1)"/>
      <w:numFmt w:val="lowerLetter"/>
      <w:start w:val="1"/>
    </w:lvl>
  </w:abstractNum>
  <w:abstractNum w:abstractNumId="150">
    <w:nsid w:val="3D00B9D9"/>
    <w:multiLevelType w:val="hybridMultilevel"/>
    <w:lvl w:ilvl="0">
      <w:lvlJc w:val="left"/>
      <w:lvlText w:val="(%1)"/>
      <w:numFmt w:val="lowerRoman"/>
      <w:start w:val="1"/>
    </w:lvl>
  </w:abstractNum>
  <w:abstractNum w:abstractNumId="151">
    <w:nsid w:val="15BCABA8"/>
    <w:multiLevelType w:val="hybridMultilevel"/>
    <w:lvl w:ilvl="0">
      <w:lvlJc w:val="left"/>
      <w:lvlText w:val="(%1)"/>
      <w:numFmt w:val="upperLetter"/>
      <w:start w:val="1"/>
    </w:lvl>
  </w:abstractNum>
  <w:abstractNum w:abstractNumId="152">
    <w:nsid w:val="4E0B9A87"/>
    <w:multiLevelType w:val="hybridMultilevel"/>
    <w:lvl w:ilvl="0">
      <w:lvlJc w:val="left"/>
      <w:lvlText w:val="•"/>
      <w:numFmt w:val="bullet"/>
      <w:start w:val="1"/>
    </w:lvl>
  </w:abstractNum>
  <w:abstractNum w:abstractNumId="153">
    <w:nsid w:val="434BAE75"/>
    <w:multiLevelType w:val="hybridMultilevel"/>
    <w:lvl w:ilvl="0">
      <w:lvlJc w:val="left"/>
      <w:lvlText w:val="(%1)"/>
      <w:numFmt w:val="lowerLetter"/>
      <w:start w:val="2"/>
    </w:lvl>
  </w:abstractNum>
  <w:abstractNum w:abstractNumId="154">
    <w:nsid w:val="4F38F265"/>
    <w:multiLevelType w:val="hybridMultilevel"/>
    <w:lvl w:ilvl="0">
      <w:lvlJc w:val="left"/>
      <w:lvlText w:val="%1."/>
      <w:numFmt w:val="decimal"/>
      <w:start w:val="8"/>
    </w:lvl>
  </w:abstractNum>
  <w:abstractNum w:abstractNumId="155">
    <w:nsid w:val="4C502870"/>
    <w:multiLevelType w:val="hybridMultilevel"/>
    <w:lvl w:ilvl="0">
      <w:lvlJc w:val="left"/>
      <w:lvlText w:val="(%1)"/>
      <w:numFmt w:val="lowerLetter"/>
      <w:start w:val="1"/>
    </w:lvl>
  </w:abstractNum>
  <w:abstractNum w:abstractNumId="156">
    <w:nsid w:val="1DE8725A"/>
    <w:multiLevelType w:val="hybridMultilevel"/>
    <w:lvl w:ilvl="0">
      <w:lvlJc w:val="left"/>
      <w:lvlText w:val="%1."/>
      <w:numFmt w:val="decimal"/>
      <w:start w:val="9"/>
    </w:lvl>
  </w:abstractNum>
  <w:abstractNum w:abstractNumId="157">
    <w:nsid w:val="6A37288A"/>
    <w:multiLevelType w:val="hybridMultilevel"/>
    <w:lvl w:ilvl="0">
      <w:lvlJc w:val="left"/>
      <w:lvlText w:val="%1."/>
      <w:numFmt w:val="decimal"/>
      <w:start w:val="10"/>
    </w:lvl>
  </w:abstractNum>
  <w:abstractNum w:abstractNumId="158">
    <w:nsid w:val="8F8B73F"/>
    <w:multiLevelType w:val="hybridMultilevel"/>
    <w:lvl w:ilvl="0">
      <w:lvlJc w:val="left"/>
      <w:lvlText w:val="(%1)"/>
      <w:numFmt w:val="lowerLetter"/>
      <w:start w:val="1"/>
    </w:lvl>
  </w:abstractNum>
  <w:abstractNum w:abstractNumId="159">
    <w:nsid w:val="CA6B462"/>
    <w:multiLevelType w:val="hybridMultilevel"/>
    <w:lvl w:ilvl="0">
      <w:lvlJc w:val="left"/>
      <w:lvlText w:val="(%1)"/>
      <w:numFmt w:val="lowerLetter"/>
      <w:start w:val="2"/>
    </w:lvl>
    <w:lvl w:ilvl="1">
      <w:lvlJc w:val="left"/>
      <w:lvlText w:val="(%2)"/>
      <w:numFmt w:val="lowerRoman"/>
      <w:start w:val="1"/>
    </w:lvl>
  </w:abstractNum>
  <w:abstractNum w:abstractNumId="160">
    <w:nsid w:val="763CB680"/>
    <w:multiLevelType w:val="hybridMultilevel"/>
    <w:lvl w:ilvl="0">
      <w:lvlJc w:val="left"/>
      <w:lvlText w:val="%1."/>
      <w:numFmt w:val="decimal"/>
      <w:start w:val="14"/>
    </w:lvl>
  </w:abstractNum>
  <w:abstractNum w:abstractNumId="161">
    <w:nsid w:val="15B71329"/>
    <w:multiLevelType w:val="hybridMultilevel"/>
    <w:lvl w:ilvl="0">
      <w:lvlJc w:val="left"/>
      <w:lvlText w:val="%1."/>
      <w:numFmt w:val="decimal"/>
      <w:start w:val="17"/>
    </w:lvl>
  </w:abstractNum>
  <w:abstractNum w:abstractNumId="162">
    <w:nsid w:val="3DA97044"/>
    <w:multiLevelType w:val="hybridMultilevel"/>
    <w:lvl w:ilvl="0">
      <w:lvlJc w:val="left"/>
      <w:lvlText w:val="%1."/>
      <w:numFmt w:val="decimal"/>
      <w:start w:val="22"/>
    </w:lvl>
  </w:abstractNum>
  <w:abstractNum w:abstractNumId="163">
    <w:nsid w:val="1CDCE2DE"/>
    <w:multiLevelType w:val="hybridMultilevel"/>
    <w:lvl w:ilvl="0">
      <w:lvlJc w:val="left"/>
      <w:lvlText w:val="%1."/>
      <w:numFmt w:val="decimal"/>
      <w:start w:val="1"/>
    </w:lvl>
  </w:abstractNum>
  <w:abstractNum w:abstractNumId="164">
    <w:nsid w:val="69D3947C"/>
    <w:multiLevelType w:val="hybridMultilevel"/>
    <w:lvl w:ilvl="0">
      <w:lvlJc w:val="left"/>
      <w:lvlText w:val="%1."/>
      <w:numFmt w:val="decimal"/>
      <w:start w:val="3"/>
    </w:lvl>
  </w:abstractNum>
  <w:abstractNum w:abstractNumId="165">
    <w:nsid w:val="2539DFA5"/>
    <w:multiLevelType w:val="hybridMultilevel"/>
    <w:lvl w:ilvl="0">
      <w:lvlJc w:val="left"/>
      <w:lvlText w:val="(%1)"/>
      <w:numFmt w:val="lowerLetter"/>
      <w:start w:val="1"/>
    </w:lvl>
  </w:abstractNum>
  <w:abstractNum w:abstractNumId="166">
    <w:nsid w:val="2DB88089"/>
    <w:multiLevelType w:val="hybridMultilevel"/>
    <w:lvl w:ilvl="0">
      <w:lvlJc w:val="left"/>
      <w:lvlText w:val="(%1)"/>
      <w:numFmt w:val="lowerLetter"/>
      <w:start w:val="4"/>
    </w:lvl>
  </w:abstractNum>
  <w:abstractNum w:abstractNumId="167">
    <w:nsid w:val="706B674E"/>
    <w:multiLevelType w:val="hybridMultilevel"/>
    <w:lvl w:ilvl="0">
      <w:lvlJc w:val="left"/>
      <w:lvlText w:val="%1."/>
      <w:numFmt w:val="decimal"/>
      <w:start w:val="5"/>
    </w:lvl>
  </w:abstractNum>
  <w:abstractNum w:abstractNumId="168">
    <w:nsid w:val="2C106A57"/>
    <w:multiLevelType w:val="hybridMultilevel"/>
    <w:lvl w:ilvl="0">
      <w:lvlJc w:val="left"/>
      <w:lvlText w:val="•"/>
      <w:numFmt w:val="bullet"/>
      <w:start w:val="1"/>
    </w:lvl>
    <w:lvl w:ilvl="1">
      <w:lvlJc w:val="left"/>
      <w:lvlText w:val="(%2)"/>
      <w:numFmt w:val="lowerLetter"/>
      <w:start w:val="1"/>
    </w:lvl>
  </w:abstractNum>
  <w:abstractNum w:abstractNumId="169">
    <w:nsid w:val="684EED59"/>
    <w:multiLevelType w:val="hybridMultilevel"/>
    <w:lvl w:ilvl="0">
      <w:lvlJc w:val="left"/>
      <w:lvlText w:val="•"/>
      <w:numFmt w:val="bullet"/>
      <w:start w:val="1"/>
    </w:lvl>
  </w:abstractNum>
  <w:abstractNum w:abstractNumId="170">
    <w:nsid w:val="545EE5D3"/>
    <w:multiLevelType w:val="hybridMultilevel"/>
    <w:lvl w:ilvl="0">
      <w:lvlJc w:val="left"/>
      <w:lvlText w:val="(%1)"/>
      <w:numFmt w:val="lowerLetter"/>
      <w:start w:val="2"/>
    </w:lvl>
  </w:abstractNum>
  <w:abstractNum w:abstractNumId="171">
    <w:nsid w:val="4A66051"/>
    <w:multiLevelType w:val="hybridMultilevel"/>
    <w:lvl w:ilvl="0">
      <w:lvlJc w:val="left"/>
      <w:lvlText w:val="%1."/>
      <w:numFmt w:val="decimal"/>
      <w:start w:val="6"/>
    </w:lvl>
  </w:abstractNum>
  <w:abstractNum w:abstractNumId="172">
    <w:nsid w:val="20F4BDAD"/>
    <w:multiLevelType w:val="hybridMultilevel"/>
    <w:lvl w:ilvl="0">
      <w:lvlJc w:val="left"/>
      <w:lvlText w:val="(%1)"/>
      <w:numFmt w:val="lowerLetter"/>
      <w:start w:val="1"/>
    </w:lvl>
  </w:abstractNum>
  <w:abstractNum w:abstractNumId="173">
    <w:nsid w:val="639DEFAC"/>
    <w:multiLevelType w:val="hybridMultilevel"/>
    <w:lvl w:ilvl="0">
      <w:lvlJc w:val="left"/>
      <w:lvlText w:val="(%1)"/>
      <w:numFmt w:val="lowerRoman"/>
      <w:start w:val="1"/>
    </w:lvl>
  </w:abstractNum>
  <w:abstractNum w:abstractNumId="174">
    <w:nsid w:val="501F9786"/>
    <w:multiLevelType w:val="hybridMultilevel"/>
    <w:lvl w:ilvl="0">
      <w:lvlJc w:val="left"/>
      <w:lvlText w:val="(%1)"/>
      <w:numFmt w:val="upperLetter"/>
      <w:start w:val="1"/>
    </w:lvl>
  </w:abstractNum>
  <w:abstractNum w:abstractNumId="175">
    <w:nsid w:val="6B057295"/>
    <w:multiLevelType w:val="hybridMultilevel"/>
    <w:lvl w:ilvl="0">
      <w:lvlJc w:val="left"/>
      <w:lvlText w:val="•"/>
      <w:numFmt w:val="bullet"/>
      <w:start w:val="1"/>
    </w:lvl>
    <w:lvl w:ilvl="1">
      <w:lvlJc w:val="left"/>
      <w:lvlText w:val="(%2)"/>
      <w:numFmt w:val="upperLetter"/>
      <w:start w:val="2"/>
    </w:lvl>
  </w:abstractNum>
  <w:abstractNum w:abstractNumId="176">
    <w:nsid w:val="2771AC80"/>
    <w:multiLevelType w:val="hybridMultilevel"/>
    <w:lvl w:ilvl="0">
      <w:lvlJc w:val="left"/>
      <w:lvlText w:val="(%1)"/>
      <w:numFmt w:val="lowerLetter"/>
      <w:start w:val="2"/>
    </w:lvl>
  </w:abstractNum>
  <w:abstractNum w:abstractNumId="177">
    <w:nsid w:val="1C4A08EC"/>
    <w:multiLevelType w:val="hybridMultilevel"/>
    <w:lvl w:ilvl="0">
      <w:lvlJc w:val="left"/>
      <w:lvlText w:val="%1."/>
      <w:numFmt w:val="decimal"/>
      <w:start w:val="8"/>
    </w:lvl>
  </w:abstractNum>
  <w:abstractNum w:abstractNumId="178">
    <w:nsid w:val="1958BD17"/>
    <w:multiLevelType w:val="hybridMultilevel"/>
    <w:lvl w:ilvl="0">
      <w:lvlJc w:val="left"/>
      <w:lvlText w:val="(%1)"/>
      <w:numFmt w:val="lowerLetter"/>
      <w:start w:val="1"/>
    </w:lvl>
  </w:abstractNum>
  <w:abstractNum w:abstractNumId="179">
    <w:nsid w:val="4E647FE4"/>
    <w:multiLevelType w:val="hybridMultilevel"/>
    <w:lvl w:ilvl="0">
      <w:lvlJc w:val="left"/>
      <w:lvlText w:val="%1."/>
      <w:numFmt w:val="decimal"/>
      <w:start w:val="9"/>
    </w:lvl>
  </w:abstractNum>
  <w:abstractNum w:abstractNumId="180">
    <w:nsid w:val="E0BB885"/>
    <w:multiLevelType w:val="hybridMultilevel"/>
    <w:lvl w:ilvl="0">
      <w:lvlJc w:val="left"/>
      <w:lvlText w:val="(%1)"/>
      <w:numFmt w:val="lowerLetter"/>
      <w:start w:val="1"/>
    </w:lvl>
  </w:abstractNum>
  <w:abstractNum w:abstractNumId="181">
    <w:nsid w:val="565976F1"/>
    <w:multiLevelType w:val="hybridMultilevel"/>
    <w:lvl w:ilvl="0">
      <w:lvlJc w:val="left"/>
      <w:lvlText w:val="(%1)"/>
      <w:numFmt w:val="lowerLetter"/>
      <w:start w:val="2"/>
    </w:lvl>
    <w:lvl w:ilvl="1">
      <w:lvlJc w:val="left"/>
      <w:lvlText w:val="(%2)"/>
      <w:numFmt w:val="lowerRoman"/>
      <w:start w:val="1"/>
    </w:lvl>
  </w:abstractNum>
  <w:abstractNum w:abstractNumId="182">
    <w:nsid w:val="64212B8C"/>
    <w:multiLevelType w:val="hybridMultilevel"/>
    <w:lvl w:ilvl="0">
      <w:lvlJc w:val="left"/>
      <w:lvlText w:val="%1."/>
      <w:numFmt w:val="decimal"/>
      <w:start w:val="14"/>
    </w:lvl>
  </w:abstractNum>
  <w:abstractNum w:abstractNumId="183">
    <w:nsid w:val="5C17530C"/>
    <w:multiLevelType w:val="hybridMultilevel"/>
    <w:lvl w:ilvl="0">
      <w:lvlJc w:val="left"/>
      <w:lvlText w:val="%1."/>
      <w:numFmt w:val="decimal"/>
      <w:start w:val="17"/>
    </w:lvl>
  </w:abstractNum>
  <w:abstractNum w:abstractNumId="184">
    <w:nsid w:val="19A52566"/>
    <w:multiLevelType w:val="hybridMultilevel"/>
    <w:lvl w:ilvl="0">
      <w:lvlJc w:val="left"/>
      <w:lvlText w:val="%1."/>
      <w:numFmt w:val="decimal"/>
      <w:start w:val="21"/>
    </w:lvl>
  </w:abstractNum>
  <w:abstractNum w:abstractNumId="185">
    <w:nsid w:val="335A1DF1"/>
    <w:multiLevelType w:val="hybridMultilevel"/>
    <w:lvl w:ilvl="0">
      <w:lvlJc w:val="left"/>
      <w:lvlText w:val="%1."/>
      <w:numFmt w:val="decimal"/>
      <w:start w:val="1"/>
    </w:lvl>
  </w:abstractNum>
  <w:abstractNum w:abstractNumId="186">
    <w:nsid w:val="28677B7C"/>
    <w:multiLevelType w:val="hybridMultilevel"/>
    <w:lvl w:ilvl="0">
      <w:lvlJc w:val="left"/>
      <w:lvlText w:val="(%1)"/>
      <w:numFmt w:val="lowerLetter"/>
      <w:start w:val="1"/>
    </w:lvl>
  </w:abstractNum>
  <w:abstractNum w:abstractNumId="187">
    <w:nsid w:val="378D97C0"/>
    <w:multiLevelType w:val="hybridMultilevel"/>
    <w:lvl w:ilvl="0">
      <w:lvlJc w:val="left"/>
      <w:lvlText w:val="(%1)"/>
      <w:numFmt w:val="lowerLetter"/>
      <w:start w:val="4"/>
    </w:lvl>
  </w:abstractNum>
  <w:abstractNum w:abstractNumId="188">
    <w:nsid w:val="1D91467C"/>
    <w:multiLevelType w:val="hybridMultilevel"/>
    <w:lvl w:ilvl="0">
      <w:lvlJc w:val="left"/>
      <w:lvlText w:val="%1."/>
      <w:numFmt w:val="decimal"/>
      <w:start w:val="5"/>
    </w:lvl>
  </w:abstractNum>
  <w:abstractNum w:abstractNumId="189">
    <w:nsid w:val="316032BB"/>
    <w:multiLevelType w:val="hybridMultilevel"/>
    <w:lvl w:ilvl="0">
      <w:lvlJc w:val="left"/>
      <w:lvlText w:val="•"/>
      <w:numFmt w:val="bullet"/>
      <w:start w:val="1"/>
    </w:lvl>
    <w:lvl w:ilvl="1">
      <w:lvlJc w:val="left"/>
      <w:lvlText w:val="(%2)"/>
      <w:numFmt w:val="lowerLetter"/>
      <w:start w:val="1"/>
    </w:lvl>
  </w:abstractNum>
  <w:abstractNum w:abstractNumId="190">
    <w:nsid w:val="44344C22"/>
    <w:multiLevelType w:val="hybridMultilevel"/>
    <w:lvl w:ilvl="0">
      <w:lvlJc w:val="left"/>
      <w:lvlText w:val="•"/>
      <w:numFmt w:val="bullet"/>
      <w:start w:val="1"/>
    </w:lvl>
  </w:abstractNum>
  <w:abstractNum w:abstractNumId="191">
    <w:nsid w:val="13CDFCFC"/>
    <w:multiLevelType w:val="hybridMultilevel"/>
    <w:lvl w:ilvl="0">
      <w:lvlJc w:val="left"/>
      <w:lvlText w:val="(%1)"/>
      <w:numFmt w:val="lowerLetter"/>
      <w:start w:val="2"/>
    </w:lvl>
  </w:abstractNum>
  <w:abstractNum w:abstractNumId="192">
    <w:nsid w:val="471745E4"/>
    <w:multiLevelType w:val="hybridMultilevel"/>
    <w:lvl w:ilvl="0">
      <w:lvlJc w:val="left"/>
      <w:lvlText w:val="%1."/>
      <w:numFmt w:val="decimal"/>
      <w:start w:val="6"/>
    </w:lvl>
  </w:abstractNum>
  <w:abstractNum w:abstractNumId="193">
    <w:nsid w:val="1DDBC66"/>
    <w:multiLevelType w:val="hybridMultilevel"/>
    <w:lvl w:ilvl="0">
      <w:lvlJc w:val="left"/>
      <w:lvlText w:val="%1."/>
      <w:numFmt w:val="decimal"/>
      <w:start w:val="7"/>
    </w:lvl>
  </w:abstractNum>
  <w:abstractNum w:abstractNumId="194">
    <w:nsid w:val="30AADFDA"/>
    <w:multiLevelType w:val="hybridMultilevel"/>
    <w:lvl w:ilvl="0">
      <w:lvlJc w:val="left"/>
      <w:lvlText w:val="(%1)"/>
      <w:numFmt w:val="lowerLetter"/>
      <w:start w:val="1"/>
    </w:lvl>
  </w:abstractNum>
  <w:abstractNum w:abstractNumId="195">
    <w:nsid w:val="30EADA61"/>
    <w:multiLevelType w:val="hybridMultilevel"/>
    <w:lvl w:ilvl="0">
      <w:lvlJc w:val="left"/>
      <w:lvlText w:val="(%1)"/>
      <w:numFmt w:val="lowerRoman"/>
      <w:start w:val="1"/>
    </w:lvl>
  </w:abstractNum>
  <w:abstractNum w:abstractNumId="196">
    <w:nsid w:val="27179C0B"/>
    <w:multiLevelType w:val="hybridMultilevel"/>
    <w:lvl w:ilvl="0">
      <w:lvlJc w:val="left"/>
      <w:lvlText w:val="•"/>
      <w:numFmt w:val="bullet"/>
      <w:start w:val="1"/>
    </w:lvl>
    <w:lvl w:ilvl="1">
      <w:lvlJc w:val="left"/>
      <w:lvlText w:val="(%2)"/>
      <w:numFmt w:val="upperLetter"/>
      <w:start w:val="1"/>
    </w:lvl>
  </w:abstractNum>
  <w:abstractNum w:abstractNumId="197">
    <w:nsid w:val="5E636063"/>
    <w:multiLevelType w:val="hybridMultilevel"/>
    <w:lvl w:ilvl="0">
      <w:lvlJc w:val="left"/>
      <w:lvlText w:val="(%1)"/>
      <w:numFmt w:val="lowerLetter"/>
      <w:start w:val="2"/>
    </w:lvl>
  </w:abstractNum>
  <w:abstractNum w:abstractNumId="198">
    <w:nsid w:val="215641AF"/>
    <w:multiLevelType w:val="hybridMultilevel"/>
    <w:lvl w:ilvl="0">
      <w:lvlJc w:val="left"/>
      <w:lvlText w:val="%1."/>
      <w:numFmt w:val="decimal"/>
      <w:start w:val="8"/>
    </w:lvl>
  </w:abstractNum>
  <w:abstractNum w:abstractNumId="199">
    <w:nsid w:val="53280662"/>
    <w:multiLevelType w:val="hybridMultilevel"/>
    <w:lvl w:ilvl="0">
      <w:lvlJc w:val="left"/>
      <w:lvlText w:val="(%1)"/>
      <w:numFmt w:val="lowerLetter"/>
      <w:start w:val="1"/>
    </w:lvl>
  </w:abstractNum>
  <w:abstractNum w:abstractNumId="200">
    <w:nsid w:val="46B24DBC"/>
    <w:multiLevelType w:val="hybridMultilevel"/>
    <w:lvl w:ilvl="0">
      <w:lvlJc w:val="left"/>
      <w:lvlText w:val="(%1)"/>
      <w:numFmt w:val="lowerLetter"/>
      <w:start w:val="3"/>
    </w:lvl>
  </w:abstractNum>
  <w:abstractNum w:abstractNumId="201">
    <w:nsid w:val="75B52783"/>
    <w:multiLevelType w:val="hybridMultilevel"/>
    <w:lvl w:ilvl="0">
      <w:lvlJc w:val="left"/>
      <w:lvlText w:val="%1."/>
      <w:numFmt w:val="decimal"/>
      <w:start w:val="9"/>
    </w:lvl>
  </w:abstractNum>
  <w:abstractNum w:abstractNumId="202">
    <w:nsid w:val="57CE66B4"/>
    <w:multiLevelType w:val="hybridMultilevel"/>
    <w:lvl w:ilvl="0">
      <w:lvlJc w:val="left"/>
      <w:lvlText w:val="%1."/>
      <w:numFmt w:val="decimal"/>
      <w:start w:val="13"/>
    </w:lvl>
  </w:abstractNum>
  <w:abstractNum w:abstractNumId="203">
    <w:nsid w:val="67A70B69"/>
    <w:multiLevelType w:val="hybridMultilevel"/>
    <w:lvl w:ilvl="0">
      <w:lvlJc w:val="left"/>
      <w:lvlText w:val="(%1)"/>
      <w:numFmt w:val="lowerLetter"/>
      <w:start w:val="1"/>
    </w:lvl>
    <w:lvl w:ilvl="1">
      <w:lvlJc w:val="left"/>
      <w:lvlText w:val="(%2)"/>
      <w:numFmt w:val="lowerRoman"/>
      <w:start w:val="1"/>
    </w:lvl>
  </w:abstractNum>
  <w:abstractNum w:abstractNumId="204">
    <w:nsid w:val="5953172F"/>
    <w:multiLevelType w:val="hybridMultilevel"/>
    <w:lvl w:ilvl="0">
      <w:lvlJc w:val="left"/>
      <w:lvlText w:val="(%1)"/>
      <w:numFmt w:val="lowerLetter"/>
      <w:start w:val="5"/>
    </w:lvl>
  </w:abstractNum>
  <w:abstractNum w:abstractNumId="205">
    <w:nsid w:val="27EDFE3A"/>
    <w:multiLevelType w:val="hybridMultilevel"/>
    <w:lvl w:ilvl="0">
      <w:lvlJc w:val="left"/>
      <w:lvlText w:val="%1."/>
      <w:numFmt w:val="decimal"/>
      <w:start w:val="14"/>
    </w:lvl>
  </w:abstractNum>
  <w:abstractNum w:abstractNumId="206">
    <w:nsid w:val="52AC7DFF"/>
    <w:multiLevelType w:val="hybridMultilevel"/>
    <w:lvl w:ilvl="0">
      <w:lvlJc w:val="left"/>
      <w:lvlText w:val="%1."/>
      <w:numFmt w:val="decimal"/>
      <w:start w:val="16"/>
    </w:lvl>
  </w:abstractNum>
  <w:abstractNum w:abstractNumId="207">
    <w:nsid w:val="C4C3AF"/>
    <w:multiLevelType w:val="hybridMultilevel"/>
    <w:lvl w:ilvl="0">
      <w:lvlJc w:val="left"/>
      <w:lvlText w:val="%1."/>
      <w:numFmt w:val="decimal"/>
      <w:start w:val="17"/>
    </w:lvl>
  </w:abstractNum>
  <w:abstractNum w:abstractNumId="208">
    <w:nsid w:val="44380727"/>
    <w:multiLevelType w:val="hybridMultilevel"/>
    <w:lvl w:ilvl="0">
      <w:lvlJc w:val="left"/>
      <w:lvlText w:val="%1."/>
      <w:numFmt w:val="decimal"/>
      <w:start w:val="21"/>
    </w:lvl>
  </w:abstractNum>
  <w:abstractNum w:abstractNumId="209">
    <w:nsid w:val="6C053B16"/>
    <w:multiLevelType w:val="hybridMultilevel"/>
    <w:lvl w:ilvl="0">
      <w:lvlJc w:val="left"/>
      <w:lvlText w:val="%1."/>
      <w:numFmt w:val="decimal"/>
      <w:start w:val="1"/>
    </w:lvl>
  </w:abstractNum>
  <w:abstractNum w:abstractNumId="210">
    <w:nsid w:val="4F294393"/>
    <w:multiLevelType w:val="hybridMultilevel"/>
    <w:lvl w:ilvl="0">
      <w:lvlJc w:val="left"/>
      <w:lvlText w:val="%1."/>
      <w:numFmt w:val="decimal"/>
      <w:start w:val="2"/>
    </w:lvl>
  </w:abstractNum>
  <w:abstractNum w:abstractNumId="211">
    <w:nsid w:val="5243BFAC"/>
    <w:multiLevelType w:val="hybridMultilevel"/>
    <w:lvl w:ilvl="0">
      <w:lvlJc w:val="left"/>
      <w:lvlText w:val="(%1)"/>
      <w:numFmt w:val="lowerLetter"/>
      <w:start w:val="1"/>
    </w:lvl>
  </w:abstractNum>
  <w:abstractNum w:abstractNumId="212">
    <w:nsid w:val="425EB207"/>
    <w:multiLevelType w:val="hybridMultilevel"/>
    <w:lvl w:ilvl="0">
      <w:lvlJc w:val="left"/>
      <w:lvlText w:val="%1."/>
      <w:numFmt w:val="decimal"/>
      <w:start w:val="3"/>
    </w:lvl>
  </w:abstractNum>
  <w:abstractNum w:abstractNumId="213">
    <w:nsid w:val="334A6F1F"/>
    <w:multiLevelType w:val="hybridMultilevel"/>
    <w:lvl w:ilvl="0">
      <w:lvlJc w:val="left"/>
      <w:lvlText w:val="%1."/>
      <w:numFmt w:val="decimal"/>
      <w:start w:val="4"/>
    </w:lvl>
  </w:abstractNum>
  <w:abstractNum w:abstractNumId="214">
    <w:nsid w:val="2E5B12B8"/>
    <w:multiLevelType w:val="hybridMultilevel"/>
    <w:lvl w:ilvl="0">
      <w:lvlJc w:val="left"/>
      <w:lvlText w:val="(%1)"/>
      <w:numFmt w:val="lowerLetter"/>
      <w:start w:val="1"/>
    </w:lvl>
  </w:abstractNum>
  <w:abstractNum w:abstractNumId="215">
    <w:nsid w:val="5C03D76D"/>
    <w:multiLevelType w:val="hybridMultilevel"/>
    <w:lvl w:ilvl="0">
      <w:lvlJc w:val="left"/>
      <w:lvlText w:val="%1."/>
      <w:numFmt w:val="decimal"/>
      <w:start w:val="5"/>
    </w:lvl>
  </w:abstractNum>
  <w:abstractNum w:abstractNumId="216">
    <w:nsid w:val="66A48D11"/>
    <w:multiLevelType w:val="hybridMultilevel"/>
    <w:lvl w:ilvl="0">
      <w:lvlJc w:val="left"/>
      <w:lvlText w:val="(%1)"/>
      <w:numFmt w:val="lowerLetter"/>
      <w:start w:val="1"/>
    </w:lvl>
  </w:abstractNum>
  <w:abstractNum w:abstractNumId="217">
    <w:nsid w:val="56C28E34"/>
    <w:multiLevelType w:val="hybridMultilevel"/>
    <w:lvl w:ilvl="0">
      <w:lvlJc w:val="left"/>
      <w:lvlText w:val="%1."/>
      <w:numFmt w:val="decimal"/>
      <w:start w:val="6"/>
    </w:lvl>
  </w:abstractNum>
  <w:abstractNum w:abstractNumId="218">
    <w:nsid w:val="13916F2D"/>
    <w:multiLevelType w:val="hybridMultilevel"/>
    <w:lvl w:ilvl="0">
      <w:lvlJc w:val="left"/>
      <w:lvlText w:val="(%1)"/>
      <w:numFmt w:val="lowerLetter"/>
      <w:start w:val="1"/>
    </w:lvl>
  </w:abstractNum>
  <w:abstractNum w:abstractNumId="219">
    <w:nsid w:val="435D38D"/>
    <w:multiLevelType w:val="hybridMultilevel"/>
    <w:lvl w:ilvl="0">
      <w:lvlJc w:val="left"/>
      <w:lvlText w:val="%1."/>
      <w:numFmt w:val="decimal"/>
      <w:start w:val="7"/>
    </w:lvl>
  </w:abstractNum>
  <w:abstractNum w:abstractNumId="220">
    <w:nsid w:val="822C0EF"/>
    <w:multiLevelType w:val="hybridMultilevel"/>
    <w:lvl w:ilvl="0">
      <w:lvlJc w:val="left"/>
      <w:lvlText w:val="(%1)"/>
      <w:numFmt w:val="lowerLetter"/>
      <w:start w:val="1"/>
    </w:lvl>
  </w:abstractNum>
  <w:abstractNum w:abstractNumId="221">
    <w:nsid w:val="57C5BB4F"/>
    <w:multiLevelType w:val="hybridMultilevel"/>
    <w:lvl w:ilvl="0">
      <w:lvlJc w:val="left"/>
      <w:lvlText w:val="%1."/>
      <w:numFmt w:val="decimal"/>
      <w:start w:val="9"/>
    </w:lvl>
  </w:abstractNum>
  <w:abstractNum w:abstractNumId="222">
    <w:nsid w:val="1803D089"/>
    <w:multiLevelType w:val="hybridMultilevel"/>
    <w:lvl w:ilvl="0">
      <w:lvlJc w:val="left"/>
      <w:lvlText w:val="(%1)"/>
      <w:numFmt w:val="lowerLetter"/>
      <w:start w:val="1"/>
    </w:lvl>
  </w:abstractNum>
  <w:abstractNum w:abstractNumId="223">
    <w:nsid w:val="4F3A06D4"/>
    <w:multiLevelType w:val="hybridMultilevel"/>
    <w:lvl w:ilvl="0">
      <w:lvlJc w:val="left"/>
      <w:lvlText w:val="%1."/>
      <w:numFmt w:val="decimal"/>
      <w:start w:val="13"/>
    </w:lvl>
  </w:abstractNum>
  <w:abstractNum w:abstractNumId="224">
    <w:nsid w:val="59A377B6"/>
    <w:multiLevelType w:val="hybridMultilevel"/>
    <w:lvl w:ilvl="0">
      <w:lvlJc w:val="left"/>
      <w:lvlText w:val="(%1)"/>
      <w:numFmt w:val="lowerLetter"/>
      <w:start w:val="1"/>
    </w:lvl>
  </w:abstractNum>
  <w:abstractNum w:abstractNumId="225">
    <w:nsid w:val="48AEB063"/>
    <w:multiLevelType w:val="hybridMultilevel"/>
    <w:lvl w:ilvl="0">
      <w:lvlJc w:val="left"/>
      <w:lvlText w:val="(%1)"/>
      <w:numFmt w:val="lowerLetter"/>
      <w:start w:val="10"/>
    </w:lvl>
  </w:abstractNum>
  <w:abstractNum w:abstractNumId="226">
    <w:nsid w:val="24E135"/>
    <w:multiLevelType w:val="hybridMultilevel"/>
    <w:lvl w:ilvl="0">
      <w:lvlJc w:val="left"/>
      <w:lvlText w:val="(%1)"/>
      <w:numFmt w:val="lowerLetter"/>
      <w:start w:val="23"/>
    </w:lvl>
  </w:abstractNum>
  <w:abstractNum w:abstractNumId="227">
    <w:nsid w:val="BB13C1"/>
    <w:multiLevelType w:val="hybridMultilevel"/>
    <w:lvl w:ilvl="0">
      <w:lvlJc w:val="left"/>
      <w:lvlText w:val="(%1)"/>
      <w:numFmt w:val="lowerLetter"/>
      <w:start w:val="27"/>
    </w:lvl>
  </w:abstractNum>
  <w:abstractNum w:abstractNumId="228">
    <w:nsid w:val="271210C7"/>
    <w:multiLevelType w:val="hybridMultilevel"/>
    <w:lvl w:ilvl="0">
      <w:lvlJc w:val="left"/>
      <w:lvlText w:val="(%1)"/>
      <w:numFmt w:val="lowerLetter"/>
      <w:start w:val="1"/>
    </w:lvl>
  </w:abstractNum>
  <w:abstractNum w:abstractNumId="229">
    <w:nsid w:val="217B22E4"/>
    <w:multiLevelType w:val="hybridMultilevel"/>
    <w:lvl w:ilvl="0">
      <w:lvlJc w:val="left"/>
      <w:lvlText w:val="(%1)"/>
      <w:numFmt w:val="lowerLetter"/>
      <w:start w:val="7"/>
    </w:lvl>
  </w:abstractNum>
  <w:abstractNum w:abstractNumId="230">
    <w:nsid w:val="53E31A24"/>
    <w:multiLevelType w:val="hybridMultilevel"/>
    <w:lvl w:ilvl="0">
      <w:lvlJc w:val="left"/>
      <w:lvlText w:val="(%1)"/>
      <w:numFmt w:val="lowerLetter"/>
      <w:start w:val="10"/>
    </w:lvl>
  </w:abstractNum>
  <w:abstractNum w:abstractNumId="231">
    <w:nsid w:val="6DC45E83"/>
    <w:multiLevelType w:val="hybridMultilevel"/>
    <w:lvl w:ilvl="0">
      <w:lvlJc w:val="left"/>
      <w:lvlText w:val="%1."/>
      <w:numFmt w:val="decimal"/>
      <w:start w:val="15"/>
    </w:lvl>
  </w:abstractNum>
  <w:abstractNum w:abstractNumId="232">
    <w:nsid w:val="17304A67"/>
    <w:multiLevelType w:val="hybridMultilevel"/>
    <w:lvl w:ilvl="0">
      <w:lvlJc w:val="left"/>
      <w:lvlText w:val="%1."/>
      <w:numFmt w:val="decimal"/>
      <w:start w:val="2"/>
    </w:lvl>
  </w:abstractNum>
  <w:abstractNum w:abstractNumId="233">
    <w:nsid w:val="2BB180D8"/>
    <w:multiLevelType w:val="hybridMultilevel"/>
    <w:lvl w:ilvl="0">
      <w:lvlJc w:val="left"/>
      <w:lvlText w:val="%1"/>
      <w:numFmt w:val="decimal"/>
      <w:start w:val="1"/>
    </w:lvl>
    <w:lvl w:ilvl="1">
      <w:lvlJc w:val="left"/>
      <w:lvlText w:val="%2."/>
      <w:numFmt w:val="decimal"/>
      <w:start w:val="7"/>
    </w:lvl>
  </w:abstractNum>
  <w:abstractNum w:abstractNumId="234">
    <w:nsid w:val="556B69ED"/>
    <w:multiLevelType w:val="hybridMultilevel"/>
    <w:lvl w:ilvl="0">
      <w:lvlJc w:val="left"/>
      <w:lvlText w:val="(%1)"/>
      <w:numFmt w:val="decimal"/>
      <w:start w:val="1"/>
    </w:lvl>
    <w:lvl w:ilvl="1">
      <w:lvlJc w:val="left"/>
      <w:lvlText w:val="%2."/>
      <w:numFmt w:val="decimal"/>
      <w:start w:val="10"/>
    </w:lvl>
  </w:abstractNum>
  <w:abstractNum w:abstractNumId="235">
    <w:nsid w:val="70836196"/>
    <w:multiLevelType w:val="hybridMultilevel"/>
    <w:lvl w:ilvl="0">
      <w:lvlJc w:val="left"/>
      <w:lvlText w:val="%1."/>
      <w:numFmt w:val="decimal"/>
      <w:start w:val="11"/>
    </w:lvl>
  </w:abstractNum>
  <w:abstractNum w:abstractNumId="236">
    <w:nsid w:val="539F7F12"/>
    <w:multiLevelType w:val="hybridMultilevel"/>
    <w:lvl w:ilvl="0">
      <w:lvlJc w:val="left"/>
      <w:lvlText w:val="(%1)"/>
      <w:numFmt w:val="lowerLetter"/>
      <w:start w:val="2"/>
    </w:lvl>
  </w:abstractNum>
  <w:abstractNum w:abstractNumId="237">
    <w:nsid w:val="2817E7EC"/>
    <w:multiLevelType w:val="hybridMultilevel"/>
    <w:lvl w:ilvl="0">
      <w:lvlJc w:val="left"/>
      <w:lvlText w:val="%1."/>
      <w:numFmt w:val="decimal"/>
      <w:start w:val="14"/>
    </w:lvl>
  </w:abstractNum>
  <w:abstractNum w:abstractNumId="238">
    <w:nsid w:val="71482545"/>
    <w:multiLevelType w:val="hybridMultilevel"/>
    <w:lvl w:ilvl="0">
      <w:lvlJc w:val="left"/>
      <w:lvlText w:val="%1"/>
      <w:numFmt w:val="upperLetter"/>
      <w:start w:val="1"/>
    </w:lvl>
    <w:lvl w:ilvl="1">
      <w:lvlJc w:val="left"/>
      <w:lvlText w:val="%2."/>
      <w:numFmt w:val="decimal"/>
      <w:start w:val="15"/>
    </w:lvl>
  </w:abstractNum>
  <w:abstractNum w:abstractNumId="239">
    <w:nsid w:val="17D78639"/>
    <w:multiLevelType w:val="hybridMultilevel"/>
    <w:lvl w:ilvl="0">
      <w:lvlJc w:val="left"/>
      <w:lvlText w:val="%1."/>
      <w:numFmt w:val="decimal"/>
      <w:start w:val="20"/>
    </w:lvl>
  </w:abstractNum>
  <w:abstractNum w:abstractNumId="240">
    <w:nsid w:val="141D2302"/>
    <w:multiLevelType w:val="hybridMultilevel"/>
    <w:lvl w:ilvl="0">
      <w:lvlJc w:val="left"/>
      <w:lvlText w:val="•"/>
      <w:numFmt w:val="bullet"/>
      <w:start w:val="1"/>
    </w:lvl>
  </w:abstractNum>
  <w:abstractNum w:abstractNumId="241">
    <w:nsid w:val="407168D8"/>
    <w:multiLevelType w:val="hybridMultilevel"/>
    <w:lvl w:ilvl="0">
      <w:lvlJc w:val="left"/>
      <w:lvlText w:val="%1."/>
      <w:numFmt w:val="decimal"/>
      <w:start w:val="6"/>
    </w:lvl>
  </w:abstractNum>
  <w:abstractNum w:abstractNumId="242">
    <w:nsid w:val="6A1B45E5"/>
    <w:multiLevelType w:val="hybridMultilevel"/>
    <w:lvl w:ilvl="0">
      <w:lvlJc w:val="left"/>
      <w:lvlText w:val="(%1)"/>
      <w:numFmt w:val="lowerLetter"/>
      <w:start w:val="1"/>
    </w:lvl>
  </w:abstractNum>
  <w:abstractNum w:abstractNumId="243">
    <w:nsid w:val="567BD50A"/>
    <w:multiLevelType w:val="hybridMultilevel"/>
    <w:lvl w:ilvl="0">
      <w:lvlJc w:val="left"/>
      <w:lvlText w:val="%1."/>
      <w:numFmt w:val="decimal"/>
      <w:start w:val="7"/>
    </w:lvl>
  </w:abstractNum>
  <w:abstractNum w:abstractNumId="244">
    <w:nsid w:val="73BBD7F8"/>
    <w:multiLevelType w:val="hybridMultilevel"/>
    <w:lvl w:ilvl="0">
      <w:lvlJc w:val="left"/>
      <w:lvlText w:val="(%1)"/>
      <w:numFmt w:val="lowerLetter"/>
      <w:start w:val="1"/>
    </w:lvl>
  </w:abstractNum>
  <w:abstractNum w:abstractNumId="245">
    <w:nsid w:val="1876589D"/>
    <w:multiLevelType w:val="hybridMultilevel"/>
    <w:lvl w:ilvl="0">
      <w:lvlJc w:val="left"/>
      <w:lvlText w:val="%1."/>
      <w:numFmt w:val="decimal"/>
      <w:start w:val="9"/>
    </w:lvl>
  </w:abstractNum>
  <w:abstractNum w:abstractNumId="246">
    <w:nsid w:val="327FAC77"/>
    <w:multiLevelType w:val="hybridMultilevel"/>
    <w:lvl w:ilvl="0">
      <w:lvlJc w:val="left"/>
      <w:lvlText w:val="(%1)"/>
      <w:numFmt w:val="lowerLetter"/>
      <w:start w:val="1"/>
    </w:lvl>
  </w:abstractNum>
  <w:abstractNum w:abstractNumId="247">
    <w:nsid w:val="5A606509"/>
    <w:multiLevelType w:val="hybridMultilevel"/>
    <w:lvl w:ilvl="0">
      <w:lvlJc w:val="left"/>
      <w:lvlText w:val="(%1)"/>
      <w:numFmt w:val="lowerLetter"/>
      <w:start w:val="1"/>
    </w:lvl>
  </w:abstractNum>
  <w:abstractNum w:abstractNumId="248">
    <w:nsid w:val="6F38E6D1"/>
    <w:multiLevelType w:val="hybridMultilevel"/>
    <w:lvl w:ilvl="0">
      <w:lvlJc w:val="left"/>
      <w:lvlText w:val="%1."/>
      <w:numFmt w:val="decimal"/>
      <w:start w:val="11"/>
    </w:lvl>
  </w:abstractNum>
  <w:abstractNum w:abstractNumId="249">
    <w:nsid w:val="46111BA5"/>
    <w:multiLevelType w:val="hybridMultilevel"/>
    <w:lvl w:ilvl="0">
      <w:lvlJc w:val="left"/>
      <w:lvlText w:val="%1."/>
      <w:numFmt w:val="decimal"/>
      <w:start w:val="10"/>
    </w:lvl>
  </w:abstractNum>
  <w:abstractNum w:abstractNumId="250">
    <w:nsid w:val="5E963896"/>
    <w:multiLevelType w:val="hybridMultilevel"/>
    <w:lvl w:ilvl="0">
      <w:lvlJc w:val="left"/>
      <w:lvlText w:val="%1."/>
      <w:numFmt w:val="decimal"/>
      <w:start w:val="3"/>
    </w:lvl>
    <w:lvl w:ilvl="1">
      <w:lvlJc w:val="left"/>
      <w:lvlText w:val="(%2)"/>
      <w:numFmt w:val="lowerLetter"/>
      <w:start w:val="1"/>
    </w:lvl>
  </w:abstractNum>
  <w:abstractNum w:abstractNumId="251">
    <w:nsid w:val="775BA7C1"/>
    <w:multiLevelType w:val="hybridMultilevel"/>
    <w:lvl w:ilvl="0">
      <w:lvlJc w:val="left"/>
      <w:lvlText w:val="%1."/>
      <w:numFmt w:val="decimal"/>
      <w:start w:val="11"/>
    </w:lvl>
  </w:abstractNum>
  <w:abstractNum w:abstractNumId="252">
    <w:nsid w:val="1DD6D6F4"/>
    <w:multiLevelType w:val="hybridMultilevel"/>
    <w:lvl w:ilvl="0">
      <w:lvlJc w:val="left"/>
      <w:lvlText w:val="%1."/>
      <w:numFmt w:val="decimal"/>
      <w:start w:val="10"/>
    </w:lvl>
  </w:abstractNum>
  <w:abstractNum w:abstractNumId="253">
    <w:nsid w:val="769A091F"/>
    <w:multiLevelType w:val="hybridMultilevel"/>
    <w:lvl w:ilvl="0">
      <w:lvlJc w:val="left"/>
      <w:lvlText w:val="%1."/>
      <w:numFmt w:val="decimal"/>
      <w:start w:val="1"/>
    </w:lvl>
    <w:lvl w:ilvl="1">
      <w:lvlJc w:val="left"/>
      <w:lvlText w:val="%2)"/>
      <w:numFmt w:val="lowerLetter"/>
      <w:start w:val="1"/>
    </w:lvl>
  </w:abstractNum>
  <w:abstractNum w:abstractNumId="254">
    <w:nsid w:val="4695AE95"/>
    <w:multiLevelType w:val="hybridMultilevel"/>
    <w:lvl w:ilvl="0">
      <w:lvlJc w:val="left"/>
      <w:lvlText w:val="%1."/>
      <w:numFmt w:val="decimal"/>
      <w:start w:val="1"/>
    </w:lvl>
    <w:lvl w:ilvl="1">
      <w:lvlJc w:val="left"/>
      <w:lvlText w:val="%2)"/>
      <w:numFmt w:val="lowerLetter"/>
      <w:start w:val="1"/>
    </w:lvl>
  </w:abstractNum>
  <w:abstractNum w:abstractNumId="255">
    <w:nsid w:val="777A4EAA"/>
    <w:multiLevelType w:val="hybridMultilevel"/>
    <w:lvl w:ilvl="0">
      <w:lvlJc w:val="left"/>
      <w:lvlText w:val="(%1)"/>
      <w:numFmt w:val="decimal"/>
      <w:start w:val="1"/>
    </w:lvl>
  </w:abstractNum>
  <w:abstractNum w:abstractNumId="256">
    <w:nsid w:val="3F48B982"/>
    <w:multiLevelType w:val="hybridMultilevel"/>
    <w:lvl w:ilvl="0">
      <w:lvlJc w:val="left"/>
      <w:lvlText w:val="(%1)"/>
      <w:numFmt w:val="decimal"/>
      <w:start w:val="1"/>
    </w:lvl>
  </w:abstractNum>
  <w:abstractNum w:abstractNumId="257">
    <w:nsid w:val="46BA8F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3"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jpe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111" Type="http://schemas.openxmlformats.org/officeDocument/2006/relationships/hyperlink" Target="http://www.sec.gov/Archives/edgar/data/87347/000119312516532046/d176097dex31.htm" TargetMode="External"/><Relationship Id="rId112" Type="http://schemas.openxmlformats.org/officeDocument/2006/relationships/hyperlink" Target="http://www.sec.gov/Archives/edgar/data/87347/000119312517013293/d333168dex31.htm" TargetMode="External"/><Relationship Id="rId113" Type="http://schemas.openxmlformats.org/officeDocument/2006/relationships/hyperlink" Target="http://www.sec.gov/Archives/edgar/data/87347/000119312513460494/d637672dex41.htm" TargetMode="External"/><Relationship Id="rId114" Type="http://schemas.openxmlformats.org/officeDocument/2006/relationships/hyperlink" Target="http://www.sec.gov/Archives/edgar/data/87347/000119312513460494/d637672dex42.htm" TargetMode="External"/><Relationship Id="rId115" Type="http://schemas.openxmlformats.org/officeDocument/2006/relationships/hyperlink" Target="http://www.sec.gov/Archives/edgar/data/87347/000119312512158712/d329155dex10.htm" TargetMode="External"/><Relationship Id="rId116" Type="http://schemas.openxmlformats.org/officeDocument/2006/relationships/hyperlink" Target="http://www.sec.gov/Archives/edgar/data/87347/000156459017000589/slb-ex1016_1235.htm" TargetMode="External"/><Relationship Id="rId117" Type="http://schemas.openxmlformats.org/officeDocument/2006/relationships/hyperlink" Target="http://www.sec.gov/Archives/edgar/data/87347/000119312513169511/d502964dex107.htm" TargetMode="External"/><Relationship Id="rId118" Type="http://schemas.openxmlformats.org/officeDocument/2006/relationships/hyperlink" Target="http://www.sec.gov/Archives/edgar/data/87347/000130817918000016/lslb2018_def14a.htm" TargetMode="External"/><Relationship Id="rId119" Type="http://schemas.openxmlformats.org/officeDocument/2006/relationships/hyperlink" Target="http://www.sec.gov/Archives/edgar/data/87347/000119312513299983/d550034dex1010.htm" TargetMode="External"/><Relationship Id="rId120" Type="http://schemas.openxmlformats.org/officeDocument/2006/relationships/hyperlink" Target="http://www.sec.gov/Archives/edgar/data/87347/000119312513299983/d550034dex1011.htm" TargetMode="External"/><Relationship Id="rId121" Type="http://schemas.openxmlformats.org/officeDocument/2006/relationships/hyperlink" Target="http://www.sec.gov/Archives/edgar/data/87347/000156459017007214/slb-ex103_113.htm" TargetMode="External"/><Relationship Id="rId122" Type="http://schemas.openxmlformats.org/officeDocument/2006/relationships/hyperlink" Target="http://www.sec.gov/Archives/edgar/data/87347/000156459015005555/slb-ex101_758.htm" TargetMode="External"/><Relationship Id="rId124" Type="http://schemas.openxmlformats.org/officeDocument/2006/relationships/hyperlink" Target="http://www.sec.gov/Archives/edgar/data/87347/000156459015005555/slb-ex102_624.htm" TargetMode="External"/><Relationship Id="rId125" Type="http://schemas.openxmlformats.org/officeDocument/2006/relationships/hyperlink" Target="http://www.sec.gov/Archives/edgar/data/87347/000156459015005555/slb-ex103_629.htm" TargetMode="External"/><Relationship Id="rId126" Type="http://schemas.openxmlformats.org/officeDocument/2006/relationships/hyperlink" Target="http://www.sec.gov/Archives/edgar/data/87347/000130817917000018/lslb2017_def14a.htm" TargetMode="External"/><Relationship Id="rId127" Type="http://schemas.openxmlformats.org/officeDocument/2006/relationships/hyperlink" Target="http://www.sec.gov/Archives/edgar/data/87347/000156459017007214/slb-ex106_162.htm" TargetMode="External"/><Relationship Id="rId128" Type="http://schemas.openxmlformats.org/officeDocument/2006/relationships/hyperlink" Target="http://www.sec.gov/Archives/edgar/data/87347/000156459017007214/slb-ex104_112.htm" TargetMode="External"/><Relationship Id="rId129" Type="http://schemas.openxmlformats.org/officeDocument/2006/relationships/hyperlink" Target="http://www.sec.gov/Archives/edgar/data/87347/000156459017007214/slb-ex105_161.htm" TargetMode="External"/><Relationship Id="rId130" Type="http://schemas.openxmlformats.org/officeDocument/2006/relationships/hyperlink" Target="http://www.sec.gov/Archives/edgar/data/87347/000156459017007214/slb-ex101_114.htm" TargetMode="External"/><Relationship Id="rId131" Type="http://schemas.openxmlformats.org/officeDocument/2006/relationships/hyperlink" Target="http://www.sec.gov/Archives/edgar/data/87347/000156459017007214/slb-ex102_115.htm" TargetMode="External"/><Relationship Id="rId132" Type="http://schemas.openxmlformats.org/officeDocument/2006/relationships/hyperlink" Target="http://www.sec.gov/Archives/edgar/data/87347/000119312513405191/d612968d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2019-12-28T17:12:08Z</dcterms:created>
  <dcterms:modified xsi:type="dcterms:W3CDTF">2019-12-28T17:12:08Z</dcterms:modified>
</cp:coreProperties>
</file>