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060" w:right="1800" w:hanging="3606"/>
        <w:spacing w:after="0" w:line="329" w:lineRule="auto"/>
        <w:tabs>
          <w:tab w:leader="none" w:pos="9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177800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1-4601</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Netherlands Antilles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(State or other jurisdiction of</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incorporation or organization)</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42, rue Saint-Dominique</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8"/>
              </w:rPr>
              <w:t>Paris, France</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5599 San Felipe, 17</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Parkstraat 83, The Hague,</w:t>
            </w:r>
          </w:p>
        </w:tc>
        <w:tc>
          <w:tcPr>
            <w:tcW w:w="4040" w:type="dxa"/>
            <w:vAlign w:val="bottom"/>
          </w:tcPr>
          <w:p>
            <w:pPr>
              <w:spacing w:after="0"/>
              <w:rPr>
                <w:sz w:val="24"/>
                <w:szCs w:val="24"/>
                <w:color w:val="auto"/>
              </w:rPr>
            </w:pPr>
          </w:p>
        </w:tc>
      </w:tr>
      <w:tr>
        <w:trPr>
          <w:trHeight w:val="230"/>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The Netherlands</w:t>
            </w:r>
          </w:p>
        </w:tc>
        <w:tc>
          <w:tcPr>
            <w:tcW w:w="4040" w:type="dxa"/>
            <w:vAlign w:val="bottom"/>
          </w:tcPr>
          <w:p>
            <w:pPr>
              <w:jc w:val="center"/>
              <w:ind w:left="141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 513-2000</w:t>
      </w:r>
    </w:p>
    <w:p>
      <w:pPr>
        <w:spacing w:after="0" w:line="7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38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4400" w:type="dxa"/>
            <w:vAlign w:val="bottom"/>
            <w:gridSpan w:val="2"/>
          </w:tcPr>
          <w:p>
            <w:pPr>
              <w:jc w:val="center"/>
              <w:ind w:right="2900"/>
              <w:spacing w:after="0"/>
              <w:rPr>
                <w:sz w:val="20"/>
                <w:szCs w:val="20"/>
                <w:color w:val="auto"/>
              </w:rPr>
            </w:pPr>
            <w:r>
              <w:rPr>
                <w:rFonts w:ascii="Arial" w:cs="Arial" w:eastAsia="Arial" w:hAnsi="Arial"/>
                <w:sz w:val="14"/>
                <w:szCs w:val="14"/>
                <w:b w:val="1"/>
                <w:bCs w:val="1"/>
                <w:color w:val="auto"/>
                <w:w w:val="84"/>
              </w:rPr>
              <w:t>Title of each class</w:t>
            </w:r>
          </w:p>
        </w:tc>
        <w:tc>
          <w:tcPr>
            <w:tcW w:w="364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7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309"/>
        </w:trPr>
        <w:tc>
          <w:tcPr>
            <w:tcW w:w="5140" w:type="dxa"/>
            <w:vAlign w:val="bottom"/>
            <w:gridSpan w:val="3"/>
          </w:tcPr>
          <w:p>
            <w:pPr>
              <w:jc w:val="center"/>
              <w:ind w:right="2180"/>
              <w:spacing w:after="0"/>
              <w:rPr>
                <w:sz w:val="20"/>
                <w:szCs w:val="20"/>
                <w:color w:val="auto"/>
              </w:rPr>
            </w:pPr>
            <w:r>
              <w:rPr>
                <w:rFonts w:ascii="Arial" w:cs="Arial" w:eastAsia="Arial" w:hAnsi="Arial"/>
                <w:sz w:val="18"/>
                <w:szCs w:val="18"/>
                <w:color w:val="auto"/>
                <w:w w:val="87"/>
              </w:rPr>
              <w:t>Common Stock, par value $0.01 per share</w:t>
            </w:r>
          </w:p>
        </w:tc>
        <w:tc>
          <w:tcPr>
            <w:tcW w:w="364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Euronext Paris</w:t>
            </w:r>
          </w:p>
        </w:tc>
      </w:tr>
      <w:tr>
        <w:trPr>
          <w:trHeight w:val="216"/>
        </w:trPr>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The London Stock Exchange</w:t>
            </w:r>
          </w:p>
        </w:tc>
      </w:tr>
      <w:tr>
        <w:trPr>
          <w:trHeight w:val="222"/>
        </w:trPr>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SIX Swiss Exchange Ltd.</w:t>
            </w:r>
          </w:p>
        </w:tc>
      </w:tr>
    </w:tbl>
    <w:p>
      <w:pPr>
        <w:spacing w:after="0" w:line="7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57"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65"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ind w:right="60"/>
        <w:spacing w:after="0" w:line="28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5" w:lineRule="exact"/>
        <w:rPr>
          <w:sz w:val="24"/>
          <w:szCs w:val="24"/>
          <w:color w:val="auto"/>
        </w:rPr>
      </w:pPr>
    </w:p>
    <w:p>
      <w:pPr>
        <w:jc w:val="both"/>
        <w:spacing w:after="0" w:line="25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29"/>
          <w:szCs w:val="29"/>
          <w:color w:val="auto"/>
          <w:vertAlign w:val="superscript"/>
        </w:rPr>
        <w:t>☐</w:t>
      </w:r>
    </w:p>
    <w:p>
      <w:pPr>
        <w:spacing w:after="0" w:line="1" w:lineRule="exact"/>
        <w:rPr>
          <w:sz w:val="24"/>
          <w:szCs w:val="24"/>
          <w:color w:val="auto"/>
        </w:rPr>
      </w:pPr>
    </w:p>
    <w:p>
      <w:pPr>
        <w:ind w:right="280"/>
        <w:spacing w:after="0" w:line="30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20"/>
        <w:spacing w:after="0" w:line="33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Non-accelerated filer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Smaller reporting company </w:t>
      </w:r>
      <w:r>
        <w:rPr>
          <w:rFonts w:ascii="MS PGothic" w:cs="MS PGothic" w:eastAsia="MS PGothic" w:hAnsi="MS PGothic"/>
          <w:sz w:val="29"/>
          <w:szCs w:val="29"/>
          <w:color w:val="auto"/>
          <w:vertAlign w:val="superscript"/>
        </w:rPr>
        <w:t>☐</w:t>
      </w:r>
    </w:p>
    <w:p>
      <w:pPr>
        <w:spacing w:after="0" w:line="65"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2008, the aggregate market value of the common stock of the registrant held by non-affiliates of the registrant was approximately $125.2 billion.</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2009, the number of shares of common stock outstanding was 1,195,989,819.</w:t>
      </w:r>
    </w:p>
    <w:p>
      <w:pPr>
        <w:spacing w:after="0" w:line="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to the extent described therein: Definitive Proxy Statement relating to Schlumberger’s 2009 Annual General Meeting of Stockholders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40" w:type="dxa"/>
            <w:vAlign w:val="bottom"/>
            <w:gridSpan w:val="12"/>
          </w:tcPr>
          <w:p>
            <w:pPr>
              <w:jc w:val="center"/>
              <w:ind w:right="36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60" w:type="dxa"/>
            <w:vAlign w:val="bottom"/>
            <w:gridSpan w:val="10"/>
          </w:tcPr>
          <w:p>
            <w:pPr>
              <w:jc w:val="center"/>
              <w:ind w:right="468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20" w:type="dxa"/>
            <w:vAlign w:val="bottom"/>
            <w:gridSpan w:val="4"/>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2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2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Unresolved Staff Comments</w:t>
              </w:r>
            </w:hyperlink>
          </w:p>
        </w:tc>
        <w:tc>
          <w:tcPr>
            <w:tcW w:w="72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Properties</w:t>
              </w:r>
            </w:hyperlink>
          </w:p>
        </w:tc>
        <w:tc>
          <w:tcPr>
            <w:tcW w:w="852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2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2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260" w:type="dxa"/>
            <w:vAlign w:val="bottom"/>
            <w:gridSpan w:val="3"/>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Market for Schlumberger’s Common Stock, Related Stockholder Matters and Issuer Purchases of Equity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11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Quantitative and Qualitative Disclosures About Market Risk</w:t>
              </w:r>
            </w:hyperlink>
          </w:p>
        </w:tc>
        <w:tc>
          <w:tcPr>
            <w:tcW w:w="498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24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Financial Statements and Supplementary Data</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Changes in and Disagreements with Accountants on Accounting and Financial Disclosure</w:t>
              </w:r>
            </w:hyperlink>
          </w:p>
        </w:tc>
        <w:tc>
          <w:tcPr>
            <w:tcW w:w="29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240" w:type="dxa"/>
            <w:vAlign w:val="bottom"/>
            <w:gridSpan w:val="2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75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1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24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Directors, Executive Officers and Corporate Governance of Schlumberger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Executive Compensation</w:t>
              </w:r>
            </w:hyperlink>
          </w:p>
        </w:tc>
        <w:tc>
          <w:tcPr>
            <w:tcW w:w="3440" w:type="dxa"/>
            <w:vAlign w:val="bottom"/>
            <w:tcBorders>
              <w:top w:val="single" w:sz="8" w:color="0000EE"/>
            </w:tcBorders>
            <w:gridSpan w:val="7"/>
          </w:tcPr>
          <w:p>
            <w:pPr>
              <w:spacing w:after="0"/>
              <w:rPr>
                <w:sz w:val="17"/>
                <w:szCs w:val="17"/>
                <w:color w:val="auto"/>
              </w:rPr>
            </w:pPr>
          </w:p>
        </w:tc>
        <w:tc>
          <w:tcPr>
            <w:tcW w:w="40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Security Ownership of Certain Beneficial Owners and Management and Related Stockholder Matters</w:t>
              </w:r>
            </w:hyperlink>
          </w:p>
        </w:tc>
        <w:tc>
          <w:tcPr>
            <w:tcW w:w="21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Certain Relationships and Related Transactions, and Director Independence</w:t>
              </w:r>
            </w:hyperlink>
          </w:p>
        </w:tc>
        <w:tc>
          <w:tcPr>
            <w:tcW w:w="39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9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24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2"/>
        </w:trPr>
        <w:tc>
          <w:tcPr>
            <w:tcW w:w="1900" w:type="dxa"/>
            <w:vAlign w:val="bottom"/>
            <w:gridSpan w:val="5"/>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200" w:type="dxa"/>
            <w:vAlign w:val="bottom"/>
            <w:gridSpan w:val="2"/>
          </w:tcPr>
          <w:p>
            <w:pPr>
              <w:spacing w:after="0"/>
              <w:rPr>
                <w:sz w:val="17"/>
                <w:szCs w:val="17"/>
                <w:color w:val="auto"/>
              </w:rPr>
            </w:pPr>
          </w:p>
        </w:tc>
        <w:tc>
          <w:tcPr>
            <w:tcW w:w="924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75">
              <w:r>
                <w:rPr>
                  <w:rFonts w:ascii="Arial" w:cs="Arial" w:eastAsia="Arial" w:hAnsi="Arial"/>
                  <w:sz w:val="18"/>
                  <w:szCs w:val="18"/>
                  <w:color w:val="0000EE"/>
                  <w:w w:val="83"/>
                </w:rPr>
                <w:t>Signatures</w:t>
              </w:r>
            </w:hyperlink>
          </w:p>
        </w:tc>
        <w:tc>
          <w:tcPr>
            <w:tcW w:w="2340" w:type="dxa"/>
            <w:vAlign w:val="bottom"/>
            <w:tcBorders>
              <w:top w:val="single" w:sz="8" w:color="0000EE"/>
            </w:tcBorders>
            <w:gridSpan w:val="9"/>
          </w:tcPr>
          <w:p>
            <w:pPr>
              <w:spacing w:after="0"/>
              <w:rPr>
                <w:sz w:val="17"/>
                <w:szCs w:val="17"/>
                <w:color w:val="auto"/>
              </w:rPr>
            </w:pPr>
          </w:p>
        </w:tc>
        <w:tc>
          <w:tcPr>
            <w:tcW w:w="61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ind w:left="240" w:right="60" w:hanging="227"/>
        <w:spacing w:after="0" w:line="286" w:lineRule="auto"/>
        <w:rPr>
          <w:sz w:val="20"/>
          <w:szCs w:val="20"/>
          <w:color w:val="auto"/>
        </w:rPr>
      </w:pPr>
      <w:r>
        <w:rPr>
          <w:rFonts w:ascii="Arial" w:cs="Arial" w:eastAsia="Arial" w:hAnsi="Arial"/>
          <w:sz w:val="16"/>
          <w:szCs w:val="16"/>
          <w:color w:val="auto"/>
        </w:rPr>
        <w:t>All references in this report to “Registrant”, “Company”, “Schlumberger”, “we” or “our” are to Schlumberger Limited and its consolidated subsidiaries. Founded in 1926, Schlumberger is the world’s leading supplier of technology, integrated project management and information solutions to customers working</w:t>
      </w:r>
    </w:p>
    <w:p>
      <w:pPr>
        <w:ind w:right="60"/>
        <w:spacing w:after="0" w:line="295" w:lineRule="auto"/>
        <w:rPr>
          <w:sz w:val="20"/>
          <w:szCs w:val="20"/>
          <w:color w:val="auto"/>
        </w:rPr>
      </w:pPr>
      <w:r>
        <w:rPr>
          <w:rFonts w:ascii="Arial" w:cs="Arial" w:eastAsia="Arial" w:hAnsi="Arial"/>
          <w:sz w:val="16"/>
          <w:szCs w:val="16"/>
          <w:color w:val="auto"/>
        </w:rPr>
        <w:t>in the oil and gas industry worldwide. As of December 31, 2008, the Company employed approximately 87,000 people of over 140 nationalities operating in approximately 80 countries. Schlumberger has principal executive offices in Paris, Houston, and The Hague and consists of two business segments – Schlumberger Oilfield Services and WesternGeco. Schlumberger Oilfield Services provides the industry’s widest range of products and services from exploration to production, while WesternGeco is the world’s most technologically advanced surface seismic company.</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is the world’s leading provider of technology, integrated project management and information solutions to the international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exploration and production industry. Schlumberger Oilfield Services manages its business through GeoMarket* regions, which are 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w:t>
      </w:r>
    </w:p>
    <w:p>
      <w:pPr>
        <w:spacing w:after="0" w:line="3" w:lineRule="exact"/>
        <w:rPr>
          <w:sz w:val="20"/>
          <w:szCs w:val="20"/>
          <w:color w:val="auto"/>
        </w:rPr>
      </w:pPr>
    </w:p>
    <w:p>
      <w:pPr>
        <w:ind w:right="60" w:firstLine="228"/>
        <w:spacing w:after="0" w:line="292" w:lineRule="auto"/>
        <w:rPr>
          <w:sz w:val="20"/>
          <w:szCs w:val="20"/>
          <w:color w:val="auto"/>
        </w:rPr>
      </w:pPr>
      <w:r>
        <w:rPr>
          <w:rFonts w:ascii="Arial" w:cs="Arial" w:eastAsia="Arial" w:hAnsi="Arial"/>
          <w:sz w:val="16"/>
          <w:szCs w:val="16"/>
          <w:color w:val="auto"/>
        </w:rPr>
        <w:t>Schlumberger invented wireline logging as a technique for obtaining downhole data in oil and gas wells. Today, Schlumberger Oilfield Services operates in each of the major oilfield service markets, providing services that cover the entire life cycle of the reservoir. These services, in which Schlumberger holds a number of market leading positions, are organized into a number of technology-based product and service lines, or Technologies, to capitalize on technical synergies and introduce innovative solutions within the GeoMarket regions. The Technologies are also responsible for overseeing operational processes, resource allocation, personnel and quality, health, safety and environmental matters in the GeoMarket.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Technologies are:</w:t>
      </w:r>
    </w:p>
    <w:p>
      <w:pPr>
        <w:spacing w:after="0" w:line="77" w:lineRule="exact"/>
        <w:rPr>
          <w:sz w:val="20"/>
          <w:szCs w:val="20"/>
          <w:color w:val="auto"/>
        </w:rPr>
      </w:pPr>
    </w:p>
    <w:p>
      <w:pPr>
        <w:ind w:left="780" w:right="4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subsurface formation rocks and fluids to plan and monitor well construction, and to monitor and evaluate well production. Wireline offers both open-hole and cased-hole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Drilling &amp; Measurements – supplies directional-drilling, measurement-while-drilling and logging-while-drilling services for all well profiles.</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Testing – provides exploration and production pressure and flow-rate measurement services both at the surface and downhole. The Technology also provides tubing-conveyed perforating services.</w:t>
      </w:r>
    </w:p>
    <w:p>
      <w:pPr>
        <w:spacing w:after="0" w:line="37"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Services – provides services used during oil and gas well drilling and completion as well as those used to maintain optimal production throughout the life of a well. The services include pressure pumping, well cementing and stimulation operations as well as intervention activities. The Technology also develops coiled-tubing equipment and services.</w:t>
      </w:r>
    </w:p>
    <w:p>
      <w:pPr>
        <w:spacing w:after="0" w:line="45" w:lineRule="exact"/>
        <w:rPr>
          <w:rFonts w:ascii="Arial" w:cs="Arial" w:eastAsia="Arial" w:hAnsi="Arial"/>
          <w:sz w:val="18"/>
          <w:szCs w:val="18"/>
          <w:color w:val="auto"/>
        </w:rPr>
      </w:pPr>
    </w:p>
    <w:p>
      <w:pPr>
        <w:ind w:left="780" w:right="8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Completions – supplies well completion services and equipment that include gas-lift and safety valves as well as a range of intelligent well completions technology and equipment.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Lift – provides production optimization services using electrical submersible pumps and associated equipment.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ind w:left="780" w:right="6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Data &amp; Consulting Services – supplies interpretation and integration of all exploration and production data types, as well as expert consulting services for reservoir characterization, production enhancement, field development planning and multi-disciplinary reservoir and production solutions.</w:t>
      </w:r>
    </w:p>
    <w:p>
      <w:pPr>
        <w:spacing w:after="0" w:line="1"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(SIS) – provides consulting, software, information management and IT infrastructure products and services that support core oil and gas industry operational processes.</w:t>
      </w:r>
    </w:p>
    <w:p>
      <w:pPr>
        <w:spacing w:after="0" w:line="118" w:lineRule="exact"/>
        <w:rPr>
          <w:sz w:val="20"/>
          <w:szCs w:val="20"/>
          <w:color w:val="auto"/>
        </w:rPr>
      </w:pPr>
    </w:p>
    <w:p>
      <w:pPr>
        <w:ind w:right="320" w:firstLine="228"/>
        <w:spacing w:after="0" w:line="253" w:lineRule="auto"/>
        <w:rPr>
          <w:sz w:val="20"/>
          <w:szCs w:val="20"/>
          <w:color w:val="auto"/>
        </w:rPr>
      </w:pPr>
      <w:r>
        <w:rPr>
          <w:rFonts w:ascii="Arial" w:cs="Arial" w:eastAsia="Arial" w:hAnsi="Arial"/>
          <w:sz w:val="18"/>
          <w:szCs w:val="18"/>
          <w:color w:val="auto"/>
        </w:rPr>
        <w:t>Supporting the Technologies are 20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ind w:right="20" w:firstLine="228"/>
        <w:spacing w:after="0" w:line="250" w:lineRule="auto"/>
        <w:rPr>
          <w:sz w:val="20"/>
          <w:szCs w:val="20"/>
          <w:color w:val="auto"/>
        </w:rPr>
      </w:pPr>
      <w:r>
        <w:rPr>
          <w:rFonts w:ascii="Arial" w:cs="Arial" w:eastAsia="Arial" w:hAnsi="Arial"/>
          <w:sz w:val="18"/>
          <w:szCs w:val="18"/>
          <w:color w:val="auto"/>
        </w:rPr>
        <w:t>Schlumberger Oilfield Services also offers customers its services through a business model known as Integrated Project Management (IPM). IPM combines the required products and services of the Schlumberger Technologies with drilling rig management expertise and project management skills to provide a complete solution to well construction and production improvement. IPM projects are typically of multi-year duration and include start-up costs and significant third-party components that cover services that Schlumberger does not provide directly. Some projects may be fixed price in nature and may contain penalties for non-performance.</w:t>
      </w:r>
    </w:p>
    <w:p>
      <w:pPr>
        <w:spacing w:after="0" w:line="2"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measurement-while-drilling, logging-while-drilling and directional-drilling services, as well as fully computerized logging and geoscience software and computing services. A large proportion of Schlumberger offerings are non-rig related; consequently, revenue does not necessarily correlate to rig count fluctuations.</w:t>
      </w:r>
    </w:p>
    <w:p>
      <w:pPr>
        <w:spacing w:after="0" w:line="3" w:lineRule="exact"/>
        <w:rPr>
          <w:sz w:val="20"/>
          <w:szCs w:val="20"/>
          <w:color w:val="auto"/>
        </w:rPr>
      </w:pPr>
    </w:p>
    <w:p>
      <w:pPr>
        <w:ind w:right="320" w:firstLine="228"/>
        <w:spacing w:after="0" w:line="317" w:lineRule="auto"/>
        <w:rPr>
          <w:sz w:val="20"/>
          <w:szCs w:val="20"/>
          <w:color w:val="auto"/>
        </w:rPr>
      </w:pPr>
      <w:r>
        <w:rPr>
          <w:rFonts w:ascii="Arial" w:cs="Arial" w:eastAsia="Arial" w:hAnsi="Arial"/>
          <w:sz w:val="16"/>
          <w:szCs w:val="16"/>
          <w:color w:val="auto"/>
        </w:rPr>
        <w:t>Schlumberger is a 40% owner in M-I SWACO – a joint venture with Smith International – which offers the drilling and completion fluids used to stabilize subsurface rock strata during the drilling process and minimize formation damage during completion and workover operations.</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WesternGeco, </w:t>
      </w:r>
      <w:r>
        <w:rPr>
          <w:rFonts w:ascii="Arial" w:cs="Arial" w:eastAsia="Arial" w:hAnsi="Arial"/>
          <w:sz w:val="16"/>
          <w:szCs w:val="16"/>
          <w:color w:val="auto"/>
        </w:rPr>
        <w:t>the world’s most technologically advanced seismic company, provides comprehensive reservoir imaging, monitoring and development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most extensive seismic crews and data processing centers in the industry as well as a leading multiclient seismic library. Services range from 3D and time-lapse (4D) seismic surveys to multi-component surveys for delineating prospects and reservoir management. WesternGeco benefits from full access to the Schlumberger research, development and technology organization and shares similar business risks, opportunities for growth, principal methods of competition and means of marketing as Schlumberger Oilfield Services. Seismic solutions include proprietary Q* technology for enhanced reservoir description, characterization and monitoring throughout the life of the field—from exploration through enhanced recovery. Other WesternGeco solutions include development of controlled-source electromagnetic and magneto-telluric surveys and their integration with seismic data.</w:t>
      </w:r>
    </w:p>
    <w:p>
      <w:pPr>
        <w:spacing w:after="0" w:line="1" w:lineRule="exact"/>
        <w:rPr>
          <w:sz w:val="20"/>
          <w:szCs w:val="20"/>
          <w:color w:val="auto"/>
        </w:rPr>
      </w:pPr>
    </w:p>
    <w:p>
      <w:pPr>
        <w:ind w:right="64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w:t>
      </w:r>
    </w:p>
    <w:p>
      <w:pPr>
        <w:spacing w:after="0" w:line="206" w:lineRule="exact"/>
        <w:rPr>
          <w:sz w:val="20"/>
          <w:szCs w:val="20"/>
          <w:color w:val="auto"/>
        </w:rPr>
      </w:pPr>
    </w:p>
    <w:p>
      <w:pPr>
        <w:ind w:left="780" w:right="100" w:hanging="326"/>
        <w:spacing w:after="0" w:line="325"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Marine Seismic – provides industry-standard marine seismic acquisition and processing systems as well as a unique industry-leading, fully calibrated single-sensor marine seismic system that delivers the seismic technology needed for new-generation reservoir management.</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Multiclient Services – supplies high-quality seismic data from the multiclient library, including industry-leading Q technology data.</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Reservoir Services – provides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Processing – offers extensive seismic data processing centers for complex data processing projects.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Electromagnetics – provides controlled-source electromagnetic and magneto-telluric data acquisition and processing.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about acquisitions made by Schlumberger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Centers</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to support the engineering and development efforts of Schlumberger activities is principally conducted at Cambridge, Massachusetts, United States; Cambridge, England; Stavanger, Norway; Moscow, Russia; and Dhahran, Saudi Arabia.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Schlumberger seeks and holds numerous patents covering various products and processes, no particular patent or group of patents is considered material to Schlumberger’s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significant backlog due to the nature of its business. The WesternGeco backlog at December 31, 2008 was $1.8 billion (2007: $1.2 billion), of which an estimated $1.3 billion is expected to be realized in 2009.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United States or other governments.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Schlumberger had approximately 87,000 employees.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 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2008, 2007 and 2006 is provided in Note 18 of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72"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 xml:space="preserve">The Schlumberger Internet website can be found at </w:t>
      </w:r>
      <w:r>
        <w:rPr>
          <w:rFonts w:ascii="Arial" w:cs="Arial" w:eastAsia="Arial" w:hAnsi="Arial"/>
          <w:sz w:val="15"/>
          <w:szCs w:val="15"/>
          <w:u w:val="single" w:color="auto"/>
          <w:color w:val="auto"/>
        </w:rPr>
        <w:t>www.slb.com</w:t>
      </w:r>
      <w:r>
        <w:rPr>
          <w:rFonts w:ascii="Arial" w:cs="Arial" w:eastAsia="Arial" w:hAnsi="Arial"/>
          <w:sz w:val="15"/>
          <w:szCs w:val="15"/>
          <w:color w:val="auto"/>
        </w:rPr>
        <w:t xml:space="preserve">. Schlumberger makes available free of charge on or through its Internet website at </w:t>
      </w:r>
      <w:r>
        <w:rPr>
          <w:rFonts w:ascii="Arial" w:cs="Arial" w:eastAsia="Arial" w:hAnsi="Arial"/>
          <w:sz w:val="15"/>
          <w:szCs w:val="15"/>
          <w:u w:val="single" w:color="auto"/>
          <w:color w:val="auto"/>
        </w:rPr>
        <w:t>www.slb.com/ir</w:t>
      </w:r>
      <w:r>
        <w:rPr>
          <w:rFonts w:ascii="Arial" w:cs="Arial" w:eastAsia="Arial" w:hAnsi="Arial"/>
          <w:sz w:val="15"/>
          <w:szCs w:val="15"/>
          <w:color w:val="auto"/>
        </w:rPr>
        <w:t xml:space="preserve"> access to its Annual Report on Form 10-K, Quarterly Reports on Form 10-Q, Current Reports on Form 8-K, its proxy statement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 xml:space="preserve">Schlumberger’s corporate governance materials, including Board Committee Charters, Corporate Governance Guidelines and Code of Ethics, may also be found at </w:t>
      </w:r>
      <w:r>
        <w:rPr>
          <w:rFonts w:ascii="Arial" w:cs="Arial" w:eastAsia="Arial" w:hAnsi="Arial"/>
          <w:sz w:val="16"/>
          <w:szCs w:val="16"/>
          <w:u w:val="single" w:color="auto"/>
          <w:color w:val="auto"/>
        </w:rPr>
        <w:t>www.slb.com/ir</w:t>
      </w:r>
      <w:r>
        <w:rPr>
          <w:rFonts w:ascii="Arial" w:cs="Arial" w:eastAsia="Arial" w:hAnsi="Arial"/>
          <w:sz w:val="16"/>
          <w:szCs w:val="16"/>
          <w:color w:val="auto"/>
        </w:rPr>
        <w:t>. From time to time, corporate governance materials on our website may be updated to comply with rules issued by the SEC and the New York Stock Exchange (“NYSE”) or as desirable to promote the effective governance of Schlumberger. In addition, amendments to the Code of Ethics and any grant of a waiver from a provision of the Code of Ethics requiring disclosure under applicable SEC or NYSE rules will be disclosed on our website.</w:t>
      </w:r>
    </w:p>
    <w:p>
      <w:pPr>
        <w:spacing w:after="0" w:line="3" w:lineRule="exact"/>
        <w:rPr>
          <w:sz w:val="20"/>
          <w:szCs w:val="20"/>
          <w:color w:val="auto"/>
        </w:rPr>
      </w:pPr>
    </w:p>
    <w:p>
      <w:pPr>
        <w:ind w:right="660" w:firstLine="228"/>
        <w:spacing w:after="0" w:line="257" w:lineRule="auto"/>
        <w:rPr>
          <w:sz w:val="20"/>
          <w:szCs w:val="20"/>
          <w:color w:val="auto"/>
        </w:rPr>
      </w:pPr>
      <w:r>
        <w:rPr>
          <w:rFonts w:ascii="Arial" w:cs="Arial" w:eastAsia="Arial" w:hAnsi="Arial"/>
          <w:sz w:val="18"/>
          <w:szCs w:val="18"/>
          <w:color w:val="auto"/>
        </w:rPr>
        <w:t>Any stockholder wishing to receive, without charge, a copy of any of the SEC filings or corporate governance materials should write to the Secretary, Schlumberger Limited, 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Houston, Texas 77056, USA.</w:t>
      </w:r>
    </w:p>
    <w:p>
      <w:pPr>
        <w:spacing w:after="0" w:line="1" w:lineRule="exact"/>
        <w:rPr>
          <w:sz w:val="20"/>
          <w:szCs w:val="20"/>
          <w:color w:val="auto"/>
        </w:rPr>
      </w:pPr>
    </w:p>
    <w:p>
      <w:pPr>
        <w:ind w:right="380" w:firstLine="228"/>
        <w:spacing w:after="0" w:line="276" w:lineRule="auto"/>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Report. In 2008, Schlumberger submitted to the NYSE the CEO certification required by Section 303A.12(a) of the NYSE’s Listed Company Manual.</w:t>
      </w:r>
    </w:p>
    <w:p>
      <w:pPr>
        <w:spacing w:after="0" w:line="1" w:lineRule="exact"/>
        <w:rPr>
          <w:sz w:val="20"/>
          <w:szCs w:val="20"/>
          <w:color w:val="auto"/>
        </w:rPr>
      </w:pPr>
    </w:p>
    <w:p>
      <w:pPr>
        <w:ind w:right="280" w:firstLine="228"/>
        <w:spacing w:after="0" w:line="261" w:lineRule="auto"/>
        <w:rPr>
          <w:sz w:val="20"/>
          <w:szCs w:val="20"/>
          <w:color w:val="auto"/>
        </w:rPr>
      </w:pPr>
      <w:r>
        <w:rPr>
          <w:rFonts w:ascii="Arial" w:cs="Arial" w:eastAsia="Arial" w:hAnsi="Arial"/>
          <w:sz w:val="18"/>
          <w:szCs w:val="18"/>
          <w:color w:val="auto"/>
        </w:rPr>
        <w:t>The information on our website or any other website is not incorporated by reference in this Report and should not be considered part of this Report or any other filing Schlumberger makes with the SEC.</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following discussion of risk factors contains “forward-looking statements,” as discussed immediately following Item 7A. of this Report. These risk factors may be important to understanding any statement in this Report or elsewhere. The following information should be read in conjunction with Management’s Discussion and Analysis, and the consolidated financial statements and related notes included in this Report.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urge you to carefully consider the risks described below, as well as in other reports and materials that we file with the SEC and the other information included or incorporated by reference in this Report. If any of the risks described below or elsewhere in this Report were to materialize, our business, financial condition, results of operations, cash flows or prospects could be materially adversely affected. In such case, the trading price of our common stock could decline and you could lose all or part of your investment. Additional risks and uncertainties not currently known to us or that we currently deem immaterial may also adversely affect our business and operations.</w:t>
      </w:r>
    </w:p>
    <w:p>
      <w:pPr>
        <w:spacing w:after="0" w:line="123"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Demand for the majority of our services is substantially dependent on the levels of expenditures by the oil and gas industry. Current global economic conditions have resulted in a significant decline in oil and gas prices. If current global economic conditions and the availability of credit worsen or continue for an extended period, this could reduce our customers’ levels of expenditures and have a significant adverse effect on our revenue and operating results.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current global credit and economic environment has reduced worldwide demand for energy and resulted in significantly lower crude oil and natural gas prices. A substantial or extended decline in oil and natural gas prices can reduce our customers’ activities and their spending on our services and products. Demand for the majority of our services substantially depends on the level of expenditures by the oil and gas industry for the exploration, development and production of crude oil and natural gas reserves. These expenditures are sensitive to oil and natural gas prices and generally dependent on the industry’s view of future oil and gas prices. As the worldwide deterioration in the financial and credit markets has deepened in recent months, demand for oil and gas has reduced dramatically and oil and gas prices have fallen sharply, causing some of our customers to start to reduce or delay their oil and gas exploration and production spending. This has started to reduce the demand for our services and has begun to exert downward pressure on the prices that we charge. If economic conditions continue to deteriorate or do not improve, it could result in further reductions of exploration and production expenditures by our customers, causing further declines in the demand for our services and products. This could result in a significant adverse effect on our operating results. Furthermore, it is difficult to predict how long the economic downturn will continue, to what extent it will worsen, and to what extent this will continue to affect us.</w:t>
      </w:r>
    </w:p>
    <w:p>
      <w:pPr>
        <w:spacing w:after="0" w:line="5"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reduction in cash flows being experienced by our customers resulting from declines in commodity prices, together with the reduced availability of credit and increased costs of borrowing due to the tightening of the credit markets, could have significant adverse effects on the financial condition of some of our customers. This could result in project modifications, delays or cancellations, general business disruptions, and delay in, or nonpayment of, amounts that are owed to us, which could have a significant adverse effect on our results of operations and cash flows. Additionally, our suppliers could be negatively impacted by current global economic conditions. If certain of our suppliers were to experience significant cash flow issues or become insolvent as a result of such conditions, it could result in a reduction or interruption in supplies or a significant increase in the price of supplies, and adversely impact our results of operations and cash flows.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prices for oil and natural gas are subject to a variety of additional factors, including:</w:t>
      </w:r>
    </w:p>
    <w:p>
      <w:pPr>
        <w:spacing w:after="0" w:line="7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demand for energy, which is affected by worldwide population growth, economic development and general economic and business conditions;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non-United States operations accounted for approximately 78% of our consolidated revenue in 2008, 76% in 2007 and 73% in 2006.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20" w:firstLine="228"/>
        <w:spacing w:after="0" w:line="254"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ind w:left="240"/>
        <w:spacing w:after="0"/>
        <w:rPr>
          <w:sz w:val="20"/>
          <w:szCs w:val="20"/>
          <w:color w:val="auto"/>
        </w:rPr>
      </w:pPr>
      <w:r>
        <w:rPr>
          <w:rFonts w:ascii="Arial" w:cs="Arial" w:eastAsia="Arial" w:hAnsi="Arial"/>
          <w:sz w:val="18"/>
          <w:szCs w:val="18"/>
          <w:color w:val="auto"/>
        </w:rPr>
        <w:t>If any of the risks described above materialize, it could reduce our earnings and our cash available for operations.</w:t>
      </w:r>
    </w:p>
    <w:p>
      <w:pPr>
        <w:spacing w:after="0" w:line="9" w:lineRule="exact"/>
        <w:rPr>
          <w:sz w:val="20"/>
          <w:szCs w:val="20"/>
          <w:color w:val="auto"/>
        </w:rPr>
      </w:pPr>
    </w:p>
    <w:p>
      <w:pPr>
        <w:ind w:right="380" w:firstLine="228"/>
        <w:spacing w:after="0" w:line="255"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for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expensive, complex and stringent. These laws may provide for “strict liability” for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164"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Certain equipment used in the delivery of oilfield services, such as directional drilling equipment, perforating systems, subsea completion equipment, radioactive materials and explosives and well completion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1A</w:t>
      </w:r>
    </w:p>
    <w:p>
      <w:pPr>
        <w:spacing w:after="0" w:line="20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systems, are used in hostile environments, such as exploration, development and production applications. An accident or a failure of a product could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maintain technology leadership in the form of services and products, this could affect any competitive advantage we hold.</w:t>
      </w:r>
    </w:p>
    <w:p>
      <w:pPr>
        <w:spacing w:after="0" w:line="18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If we are unable to develop and produce competitive technology or deliver them to our clients in the form of services and products in a timely and cost-competitive manner in the various markets we serve, it could materially reduce our operating revenue and net income.</w:t>
      </w:r>
    </w:p>
    <w:p>
      <w:pPr>
        <w:spacing w:after="0" w:line="11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11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operating revenue. Additionally, developing non-infringing technologies would increase our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6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may have a material adverse effect on our operating revenue.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1B, 2, 3, 4</w:t>
      </w:r>
    </w:p>
    <w:p>
      <w:pPr>
        <w:spacing w:after="0" w:line="19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ind w:right="480"/>
        <w:spacing w:after="0" w:line="303" w:lineRule="auto"/>
        <w:rPr>
          <w:sz w:val="20"/>
          <w:szCs w:val="20"/>
          <w:color w:val="auto"/>
        </w:rPr>
      </w:pPr>
      <w:r>
        <w:rPr>
          <w:rFonts w:ascii="Arial" w:cs="Arial" w:eastAsia="Arial" w:hAnsi="Arial"/>
          <w:sz w:val="15"/>
          <w:szCs w:val="15"/>
          <w:color w:val="auto"/>
        </w:rPr>
        <w:t>Schlumberger owns or leases manufacturing facilities, administrative offices, service centers, research centers, data processing centers, sales offices and warehouses throughout the world. No significant lease is scheduled to terminate in the near future, and Schlumberger believes comparable space is readily obtainable should any lease expire without renewal. Schlumberger believes its properties are generally well maintained and adequate for their intended use.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Outside the United States the principal owned or leased facilities of Oilfield Services are located in Beijing, China; Clamart and Abbeville, France; Fuchinobe, Japan; Oslo, Norway; Singapore; Abingdon, Cambridge and Stonehouse, United Kingdom; and Novosibirsk, Russia.</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Boston, Massachusetts; Houston, Rosharon, and Sugar Land, Texas; and Lawrence, Kansas.</w:t>
      </w:r>
    </w:p>
    <w:p>
      <w:pPr>
        <w:spacing w:after="0" w:line="1" w:lineRule="exact"/>
        <w:rPr>
          <w:sz w:val="20"/>
          <w:szCs w:val="20"/>
          <w:color w:val="auto"/>
        </w:rPr>
      </w:pPr>
    </w:p>
    <w:p>
      <w:pPr>
        <w:ind w:right="140" w:firstLine="228"/>
        <w:spacing w:after="0" w:line="261" w:lineRule="auto"/>
        <w:rPr>
          <w:sz w:val="20"/>
          <w:szCs w:val="20"/>
          <w:color w:val="auto"/>
        </w:rPr>
      </w:pPr>
      <w:r>
        <w:rPr>
          <w:rFonts w:ascii="Arial" w:cs="Arial" w:eastAsia="Arial" w:hAnsi="Arial"/>
          <w:sz w:val="18"/>
          <w:szCs w:val="18"/>
          <w:color w:val="auto"/>
        </w:rPr>
        <w:t>The principal owned or leased facilities of WesternGeco are located in Bergen and Oslo, Norway; Gatwick, United Kingdom; Houston, Texas, United States; and Mumbai, India.</w:t>
      </w:r>
    </w:p>
    <w:p>
      <w:pPr>
        <w:spacing w:after="0" w:line="11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3 is set forth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1, Item 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11, 2009 is set forth below. The positions for each executive officer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ind w:left="520"/>
              <w:spacing w:after="0"/>
              <w:rPr>
                <w:sz w:val="20"/>
                <w:szCs w:val="20"/>
                <w:color w:val="auto"/>
              </w:rPr>
            </w:pPr>
            <w:r>
              <w:rPr>
                <w:rFonts w:ascii="Arial" w:cs="Arial" w:eastAsia="Arial" w:hAnsi="Arial"/>
                <w:sz w:val="14"/>
                <w:szCs w:val="14"/>
                <w:b w:val="1"/>
                <w:bCs w:val="1"/>
                <w:color w:val="auto"/>
              </w:rPr>
              <w:t>Age</w:t>
            </w:r>
          </w:p>
        </w:tc>
        <w:tc>
          <w:tcPr>
            <w:tcW w:w="808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r>
      <w:tr>
        <w:trPr>
          <w:trHeight w:val="424"/>
        </w:trPr>
        <w:tc>
          <w:tcPr>
            <w:tcW w:w="2420" w:type="dxa"/>
            <w:vAlign w:val="bottom"/>
          </w:tcPr>
          <w:p>
            <w:pPr>
              <w:spacing w:after="0"/>
              <w:rPr>
                <w:sz w:val="20"/>
                <w:szCs w:val="20"/>
                <w:color w:val="auto"/>
              </w:rPr>
            </w:pPr>
            <w:r>
              <w:rPr>
                <w:rFonts w:ascii="Arial" w:cs="Arial" w:eastAsia="Arial" w:hAnsi="Arial"/>
                <w:sz w:val="18"/>
                <w:szCs w:val="18"/>
                <w:color w:val="auto"/>
              </w:rPr>
              <w:t>Andrew Gould</w:t>
            </w:r>
          </w:p>
        </w:tc>
        <w:tc>
          <w:tcPr>
            <w:tcW w:w="920" w:type="dxa"/>
            <w:vAlign w:val="bottom"/>
          </w:tcPr>
          <w:p>
            <w:pPr>
              <w:ind w:left="520"/>
              <w:spacing w:after="0"/>
              <w:rPr>
                <w:sz w:val="20"/>
                <w:szCs w:val="20"/>
                <w:color w:val="auto"/>
              </w:rPr>
            </w:pPr>
            <w:r>
              <w:rPr>
                <w:rFonts w:ascii="Arial" w:cs="Arial" w:eastAsia="Arial" w:hAnsi="Arial"/>
                <w:sz w:val="18"/>
                <w:szCs w:val="18"/>
                <w:color w:val="auto"/>
              </w:rPr>
              <w:t>62</w:t>
            </w:r>
          </w:p>
        </w:tc>
        <w:tc>
          <w:tcPr>
            <w:tcW w:w="8080" w:type="dxa"/>
            <w:vAlign w:val="bottom"/>
          </w:tcPr>
          <w:p>
            <w:pPr>
              <w:ind w:left="160"/>
              <w:spacing w:after="0"/>
              <w:rPr>
                <w:sz w:val="20"/>
                <w:szCs w:val="20"/>
                <w:color w:val="auto"/>
              </w:rPr>
            </w:pPr>
            <w:r>
              <w:rPr>
                <w:rFonts w:ascii="Arial" w:cs="Arial" w:eastAsia="Arial" w:hAnsi="Arial"/>
                <w:sz w:val="18"/>
                <w:szCs w:val="18"/>
                <w:color w:val="auto"/>
              </w:rPr>
              <w:t>Chairman and Chief Executive Officer, since February 2003.</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Simon Ayat</w:t>
            </w:r>
          </w:p>
        </w:tc>
        <w:tc>
          <w:tcPr>
            <w:tcW w:w="920" w:type="dxa"/>
            <w:vAlign w:val="bottom"/>
          </w:tcPr>
          <w:p>
            <w:pPr>
              <w:ind w:left="520"/>
              <w:spacing w:after="0"/>
              <w:rPr>
                <w:sz w:val="20"/>
                <w:szCs w:val="20"/>
                <w:color w:val="auto"/>
              </w:rPr>
            </w:pPr>
            <w:r>
              <w:rPr>
                <w:rFonts w:ascii="Arial" w:cs="Arial" w:eastAsia="Arial" w:hAnsi="Arial"/>
                <w:sz w:val="18"/>
                <w:szCs w:val="18"/>
                <w:color w:val="auto"/>
              </w:rPr>
              <w:t>54</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Executive Vice President and Chief Financial Officer, since March 2007; Vice President Treasurer, February</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88"/>
              </w:rPr>
              <w:t>2005 to March 2007; and Vice President, Controller and Business Processes, December 2002 to February 2005.</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Chakib Sbiti</w:t>
            </w:r>
          </w:p>
        </w:tc>
        <w:tc>
          <w:tcPr>
            <w:tcW w:w="920" w:type="dxa"/>
            <w:vAlign w:val="bottom"/>
          </w:tcPr>
          <w:p>
            <w:pPr>
              <w:ind w:left="520"/>
              <w:spacing w:after="0"/>
              <w:rPr>
                <w:sz w:val="20"/>
                <w:szCs w:val="20"/>
                <w:color w:val="auto"/>
              </w:rPr>
            </w:pPr>
            <w:r>
              <w:rPr>
                <w:rFonts w:ascii="Arial" w:cs="Arial" w:eastAsia="Arial" w:hAnsi="Arial"/>
                <w:sz w:val="18"/>
                <w:szCs w:val="18"/>
                <w:color w:val="auto"/>
              </w:rPr>
              <w:t>54</w:t>
            </w:r>
          </w:p>
        </w:tc>
        <w:tc>
          <w:tcPr>
            <w:tcW w:w="8080" w:type="dxa"/>
            <w:vAlign w:val="bottom"/>
          </w:tcPr>
          <w:p>
            <w:pPr>
              <w:ind w:left="160"/>
              <w:spacing w:after="0"/>
              <w:rPr>
                <w:sz w:val="20"/>
                <w:szCs w:val="20"/>
                <w:color w:val="auto"/>
              </w:rPr>
            </w:pPr>
            <w:r>
              <w:rPr>
                <w:rFonts w:ascii="Arial" w:cs="Arial" w:eastAsia="Arial" w:hAnsi="Arial"/>
                <w:sz w:val="18"/>
                <w:szCs w:val="18"/>
                <w:color w:val="auto"/>
              </w:rPr>
              <w:t>Executive Vice President, since February 2003.</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Dalton Boutte</w:t>
            </w:r>
          </w:p>
        </w:tc>
        <w:tc>
          <w:tcPr>
            <w:tcW w:w="920" w:type="dxa"/>
            <w:vAlign w:val="bottom"/>
          </w:tcPr>
          <w:p>
            <w:pPr>
              <w:ind w:left="520"/>
              <w:spacing w:after="0"/>
              <w:rPr>
                <w:sz w:val="20"/>
                <w:szCs w:val="20"/>
                <w:color w:val="auto"/>
              </w:rPr>
            </w:pPr>
            <w:r>
              <w:rPr>
                <w:rFonts w:ascii="Arial" w:cs="Arial" w:eastAsia="Arial" w:hAnsi="Arial"/>
                <w:sz w:val="18"/>
                <w:szCs w:val="18"/>
                <w:color w:val="auto"/>
              </w:rPr>
              <w:t>54</w:t>
            </w:r>
          </w:p>
        </w:tc>
        <w:tc>
          <w:tcPr>
            <w:tcW w:w="8080" w:type="dxa"/>
            <w:vAlign w:val="bottom"/>
          </w:tcPr>
          <w:p>
            <w:pPr>
              <w:ind w:left="160"/>
              <w:spacing w:after="0"/>
              <w:rPr>
                <w:sz w:val="20"/>
                <w:szCs w:val="20"/>
                <w:color w:val="auto"/>
              </w:rPr>
            </w:pPr>
            <w:r>
              <w:rPr>
                <w:rFonts w:ascii="Arial" w:cs="Arial" w:eastAsia="Arial" w:hAnsi="Arial"/>
                <w:sz w:val="18"/>
                <w:szCs w:val="18"/>
                <w:color w:val="auto"/>
              </w:rPr>
              <w:t>Executive Vice President, since February 2004; and President WesternGeco, since January 2003.</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Ellen Summer</w:t>
            </w:r>
          </w:p>
        </w:tc>
        <w:tc>
          <w:tcPr>
            <w:tcW w:w="920" w:type="dxa"/>
            <w:vAlign w:val="bottom"/>
          </w:tcPr>
          <w:p>
            <w:pPr>
              <w:ind w:left="520"/>
              <w:spacing w:after="0"/>
              <w:rPr>
                <w:sz w:val="20"/>
                <w:szCs w:val="20"/>
                <w:color w:val="auto"/>
              </w:rPr>
            </w:pPr>
            <w:r>
              <w:rPr>
                <w:rFonts w:ascii="Arial" w:cs="Arial" w:eastAsia="Arial" w:hAnsi="Arial"/>
                <w:sz w:val="18"/>
                <w:szCs w:val="18"/>
                <w:color w:val="auto"/>
              </w:rPr>
              <w:t>62</w:t>
            </w:r>
          </w:p>
        </w:tc>
        <w:tc>
          <w:tcPr>
            <w:tcW w:w="8080" w:type="dxa"/>
            <w:vAlign w:val="bottom"/>
          </w:tcPr>
          <w:p>
            <w:pPr>
              <w:ind w:left="160"/>
              <w:spacing w:after="0"/>
              <w:rPr>
                <w:sz w:val="20"/>
                <w:szCs w:val="20"/>
                <w:color w:val="auto"/>
              </w:rPr>
            </w:pPr>
            <w:r>
              <w:rPr>
                <w:rFonts w:ascii="Arial" w:cs="Arial" w:eastAsia="Arial" w:hAnsi="Arial"/>
                <w:sz w:val="18"/>
                <w:szCs w:val="18"/>
                <w:color w:val="auto"/>
              </w:rPr>
              <w:t>Secretary and General Counsel, since March 2002.</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Ashok Belani</w:t>
            </w:r>
          </w:p>
        </w:tc>
        <w:tc>
          <w:tcPr>
            <w:tcW w:w="920" w:type="dxa"/>
            <w:vAlign w:val="bottom"/>
          </w:tcPr>
          <w:p>
            <w:pPr>
              <w:ind w:left="520"/>
              <w:spacing w:after="0"/>
              <w:rPr>
                <w:sz w:val="20"/>
                <w:szCs w:val="20"/>
                <w:color w:val="auto"/>
              </w:rPr>
            </w:pPr>
            <w:r>
              <w:rPr>
                <w:rFonts w:ascii="Arial" w:cs="Arial" w:eastAsia="Arial" w:hAnsi="Arial"/>
                <w:sz w:val="18"/>
                <w:szCs w:val="18"/>
                <w:color w:val="auto"/>
              </w:rPr>
              <w:t>50</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and Chief Technology Officer, since April 2006; Senior Advisor, Technology, January 2006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April 2006; Director, President and Chief Executive Officer NPTest, May 2002 to December 2005.</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Mark Danton</w:t>
            </w:r>
          </w:p>
        </w:tc>
        <w:tc>
          <w:tcPr>
            <w:tcW w:w="920" w:type="dxa"/>
            <w:vAlign w:val="bottom"/>
          </w:tcPr>
          <w:p>
            <w:pPr>
              <w:ind w:left="520"/>
              <w:spacing w:after="0"/>
              <w:rPr>
                <w:sz w:val="20"/>
                <w:szCs w:val="20"/>
                <w:color w:val="auto"/>
              </w:rPr>
            </w:pPr>
            <w:r>
              <w:rPr>
                <w:rFonts w:ascii="Arial" w:cs="Arial" w:eastAsia="Arial" w:hAnsi="Arial"/>
                <w:sz w:val="18"/>
                <w:szCs w:val="18"/>
                <w:color w:val="auto"/>
              </w:rPr>
              <w:t>52</w:t>
            </w:r>
          </w:p>
        </w:tc>
        <w:tc>
          <w:tcPr>
            <w:tcW w:w="8080" w:type="dxa"/>
            <w:vAlign w:val="bottom"/>
          </w:tcPr>
          <w:p>
            <w:pPr>
              <w:ind w:left="160"/>
              <w:spacing w:after="0"/>
              <w:rPr>
                <w:sz w:val="20"/>
                <w:szCs w:val="20"/>
                <w:color w:val="auto"/>
              </w:rPr>
            </w:pPr>
            <w:r>
              <w:rPr>
                <w:rFonts w:ascii="Arial" w:cs="Arial" w:eastAsia="Arial" w:hAnsi="Arial"/>
                <w:sz w:val="18"/>
                <w:szCs w:val="18"/>
                <w:color w:val="auto"/>
              </w:rPr>
              <w:t>Vice President - Director of Taxes, since January 1999.</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Howard Guild</w:t>
            </w:r>
          </w:p>
        </w:tc>
        <w:tc>
          <w:tcPr>
            <w:tcW w:w="920" w:type="dxa"/>
            <w:vAlign w:val="bottom"/>
          </w:tcPr>
          <w:p>
            <w:pPr>
              <w:ind w:left="520"/>
              <w:spacing w:after="0"/>
              <w:rPr>
                <w:sz w:val="20"/>
                <w:szCs w:val="20"/>
                <w:color w:val="auto"/>
              </w:rPr>
            </w:pPr>
            <w:r>
              <w:rPr>
                <w:rFonts w:ascii="Arial" w:cs="Arial" w:eastAsia="Arial" w:hAnsi="Arial"/>
                <w:sz w:val="18"/>
                <w:szCs w:val="18"/>
                <w:color w:val="auto"/>
              </w:rPr>
              <w:t>37</w:t>
            </w: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Chief Accounting Officer, since July 2005; Director of Financial Reporting, October 2004 to July 2005; and</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Senior Manager, PricewaterhouseCoopers LLP, July 2001 to October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Paal Kibsgaard</w:t>
            </w:r>
          </w:p>
        </w:tc>
        <w:tc>
          <w:tcPr>
            <w:tcW w:w="920" w:type="dxa"/>
            <w:vAlign w:val="bottom"/>
          </w:tcPr>
          <w:p>
            <w:pPr>
              <w:ind w:left="520"/>
              <w:spacing w:after="0"/>
              <w:rPr>
                <w:sz w:val="20"/>
                <w:szCs w:val="20"/>
                <w:color w:val="auto"/>
              </w:rPr>
            </w:pPr>
            <w:r>
              <w:rPr>
                <w:rFonts w:ascii="Arial" w:cs="Arial" w:eastAsia="Arial" w:hAnsi="Arial"/>
                <w:sz w:val="18"/>
                <w:szCs w:val="18"/>
                <w:color w:val="auto"/>
              </w:rPr>
              <w:t>41</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Engineering, Manufacturing and Sustaining, since November 2007; Vice President Personnel,</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April 2006 to November 2007; and President, Drilling and Measurements, January 2003 to April 2006.</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Catherine MacGregor</w:t>
            </w:r>
          </w:p>
        </w:tc>
        <w:tc>
          <w:tcPr>
            <w:tcW w:w="920" w:type="dxa"/>
            <w:vAlign w:val="bottom"/>
          </w:tcPr>
          <w:p>
            <w:pPr>
              <w:ind w:left="520"/>
              <w:spacing w:after="0"/>
              <w:rPr>
                <w:sz w:val="20"/>
                <w:szCs w:val="20"/>
                <w:color w:val="auto"/>
              </w:rPr>
            </w:pPr>
            <w:r>
              <w:rPr>
                <w:rFonts w:ascii="Arial" w:cs="Arial" w:eastAsia="Arial" w:hAnsi="Arial"/>
                <w:sz w:val="18"/>
                <w:szCs w:val="18"/>
                <w:color w:val="auto"/>
              </w:rPr>
              <w:t>36</w:t>
            </w: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Vice President Personnel, since November 2007; Director of Personnel, Oilfield Services, January 2007 to</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4"/>
              </w:rPr>
              <w:t>November 2007; Operations Manager, Drilling &amp; Measurements, Brunei/Malaysia/Philippines GeoMarket</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2"/>
              </w:rPr>
              <w:t>August 2005 to January 2007; Management Development Champion, Oilfield Services, September 2004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August 2005; and DVD Product Champion, Drilling &amp; Measurements, July 2002 to March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Rodney Nelson</w:t>
            </w:r>
          </w:p>
        </w:tc>
        <w:tc>
          <w:tcPr>
            <w:tcW w:w="920" w:type="dxa"/>
            <w:vAlign w:val="bottom"/>
          </w:tcPr>
          <w:p>
            <w:pPr>
              <w:ind w:left="520"/>
              <w:spacing w:after="0"/>
              <w:rPr>
                <w:sz w:val="20"/>
                <w:szCs w:val="20"/>
                <w:color w:val="auto"/>
              </w:rPr>
            </w:pPr>
            <w:r>
              <w:rPr>
                <w:rFonts w:ascii="Arial" w:cs="Arial" w:eastAsia="Arial" w:hAnsi="Arial"/>
                <w:sz w:val="18"/>
                <w:szCs w:val="18"/>
                <w:color w:val="auto"/>
              </w:rPr>
              <w:t>50</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Communications, since October 2007; VP Innovation and Collaboration, July 2006 to October</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2"/>
              </w:rPr>
              <w:t>2007; VP Strategic Marketing, July 2004 to July 2006; and VP Marketing Oilfield Services, February 2003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July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H. Sola Oyinlola</w:t>
            </w:r>
          </w:p>
        </w:tc>
        <w:tc>
          <w:tcPr>
            <w:tcW w:w="920" w:type="dxa"/>
            <w:vAlign w:val="bottom"/>
          </w:tcPr>
          <w:p>
            <w:pPr>
              <w:ind w:left="580"/>
              <w:spacing w:after="0"/>
              <w:rPr>
                <w:sz w:val="20"/>
                <w:szCs w:val="20"/>
                <w:color w:val="auto"/>
              </w:rPr>
            </w:pPr>
            <w:r>
              <w:rPr>
                <w:rFonts w:ascii="Arial" w:cs="Arial" w:eastAsia="Arial" w:hAnsi="Arial"/>
                <w:sz w:val="18"/>
                <w:szCs w:val="18"/>
                <w:color w:val="auto"/>
              </w:rPr>
              <w:t>53</w:t>
            </w:r>
          </w:p>
        </w:tc>
        <w:tc>
          <w:tcPr>
            <w:tcW w:w="8080" w:type="dxa"/>
            <w:vAlign w:val="bottom"/>
          </w:tcPr>
          <w:p>
            <w:pPr>
              <w:ind w:left="160"/>
              <w:spacing w:after="0"/>
              <w:rPr>
                <w:sz w:val="20"/>
                <w:szCs w:val="20"/>
                <w:color w:val="auto"/>
              </w:rPr>
            </w:pPr>
            <w:r>
              <w:rPr>
                <w:rFonts w:ascii="Arial" w:cs="Arial" w:eastAsia="Arial" w:hAnsi="Arial"/>
                <w:sz w:val="18"/>
                <w:szCs w:val="18"/>
                <w:color w:val="auto"/>
                <w:w w:val="89"/>
              </w:rPr>
              <w:t>Vice President Treasurer, since March 2007; Deputy Treasurer, July 2006 to March 2007; and Oilfield Services</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GeoMarket General Manager, Nigeria, April 2001 to July 2006.</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Satish Pai</w:t>
            </w:r>
          </w:p>
        </w:tc>
        <w:tc>
          <w:tcPr>
            <w:tcW w:w="920" w:type="dxa"/>
            <w:vAlign w:val="bottom"/>
          </w:tcPr>
          <w:p>
            <w:pPr>
              <w:ind w:left="580"/>
              <w:spacing w:after="0"/>
              <w:rPr>
                <w:sz w:val="20"/>
                <w:szCs w:val="20"/>
                <w:color w:val="auto"/>
              </w:rPr>
            </w:pPr>
            <w:r>
              <w:rPr>
                <w:rFonts w:ascii="Arial" w:cs="Arial" w:eastAsia="Arial" w:hAnsi="Arial"/>
                <w:sz w:val="18"/>
                <w:szCs w:val="18"/>
                <w:color w:val="auto"/>
              </w:rPr>
              <w:t>47</w:t>
            </w:r>
          </w:p>
        </w:tc>
        <w:tc>
          <w:tcPr>
            <w:tcW w:w="8080" w:type="dxa"/>
            <w:vAlign w:val="bottom"/>
          </w:tcPr>
          <w:p>
            <w:pPr>
              <w:ind w:left="160"/>
              <w:spacing w:after="0"/>
              <w:rPr>
                <w:sz w:val="20"/>
                <w:szCs w:val="20"/>
                <w:color w:val="auto"/>
              </w:rPr>
            </w:pPr>
            <w:r>
              <w:rPr>
                <w:rFonts w:ascii="Arial" w:cs="Arial" w:eastAsia="Arial" w:hAnsi="Arial"/>
                <w:sz w:val="18"/>
                <w:szCs w:val="18"/>
                <w:color w:val="auto"/>
                <w:w w:val="89"/>
              </w:rPr>
              <w:t>Vice President, Operations, Oilfield Services, since May 2008, President Europe Africa &amp; Caspian, March 2006</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to May 2008; and Vice President Oilfield Technologies, March 2002 to March 2006.</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Malcolm Theobald</w:t>
            </w:r>
          </w:p>
        </w:tc>
        <w:tc>
          <w:tcPr>
            <w:tcW w:w="920" w:type="dxa"/>
            <w:vAlign w:val="bottom"/>
          </w:tcPr>
          <w:p>
            <w:pPr>
              <w:ind w:left="580"/>
              <w:spacing w:after="0"/>
              <w:rPr>
                <w:sz w:val="20"/>
                <w:szCs w:val="20"/>
                <w:color w:val="auto"/>
              </w:rPr>
            </w:pPr>
            <w:r>
              <w:rPr>
                <w:rFonts w:ascii="Arial" w:cs="Arial" w:eastAsia="Arial" w:hAnsi="Arial"/>
                <w:sz w:val="18"/>
                <w:szCs w:val="18"/>
                <w:color w:val="auto"/>
              </w:rPr>
              <w:t>47</w:t>
            </w:r>
          </w:p>
        </w:tc>
        <w:tc>
          <w:tcPr>
            <w:tcW w:w="8080" w:type="dxa"/>
            <w:vAlign w:val="bottom"/>
          </w:tcPr>
          <w:p>
            <w:pPr>
              <w:ind w:left="160"/>
              <w:spacing w:after="0"/>
              <w:rPr>
                <w:sz w:val="20"/>
                <w:szCs w:val="20"/>
                <w:color w:val="auto"/>
              </w:rPr>
            </w:pPr>
            <w:r>
              <w:rPr>
                <w:rFonts w:ascii="Arial" w:cs="Arial" w:eastAsia="Arial" w:hAnsi="Arial"/>
                <w:sz w:val="18"/>
                <w:szCs w:val="18"/>
                <w:color w:val="auto"/>
                <w:w w:val="87"/>
              </w:rPr>
              <w:t>Vice President Investor Relations, since June 2007; and Global Account Director, September 2001 to June 2007.</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Sophie Zurquiyah-Rousset</w:t>
            </w:r>
          </w:p>
        </w:tc>
        <w:tc>
          <w:tcPr>
            <w:tcW w:w="920" w:type="dxa"/>
            <w:vAlign w:val="bottom"/>
          </w:tcPr>
          <w:p>
            <w:pPr>
              <w:ind w:left="580"/>
              <w:spacing w:after="0"/>
              <w:rPr>
                <w:sz w:val="20"/>
                <w:szCs w:val="20"/>
                <w:color w:val="auto"/>
              </w:rPr>
            </w:pPr>
            <w:r>
              <w:rPr>
                <w:rFonts w:ascii="Arial" w:cs="Arial" w:eastAsia="Arial" w:hAnsi="Arial"/>
                <w:sz w:val="18"/>
                <w:szCs w:val="18"/>
                <w:color w:val="auto"/>
              </w:rPr>
              <w:t>42</w:t>
            </w: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Chief Information Officer, since December 2006; Director of Personnel, Oilfield Services, April 2005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89"/>
              </w:rPr>
              <w:t>December 2006; and Oilfield Services GeoMarket Manager, Latin America South, February 2003 to April 2005.</w:t>
            </w:r>
          </w:p>
        </w:tc>
      </w:tr>
      <w:tr>
        <w:trPr>
          <w:trHeight w:val="312"/>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80" w:type="dxa"/>
            <w:vAlign w:val="bottom"/>
          </w:tcPr>
          <w:p>
            <w:pPr>
              <w:ind w:left="230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Schlumberger’s Common Stock, Related Stockholder Matters and Issuer Purchases of Equity Securities.</w:t>
      </w:r>
    </w:p>
    <w:p>
      <w:pPr>
        <w:spacing w:after="0" w:line="74"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As of January 31, 2009, there were 1,195,989,819 shares of common stock of Schlumberger outstanding, exclusive of 138,222,345 shares held in treasury, and approximately 19,483 stockholders of record. The principal United States market for Schlumberger’s common stock is the NYSE, where it is traded under the symbol “SLB”.</w:t>
      </w:r>
    </w:p>
    <w:p>
      <w:pPr>
        <w:ind w:right="194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SIX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NYSE (composite transactions), together with dividends declared per share in each quarter of 2008 and 2007,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Price Range</w:t>
            </w: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0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75"/>
        </w:trPr>
        <w:tc>
          <w:tcPr>
            <w:tcW w:w="90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9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88"/>
              </w:rPr>
              <w:t>102.71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$ 72.30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9000" w:type="dxa"/>
            <w:vAlign w:val="bottom"/>
          </w:tcPr>
          <w:p>
            <w:pPr>
              <w:ind w:left="340"/>
              <w:spacing w:after="0" w:line="149" w:lineRule="exact"/>
              <w:rPr>
                <w:sz w:val="20"/>
                <w:szCs w:val="20"/>
                <w:color w:val="auto"/>
              </w:rPr>
            </w:pPr>
            <w:r>
              <w:rPr>
                <w:rFonts w:ascii="Arial" w:cs="Arial" w:eastAsia="Arial" w:hAnsi="Arial"/>
                <w:sz w:val="14"/>
                <w:szCs w:val="14"/>
                <w:color w:val="auto"/>
              </w:rPr>
              <w:t>Second</w:t>
            </w:r>
          </w:p>
        </w:tc>
        <w:tc>
          <w:tcPr>
            <w:tcW w:w="80" w:type="dxa"/>
            <w:vAlign w:val="bottom"/>
          </w:tcPr>
          <w:p>
            <w:pPr>
              <w:spacing w:after="0"/>
              <w:rPr>
                <w:sz w:val="12"/>
                <w:szCs w:val="12"/>
                <w:color w:val="auto"/>
              </w:rPr>
            </w:pPr>
          </w:p>
        </w:tc>
        <w:tc>
          <w:tcPr>
            <w:tcW w:w="6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88"/>
              </w:rPr>
              <w:t>110.11</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88.02</w:t>
            </w:r>
          </w:p>
        </w:tc>
        <w:tc>
          <w:tcPr>
            <w:tcW w:w="5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w w:val="88"/>
              </w:rPr>
              <w:t>111.95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73.53</w:t>
            </w: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9000" w:type="dxa"/>
            <w:vAlign w:val="bottom"/>
          </w:tcPr>
          <w:p>
            <w:pPr>
              <w:ind w:left="340"/>
              <w:spacing w:after="0" w:line="149" w:lineRule="exact"/>
              <w:rPr>
                <w:sz w:val="20"/>
                <w:szCs w:val="20"/>
                <w:color w:val="auto"/>
              </w:rPr>
            </w:pPr>
            <w:r>
              <w:rPr>
                <w:rFonts w:ascii="Arial" w:cs="Arial" w:eastAsia="Arial" w:hAnsi="Arial"/>
                <w:sz w:val="14"/>
                <w:szCs w:val="14"/>
                <w:color w:val="auto"/>
              </w:rPr>
              <w:t>Fourth</w:t>
            </w:r>
          </w:p>
        </w:tc>
        <w:tc>
          <w:tcPr>
            <w:tcW w:w="80" w:type="dxa"/>
            <w:vAlign w:val="bottom"/>
          </w:tcPr>
          <w:p>
            <w:pPr>
              <w:spacing w:after="0"/>
              <w:rPr>
                <w:sz w:val="12"/>
                <w:szCs w:val="12"/>
                <w:color w:val="auto"/>
              </w:rPr>
            </w:pPr>
          </w:p>
        </w:tc>
        <w:tc>
          <w:tcPr>
            <w:tcW w:w="62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78.00</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37.24</w:t>
            </w:r>
          </w:p>
        </w:tc>
        <w:tc>
          <w:tcPr>
            <w:tcW w:w="5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0.210</w:t>
            </w: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71.17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$ 55.68</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0.175</w:t>
            </w:r>
          </w:p>
        </w:tc>
        <w:tc>
          <w:tcPr>
            <w:tcW w:w="0" w:type="dxa"/>
            <w:vAlign w:val="bottom"/>
          </w:tcPr>
          <w:p>
            <w:pPr>
              <w:spacing w:after="0"/>
              <w:rPr>
                <w:sz w:val="1"/>
                <w:szCs w:val="1"/>
                <w:color w:val="auto"/>
              </w:rPr>
            </w:pPr>
          </w:p>
        </w:tc>
      </w:tr>
      <w:tr>
        <w:trPr>
          <w:trHeight w:val="149"/>
        </w:trPr>
        <w:tc>
          <w:tcPr>
            <w:tcW w:w="9000" w:type="dxa"/>
            <w:vAlign w:val="bottom"/>
          </w:tcPr>
          <w:p>
            <w:pPr>
              <w:ind w:left="340"/>
              <w:spacing w:after="0" w:line="149" w:lineRule="exact"/>
              <w:rPr>
                <w:sz w:val="20"/>
                <w:szCs w:val="20"/>
                <w:color w:val="auto"/>
              </w:rPr>
            </w:pPr>
            <w:r>
              <w:rPr>
                <w:rFonts w:ascii="Arial" w:cs="Arial" w:eastAsia="Arial" w:hAnsi="Arial"/>
                <w:sz w:val="14"/>
                <w:szCs w:val="14"/>
                <w:color w:val="auto"/>
              </w:rPr>
              <w:t>Second</w:t>
            </w:r>
          </w:p>
        </w:tc>
        <w:tc>
          <w:tcPr>
            <w:tcW w:w="80" w:type="dxa"/>
            <w:vAlign w:val="bottom"/>
          </w:tcPr>
          <w:p>
            <w:pPr>
              <w:spacing w:after="0"/>
              <w:rPr>
                <w:sz w:val="12"/>
                <w:szCs w:val="12"/>
                <w:color w:val="auto"/>
              </w:rPr>
            </w:pPr>
          </w:p>
        </w:tc>
        <w:tc>
          <w:tcPr>
            <w:tcW w:w="6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89.20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68.25</w:t>
            </w:r>
          </w:p>
        </w:tc>
        <w:tc>
          <w:tcPr>
            <w:tcW w:w="5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0.175</w:t>
            </w:r>
          </w:p>
        </w:tc>
        <w:tc>
          <w:tcPr>
            <w:tcW w:w="0" w:type="dxa"/>
            <w:vAlign w:val="bottom"/>
          </w:tcPr>
          <w:p>
            <w:pPr>
              <w:spacing w:after="0"/>
              <w:rPr>
                <w:sz w:val="1"/>
                <w:szCs w:val="1"/>
                <w:color w:val="auto"/>
              </w:rPr>
            </w:pPr>
          </w:p>
        </w:tc>
      </w:tr>
      <w:tr>
        <w:trPr>
          <w:trHeight w:val="149"/>
        </w:trPr>
        <w:tc>
          <w:tcPr>
            <w:tcW w:w="900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8"/>
              </w:rPr>
              <w:t>108.75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81.26</w:t>
            </w: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0.175</w:t>
            </w:r>
          </w:p>
        </w:tc>
        <w:tc>
          <w:tcPr>
            <w:tcW w:w="0" w:type="dxa"/>
            <w:vAlign w:val="bottom"/>
          </w:tcPr>
          <w:p>
            <w:pPr>
              <w:spacing w:after="0"/>
              <w:rPr>
                <w:sz w:val="1"/>
                <w:szCs w:val="1"/>
                <w:color w:val="auto"/>
              </w:rPr>
            </w:pPr>
          </w:p>
        </w:tc>
      </w:tr>
      <w:tr>
        <w:trPr>
          <w:trHeight w:val="172"/>
        </w:trPr>
        <w:tc>
          <w:tcPr>
            <w:tcW w:w="9000" w:type="dxa"/>
            <w:vAlign w:val="bottom"/>
          </w:tcPr>
          <w:p>
            <w:pPr>
              <w:ind w:left="340"/>
              <w:spacing w:after="0"/>
              <w:rPr>
                <w:sz w:val="20"/>
                <w:szCs w:val="20"/>
                <w:color w:val="auto"/>
              </w:rPr>
            </w:pPr>
            <w:r>
              <w:rPr>
                <w:rFonts w:ascii="Arial" w:cs="Arial" w:eastAsia="Arial" w:hAnsi="Arial"/>
                <w:sz w:val="14"/>
                <w:szCs w:val="14"/>
                <w:color w:val="auto"/>
              </w:rPr>
              <w:t>Fourth</w:t>
            </w:r>
          </w:p>
        </w:tc>
        <w:tc>
          <w:tcPr>
            <w:tcW w:w="8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w w:val="88"/>
              </w:rPr>
              <w:t>114.84</w:t>
            </w:r>
          </w:p>
        </w:tc>
        <w:tc>
          <w:tcPr>
            <w:tcW w:w="620" w:type="dxa"/>
            <w:vAlign w:val="bottom"/>
          </w:tcPr>
          <w:p>
            <w:pPr>
              <w:jc w:val="right"/>
              <w:spacing w:after="0"/>
              <w:rPr>
                <w:sz w:val="20"/>
                <w:szCs w:val="20"/>
                <w:color w:val="auto"/>
              </w:rPr>
            </w:pPr>
            <w:r>
              <w:rPr>
                <w:rFonts w:ascii="Arial" w:cs="Arial" w:eastAsia="Arial" w:hAnsi="Arial"/>
                <w:sz w:val="14"/>
                <w:szCs w:val="14"/>
                <w:color w:val="auto"/>
              </w:rPr>
              <w:t>87.42</w:t>
            </w:r>
          </w:p>
        </w:tc>
        <w:tc>
          <w:tcPr>
            <w:tcW w:w="5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0.175</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are no legal restrictions on the payment of dividends or ownership or voting of such shares, except as to shares held as treasury stock. Under current legislation, stockholders are not subject to any Netherlands Antilles withholding or other Netherlands Antilles taxes attributable to the ownership of such shares.</w:t>
      </w:r>
    </w:p>
    <w:p>
      <w:pPr>
        <w:ind w:right="20" w:firstLine="228"/>
        <w:spacing w:after="0" w:line="290"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Standard &amp; Poor’s 500 Stock Index and the cumulative total return on Value Line’s Oilfield Services Industry Group over the preceding five-year period ending on December 31, 2008.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7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COMPARISON OF FIVE-YEAR CUMULATIVE TOTAL RETURN</w:t>
      </w:r>
    </w:p>
    <w:p>
      <w:pPr>
        <w:spacing w:after="0" w:line="1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AMONG SCHLUMBERGER LIMITED, S&amp;P 500 INDEX</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6985</wp:posOffset>
            </wp:positionV>
            <wp:extent cx="4562475" cy="3112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6247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on December 31, 2003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49"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940"/>
          </w:cols>
          <w:pgMar w:left="240" w:top="459" w:right="7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On April 17, 2008, the Board of Directors of Schlumberger approved an $8 billion share repurchase program for shares of Schlumberger common stock to be acquired in the open market before December 31, 2011.</w:t>
      </w:r>
    </w:p>
    <w:p>
      <w:pPr>
        <w:ind w:left="24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December 31, 2008.</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number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purchased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as part of</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publicly</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2"/>
              </w:rPr>
              <w:t>announced</w:t>
            </w: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6"/>
                <w:szCs w:val="16"/>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program</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1 through October 31, 2008</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1,450.0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64.79</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1,450.0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$7,125,799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2008</w:t>
            </w: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950.0</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48.96</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950.0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$7,079,286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 through December 31, 2008</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45.24</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300.0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2,700.0</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57.05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2,700.0</w:t>
            </w: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7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quarter ended December 31, 2008, Schlumberger issued 286,400 shares of its common stock upon conversion by holders of $11 million aggregate principal amount of its 2.125% Series B Convertible Debentures due June 1, 2023. Such shares were issued in transactions exempt from registration under Section 3(a)(9) of the Securities Act of 1933, as amended.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consolidated financial data should be read in conjunction with “Item 7. Management’s Discussion and Analysis of Financial Condition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“Item 8. Financial Statements and Supplementary Data,” both contained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and employee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69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24,282</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20,306</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16,762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12,647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10,236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2,838</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2,963</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1,663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27,163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23,277</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19,230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14,309</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11,480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6,505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2,827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836</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1,060</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(268)</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7,073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6,707</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2,889</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line="176" w:lineRule="exact"/>
              <w:rPr>
                <w:sz w:val="20"/>
                <w:szCs w:val="20"/>
                <w:color w:val="auto"/>
              </w:rPr>
            </w:pPr>
            <w:r>
              <w:rPr>
                <w:rFonts w:ascii="Arial" w:cs="Arial" w:eastAsia="Arial" w:hAnsi="Arial"/>
                <w:sz w:val="13"/>
                <w:szCs w:val="13"/>
                <w:color w:val="auto"/>
              </w:rPr>
              <w:t>Interest income</w:t>
            </w:r>
            <w:r>
              <w:rPr>
                <w:rFonts w:ascii="Arial" w:cs="Arial" w:eastAsia="Arial" w:hAnsi="Arial"/>
                <w:sz w:val="20"/>
                <w:szCs w:val="20"/>
                <w:color w:val="auto"/>
                <w:vertAlign w:val="superscript"/>
              </w:rPr>
              <w:t>1</w:t>
            </w: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160</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Interest expense</w:t>
            </w:r>
            <w:r>
              <w:rPr>
                <w:rFonts w:ascii="Arial" w:cs="Arial" w:eastAsia="Arial" w:hAnsi="Arial"/>
                <w:sz w:val="20"/>
                <w:szCs w:val="20"/>
                <w:color w:val="auto"/>
                <w:vertAlign w:val="superscript"/>
              </w:rPr>
              <w:t>1</w:t>
            </w:r>
          </w:p>
        </w:tc>
        <w:tc>
          <w:tcPr>
            <w:tcW w:w="3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line="176" w:lineRule="exact"/>
              <w:rPr>
                <w:sz w:val="20"/>
                <w:szCs w:val="20"/>
                <w:color w:val="auto"/>
              </w:rPr>
            </w:pPr>
            <w:r>
              <w:rPr>
                <w:rFonts w:ascii="Arial" w:cs="Arial" w:eastAsia="Arial" w:hAnsi="Arial"/>
                <w:sz w:val="13"/>
                <w:szCs w:val="13"/>
                <w:color w:val="auto"/>
              </w:rPr>
              <w:t>Charges (credits), net</w:t>
            </w:r>
            <w:r>
              <w:rPr>
                <w:rFonts w:ascii="Arial" w:cs="Arial" w:eastAsia="Arial" w:hAnsi="Arial"/>
                <w:sz w:val="20"/>
                <w:szCs w:val="20"/>
                <w:color w:val="auto"/>
                <w:vertAlign w:val="superscript"/>
              </w:rPr>
              <w:t>2</w:t>
            </w: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rPr>
              <w:t>(172)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Taxes on income</w:t>
            </w:r>
            <w:r>
              <w:rPr>
                <w:rFonts w:ascii="Arial" w:cs="Arial" w:eastAsia="Arial" w:hAnsi="Arial"/>
                <w:sz w:val="20"/>
                <w:szCs w:val="20"/>
                <w:color w:val="auto"/>
                <w:vertAlign w:val="superscript"/>
              </w:rPr>
              <w:t>2</w:t>
            </w:r>
          </w:p>
        </w:tc>
        <w:tc>
          <w:tcPr>
            <w:tcW w:w="3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1,430</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Minority interest</w:t>
            </w:r>
            <w:r>
              <w:rPr>
                <w:rFonts w:ascii="Arial" w:cs="Arial" w:eastAsia="Arial" w:hAnsi="Arial"/>
                <w:sz w:val="22"/>
                <w:szCs w:val="22"/>
                <w:color w:val="auto"/>
                <w:vertAlign w:val="superscript"/>
              </w:rPr>
              <w:t>2</w:t>
            </w: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(25)</w:t>
            </w:r>
          </w:p>
        </w:tc>
        <w:tc>
          <w:tcPr>
            <w:tcW w:w="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24"/>
                <w:szCs w:val="2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Borders>
              <w:top w:val="single" w:sz="8" w:color="auto"/>
            </w:tcBorders>
          </w:tcPr>
          <w:p>
            <w:pPr>
              <w:spacing w:after="0"/>
              <w:rPr>
                <w:sz w:val="8"/>
                <w:szCs w:val="8"/>
                <w:color w:val="auto"/>
              </w:rPr>
            </w:pPr>
          </w:p>
        </w:tc>
        <w:tc>
          <w:tcPr>
            <w:tcW w:w="32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Income from Continuing Operations</w:t>
            </w:r>
            <w:r>
              <w:rPr>
                <w:rFonts w:ascii="Arial" w:cs="Arial" w:eastAsia="Arial" w:hAnsi="Arial"/>
                <w:sz w:val="20"/>
                <w:szCs w:val="20"/>
                <w:color w:val="auto"/>
                <w:vertAlign w:val="superscript"/>
              </w:rPr>
              <w:t>3</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5,397</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2,199</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Income from Discontinued Operations</w:t>
            </w: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5,435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5,177</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2,207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4.51</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4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Discontinued operations</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Net Income per share</w:t>
            </w:r>
            <w:r>
              <w:rPr>
                <w:rFonts w:ascii="Arial" w:cs="Arial" w:eastAsia="Arial" w:hAnsi="Arial"/>
                <w:sz w:val="20"/>
                <w:szCs w:val="20"/>
                <w:color w:val="auto"/>
                <w:vertAlign w:val="superscript"/>
              </w:rPr>
              <w:t>3</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4.42</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4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4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from Discontinued Operations</w:t>
            </w:r>
          </w:p>
        </w:tc>
        <w:tc>
          <w:tcPr>
            <w:tcW w:w="3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per share</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4.45</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3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0.840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0.700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0.420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200" w:type="dxa"/>
            <w:vAlign w:val="bottom"/>
            <w:vMerge w:val="restart"/>
          </w:tcPr>
          <w:p>
            <w:pPr>
              <w:jc w:val="right"/>
              <w:ind w:right="1432"/>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-4297680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-4297680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-4297680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-4297680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-4297680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-4297680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-4297680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-4297680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-4297680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-4297680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-4297680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-4297680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-4297680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-4297680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-4297680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-2033270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-2033270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-2033270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-2033270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-2033270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-2033270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-2033270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-2033270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-2033270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-2033270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-2033270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-2033270</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-2033270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-2033270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-2033270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-1330325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-1330325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-1330325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-1330325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-1330325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-1330325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-1330325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-1330325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-1330325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-1330325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-1330325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-1330325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-1330325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-1330325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-1330325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-644525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-644525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-644525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-644525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-644525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-644525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-644525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-644525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-644525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-644525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-644525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-644525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-644525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-644525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-644525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-386715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-386715</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-386715</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-386715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-386715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-386715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-386715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-386715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-386715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-386715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-386715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-386715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-386715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-386715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-386715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Capital expenditures</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3,723</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2,931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2,457</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1,593</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420"/>
              <w:spacing w:after="0"/>
              <w:rPr>
                <w:sz w:val="20"/>
                <w:szCs w:val="20"/>
                <w:color w:val="auto"/>
              </w:rPr>
            </w:pPr>
            <w:r>
              <w:rPr>
                <w:rFonts w:ascii="Arial" w:cs="Arial" w:eastAsia="Arial" w:hAnsi="Arial"/>
                <w:sz w:val="14"/>
                <w:szCs w:val="14"/>
                <w:color w:val="auto"/>
              </w:rPr>
              <w:t>Basic</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1,196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1,188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1,182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Net Debt</w:t>
            </w:r>
            <w:r>
              <w:rPr>
                <w:rFonts w:ascii="Arial" w:cs="Arial" w:eastAsia="Arial" w:hAnsi="Arial"/>
                <w:sz w:val="22"/>
                <w:szCs w:val="22"/>
                <w:color w:val="auto"/>
                <w:vertAlign w:val="superscript"/>
              </w:rPr>
              <w:t>4</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1,129</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1,857</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2,834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532</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Borders>
              <w:top w:val="single" w:sz="8" w:color="auto"/>
            </w:tcBorders>
          </w:tcPr>
          <w:p>
            <w:pPr>
              <w:spacing w:after="0"/>
              <w:rPr>
                <w:sz w:val="8"/>
                <w:szCs w:val="8"/>
                <w:color w:val="auto"/>
              </w:rPr>
            </w:pPr>
          </w:p>
        </w:tc>
        <w:tc>
          <w:tcPr>
            <w:tcW w:w="27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4,769</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31,991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27,853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22,832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18,077</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3,694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16,862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14,876</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10,420</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7,592</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87,000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60,000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52,500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amounts which are either included in the segments or Charges and Credits.</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For details of Charges and Credits and the related income taxes and minority interest, see Note 3 of the </w:t>
      </w:r>
      <w:r>
        <w:rPr>
          <w:rFonts w:ascii="Arial" w:cs="Arial" w:eastAsia="Arial" w:hAnsi="Arial"/>
          <w:sz w:val="14"/>
          <w:szCs w:val="14"/>
          <w:i w:val="1"/>
          <w:iCs w:val="1"/>
          <w:color w:val="auto"/>
        </w:rPr>
        <w:t>Consolidated Financial Statements.</w:t>
      </w:r>
    </w:p>
    <w:p>
      <w:pPr>
        <w:ind w:left="340" w:hanging="332"/>
        <w:spacing w:after="0" w:line="22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340" w:right="180" w:hanging="332"/>
        <w:spacing w:after="0" w:line="23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As 2008 progressed, early optimism of continuing growth in oil and natural gas exploration and production activity was dampened by growing evidence of weakening economic conditions that began to significantly weigh upon the energy markets in early October. While such weakening did not prevent oil prices from ramping up steeply to $147-per-barrel in July, the velocity of the subsequent reversal to under $40-per-barrel by the end of the year was supported by economic reports and forecasts that confirmed the majority of the OECD (Organization for Economic Co-operation and Development) countries to be in recession by the end of the third quarter. Consequently, global oil demand forecasts for 2008 dropped from quarter to quarter and it became apparent that moderating oil demand growth in the non-OECD economies would no longer be sufficient to offset a continuing three-year demand decline within the OECD countries. As a result, 2008 saw the first global oil demand decrease in 25 years. In the fourth quarter OPEC elected to cut production by a total of 3.7 million barrels per day to remove supply and support prices, however, the time taken for these cuts to be felt in the market, and for the resultant increased spare capacity to be reabsorbed by future growth, was large enough for E&amp;P customers to cut investment. This translated to lower demand and weaker prices for oilfield services in an increasing number of areas late in the fourth quarter.</w:t>
      </w:r>
    </w:p>
    <w:p>
      <w:pPr>
        <w:spacing w:after="0" w:line="5"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The natural gas markets presented a similar picture. While activity was initially maintained in the first part of the year, the developing recession in the latter part of 2008 led to lower industrial demand in the developed economies although commercial and residential demand was maintained. In North America, supply increased by 6% in 2008 largely as a result of industry deployment of advanced drilling, production and completion technologies leading to higher gas production and consequently greater storage levels in spite of lower Canadian imports and decreased LNG (Liquified Natural Gas) supplies. Consequently, more LNG has become available for other international importers and, as a result, the majority of the developed economies are well supplied for their needs. Within the United States, the world’s largest natural gas market, this translated to reduced gas exploration and production investment with lower demand for oilfield services and consequent pressure on service pricing in a number of areas by the fourth quarter as the market price of natural gas fell. In international markets however, increasing demand for natural gas in the developing economies led to sustained drilling activity with drilling rigs previously deployed on oil exploration and development moving to natural gas activity in some regions.</w:t>
      </w:r>
    </w:p>
    <w:p>
      <w:pPr>
        <w:spacing w:after="0" w:line="6"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Within this volatile market, Schlumberger Oilfield Services revenue in 2008 grew by 20% versus 2007, with demand strongest in international markets. Year-on-year growth rates reached 28% in Latin America, 24% in Europe/CIS/Africa, 18% in Middle East &amp; Asia and 11% in North America. All Technologies experienced double-digit growth, most notably in Well Services, Drilling &amp; Measurements and Wireline. These results mask, however, a rapid reversal that occurred late in the year in response to the worsening economic climate, and, after three quarters of overall growth, revenues in the fourth quarter declined sequentially through weakening local currencies and reduced customer spending, in addition to seasonal factors.</w:t>
      </w:r>
    </w:p>
    <w:p>
      <w:pPr>
        <w:spacing w:after="0" w:line="3"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A variety of new Schlumberger products and services contributed to growth in 2008. These included further penetration of Scanner Family* advanced wireline logging services and Scope* imaging-while-drilling technologies into new markets as customers sought to increase their understanding of complex reservoirs. Growth through measurement integration also extended into the production domain with offerings such as the StimMAP* LIVE real-time fracture monitoring service that combines the measurement capability of Wireline with the pressure pumping expertise of Well Services to track the progress of fracture stimulation in real time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be able to control the operation for maximum effect. Other new production-related services included ACTive* coiled-tubing services that combine a downhole sensor package with a fiber-optic communications system to monitor coiled-tubing-enabled operations in real time.</w:t>
      </w:r>
    </w:p>
    <w:p>
      <w:pPr>
        <w:ind w:right="80" w:firstLine="228"/>
        <w:spacing w:after="0" w:line="250" w:lineRule="auto"/>
        <w:rPr>
          <w:sz w:val="20"/>
          <w:szCs w:val="20"/>
          <w:color w:val="auto"/>
        </w:rPr>
      </w:pPr>
      <w:r>
        <w:rPr>
          <w:rFonts w:ascii="Arial" w:cs="Arial" w:eastAsia="Arial" w:hAnsi="Arial"/>
          <w:sz w:val="18"/>
          <w:szCs w:val="18"/>
          <w:color w:val="auto"/>
        </w:rPr>
        <w:t>Acquisitions in 2008 also served to increase Schlumberger capabilities or added specific new technologies to the portfolio. In Canada, Schlumberger and First Reserve Corporation acquired Saxon Energy Services Inc., a land drilling contractor with major activity in North and South America. Schlumberger had already enjoyed a long association with Saxon, including operation of joint ventures in Mexico and Colombia for the supply of drilling services that support integrated project management activities. Also in Canada, Schlumberger acquired the business of Extreme Engineering Limited, a leading supplier of unmanned measurement-while-drilling systems to land markets in the United States and Canada. Other technology acquisitions included Integrated Exploration Systems, a Germany-based technology leader in petroleum systems modeling, and Staag Imaging, a Houston-based provider of leading-edge depth imaging technologies for seismic data processing.</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The performance of WesternGeco, where full-year 2008 revenue fell by 4% versus 2007, was limited by a combination of lower Multiclient sales, reduced Land activity, and cost inflation that affected Marine operations. Among these factors, Multiclient sales were particularly weak with the sharp decrease reported in the first quarter not being reversed later in the year as a clear indication of customers restricting discretionary spending for seismic data. Contract awards remained strong, however, and WesternGeco reported a record backlog of $1.8 billion at the end of the year, up $700 million from the end of the third quarter.</w:t>
      </w:r>
    </w:p>
    <w:p>
      <w:pPr>
        <w:spacing w:after="0" w:line="3"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In spite of this weaker-than-expected performance, WesternGeco made significant progress in the introduction of new technology during the year. These included a new proprietary full-azimuth marine acquisition technique, known as coil shooting, that leverages the signal fidelity and streamer-steering capability of Q* technology to provide resolution in sub-salt applications where wide-azimuth techniques mobilize too many resources. Coil shooting provides the same quality survey but uses only one vessel to do so. In other new technology developments, the UniQ* latest-generation land acquisition system was unveiled. This substantially increases the number of acquisition channels available and in combination with proprietary vibrator source technology delivers a sharper image and wider coverage.</w:t>
      </w:r>
    </w:p>
    <w:p>
      <w:pPr>
        <w:spacing w:after="0" w:line="3"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The sharp drop in oil and gas prices in the latter part of 2008 that resulted in lower activity, higher inventories, and the belief that demand will erode further in 2009 as a result of the economic slowdown, has led to rapid and substantial reductions in exploration and production expenditure. At current prices most of the new categories of hydrocarbon resources such as heavy oil, tar sands, coal-to-liquids, or gas-to-liquids are not economic to develop. In addition, it will take time for inflation to be removed from the E&amp;P supply chain to bring finding and development costs more in line with lower oil and gas prices.</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Schlumberger therefore expects 2009 activity to weaken across the board, with the most significant declines occurring in North American gas drilling, Russian oil production enhancement, and in mature offshore basins. Exploration offshore will also be somewhat curtailed but commitments already planned are likely to be honored. Seismic expenditures, particularly for multiclient data, are likely to decrease from the levels of 2008. Furthermore, pricing erosion will compound these effects on revenue. In this market we are taking the necessary actions early in 2009 to adjust our operating cost base while preserving our long-term commitments to technology development, key skill sets and service and product quality.</w:t>
      </w:r>
    </w:p>
    <w:p>
      <w:pPr>
        <w:spacing w:after="0" w:line="3" w:lineRule="exact"/>
        <w:rPr>
          <w:sz w:val="20"/>
          <w:szCs w:val="20"/>
          <w:color w:val="auto"/>
        </w:rPr>
      </w:pPr>
    </w:p>
    <w:p>
      <w:pPr>
        <w:ind w:right="160" w:firstLine="228"/>
        <w:spacing w:after="0" w:line="254" w:lineRule="auto"/>
        <w:rPr>
          <w:sz w:val="20"/>
          <w:szCs w:val="20"/>
          <w:color w:val="auto"/>
        </w:rPr>
      </w:pPr>
      <w:r>
        <w:rPr>
          <w:rFonts w:ascii="Arial" w:cs="Arial" w:eastAsia="Arial" w:hAnsi="Arial"/>
          <w:sz w:val="18"/>
          <w:szCs w:val="18"/>
          <w:color w:val="auto"/>
        </w:rPr>
        <w:t>The most important indicator of a future recovery in oilfield services activity will be a stabilization and recovery in the demand for oil. The recent years of increased exploration and production spending, however, have not been sufficient to substantially improve the supply situation. The age of the production base, accelerating decline rates and the smaller size of recently developed fields will mean that any prolonged reduction in investment will lead to a strong rebound in activity in the future.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06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tcPr>
          <w:p>
            <w:pPr>
              <w:ind w:left="1680"/>
              <w:spacing w:after="0" w:line="142" w:lineRule="exact"/>
              <w:rPr>
                <w:sz w:val="20"/>
                <w:szCs w:val="20"/>
                <w:color w:val="auto"/>
              </w:rPr>
            </w:pPr>
            <w:r>
              <w:rPr>
                <w:rFonts w:ascii="Arial" w:cs="Arial" w:eastAsia="Arial" w:hAnsi="Arial"/>
                <w:sz w:val="14"/>
                <w:szCs w:val="14"/>
                <w:b w:val="1"/>
                <w:bCs w:val="1"/>
                <w:color w:val="auto"/>
              </w:rPr>
              <w:t>Total Year</w:t>
            </w:r>
          </w:p>
        </w:tc>
        <w:tc>
          <w:tcPr>
            <w:tcW w:w="132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Total Year</w:t>
            </w:r>
          </w:p>
        </w:tc>
        <w:tc>
          <w:tcPr>
            <w:tcW w:w="4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rPr>
              <w:t>Total Year</w:t>
            </w:r>
          </w:p>
        </w:tc>
        <w:tc>
          <w:tcPr>
            <w:tcW w:w="11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color w:val="auto"/>
              </w:rPr>
              <w:t>Total Year</w:t>
            </w:r>
          </w:p>
        </w:tc>
        <w:tc>
          <w:tcPr>
            <w:tcW w:w="980" w:type="dxa"/>
            <w:vAlign w:val="bottom"/>
            <w:tcBorders>
              <w:top w:val="single" w:sz="8" w:color="auto"/>
            </w:tcBorders>
          </w:tcPr>
          <w:p>
            <w:pPr>
              <w:spacing w:after="0"/>
              <w:rPr>
                <w:sz w:val="12"/>
                <w:szCs w:val="12"/>
                <w:color w:val="auto"/>
              </w:rPr>
            </w:pPr>
          </w:p>
        </w:tc>
      </w:tr>
      <w:tr>
        <w:trPr>
          <w:trHeight w:val="176"/>
        </w:trPr>
        <w:tc>
          <w:tcPr>
            <w:tcW w:w="30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5"/>
                <w:szCs w:val="15"/>
                <w:color w:val="auto"/>
              </w:rPr>
            </w:pPr>
          </w:p>
        </w:tc>
        <w:tc>
          <w:tcPr>
            <w:tcW w:w="800" w:type="dxa"/>
            <w:vAlign w:val="bottom"/>
          </w:tcPr>
          <w:p>
            <w:pPr>
              <w:jc w:val="right"/>
              <w:ind w:right="213"/>
              <w:spacing w:after="0" w:line="176" w:lineRule="exact"/>
              <w:rPr>
                <w:sz w:val="20"/>
                <w:szCs w:val="20"/>
                <w:color w:val="auto"/>
              </w:rPr>
            </w:pPr>
            <w:r>
              <w:rPr>
                <w:rFonts w:ascii="Arial" w:cs="Arial" w:eastAsia="Arial" w:hAnsi="Arial"/>
                <w:sz w:val="13"/>
                <w:szCs w:val="13"/>
                <w:b w:val="1"/>
                <w:bCs w:val="1"/>
                <w:color w:val="auto"/>
              </w:rPr>
              <w:t>2007</w:t>
            </w:r>
            <w:r>
              <w:rPr>
                <w:rFonts w:ascii="Arial" w:cs="Arial" w:eastAsia="Arial" w:hAnsi="Arial"/>
                <w:sz w:val="20"/>
                <w:szCs w:val="20"/>
                <w:b w:val="1"/>
                <w:bCs w:val="1"/>
                <w:color w:val="auto"/>
                <w:vertAlign w:val="superscript"/>
              </w:rPr>
              <w:t>(1)</w:t>
            </w:r>
          </w:p>
        </w:tc>
        <w:tc>
          <w:tcPr>
            <w:tcW w:w="13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5"/>
                <w:szCs w:val="15"/>
                <w:color w:val="auto"/>
              </w:rPr>
            </w:pPr>
          </w:p>
        </w:tc>
        <w:tc>
          <w:tcPr>
            <w:tcW w:w="800" w:type="dxa"/>
            <w:vAlign w:val="bottom"/>
          </w:tcPr>
          <w:p>
            <w:pPr>
              <w:jc w:val="right"/>
              <w:ind w:right="293"/>
              <w:spacing w:after="0" w:line="176" w:lineRule="exact"/>
              <w:rPr>
                <w:sz w:val="20"/>
                <w:szCs w:val="20"/>
                <w:color w:val="auto"/>
              </w:rPr>
            </w:pPr>
            <w:r>
              <w:rPr>
                <w:rFonts w:ascii="Arial" w:cs="Arial" w:eastAsia="Arial" w:hAnsi="Arial"/>
                <w:sz w:val="13"/>
                <w:szCs w:val="13"/>
                <w:color w:val="auto"/>
                <w:w w:val="92"/>
              </w:rPr>
              <w:t>2007</w:t>
            </w:r>
            <w:r>
              <w:rPr>
                <w:rFonts w:ascii="Arial" w:cs="Arial" w:eastAsia="Arial" w:hAnsi="Arial"/>
                <w:sz w:val="20"/>
                <w:szCs w:val="20"/>
                <w:color w:val="auto"/>
                <w:w w:val="92"/>
                <w:vertAlign w:val="superscript"/>
              </w:rPr>
              <w:t>(1)</w:t>
            </w:r>
          </w:p>
        </w:tc>
        <w:tc>
          <w:tcPr>
            <w:tcW w:w="360" w:type="dxa"/>
            <w:vAlign w:val="bottom"/>
          </w:tcPr>
          <w:p>
            <w:pPr>
              <w:spacing w:after="0"/>
              <w:rPr>
                <w:sz w:val="15"/>
                <w:szCs w:val="15"/>
                <w:color w:val="auto"/>
              </w:rPr>
            </w:pPr>
          </w:p>
        </w:tc>
        <w:tc>
          <w:tcPr>
            <w:tcW w:w="740" w:type="dxa"/>
            <w:vAlign w:val="bottom"/>
          </w:tcPr>
          <w:p>
            <w:pPr>
              <w:jc w:val="right"/>
              <w:ind w:right="233"/>
              <w:spacing w:after="0" w:line="176" w:lineRule="exact"/>
              <w:rPr>
                <w:sz w:val="20"/>
                <w:szCs w:val="20"/>
                <w:color w:val="auto"/>
              </w:rPr>
            </w:pPr>
            <w:r>
              <w:rPr>
                <w:rFonts w:ascii="Arial" w:cs="Arial" w:eastAsia="Arial" w:hAnsi="Arial"/>
                <w:sz w:val="13"/>
                <w:szCs w:val="13"/>
                <w:color w:val="auto"/>
                <w:w w:val="92"/>
              </w:rPr>
              <w:t>2006</w:t>
            </w:r>
            <w:r>
              <w:rPr>
                <w:rFonts w:ascii="Arial" w:cs="Arial" w:eastAsia="Arial" w:hAnsi="Arial"/>
                <w:sz w:val="20"/>
                <w:szCs w:val="20"/>
                <w:color w:val="auto"/>
                <w:w w:val="92"/>
                <w:vertAlign w:val="superscript"/>
              </w:rPr>
              <w:t>(1)</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 Change</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1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40" w:type="dxa"/>
            <w:vAlign w:val="bottom"/>
          </w:tcPr>
          <w:p>
            <w:pPr>
              <w:ind w:left="16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7"/>
              </w:rPr>
              <w:t>24,282</w:t>
            </w:r>
          </w:p>
        </w:tc>
        <w:tc>
          <w:tcPr>
            <w:tcW w:w="520" w:type="dxa"/>
            <w:vAlign w:val="bottom"/>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rPr>
              <w:t>20,306</w:t>
            </w:r>
          </w:p>
        </w:tc>
        <w:tc>
          <w:tcPr>
            <w:tcW w:w="44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20%</w:t>
            </w:r>
          </w:p>
        </w:tc>
        <w:tc>
          <w:tcPr>
            <w:tcW w:w="3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93"/>
              <w:spacing w:after="0" w:line="149" w:lineRule="exact"/>
              <w:rPr>
                <w:sz w:val="20"/>
                <w:szCs w:val="20"/>
                <w:color w:val="auto"/>
              </w:rPr>
            </w:pPr>
            <w:r>
              <w:rPr>
                <w:rFonts w:ascii="Arial" w:cs="Arial" w:eastAsia="Arial" w:hAnsi="Arial"/>
                <w:sz w:val="14"/>
                <w:szCs w:val="14"/>
                <w:color w:val="auto"/>
                <w:w w:val="97"/>
              </w:rPr>
              <w:t>20,306</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233"/>
              <w:spacing w:after="0" w:line="149" w:lineRule="exact"/>
              <w:rPr>
                <w:sz w:val="20"/>
                <w:szCs w:val="20"/>
                <w:color w:val="auto"/>
              </w:rPr>
            </w:pPr>
            <w:r>
              <w:rPr>
                <w:rFonts w:ascii="Arial" w:cs="Arial" w:eastAsia="Arial" w:hAnsi="Arial"/>
                <w:sz w:val="14"/>
                <w:szCs w:val="14"/>
                <w:color w:val="auto"/>
                <w:w w:val="97"/>
              </w:rPr>
              <w:t>16,762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1840" w:type="dxa"/>
            <w:vAlign w:val="bottom"/>
            <w:shd w:val="clear" w:color="auto" w:fill="CCEEFF"/>
          </w:tcPr>
          <w:p>
            <w:pPr>
              <w:ind w:left="16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6,505</w:t>
            </w:r>
          </w:p>
        </w:tc>
        <w:tc>
          <w:tcPr>
            <w:tcW w:w="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b w:val="1"/>
                <w:bCs w:val="1"/>
                <w:color w:val="auto"/>
              </w:rPr>
              <w:t>5,959</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b w:val="1"/>
                <w:bCs w:val="1"/>
                <w:color w:val="auto"/>
              </w:rPr>
              <w:t>9%</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5,959</w:t>
            </w:r>
          </w:p>
        </w:tc>
        <w:tc>
          <w:tcPr>
            <w:tcW w:w="3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4,644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r>
      <w:tr>
        <w:trPr>
          <w:trHeight w:val="257"/>
        </w:trPr>
        <w:tc>
          <w:tcPr>
            <w:tcW w:w="306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1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40" w:type="dxa"/>
            <w:vAlign w:val="bottom"/>
            <w:shd w:val="clear" w:color="auto" w:fill="CCEEFF"/>
          </w:tcPr>
          <w:p>
            <w:pPr>
              <w:ind w:left="1680"/>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b w:val="1"/>
                <w:bCs w:val="1"/>
                <w:color w:val="auto"/>
              </w:rPr>
              <w:t>2,838</w:t>
            </w:r>
          </w:p>
        </w:tc>
        <w:tc>
          <w:tcPr>
            <w:tcW w:w="5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b w:val="1"/>
                <w:bCs w:val="1"/>
                <w:color w:val="auto"/>
              </w:rPr>
              <w:t>2,963</w:t>
            </w: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b w:val="1"/>
                <w:bCs w:val="1"/>
                <w:color w:val="auto"/>
              </w:rPr>
              <w:t>(4)%</w:t>
            </w:r>
          </w:p>
        </w:tc>
        <w:tc>
          <w:tcPr>
            <w:tcW w:w="3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3"/>
              <w:spacing w:after="0" w:line="149" w:lineRule="exact"/>
              <w:rPr>
                <w:sz w:val="20"/>
                <w:szCs w:val="20"/>
                <w:color w:val="auto"/>
              </w:rPr>
            </w:pPr>
            <w:r>
              <w:rPr>
                <w:rFonts w:ascii="Arial" w:cs="Arial" w:eastAsia="Arial" w:hAnsi="Arial"/>
                <w:sz w:val="14"/>
                <w:szCs w:val="14"/>
                <w:color w:val="auto"/>
              </w:rPr>
              <w:t>2,963</w:t>
            </w:r>
          </w:p>
        </w:tc>
        <w:tc>
          <w:tcPr>
            <w:tcW w:w="3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33"/>
              <w:spacing w:after="0" w:line="149" w:lineRule="exact"/>
              <w:rPr>
                <w:sz w:val="20"/>
                <w:szCs w:val="20"/>
                <w:color w:val="auto"/>
              </w:rPr>
            </w:pPr>
            <w:r>
              <w:rPr>
                <w:rFonts w:ascii="Arial" w:cs="Arial" w:eastAsia="Arial" w:hAnsi="Arial"/>
                <w:sz w:val="14"/>
                <w:szCs w:val="14"/>
                <w:color w:val="auto"/>
              </w:rPr>
              <w:t>2,476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r>
      <w:tr>
        <w:trPr>
          <w:trHeight w:val="174"/>
        </w:trPr>
        <w:tc>
          <w:tcPr>
            <w:tcW w:w="306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1840" w:type="dxa"/>
            <w:vAlign w:val="bottom"/>
          </w:tcPr>
          <w:p>
            <w:pPr>
              <w:ind w:left="168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836</w:t>
            </w:r>
          </w:p>
        </w:tc>
        <w:tc>
          <w:tcPr>
            <w:tcW w:w="520" w:type="dxa"/>
            <w:vAlign w:val="bottom"/>
          </w:tcPr>
          <w:p>
            <w:pPr>
              <w:ind w:left="44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1,060</w:t>
            </w:r>
          </w:p>
        </w:tc>
        <w:tc>
          <w:tcPr>
            <w:tcW w:w="440" w:type="dxa"/>
            <w:vAlign w:val="bottom"/>
          </w:tcPr>
          <w:p>
            <w:pPr>
              <w:spacing w:after="0"/>
              <w:rPr>
                <w:sz w:val="15"/>
                <w:szCs w:val="15"/>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(21)%</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3"/>
              <w:spacing w:after="0"/>
              <w:rPr>
                <w:sz w:val="20"/>
                <w:szCs w:val="20"/>
                <w:color w:val="auto"/>
              </w:rPr>
            </w:pPr>
            <w:r>
              <w:rPr>
                <w:rFonts w:ascii="Arial" w:cs="Arial" w:eastAsia="Arial" w:hAnsi="Arial"/>
                <w:sz w:val="14"/>
                <w:szCs w:val="14"/>
                <w:color w:val="auto"/>
              </w:rPr>
              <w:t>1,060</w:t>
            </w: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33"/>
              <w:spacing w:after="0"/>
              <w:rPr>
                <w:sz w:val="20"/>
                <w:szCs w:val="20"/>
                <w:color w:val="auto"/>
              </w:rPr>
            </w:pPr>
            <w:r>
              <w:rPr>
                <w:rFonts w:ascii="Arial" w:cs="Arial" w:eastAsia="Arial" w:hAnsi="Arial"/>
                <w:sz w:val="14"/>
                <w:szCs w:val="14"/>
                <w:color w:val="auto"/>
              </w:rPr>
              <w:t>812</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23"/>
        </w:trPr>
        <w:tc>
          <w:tcPr>
            <w:tcW w:w="30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129"/>
        </w:trPr>
        <w:tc>
          <w:tcPr>
            <w:tcW w:w="30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Fourth Qtr.</w:t>
            </w:r>
          </w:p>
        </w:tc>
        <w:tc>
          <w:tcPr>
            <w:tcW w:w="136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Third Qtr.</w:t>
            </w: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1"/>
        </w:trPr>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Pr>
          <w:p>
            <w:pPr>
              <w:spacing w:after="0"/>
              <w:rPr>
                <w:sz w:val="14"/>
                <w:szCs w:val="14"/>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color w:val="auto"/>
              </w:rPr>
              <w:t>2008</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1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1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13"/>
              <w:spacing w:after="0" w:line="149" w:lineRule="exact"/>
              <w:rPr>
                <w:sz w:val="20"/>
                <w:szCs w:val="20"/>
                <w:color w:val="auto"/>
              </w:rPr>
            </w:pPr>
            <w:r>
              <w:rPr>
                <w:rFonts w:ascii="Arial" w:cs="Arial" w:eastAsia="Arial" w:hAnsi="Arial"/>
                <w:sz w:val="14"/>
                <w:szCs w:val="14"/>
                <w:b w:val="1"/>
                <w:bCs w:val="1"/>
                <w:color w:val="auto"/>
                <w:w w:val="85"/>
              </w:rPr>
              <w:t>6,256</w:t>
            </w:r>
          </w:p>
        </w:tc>
        <w:tc>
          <w:tcPr>
            <w:tcW w:w="44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6,356</w:t>
            </w:r>
          </w:p>
        </w:tc>
        <w:tc>
          <w:tcPr>
            <w:tcW w:w="360" w:type="dxa"/>
            <w:vAlign w:val="bottom"/>
          </w:tcPr>
          <w:p>
            <w:pPr>
              <w:spacing w:after="0"/>
              <w:rPr>
                <w:sz w:val="12"/>
                <w:szCs w:val="12"/>
                <w:color w:val="auto"/>
              </w:rPr>
            </w:pPr>
          </w:p>
        </w:tc>
        <w:tc>
          <w:tcPr>
            <w:tcW w:w="800" w:type="dxa"/>
            <w:vAlign w:val="bottom"/>
          </w:tcPr>
          <w:p>
            <w:pPr>
              <w:jc w:val="right"/>
              <w:ind w:right="173"/>
              <w:spacing w:after="0" w:line="149" w:lineRule="exact"/>
              <w:rPr>
                <w:sz w:val="20"/>
                <w:szCs w:val="20"/>
                <w:color w:val="auto"/>
              </w:rPr>
            </w:pPr>
            <w:r>
              <w:rPr>
                <w:rFonts w:ascii="Arial" w:cs="Arial" w:eastAsia="Arial" w:hAnsi="Arial"/>
                <w:sz w:val="14"/>
                <w:szCs w:val="14"/>
                <w:color w:val="auto"/>
              </w:rPr>
              <w:t>(2)%</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1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b w:val="1"/>
                <w:bCs w:val="1"/>
                <w:color w:val="auto"/>
                <w:w w:val="85"/>
              </w:rPr>
              <w:t>1,599</w:t>
            </w:r>
          </w:p>
        </w:tc>
        <w:tc>
          <w:tcPr>
            <w:tcW w:w="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1,699</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(6)%</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57"/>
        </w:trPr>
        <w:tc>
          <w:tcPr>
            <w:tcW w:w="306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1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13"/>
              <w:spacing w:after="0" w:line="149" w:lineRule="exact"/>
              <w:rPr>
                <w:sz w:val="20"/>
                <w:szCs w:val="20"/>
                <w:color w:val="auto"/>
              </w:rPr>
            </w:pPr>
            <w:r>
              <w:rPr>
                <w:rFonts w:ascii="Arial" w:cs="Arial" w:eastAsia="Arial" w:hAnsi="Arial"/>
                <w:sz w:val="14"/>
                <w:szCs w:val="14"/>
                <w:b w:val="1"/>
                <w:bCs w:val="1"/>
                <w:color w:val="auto"/>
              </w:rPr>
              <w:t>599</w:t>
            </w:r>
          </w:p>
        </w:tc>
        <w:tc>
          <w:tcPr>
            <w:tcW w:w="4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892</w:t>
            </w:r>
          </w:p>
        </w:tc>
        <w:tc>
          <w:tcPr>
            <w:tcW w:w="3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4"/>
                <w:szCs w:val="14"/>
                <w:color w:val="auto"/>
              </w:rPr>
              <w:t>(33)%</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74"/>
        </w:trPr>
        <w:tc>
          <w:tcPr>
            <w:tcW w:w="306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1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13"/>
              <w:spacing w:after="0"/>
              <w:rPr>
                <w:sz w:val="20"/>
                <w:szCs w:val="20"/>
                <w:color w:val="auto"/>
              </w:rPr>
            </w:pPr>
            <w:r>
              <w:rPr>
                <w:rFonts w:ascii="Arial" w:cs="Arial" w:eastAsia="Arial" w:hAnsi="Arial"/>
                <w:sz w:val="14"/>
                <w:szCs w:val="14"/>
                <w:b w:val="1"/>
                <w:bCs w:val="1"/>
                <w:color w:val="auto"/>
              </w:rPr>
              <w:t>88</w:t>
            </w:r>
          </w:p>
        </w:tc>
        <w:tc>
          <w:tcPr>
            <w:tcW w:w="440" w:type="dxa"/>
            <w:vAlign w:val="bottom"/>
          </w:tcPr>
          <w:p>
            <w:pPr>
              <w:ind w:lef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72"/>
              <w:spacing w:after="0"/>
              <w:rPr>
                <w:sz w:val="20"/>
                <w:szCs w:val="20"/>
                <w:color w:val="auto"/>
              </w:rPr>
            </w:pPr>
            <w:r>
              <w:rPr>
                <w:rFonts w:ascii="Arial" w:cs="Arial" w:eastAsia="Arial" w:hAnsi="Arial"/>
                <w:sz w:val="14"/>
                <w:szCs w:val="14"/>
                <w:color w:val="auto"/>
              </w:rPr>
              <w:t>355</w:t>
            </w:r>
          </w:p>
        </w:tc>
        <w:tc>
          <w:tcPr>
            <w:tcW w:w="360" w:type="dxa"/>
            <w:vAlign w:val="bottom"/>
          </w:tcPr>
          <w:p>
            <w:pPr>
              <w:spacing w:after="0"/>
              <w:rPr>
                <w:sz w:val="15"/>
                <w:szCs w:val="15"/>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(75)%</w:t>
            </w: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31" w:lineRule="exact"/>
        <w:rPr>
          <w:sz w:val="20"/>
          <w:szCs w:val="20"/>
          <w:color w:val="auto"/>
        </w:rPr>
      </w:pPr>
    </w:p>
    <w:p>
      <w:pPr>
        <w:ind w:left="340" w:right="32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Effective January 1, 2008, a component of the Middle East &amp; Asia Area was reallocated to the Europe/CIS/Africa Area. Prior period data has been reclassified to conform to the current organizational structure.</w:t>
      </w:r>
    </w:p>
    <w:p>
      <w:pPr>
        <w:spacing w:after="0" w:line="127" w:lineRule="exact"/>
        <w:rPr>
          <w:sz w:val="20"/>
          <w:szCs w:val="20"/>
          <w:color w:val="auto"/>
        </w:rPr>
      </w:pPr>
    </w:p>
    <w:p>
      <w:pPr>
        <w:jc w:val="both"/>
        <w:ind w:right="160" w:firstLine="228"/>
        <w:spacing w:after="0" w:line="306" w:lineRule="auto"/>
        <w:rPr>
          <w:sz w:val="20"/>
          <w:szCs w:val="20"/>
          <w:color w:val="auto"/>
        </w:rPr>
      </w:pPr>
      <w:r>
        <w:rPr>
          <w:rFonts w:ascii="Arial" w:cs="Arial" w:eastAsia="Arial" w:hAnsi="Arial"/>
          <w:sz w:val="16"/>
          <w:szCs w:val="16"/>
          <w:color w:val="auto"/>
        </w:rPr>
        <w:t xml:space="preserve">Pretax operating income represents the business segments’ income before taxes and minority interest. Pretax operating income excludes corporate expenses, interest income, interest expense, amortization of certain intangibles, interest, stock-based compensation costs and the Charges and Credits described in detail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as these items are not allocated to the segments.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2008 Results</w:t>
      </w:r>
    </w:p>
    <w:p>
      <w:pPr>
        <w:spacing w:after="0" w:line="7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Fourth-quarter revenue of $6.26 billion was 2% lower sequentially but was 15% higher year-on-year. Sequentially, Europe/CIS/Africa revenue declined primarily due to a weakening of the local currencies against the US dollar and from lower activity in Russia as the result of reduced customer spending and seasonal slowdowns. In Latin America, revenue fell due to weaker local currencies and lower activity in the Venezuela/Trinidad &amp; Tobago and Mexico/Central America GeoMarkets. Middle East &amp; Asia declined on lower activity in the Australia/Papua New Guinea/New Zealand and Qatar GeoMarkets. These decreases, however, were partially offset by an increase in North America as the result of strong activity in the US Gulf of Mexico and US land West GeoMarkets. Local currency changes reduced Oilfield Services fourth-quarter revenue by approximately 3%.</w:t>
      </w:r>
    </w:p>
    <w:p>
      <w:pPr>
        <w:spacing w:after="0" w:line="1"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Fourth-quarter pretax operating income of $1.60 billion was 6% lower sequentially but 4% higher year-on-year. Sequentially, pretax operating margin decreased from 26.7% to 25.6% primarily as a result of reduced activity levels in the Europe/CIS/Africa, Latin America and Middle East &amp; Asia Areas, partially offset by the improvement in overall activity and a more favorable revenue mix in North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 of $1.56 billion increased 4% sequentially and 17% year-on-year. Pretax operating income of $346 million increased 9% sequentially and 2% year-on-year.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40" w:firstLine="228"/>
        <w:spacing w:after="0" w:line="251" w:lineRule="auto"/>
        <w:rPr>
          <w:sz w:val="20"/>
          <w:szCs w:val="20"/>
          <w:color w:val="auto"/>
        </w:rPr>
      </w:pPr>
      <w:r>
        <w:rPr>
          <w:rFonts w:ascii="Arial" w:cs="Arial" w:eastAsia="Arial" w:hAnsi="Arial"/>
          <w:sz w:val="18"/>
          <w:szCs w:val="18"/>
          <w:color w:val="auto"/>
        </w:rPr>
        <w:t>Sequentially, the US Gulf of Mexico GeoMarket activity recovered from the slowdown experienced during the hurricane season of the third quarter and realized further growth on a higher ultra deep-water rig count that led to strong demand for Wireline, Well Testing and Well Services technologies. The US land West GeoMarket revenue increased on strong demand for Well Services and Drilling &amp; Measurements services and Artificial Lift products while the Alaska GeoMarket experienced a seasonal increase in activity that resulted in robust demand for Well Services and Drilling &amp; Measurements technologies. SIS experienced growth from strong year-end software and hardware sales. These increases were partially offset by decreased revenue in the US land Central and North GeoMarkets on reducing rig count that accelerated at quarter end. Canada GeoMarket revenue was also lower primarily as the result of the weakening of the Canadian dollar.</w:t>
      </w:r>
    </w:p>
    <w:p>
      <w:pPr>
        <w:spacing w:after="0" w:line="4"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Pretax operating margin improved sequentially from 21.1% to 22.3% mainly as a result of stronger activity levels and increased high-margin services in the US Gulf of Mexico, US land West and Alaska GeoMarkets. These increases were partially offset by pricing pressure in the US land Central and North GeoMarkets.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of $1.11 billion was 3% lower sequentially but increased 18% year-on-year. Pretax operating income of $200 million decreased 13% sequentially and 4% year-on-year.</w:t>
      </w:r>
    </w:p>
    <w:p>
      <w:pPr>
        <w:ind w:right="80" w:firstLine="228"/>
        <w:spacing w:after="0" w:line="281" w:lineRule="auto"/>
        <w:rPr>
          <w:sz w:val="20"/>
          <w:szCs w:val="20"/>
          <w:color w:val="auto"/>
        </w:rPr>
      </w:pPr>
      <w:r>
        <w:rPr>
          <w:rFonts w:ascii="Arial" w:cs="Arial" w:eastAsia="Arial" w:hAnsi="Arial"/>
          <w:sz w:val="16"/>
          <w:szCs w:val="16"/>
          <w:color w:val="auto"/>
        </w:rPr>
        <w:t>Sequentially, revenue in the Venezuela/Trinidad &amp; Tobago GeoMarket declined as a result of lower demand for Wireline and Well Services technologies and Completions products, while the Mexico/Central America GeoMarket experienced lower activity in Integrated Project Management (IPM) projects. These decreases were partially offset by higher offshore exploration-related activity in the Brazil GeoMarket that led to robust demand for Wireline, Well Testing and Drilling &amp; Measurements services, while activity in the Peru/Colombia/Ecuador GeoMarket increased due to strong demand for Artificial Lift and SIS products. Area revenue was also reduced by approximately 4% due to the weakening of local currencies against the US dollar.</w:t>
      </w:r>
    </w:p>
    <w:p>
      <w:pPr>
        <w:spacing w:after="0" w:line="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Pretax operating margin declined sequentially from 20.1% to 18.0% from lower activity and a less favorable revenue mix in the Venezuela/Trinidad &amp; Tobago GeoMarket, reduced gain share from IPM projects in the Peru/Colombia/Ecuador GeoMarket, and cost inflation and a less favorable revenue mix in the Mexico/Central America GeoMarket.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Revenue of $2.05 billion decreased 5% sequentially but increased 16% year-on-year. Pretax operating income of $533 million decreased 15% sequentially but was 8% higher year-on-year.</w:t>
      </w:r>
    </w:p>
    <w:p>
      <w:pPr>
        <w:ind w:firstLine="228"/>
        <w:spacing w:after="0" w:line="250" w:lineRule="auto"/>
        <w:rPr>
          <w:sz w:val="20"/>
          <w:szCs w:val="20"/>
          <w:color w:val="auto"/>
        </w:rPr>
      </w:pPr>
      <w:r>
        <w:rPr>
          <w:rFonts w:ascii="Arial" w:cs="Arial" w:eastAsia="Arial" w:hAnsi="Arial"/>
          <w:sz w:val="18"/>
          <w:szCs w:val="18"/>
          <w:color w:val="auto"/>
        </w:rPr>
        <w:t>Sequentially, Area revenue was 5% lower due to the weakening of local currencies against the US dollar particularly in the North Sea, Continental Europe and Russia. Additionally, Russia experienced significant reductions in activity from lower customer spending and the seasonal slowdown in Sakhalin. Lower Framo revenue also contributed to the decline. These decreases were partially offset by significantly increased activity in the Libya GeoMarket from strong demand for Artificial Lift products and for Drilling &amp; Measurements, Well Testing and Wireline services, as well as in the Continental Europe GeoMarket from higher demand for Wireline and Drilling &amp; Measurements technologies.</w:t>
      </w:r>
    </w:p>
    <w:p>
      <w:pPr>
        <w:spacing w:after="0" w:line="2" w:lineRule="exact"/>
        <w:rPr>
          <w:sz w:val="20"/>
          <w:szCs w:val="20"/>
          <w:color w:val="auto"/>
        </w:rPr>
      </w:pPr>
    </w:p>
    <w:p>
      <w:pPr>
        <w:ind w:right="240" w:firstLine="228"/>
        <w:spacing w:after="0" w:line="261" w:lineRule="auto"/>
        <w:rPr>
          <w:sz w:val="20"/>
          <w:szCs w:val="20"/>
          <w:color w:val="auto"/>
        </w:rPr>
      </w:pPr>
      <w:r>
        <w:rPr>
          <w:rFonts w:ascii="Arial" w:cs="Arial" w:eastAsia="Arial" w:hAnsi="Arial"/>
          <w:sz w:val="18"/>
          <w:szCs w:val="18"/>
          <w:color w:val="auto"/>
        </w:rPr>
        <w:t>Pretax operating margin decreased sequentially from 29.0% to 26.1% primarily due to lower activity and a less favorable revenue mix in the North Sea and Nigeria &amp; Gulf of Guinea GeoMarkets and Russia. The decrease in Framo revenue also contributed to this result.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Revenue of $1.47 billion was 2% lower sequentially but 9% higher year-on-year. Pretax operating income of $491 million decreased 7% sequentially but increased 4% year-on-year.</w:t>
      </w:r>
    </w:p>
    <w:p>
      <w:pPr>
        <w:ind w:right="300" w:firstLine="228"/>
        <w:spacing w:after="0" w:line="261" w:lineRule="auto"/>
        <w:rPr>
          <w:sz w:val="20"/>
          <w:szCs w:val="20"/>
          <w:color w:val="auto"/>
        </w:rPr>
      </w:pPr>
      <w:r>
        <w:rPr>
          <w:rFonts w:ascii="Arial" w:cs="Arial" w:eastAsia="Arial" w:hAnsi="Arial"/>
          <w:sz w:val="18"/>
          <w:szCs w:val="18"/>
          <w:color w:val="auto"/>
        </w:rPr>
        <w:t>Sequentially, Area revenue declined mainly as a result of weather-related effects in the Australia/Papua New Guinea/New Zealand and China/Japan/Korea GeoMarkets, lower activity in Qatar, a less favorable activity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mix in Brunei/Malaysia/Philippines and reduced customer spending in the China/Japan/Korea and Arabian GeoMarkets. These declines primarily affected demand for Wireline, Drilling &amp; Measurements and Well Services technologies, but were partially offset by the positive impact of retroactive price adjustments for a Wireline contract in addition to growth in the Gulf GeoMarket for Artificial Lift products and Well Services and Drilling &amp; Measurements technologies.</w:t>
      </w:r>
    </w:p>
    <w:p>
      <w:pPr>
        <w:spacing w:after="0" w:line="1" w:lineRule="exact"/>
        <w:rPr>
          <w:sz w:val="20"/>
          <w:szCs w:val="20"/>
          <w:color w:val="auto"/>
        </w:rPr>
      </w:pPr>
    </w:p>
    <w:p>
      <w:pPr>
        <w:ind w:right="140" w:firstLine="228"/>
        <w:spacing w:after="0" w:line="261" w:lineRule="auto"/>
        <w:rPr>
          <w:sz w:val="20"/>
          <w:szCs w:val="20"/>
          <w:color w:val="auto"/>
        </w:rPr>
      </w:pPr>
      <w:r>
        <w:rPr>
          <w:rFonts w:ascii="Arial" w:cs="Arial" w:eastAsia="Arial" w:hAnsi="Arial"/>
          <w:sz w:val="18"/>
          <w:szCs w:val="18"/>
          <w:color w:val="auto"/>
        </w:rPr>
        <w:t>Pretax operating margin declined sequentially from 35.5% to 33.5% primarily due to the overall lower level of activity in the Area as well as a less favorable revenue mix in the Arabian and India GeoMarkets.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2008 Results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Full-year 2008 revenue of $24.28 billion increased 20% versus 2007 driven by Area growth of 28% in Latin America, 24% in Europe/CIS/Africa, 18% in Middle East &amp; Asia and 11% in North America.</w:t>
      </w:r>
    </w:p>
    <w:p>
      <w:pPr>
        <w:ind w:left="240"/>
        <w:spacing w:after="0"/>
        <w:rPr>
          <w:sz w:val="20"/>
          <w:szCs w:val="20"/>
          <w:color w:val="auto"/>
        </w:rPr>
      </w:pPr>
      <w:r>
        <w:rPr>
          <w:rFonts w:ascii="Arial" w:cs="Arial" w:eastAsia="Arial" w:hAnsi="Arial"/>
          <w:sz w:val="18"/>
          <w:szCs w:val="18"/>
          <w:color w:val="auto"/>
        </w:rPr>
        <w:t>All Technologies experienced double-digit growth most notably in Well Services, Drilling &amp; Measurements and Wireline.</w:t>
      </w:r>
    </w:p>
    <w:p>
      <w:pPr>
        <w:spacing w:after="0" w:line="9" w:lineRule="exact"/>
        <w:rPr>
          <w:sz w:val="20"/>
          <w:szCs w:val="20"/>
          <w:color w:val="auto"/>
        </w:rPr>
      </w:pPr>
    </w:p>
    <w:p>
      <w:pPr>
        <w:jc w:val="both"/>
        <w:ind w:right="520" w:firstLine="228"/>
        <w:spacing w:after="0" w:line="255" w:lineRule="auto"/>
        <w:rPr>
          <w:sz w:val="20"/>
          <w:szCs w:val="20"/>
          <w:color w:val="auto"/>
        </w:rPr>
      </w:pPr>
      <w:r>
        <w:rPr>
          <w:rFonts w:ascii="Arial" w:cs="Arial" w:eastAsia="Arial" w:hAnsi="Arial"/>
          <w:sz w:val="18"/>
          <w:szCs w:val="18"/>
          <w:color w:val="auto"/>
        </w:rPr>
        <w:t>Pretax operating income of $6.50 billion in 2008 was 9% higher than 2007. However, pretax operating margin declined 256 basis points (bps) to 26.8% primarily due to reduced pricing for well stimulation services in the US land GeoMarkets, a higher mix of low-margin third-party managed services in the Mexico/Central America GeoMarket and cost inflation across all Areas.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Revenue of $5.91 billion grew 11% versus 2007. Growth was led by the US land West GeoMarket mostly due to increased gas shale activity that resulted in robust demand for Well Services and Drilling &amp; Measurements technologies and by the US land Central GeoMarket on higher rig activity and strong Artificial Lift product sales. The Canada GeoMarket revenue was higher from demand for Well Services and Drilling &amp; Measurements technologies while the US Gulf of Mexico GeoMarket grew on increased deepwater activity the resulted in strong demand for Drilling &amp; Measurements and Wireline services in addition to Completion Systems products.</w:t>
      </w:r>
    </w:p>
    <w:p>
      <w:pPr>
        <w:ind w:right="80" w:firstLine="228"/>
        <w:spacing w:after="0" w:line="261" w:lineRule="auto"/>
        <w:rPr>
          <w:sz w:val="20"/>
          <w:szCs w:val="20"/>
          <w:color w:val="auto"/>
        </w:rPr>
      </w:pPr>
      <w:r>
        <w:rPr>
          <w:rFonts w:ascii="Arial" w:cs="Arial" w:eastAsia="Arial" w:hAnsi="Arial"/>
          <w:sz w:val="18"/>
          <w:szCs w:val="18"/>
          <w:color w:val="auto"/>
        </w:rPr>
        <w:t>Pretax operating margin decreased 557 bps to 23.2% primarily as the result of lower pricing for well stimulation services in the US land GeoMarkets and cost inflation across the Area.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 of $4.23 billion was 28% higher than 2007 on double-digit growth across all GeoMarkets. The Mexico/Central America GeoMarket increased on significantly higher IPM activity while the Peru/Colombia/Ecuador GeoMarket also experienced increased IPM activity in addition to robust demand for Wireline services and for Artificial Lift and SIS products. The Brazil GeoMarket grew on higher offshore activity that resulted in stronger demand for Well Testing, Wireline and Well Services technologies. The Venezuela/Trinidad and Tobago GeoMarket experienced increased demand for Wireline, Drilling &amp; Measurements and Well Services activities.</w:t>
      </w:r>
    </w:p>
    <w:p>
      <w:pPr>
        <w:ind w:right="920" w:firstLine="228"/>
        <w:spacing w:after="0" w:line="261" w:lineRule="auto"/>
        <w:rPr>
          <w:sz w:val="20"/>
          <w:szCs w:val="20"/>
          <w:color w:val="auto"/>
        </w:rPr>
      </w:pPr>
      <w:r>
        <w:rPr>
          <w:rFonts w:ascii="Arial" w:cs="Arial" w:eastAsia="Arial" w:hAnsi="Arial"/>
          <w:sz w:val="18"/>
          <w:szCs w:val="18"/>
          <w:color w:val="auto"/>
        </w:rPr>
        <w:t>Pretax operating margin of 20.3% declined 262 bps versus 2007 as a result of an increased mix of low-margin third-party managed services in the Mexico/Central America GeoMarket and cost inflation across the Area.</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Revenue of $8.18 billion increased 24% versus the same period last year. Growth was led by Russia which experienced strong demand for Wireline, Well Services and Drilling &amp; Measurements technologies. The West &amp; South Africa, North Sea and Caspian GeoMarkets grew on increased exploration-related services as well as strong demand for Well Services technologies. The Continental Europe GeoMarket was higher due to strong drilling-related activities and demand for SIS products. The consolidation of Framo also contributed to the increase.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Pretax operating margin decreased 112 bps to 27.4% primarily as a result of reduced pricing in the Libya GeoMarket and a less favorable revenue mix in the Nigeria &amp; Gulf of Guinea GeoMarket and Russia. The consolidation of Framo also reduced total Area margin.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Revenue of $5.72 billion was 18% higher than the prior year. All GeoMarkets experienced growth, most notably in the Arabian, Australia/Papua New Guinea/New Zealand, Gulf, and East Mediterranean GeoMarkets. Among the Technologies, growth was strongest in Wireline, Drilling &amp; Measurements, Well Services and Well Testing.</w:t>
      </w:r>
    </w:p>
    <w:p>
      <w:pPr>
        <w:ind w:right="1760" w:firstLine="228"/>
        <w:spacing w:after="0" w:line="364" w:lineRule="auto"/>
        <w:rPr>
          <w:sz w:val="20"/>
          <w:szCs w:val="20"/>
          <w:color w:val="auto"/>
        </w:rPr>
      </w:pPr>
      <w:r>
        <w:rPr>
          <w:rFonts w:ascii="Arial" w:cs="Arial" w:eastAsia="Arial" w:hAnsi="Arial"/>
          <w:sz w:val="18"/>
          <w:szCs w:val="18"/>
          <w:color w:val="auto"/>
        </w:rPr>
        <w:t xml:space="preserve">Pretax operating margin was nearly flat at 35.0% as the positive impact of the higher overall activity level was offset by cost inflation. </w:t>
      </w:r>
      <w:r>
        <w:rPr>
          <w:rFonts w:ascii="Arial" w:cs="Arial" w:eastAsia="Arial" w:hAnsi="Arial"/>
          <w:sz w:val="18"/>
          <w:szCs w:val="18"/>
          <w:b w:val="1"/>
          <w:bCs w:val="1"/>
          <w:color w:val="auto"/>
        </w:rPr>
        <w:t>Total Year 2007 Results</w:t>
      </w:r>
    </w:p>
    <w:p>
      <w:pPr>
        <w:spacing w:after="0" w:line="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Full-year 2007 revenue of $20.31 billion increased 21% versus 2006, led by Area growths of 31% in both the Middle East &amp; Asia, and in Europe/CIS/Africa and 29% in Latin America, while North America remained essentially flat. Pretax operating income of $5.96 billion in 2007 was 28% higher than 2006.</w:t>
      </w:r>
    </w:p>
    <w:p>
      <w:pPr>
        <w:ind w:right="20" w:firstLine="228"/>
        <w:spacing w:after="0" w:line="250" w:lineRule="auto"/>
        <w:rPr>
          <w:sz w:val="20"/>
          <w:szCs w:val="20"/>
          <w:color w:val="auto"/>
        </w:rPr>
      </w:pPr>
      <w:r>
        <w:rPr>
          <w:rFonts w:ascii="Arial" w:cs="Arial" w:eastAsia="Arial" w:hAnsi="Arial"/>
          <w:sz w:val="18"/>
          <w:szCs w:val="18"/>
          <w:color w:val="auto"/>
        </w:rPr>
        <w:t>Pretax operating margins of 29.3% improved 164 bps in 2007 versus 2006. Higher activity and expansion of higher-margin new technology deployment across Europe/CIS/Africa, Middle East &amp; Asia and Latin America Areas were the principal contributors to this performance. In North America, pricing erosion in pressure-pumping well-stimulation activities moderated year-on-year margin growth within the Area.</w:t>
      </w:r>
    </w:p>
    <w:p>
      <w:pPr>
        <w:spacing w:after="0" w:line="1" w:lineRule="exact"/>
        <w:rPr>
          <w:sz w:val="20"/>
          <w:szCs w:val="20"/>
          <w:color w:val="auto"/>
        </w:rPr>
      </w:pPr>
    </w:p>
    <w:p>
      <w:pPr>
        <w:ind w:right="440" w:firstLine="228"/>
        <w:spacing w:after="0" w:line="250" w:lineRule="auto"/>
        <w:rPr>
          <w:sz w:val="20"/>
          <w:szCs w:val="20"/>
          <w:color w:val="auto"/>
        </w:rPr>
      </w:pPr>
      <w:r>
        <w:rPr>
          <w:rFonts w:ascii="Arial" w:cs="Arial" w:eastAsia="Arial" w:hAnsi="Arial"/>
          <w:sz w:val="18"/>
          <w:szCs w:val="18"/>
          <w:color w:val="auto"/>
        </w:rPr>
        <w:t>Among the GeoMarkets, the greatest increases in revenue were recorded in the North Sea, followed by Mexico/Central America, Arabian, West &amp; South Africa, and Venezuela/Trinidad &amp; Tobago.</w:t>
      </w:r>
    </w:p>
    <w:p>
      <w:pPr>
        <w:spacing w:after="0" w:line="1"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Significant demand was seen for all Technologies led by Drilling &amp; Measurements, Wireline, Well Testing, and Completions Systems as customers continued to improve exploration and production performance in the search for new hydrocarbon reserves and in the need to increase production and boost recovery from existing fields.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$5.34 billion increased marginally over 2006 primarily due to higher demand for Drilling &amp; Measurements, Well Testing and Wireline activities in the US Land Central, US Land North and the US Gulf Coast GeoMarkets. However, this performance was offset by pricing erosion in well stimulation activities across the Area.</w:t>
      </w:r>
    </w:p>
    <w:p>
      <w:pPr>
        <w:ind w:right="80" w:firstLine="228"/>
        <w:spacing w:after="0" w:line="281" w:lineRule="auto"/>
        <w:rPr>
          <w:sz w:val="20"/>
          <w:szCs w:val="20"/>
          <w:color w:val="auto"/>
        </w:rPr>
      </w:pPr>
      <w:r>
        <w:rPr>
          <w:rFonts w:ascii="Arial" w:cs="Arial" w:eastAsia="Arial" w:hAnsi="Arial"/>
          <w:sz w:val="16"/>
          <w:szCs w:val="16"/>
          <w:color w:val="auto"/>
        </w:rPr>
        <w:t>Activity across US Land continued to grow driven by the increase in rig count and higher service intensity in unconventional natural gas reservoirs. However, weakness in natural gas prices and excess well stimulation related pressure pumping capacity led to a year-on-year decline in pricing in stimulation related activities. The US Gulf Coast GeoMarket continued to grow driven by demand for exploration related activities.</w:t>
      </w:r>
    </w:p>
    <w:p>
      <w:pPr>
        <w:spacing w:after="0" w:line="2" w:lineRule="exact"/>
        <w:rPr>
          <w:sz w:val="20"/>
          <w:szCs w:val="20"/>
          <w:color w:val="auto"/>
        </w:rPr>
      </w:pPr>
    </w:p>
    <w:p>
      <w:pPr>
        <w:ind w:left="240" w:right="100"/>
        <w:spacing w:after="0" w:line="281" w:lineRule="auto"/>
        <w:rPr>
          <w:sz w:val="20"/>
          <w:szCs w:val="20"/>
          <w:color w:val="auto"/>
        </w:rPr>
      </w:pPr>
      <w:r>
        <w:rPr>
          <w:rFonts w:ascii="Arial" w:cs="Arial" w:eastAsia="Arial" w:hAnsi="Arial"/>
          <w:sz w:val="16"/>
          <w:szCs w:val="16"/>
          <w:color w:val="auto"/>
        </w:rPr>
        <w:t>In Canada year-on-year revenue declined sharply due to operator slowdown driven by weakness in natural gas prices and uncertainty over the fiscal regime. Pretax operating margin declined by 167 bps to 28.8% primarily due to lower pricing in well stimulation related activities across the Area together with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activity in Canada.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Revenue of $3.30 billion in 2007 increased 29% over 2006, led by a surge in IPM-related activity in Mexico following the budget-related slowdowns in the previous year, followed by the growth in exploration-related activities in the Peru/Columbia/Ecuador and Latin America South GeoMarkets. The Venezuela/Trinidad &amp; Tobago GeoMarket also grew with higher rig count-driven activity in addition to finalization of the contracts related to drilling barges.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360" w:firstLine="228"/>
        <w:spacing w:after="0" w:line="253" w:lineRule="auto"/>
        <w:rPr>
          <w:sz w:val="20"/>
          <w:szCs w:val="20"/>
          <w:color w:val="auto"/>
        </w:rPr>
      </w:pPr>
      <w:r>
        <w:rPr>
          <w:rFonts w:ascii="Arial" w:cs="Arial" w:eastAsia="Arial" w:hAnsi="Arial"/>
          <w:sz w:val="18"/>
          <w:szCs w:val="18"/>
          <w:color w:val="auto"/>
        </w:rPr>
        <w:t>The Mexico/Central America GeoMarket recorded robust growth with the start of several integrated projects. Peru/Columbia/Ecuador and Latin America South witnessed strong growth in exploration-related activities. Demand was strong for all Technologies led by IPM, followed by Drilling &amp; Measurements, Wireline and Well Testing services.</w:t>
      </w:r>
    </w:p>
    <w:p>
      <w:pPr>
        <w:ind w:right="360" w:firstLine="228"/>
        <w:spacing w:after="0" w:line="364" w:lineRule="auto"/>
        <w:rPr>
          <w:sz w:val="20"/>
          <w:szCs w:val="20"/>
          <w:color w:val="auto"/>
        </w:rPr>
      </w:pPr>
      <w:r>
        <w:rPr>
          <w:rFonts w:ascii="Arial" w:cs="Arial" w:eastAsia="Arial" w:hAnsi="Arial"/>
          <w:sz w:val="18"/>
          <w:szCs w:val="18"/>
          <w:color w:val="auto"/>
        </w:rPr>
        <w:t xml:space="preserve">Pretax operating margin increased strongly by 358 bps to reach 22.9%. This increase resulted mainly from a favorable activity mix and improved pricing. </w:t>
      </w:r>
      <w:r>
        <w:rPr>
          <w:rFonts w:ascii="Arial" w:cs="Arial" w:eastAsia="Arial" w:hAnsi="Arial"/>
          <w:sz w:val="18"/>
          <w:szCs w:val="18"/>
          <w:b w:val="1"/>
          <w:bCs w:val="1"/>
          <w:color w:val="auto"/>
        </w:rPr>
        <w:t>Europe/CIS/Africa</w:t>
      </w:r>
    </w:p>
    <w:p>
      <w:pPr>
        <w:spacing w:after="0" w:line="1" w:lineRule="exact"/>
        <w:rPr>
          <w:sz w:val="20"/>
          <w:szCs w:val="20"/>
          <w:color w:val="auto"/>
        </w:rPr>
      </w:pPr>
    </w:p>
    <w:p>
      <w:pPr>
        <w:ind w:right="860"/>
        <w:spacing w:after="0" w:line="254" w:lineRule="auto"/>
        <w:rPr>
          <w:sz w:val="20"/>
          <w:szCs w:val="20"/>
          <w:color w:val="auto"/>
        </w:rPr>
      </w:pPr>
      <w:r>
        <w:rPr>
          <w:rFonts w:ascii="Arial" w:cs="Arial" w:eastAsia="Arial" w:hAnsi="Arial"/>
          <w:sz w:val="18"/>
          <w:szCs w:val="18"/>
          <w:color w:val="auto"/>
        </w:rPr>
        <w:t>Revenue of $6.60 billion in 2007 increased 31% over 2006 with the highest growth recorded in the North Sea, West &amp; South Africa and North Africa GeoMarkets.</w:t>
      </w:r>
    </w:p>
    <w:p>
      <w:pPr>
        <w:ind w:right="60" w:firstLine="228"/>
        <w:spacing w:after="0" w:line="250" w:lineRule="auto"/>
        <w:rPr>
          <w:sz w:val="20"/>
          <w:szCs w:val="20"/>
          <w:color w:val="auto"/>
        </w:rPr>
      </w:pPr>
      <w:r>
        <w:rPr>
          <w:rFonts w:ascii="Arial" w:cs="Arial" w:eastAsia="Arial" w:hAnsi="Arial"/>
          <w:sz w:val="18"/>
          <w:szCs w:val="18"/>
          <w:color w:val="auto"/>
        </w:rPr>
        <w:t>Strong revenue increases were recorded in the North Sea, West &amp; South Africa and North Africa driven by the expansion of exploration-related activities. GeoMarkets in Russia continued to grow strongly due to a combination of organic growth and the completion of the acquisition of Tyumenpromgeofizika during the second quarter of the year.</w:t>
      </w:r>
    </w:p>
    <w:p>
      <w:pPr>
        <w:spacing w:after="0" w:line="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Pretax operating margins increased by 301 bps to reach 28.6%. This performance was due to a combination of increased activity, improved pricing and accelerated new technology deployment across most GeoMarkets partially offset by a pricing decline in well stimulation activities in the East Russia and subdued activity in Nigeria.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Revenue of $4.87 billion in 2007 increased 31% over 2006 with the largest increases recorded in the Arabian GeoMarket, followed by East Mediterranean, Australia/Papua New Guinea, Qatar, Gulf and India.</w:t>
      </w:r>
    </w:p>
    <w:p>
      <w:pPr>
        <w:ind w:right="400" w:firstLine="228"/>
        <w:spacing w:after="0" w:line="250" w:lineRule="auto"/>
        <w:rPr>
          <w:sz w:val="20"/>
          <w:szCs w:val="20"/>
          <w:color w:val="auto"/>
        </w:rPr>
      </w:pPr>
      <w:r>
        <w:rPr>
          <w:rFonts w:ascii="Arial" w:cs="Arial" w:eastAsia="Arial" w:hAnsi="Arial"/>
          <w:sz w:val="18"/>
          <w:szCs w:val="18"/>
          <w:color w:val="auto"/>
        </w:rPr>
        <w:t>The Australia/Papua New Guinea GeoMarket recorded the highest growth rate in the Area driven by higher exploration related activity. Growth in East Mediterranean, Qatar, Gulf and India resulted from higher exploration and development activity while the Arabian GeoMarket continued to grow, albeit at a lower rate than the previous year, as new rig additions slowed down in Saudi Arabia.</w:t>
      </w:r>
    </w:p>
    <w:p>
      <w:pPr>
        <w:spacing w:after="0" w:line="1" w:lineRule="exact"/>
        <w:rPr>
          <w:sz w:val="20"/>
          <w:szCs w:val="20"/>
          <w:color w:val="auto"/>
        </w:rPr>
      </w:pPr>
    </w:p>
    <w:p>
      <w:pPr>
        <w:ind w:right="240" w:firstLine="228"/>
        <w:spacing w:after="0" w:line="261" w:lineRule="auto"/>
        <w:rPr>
          <w:sz w:val="20"/>
          <w:szCs w:val="20"/>
          <w:color w:val="auto"/>
        </w:rPr>
      </w:pPr>
      <w:r>
        <w:rPr>
          <w:rFonts w:ascii="Arial" w:cs="Arial" w:eastAsia="Arial" w:hAnsi="Arial"/>
          <w:sz w:val="18"/>
          <w:szCs w:val="18"/>
          <w:color w:val="auto"/>
        </w:rPr>
        <w:t>Pretax operating margin increased by 296 bps to an impressive 35.1%. This performance was driven by continued increase in activity and pricing increases together with deployment of higher-margin Wireline and Drilling &amp; Measurements new technologies.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2008 Results</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Fourth-quarter revenue of $599 million decreased 33% sequentially and 25% year-on-year. Pretax operating income of $88 million was 75% lower sequentially and 68% lower year-on-year.</w:t>
      </w:r>
    </w:p>
    <w:p>
      <w:pPr>
        <w:ind w:right="40" w:firstLine="228"/>
        <w:spacing w:after="0" w:line="250" w:lineRule="auto"/>
        <w:rPr>
          <w:sz w:val="20"/>
          <w:szCs w:val="20"/>
          <w:color w:val="auto"/>
        </w:rPr>
      </w:pPr>
      <w:r>
        <w:rPr>
          <w:rFonts w:ascii="Arial" w:cs="Arial" w:eastAsia="Arial" w:hAnsi="Arial"/>
          <w:sz w:val="18"/>
          <w:szCs w:val="18"/>
          <w:color w:val="auto"/>
        </w:rPr>
        <w:t>Sequentially, Marine revenue decreased significantly due to seasonal vessel transits, dry docks and project startups. Multiclient revenue was also down markedly as customers reduced discretionary spending. Land revenue, however, increased due to higher utilization and the start of new projects in Latin America and Africa while Data Processing recorded modest growth.</w:t>
      </w:r>
    </w:p>
    <w:p>
      <w:pPr>
        <w:spacing w:after="0" w:line="1" w:lineRule="exact"/>
        <w:rPr>
          <w:sz w:val="20"/>
          <w:szCs w:val="20"/>
          <w:color w:val="auto"/>
        </w:rPr>
      </w:pPr>
    </w:p>
    <w:p>
      <w:pPr>
        <w:ind w:right="140" w:firstLine="228"/>
        <w:spacing w:after="0" w:line="261" w:lineRule="auto"/>
        <w:rPr>
          <w:sz w:val="20"/>
          <w:szCs w:val="20"/>
          <w:color w:val="auto"/>
        </w:rPr>
      </w:pPr>
      <w:r>
        <w:rPr>
          <w:rFonts w:ascii="Arial" w:cs="Arial" w:eastAsia="Arial" w:hAnsi="Arial"/>
          <w:sz w:val="18"/>
          <w:szCs w:val="18"/>
          <w:color w:val="auto"/>
        </w:rPr>
        <w:t>Pretax operating margin decreased sequentially from 39.8% to 14.7% due to lower Marine vessel utilization, higher transits and the slowdown in Multiclient sales, the effects of which were only partially offset by the higher Land crew utilization.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2008 Results</w:t>
      </w:r>
    </w:p>
    <w:p>
      <w:pPr>
        <w:spacing w:after="0" w:line="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Full-year 2008 revenue of $2.84 billion was 4% lower than 2007. Multiclient revenue was down 18%, primarily as the result of significantly lower client discretionary spending in the fourth quarter of 2008, while Land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decreased 15% on lower crew utilization. These decreases were partially offset by a 4% revenue increase in Marine, as a result of additional vessel capacity and higher pricing, and a 19% increase in Data Processing, which experienced a growth in activity in all geographic areas.</w:t>
      </w:r>
    </w:p>
    <w:p>
      <w:pPr>
        <w:ind w:right="40" w:firstLine="228"/>
        <w:spacing w:after="0" w:line="250" w:lineRule="auto"/>
        <w:rPr>
          <w:sz w:val="20"/>
          <w:szCs w:val="20"/>
          <w:color w:val="auto"/>
        </w:rPr>
      </w:pPr>
      <w:r>
        <w:rPr>
          <w:rFonts w:ascii="Arial" w:cs="Arial" w:eastAsia="Arial" w:hAnsi="Arial"/>
          <w:sz w:val="18"/>
          <w:szCs w:val="18"/>
          <w:color w:val="auto"/>
        </w:rPr>
        <w:t>Pretax operating margin of 29.5% decreased 634 basis points due to significantly lower Multiclient sales, reduced Land activity and cost inflation that affected Marine operations.</w:t>
      </w:r>
    </w:p>
    <w:p>
      <w:pPr>
        <w:spacing w:after="0" w:line="1"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Revenue backlog was $1.8 billion at the end of 2008, compared to $1.2 billion at the end of 2007, of which an estimated $1.3 billion is expected to be realized in 2009.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2007 Results</w:t>
      </w:r>
    </w:p>
    <w:p>
      <w:pPr>
        <w:spacing w:after="0" w:line="7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Full-year 2007 revenue of $2.96 billion increased 20% versus 2006. Pretax operating income of $1.06 billion in 2007 was 31% higher than 2006. Pretax operating margin reached 35.8% – an increase of 299 bps in 2007 versus 2006 – demonstrating continued high vessel utilization, pricing increases in Marine and accelerating demand for exploration-driven seismic services. Q-Technology revenue reached $1.14 billion, representing 38% of 2007 full-year revenue.</w:t>
      </w:r>
    </w:p>
    <w:p>
      <w:pPr>
        <w:spacing w:after="0" w:line="1"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Marine revenue grew 17% due mainly to strong activity in Asia, Middle East, India, Europe and North America as operators continued to focus on new exploration horizons. High vessel utilization, continued adoption of Q-Technology and improved pricing contributed to this performance. Multiclient revenue increased 30% driven by higher sales in North America as the demand for E-Dog and E-Cat surveys remained strong during the first half of the year augmented by strong demand for E-Octopus surveys during the second half. Data Processing revenue increased 26%, reflecting higher acquisition volumes, higher levels of Q processing, and higher activity in India, Asia, North Africa, Europe and the Caspian. Land revenue increased 6% with the continued adoption of Q-Land* technology in Africa and in the Middle East.</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second quarter of 2007, the seventh Q-Technology equipped vessel – the Western Spirit – was launched.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backlog was $1.2 billion at the end of 2007 compared to $1.1 billion at the end of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2007</w:t>
            </w: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2006</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$119</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244</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20"/>
                <w:szCs w:val="20"/>
                <w:color w:val="auto"/>
                <w:vertAlign w:val="superscript"/>
              </w:rPr>
              <w:t>1</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(10)</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95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$402</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$431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00" w:type="dxa"/>
            <w:vAlign w:val="bottom"/>
            <w:vMerge w:val="restart"/>
          </w:tcPr>
          <w:p>
            <w:pPr>
              <w:ind w:left="120"/>
              <w:spacing w:after="0"/>
              <w:rPr>
                <w:sz w:val="20"/>
                <w:szCs w:val="20"/>
                <w:color w:val="auto"/>
              </w:rPr>
            </w:pPr>
            <w:r>
              <w:rPr>
                <w:rFonts w:ascii="Arial" w:cs="Arial" w:eastAsia="Arial" w:hAnsi="Arial"/>
                <w:sz w:val="14"/>
                <w:szCs w:val="14"/>
                <w:color w:val="auto"/>
              </w:rPr>
              <w:t xml:space="preserve">Refer to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details.</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vMerge w:val="continue"/>
          </w:tcPr>
          <w:p>
            <w:pPr>
              <w:spacing w:after="0"/>
              <w:rPr>
                <w:sz w:val="24"/>
                <w:szCs w:val="24"/>
                <w:color w:val="auto"/>
              </w:rPr>
            </w:pPr>
          </w:p>
        </w:tc>
        <w:tc>
          <w:tcPr>
            <w:tcW w:w="9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-463550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-463550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-463550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-463550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-463550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-463550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-463550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-463550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average return on investments decreased to 3.5% in 2008 from 5.2% in 2007 and the weighted average investment balance of $3.4 billion in 2008 increased $286 million compared to 2007.</w:t>
      </w:r>
    </w:p>
    <w:p>
      <w:pPr>
        <w:ind w:right="660" w:firstLine="228"/>
        <w:spacing w:after="0" w:line="261" w:lineRule="auto"/>
        <w:rPr>
          <w:sz w:val="20"/>
          <w:szCs w:val="20"/>
          <w:color w:val="auto"/>
        </w:rPr>
      </w:pPr>
      <w:r>
        <w:rPr>
          <w:rFonts w:ascii="Arial" w:cs="Arial" w:eastAsia="Arial" w:hAnsi="Arial"/>
          <w:sz w:val="18"/>
          <w:szCs w:val="18"/>
          <w:color w:val="auto"/>
        </w:rPr>
        <w:t>The average return on investments increased to 5.2% in 2007 from 4.5% in 2006 and the weighted average investment balance of $3.1 billion in 2007 increased $531 million compared to 2006.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equity in net earnings of affiliated companies primarily represents Schlumberger’s share of the results of its 40% interest in the M-I SWACO drilling fluids joint venture with Smith International Inc.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Interest expense of $247 million in 2008 decreased by $27 million compared to 2007 due to a decline in the weighted average borrowing rates, from 5.0% to 4.5%. The weighted average debt balance of $5.5 billion in 2008 was essentially flat compared to 2007</w:t>
      </w:r>
      <w:r>
        <w:rPr>
          <w:rFonts w:ascii="Arial" w:cs="Arial" w:eastAsia="Arial" w:hAnsi="Arial"/>
          <w:sz w:val="18"/>
          <w:szCs w:val="18"/>
          <w:i w:val="1"/>
          <w:iCs w:val="1"/>
          <w:color w:val="auto"/>
        </w:rPr>
        <w:t>.</w:t>
      </w:r>
    </w:p>
    <w:p>
      <w:pPr>
        <w:ind w:right="20" w:firstLine="228"/>
        <w:spacing w:after="0" w:line="302" w:lineRule="auto"/>
        <w:rPr>
          <w:sz w:val="20"/>
          <w:szCs w:val="20"/>
          <w:color w:val="auto"/>
        </w:rPr>
      </w:pPr>
      <w:r>
        <w:rPr>
          <w:rFonts w:ascii="Arial" w:cs="Arial" w:eastAsia="Arial" w:hAnsi="Arial"/>
          <w:sz w:val="16"/>
          <w:szCs w:val="16"/>
          <w:color w:val="auto"/>
        </w:rPr>
        <w:t xml:space="preserve">Interest expense of $275 million in 2007 increased by $40 million compared to 2006. The weighted average borrowing rates of 5.0% in 2007 increased from 4.6% in 2006. The weighted average debt balance of $5.5 billion in 2007 increased by $420 million compared to 2006, primarily due to the funding, in the second quarter of 2006, of the WesternGeco transaction described in Note 4 to the </w:t>
      </w:r>
      <w:r>
        <w:rPr>
          <w:rFonts w:ascii="Arial" w:cs="Arial" w:eastAsia="Arial" w:hAnsi="Arial"/>
          <w:sz w:val="16"/>
          <w:szCs w:val="16"/>
          <w:i w:val="1"/>
          <w:iCs w:val="1"/>
          <w:color w:val="auto"/>
        </w:rPr>
        <w:t>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30.2%, 33.5% and 31.4% in 2008, 2007 and 2006, respectively.</w:t>
      </w:r>
    </w:p>
    <w:p>
      <w:pPr>
        <w:spacing w:after="0" w:line="15" w:lineRule="exact"/>
        <w:rPr>
          <w:sz w:val="20"/>
          <w:szCs w:val="20"/>
          <w:color w:val="auto"/>
        </w:rPr>
      </w:pPr>
    </w:p>
    <w:p>
      <w:pPr>
        <w:jc w:val="both"/>
        <w:ind w:right="220" w:firstLine="228"/>
        <w:spacing w:after="0" w:line="281" w:lineRule="auto"/>
        <w:rPr>
          <w:sz w:val="20"/>
          <w:szCs w:val="20"/>
          <w:color w:val="auto"/>
        </w:rPr>
      </w:pPr>
      <w:r>
        <w:rPr>
          <w:rFonts w:ascii="Arial" w:cs="Arial" w:eastAsia="Arial" w:hAnsi="Arial"/>
          <w:sz w:val="16"/>
          <w:szCs w:val="16"/>
          <w:color w:val="auto"/>
        </w:rPr>
        <w:t>The decline in gross margin percentage in 2008, compared to 2007, was primarily attributable to the following factors: reduced pricing for well stimulation services in the US Land GeoMarkets, a higher mix of low-margin third-party managed services in the Mexico/Central America GeoMarket, significantly lower Multiclient sales in WesternGeco and the impact of cost inflation across all Areas within Oilfield Services as well as the Marine operations of WesternGeco.</w:t>
      </w:r>
    </w:p>
    <w:p>
      <w:pPr>
        <w:spacing w:after="0" w:line="2"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The increase in gross margin percentage in 2007, compared to 2006, was primarily due to increased pricing, stronger demand for higher-margin technologies, and operating efficiency improvements.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 percentage of Revenue, Research &amp; engineering, Marketing and General &amp; administrative expenses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5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2007</w:t>
            </w: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2006</w:t>
            </w: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&amp; engineering</w:t>
            </w:r>
          </w:p>
        </w:tc>
        <w:tc>
          <w:tcPr>
            <w:tcW w:w="4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3.0%</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45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0.4%</w:t>
            </w:r>
          </w:p>
        </w:tc>
        <w:tc>
          <w:tcPr>
            <w:tcW w:w="8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0.4%</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0.4%</w:t>
            </w: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&amp; administrative</w:t>
            </w:r>
          </w:p>
        </w:tc>
        <w:tc>
          <w:tcPr>
            <w:tcW w:w="4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2.2%</w:t>
            </w:r>
          </w:p>
        </w:tc>
        <w:tc>
          <w:tcPr>
            <w:tcW w:w="8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2.2%</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w:t>
            </w:r>
          </w:p>
        </w:tc>
      </w:tr>
    </w:tbl>
    <w:p>
      <w:pPr>
        <w:spacing w:after="0" w:line="57" w:lineRule="exact"/>
        <w:rPr>
          <w:sz w:val="20"/>
          <w:szCs w:val="20"/>
          <w:color w:val="auto"/>
        </w:rPr>
      </w:pPr>
    </w:p>
    <w:p>
      <w:pPr>
        <w:ind w:left="340" w:right="6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Research &amp; engineering in 2006 included $27 million of in-process research and development charges associated with acquisitions. See discussion of the Charges and Credits in Note 3 to the </w:t>
      </w:r>
      <w:r>
        <w:rPr>
          <w:rFonts w:ascii="Arial" w:cs="Arial" w:eastAsia="Arial" w:hAnsi="Arial"/>
          <w:sz w:val="14"/>
          <w:szCs w:val="14"/>
          <w:i w:val="1"/>
          <w:iCs w:val="1"/>
          <w:color w:val="auto"/>
        </w:rPr>
        <w:t>Consolidated</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Statements</w:t>
      </w:r>
      <w:r>
        <w:rPr>
          <w:rFonts w:ascii="Arial" w:cs="Arial" w:eastAsia="Arial" w:hAnsi="Arial"/>
          <w:sz w:val="14"/>
          <w:szCs w:val="14"/>
          <w:color w:val="auto"/>
        </w:rPr>
        <w: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&amp; engineering expenditures, by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2008</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2007</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2006</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$686</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118</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In-process R&amp;D charges </w:t>
            </w:r>
            <w:r>
              <w:rPr>
                <w:rFonts w:ascii="Arial" w:cs="Arial" w:eastAsia="Arial" w:hAnsi="Arial"/>
                <w:sz w:val="20"/>
                <w:szCs w:val="20"/>
                <w:color w:val="auto"/>
                <w:vertAlign w:val="superscript"/>
              </w:rPr>
              <w:t>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9720" w:type="dxa"/>
            <w:vAlign w:val="bottom"/>
            <w:gridSpan w:val="2"/>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0" w:type="dxa"/>
            <w:vAlign w:val="bottom"/>
            <w:tcBorders>
              <w:top w:val="single" w:sz="8" w:color="auto"/>
            </w:tcBorders>
          </w:tcPr>
          <w:p>
            <w:pPr>
              <w:spacing w:after="0"/>
              <w:rPr>
                <w:sz w:val="8"/>
                <w:szCs w:val="8"/>
                <w:color w:val="auto"/>
              </w:rPr>
            </w:pPr>
          </w:p>
        </w:tc>
        <w:tc>
          <w:tcPr>
            <w:tcW w:w="95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$819</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00" w:type="dxa"/>
            <w:vAlign w:val="bottom"/>
            <w:vMerge w:val="restart"/>
          </w:tcPr>
          <w:p>
            <w:pPr>
              <w:ind w:left="120"/>
              <w:spacing w:after="0"/>
              <w:rPr>
                <w:sz w:val="20"/>
                <w:szCs w:val="20"/>
                <w:color w:val="auto"/>
              </w:rPr>
            </w:pPr>
            <w:r>
              <w:rPr>
                <w:rFonts w:ascii="Arial" w:cs="Arial" w:eastAsia="Arial" w:hAnsi="Arial"/>
                <w:sz w:val="14"/>
                <w:szCs w:val="14"/>
                <w:color w:val="auto"/>
              </w:rPr>
              <w:t xml:space="preserve">See discussion of Charges and Credits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0" w:type="dxa"/>
            <w:vAlign w:val="bottom"/>
            <w:vMerge w:val="continue"/>
          </w:tcPr>
          <w:p>
            <w:pPr>
              <w:spacing w:after="0"/>
              <w:rPr>
                <w:sz w:val="24"/>
                <w:szCs w:val="24"/>
                <w:color w:val="auto"/>
              </w:rPr>
            </w:pPr>
          </w:p>
        </w:tc>
        <w:tc>
          <w:tcPr>
            <w:tcW w:w="9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9500" w:type="dxa"/>
            <w:vAlign w:val="bottom"/>
          </w:tcPr>
          <w:p>
            <w:pPr>
              <w:ind w:left="120"/>
              <w:spacing w:after="0"/>
              <w:rPr>
                <w:sz w:val="20"/>
                <w:szCs w:val="20"/>
                <w:color w:val="auto"/>
              </w:rPr>
            </w:pPr>
            <w:r>
              <w:rPr>
                <w:rFonts w:ascii="Arial" w:cs="Arial" w:eastAsia="Arial" w:hAnsi="Arial"/>
                <w:sz w:val="14"/>
                <w:szCs w:val="14"/>
                <w:color w:val="auto"/>
              </w:rPr>
              <w:t>Includes $16 million of cost in 2006 associated with Schlumberger’s relocation of its United States research center from Ridgefield to Boston.</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-335280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-335280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-335280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-335280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-335280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-335280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-335280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-335280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-335280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20.9% in 2008, 21.9% in 2007 and 24.0% in 2006.</w:t>
      </w:r>
    </w:p>
    <w:p>
      <w:pPr>
        <w:spacing w:after="0" w:line="15"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40" w:firstLine="228"/>
        <w:spacing w:after="0" w:line="253" w:lineRule="auto"/>
        <w:rPr>
          <w:sz w:val="20"/>
          <w:szCs w:val="20"/>
          <w:color w:val="auto"/>
        </w:rPr>
      </w:pPr>
      <w:r>
        <w:rPr>
          <w:rFonts w:ascii="Arial" w:cs="Arial" w:eastAsia="Arial" w:hAnsi="Arial"/>
          <w:sz w:val="18"/>
          <w:szCs w:val="18"/>
          <w:color w:val="auto"/>
        </w:rPr>
        <w:t>The decrease in the effective tax rate in 2008, as compared to 2007, was primarily attributable to the geographic mix of earnings. Oilfield Services had a lower proportion of pretax earnings in North America. Also, outside North America, various GeoMarkets with lower tax rates contributed a greater percentage to pretax earnings.</w:t>
      </w:r>
    </w:p>
    <w:p>
      <w:pPr>
        <w:ind w:right="40" w:firstLine="228"/>
        <w:spacing w:after="0" w:line="255" w:lineRule="auto"/>
        <w:rPr>
          <w:sz w:val="20"/>
          <w:szCs w:val="20"/>
          <w:color w:val="auto"/>
        </w:rPr>
      </w:pPr>
      <w:r>
        <w:rPr>
          <w:rFonts w:ascii="Arial" w:cs="Arial" w:eastAsia="Arial" w:hAnsi="Arial"/>
          <w:sz w:val="18"/>
          <w:szCs w:val="18"/>
          <w:color w:val="auto"/>
        </w:rPr>
        <w:t>The decrease in the effective tax rate in 2007, as compared to 2006, was primarily attributable to the geographic mix of earnings. Both Oilfield Services and WesternGeco had a lower proportion of pretax earnings in North America. Outside North America, various GeoMarkets with lower tax rates contributed a greater percentage to pretax earnings.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72"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 xml:space="preserve">Schlumberger recorded significant charges and credits during 2008, 2007 and 2006.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ind w:left="240"/>
        <w:spacing w:after="0"/>
        <w:rPr>
          <w:sz w:val="20"/>
          <w:szCs w:val="20"/>
          <w:color w:val="auto"/>
        </w:rPr>
      </w:pPr>
      <w:r>
        <w:rPr>
          <w:rFonts w:ascii="Arial" w:cs="Arial" w:eastAsia="Arial" w:hAnsi="Arial"/>
          <w:sz w:val="18"/>
          <w:szCs w:val="18"/>
          <w:color w:val="auto"/>
        </w:rPr>
        <w:t>The following is a summary of the 2008 Charges and Credits: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3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Pretax</w:t>
            </w:r>
          </w:p>
        </w:tc>
        <w:tc>
          <w:tcPr>
            <w:tcW w:w="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Tax</w:t>
            </w: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Net</w:t>
            </w:r>
          </w:p>
        </w:tc>
        <w:tc>
          <w:tcPr>
            <w:tcW w:w="4040" w:type="dxa"/>
            <w:vAlign w:val="bottom"/>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ind w:left="320"/>
              <w:spacing w:after="0" w:line="149" w:lineRule="exact"/>
              <w:rPr>
                <w:sz w:val="20"/>
                <w:szCs w:val="20"/>
                <w:color w:val="auto"/>
              </w:rPr>
            </w:pPr>
            <w:r>
              <w:rPr>
                <w:rFonts w:ascii="Arial" w:cs="Arial" w:eastAsia="Arial" w:hAnsi="Arial"/>
                <w:sz w:val="14"/>
                <w:szCs w:val="14"/>
                <w:color w:val="auto"/>
              </w:rPr>
              <w:t>–Workforce reduction</w:t>
            </w:r>
          </w:p>
        </w:tc>
        <w:tc>
          <w:tcPr>
            <w:tcW w:w="1320" w:type="dxa"/>
            <w:vAlign w:val="bottom"/>
            <w:gridSpan w:val="3"/>
          </w:tcPr>
          <w:p>
            <w:pPr>
              <w:ind w:left="124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9"/>
              </w:rPr>
              <w:t>$65.3</w:t>
            </w:r>
          </w:p>
        </w:tc>
        <w:tc>
          <w:tcPr>
            <w:tcW w:w="404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–Provision for doubtful accounts</w:t>
            </w: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w:t>
            </w:r>
          </w:p>
        </w:tc>
        <w:tc>
          <w:tcPr>
            <w:tcW w:w="40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Pr>
          <w:p>
            <w:pPr>
              <w:ind w:left="320"/>
              <w:spacing w:after="0"/>
              <w:rPr>
                <w:sz w:val="20"/>
                <w:szCs w:val="20"/>
                <w:color w:val="auto"/>
              </w:rPr>
            </w:pPr>
            <w:r>
              <w:rPr>
                <w:rFonts w:ascii="Arial" w:cs="Arial" w:eastAsia="Arial" w:hAnsi="Arial"/>
                <w:sz w:val="14"/>
                <w:szCs w:val="14"/>
                <w:color w:val="auto"/>
              </w:rPr>
              <w:t>–Other</w:t>
            </w: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9.8</w:t>
            </w:r>
          </w:p>
        </w:tc>
        <w:tc>
          <w:tcPr>
            <w:tcW w:w="4040" w:type="dxa"/>
            <w:vAlign w:val="bottom"/>
          </w:tcPr>
          <w:p>
            <w:pPr>
              <w:ind w:left="420"/>
              <w:spacing w:after="0"/>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3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1320" w:type="dxa"/>
            <w:vAlign w:val="bottom"/>
            <w:gridSpan w:val="3"/>
            <w:shd w:val="clear" w:color="auto" w:fill="CCEEFF"/>
          </w:tcPr>
          <w:p>
            <w:pPr>
              <w:ind w:left="124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85"/>
              </w:rPr>
              <w:t>116.0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1"/>
              </w:rPr>
              <w:t>(16.9)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$93.0</w:t>
            </w: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-29210</wp:posOffset>
            </wp:positionV>
            <wp:extent cx="2527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2007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3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Minority</w:t>
            </w:r>
          </w:p>
        </w:tc>
        <w:tc>
          <w:tcPr>
            <w:tcW w:w="4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940" w:type="dxa"/>
            <w:vAlign w:val="bottom"/>
            <w:tcBorders>
              <w:top w:val="single" w:sz="8" w:color="auto"/>
            </w:tcBorders>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Pretax</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90"/>
              </w:rPr>
              <w:t>Tax</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6"/>
              </w:rPr>
              <w:t>Interest</w:t>
            </w:r>
          </w:p>
        </w:tc>
        <w:tc>
          <w:tcPr>
            <w:tcW w:w="42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3940" w:type="dxa"/>
            <w:vAlign w:val="bottom"/>
          </w:tcPr>
          <w:p>
            <w:pPr>
              <w:ind w:left="160"/>
              <w:spacing w:after="0"/>
              <w:rPr>
                <w:sz w:val="20"/>
                <w:szCs w:val="20"/>
                <w:color w:val="auto"/>
              </w:rPr>
            </w:pPr>
            <w:r>
              <w:rPr>
                <w:rFonts w:ascii="Arial" w:cs="Arial" w:eastAsia="Arial" w:hAnsi="Arial"/>
                <w:sz w:val="14"/>
                <w:szCs w:val="14"/>
                <w:b w:val="1"/>
                <w:bCs w:val="1"/>
                <w:color w:val="auto"/>
              </w:rPr>
              <w:t>Income Statement Classification</w:t>
            </w: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r>
      <w:tr>
        <w:trPr>
          <w:trHeight w:val="172"/>
        </w:trPr>
        <w:tc>
          <w:tcPr>
            <w:tcW w:w="3100" w:type="dxa"/>
            <w:vAlign w:val="bottom"/>
          </w:tcPr>
          <w:p>
            <w:pPr>
              <w:spacing w:after="0"/>
              <w:rPr>
                <w:sz w:val="20"/>
                <w:szCs w:val="20"/>
                <w:color w:val="auto"/>
              </w:rPr>
            </w:pPr>
            <w:r>
              <w:rPr>
                <w:rFonts w:ascii="Arial" w:cs="Arial" w:eastAsia="Arial" w:hAnsi="Arial"/>
                <w:sz w:val="14"/>
                <w:szCs w:val="14"/>
                <w:color w:val="auto"/>
              </w:rPr>
              <w:t>- Gain on sale of workover rigs</w:t>
            </w:r>
          </w:p>
        </w:tc>
        <w:tc>
          <w:tcPr>
            <w:tcW w:w="2180" w:type="dxa"/>
            <w:vAlign w:val="bottom"/>
            <w:gridSpan w:val="3"/>
          </w:tcPr>
          <w:p>
            <w:pPr>
              <w:ind w:left="1400"/>
              <w:spacing w:after="0"/>
              <w:rPr>
                <w:sz w:val="20"/>
                <w:szCs w:val="20"/>
                <w:color w:val="auto"/>
              </w:rPr>
            </w:pPr>
            <w:r>
              <w:rPr>
                <w:rFonts w:ascii="Arial" w:cs="Arial" w:eastAsia="Arial" w:hAnsi="Arial"/>
                <w:sz w:val="14"/>
                <w:szCs w:val="14"/>
                <w:color w:val="auto"/>
              </w:rPr>
              <w:t>$ (24.5)</w:t>
            </w:r>
          </w:p>
        </w:tc>
        <w:tc>
          <w:tcPr>
            <w:tcW w:w="240" w:type="dxa"/>
            <w:vAlign w:val="bottom"/>
          </w:tcPr>
          <w:p>
            <w:pPr>
              <w:jc w:val="right"/>
              <w:spacing w:after="0"/>
              <w:rPr>
                <w:sz w:val="20"/>
                <w:szCs w:val="20"/>
                <w:color w:val="auto"/>
              </w:rPr>
            </w:pPr>
            <w:r>
              <w:rPr>
                <w:rFonts w:ascii="Arial" w:cs="Arial" w:eastAsia="Arial" w:hAnsi="Arial"/>
                <w:sz w:val="14"/>
                <w:szCs w:val="14"/>
                <w:color w:val="auto"/>
                <w:w w:val="80"/>
              </w:rPr>
              <w:t>$7.1</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$(17.4)</w:t>
            </w:r>
          </w:p>
        </w:tc>
        <w:tc>
          <w:tcPr>
            <w:tcW w:w="3940" w:type="dxa"/>
            <w:vAlign w:val="bottom"/>
          </w:tcPr>
          <w:p>
            <w:pPr>
              <w:ind w:left="160"/>
              <w:spacing w:after="0"/>
              <w:rPr>
                <w:sz w:val="20"/>
                <w:szCs w:val="20"/>
                <w:color w:val="auto"/>
              </w:rPr>
            </w:pPr>
            <w:r>
              <w:rPr>
                <w:rFonts w:ascii="Arial" w:cs="Arial" w:eastAsia="Arial" w:hAnsi="Arial"/>
                <w:sz w:val="14"/>
                <w:szCs w:val="14"/>
                <w:i w:val="1"/>
                <w:iCs w:val="1"/>
                <w:color w:val="auto"/>
              </w:rPr>
              <w:t>Interest and other income</w:t>
            </w:r>
          </w:p>
        </w:tc>
      </w:tr>
      <w:tr>
        <w:trPr>
          <w:trHeight w:val="108"/>
        </w:trPr>
        <w:tc>
          <w:tcPr>
            <w:tcW w:w="3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9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-29210</wp:posOffset>
            </wp:positionV>
            <wp:extent cx="27876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3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Minority</w:t>
            </w:r>
          </w:p>
        </w:tc>
        <w:tc>
          <w:tcPr>
            <w:tcW w:w="320" w:type="dxa"/>
            <w:vAlign w:val="bottom"/>
            <w:tcBorders>
              <w:top w:val="single" w:sz="8" w:color="auto"/>
            </w:tcBorders>
          </w:tcPr>
          <w:p>
            <w:pPr>
              <w:spacing w:after="0"/>
              <w:rPr>
                <w:sz w:val="11"/>
                <w:szCs w:val="11"/>
                <w:color w:val="auto"/>
              </w:rPr>
            </w:pPr>
          </w:p>
        </w:tc>
        <w:tc>
          <w:tcPr>
            <w:tcW w:w="4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4060" w:type="dxa"/>
            <w:vAlign w:val="bottom"/>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320"/>
              <w:spacing w:after="0" w:line="149" w:lineRule="exact"/>
              <w:rPr>
                <w:sz w:val="20"/>
                <w:szCs w:val="20"/>
                <w:color w:val="auto"/>
              </w:rPr>
            </w:pPr>
            <w:r>
              <w:rPr>
                <w:rFonts w:ascii="Arial" w:cs="Arial" w:eastAsia="Arial" w:hAnsi="Arial"/>
                <w:sz w:val="14"/>
                <w:szCs w:val="14"/>
                <w:color w:val="auto"/>
              </w:rPr>
              <w:t>–WesternGeco in-process R&amp;D charge</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42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$21.0</w:t>
            </w:r>
          </w:p>
        </w:tc>
        <w:tc>
          <w:tcPr>
            <w:tcW w:w="40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–Loss on liquidation of investments to fund WesternGeco transaction</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320"/>
              <w:spacing w:after="0" w:line="149" w:lineRule="exact"/>
              <w:rPr>
                <w:sz w:val="20"/>
                <w:szCs w:val="20"/>
                <w:color w:val="auto"/>
              </w:rPr>
            </w:pPr>
            <w:r>
              <w:rPr>
                <w:rFonts w:ascii="Arial" w:cs="Arial" w:eastAsia="Arial" w:hAnsi="Arial"/>
                <w:sz w:val="14"/>
                <w:szCs w:val="14"/>
                <w:color w:val="auto"/>
              </w:rPr>
              <w:t>–WesternGeco visa settlement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40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in-process R&amp;D charges</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42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$42.8</w:t>
            </w:r>
          </w:p>
        </w:tc>
        <w:tc>
          <w:tcPr>
            <w:tcW w:w="4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-29210</wp:posOffset>
            </wp:positionV>
            <wp:extent cx="2527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60" w:firstLine="228"/>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Details of Net Debt follow:</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$(1,857)</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Net income</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5,435</w:t>
            </w:r>
          </w:p>
        </w:tc>
        <w:tc>
          <w:tcPr>
            <w:tcW w:w="260" w:type="dxa"/>
            <w:vAlign w:val="bottom"/>
          </w:tcPr>
          <w:p>
            <w:pPr>
              <w:spacing w:after="0"/>
              <w:rPr>
                <w:sz w:val="12"/>
                <w:szCs w:val="12"/>
                <w:color w:val="auto"/>
              </w:rPr>
            </w:pP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5,177</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3,710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(235)</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760" w:type="dxa"/>
            <w:vAlign w:val="bottom"/>
          </w:tcPr>
          <w:p>
            <w:pPr>
              <w:ind w:left="4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2,269</w:t>
            </w:r>
          </w:p>
        </w:tc>
        <w:tc>
          <w:tcPr>
            <w:tcW w:w="26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1,954</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1,561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Increase in working capital</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(591)</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Pension plan contributions</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(290)</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(250)</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Capital expenditures</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(3,723)</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(2,931)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Multiclient seismic data capitalized</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(345)</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Proceeds from employee stock plans</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351</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Stock repurchase program</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(1,819)</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(1,355)</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Dividends paid</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(964)</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Eastern Echo acquisition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(699)</w:t>
            </w:r>
          </w:p>
        </w:tc>
        <w:tc>
          <w:tcPr>
            <w:tcW w:w="8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Other business acquisitions</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(345)</w:t>
            </w:r>
          </w:p>
        </w:tc>
        <w:tc>
          <w:tcPr>
            <w:tcW w:w="94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rPr>
              <w:t>(286)</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Conversion of debentures</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448</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60" w:type="dxa"/>
            <w:vAlign w:val="bottom"/>
          </w:tcPr>
          <w:p>
            <w:pPr>
              <w:ind w:left="40"/>
              <w:spacing w:after="0" w:line="149" w:lineRule="exact"/>
              <w:rPr>
                <w:sz w:val="20"/>
                <w:szCs w:val="20"/>
                <w:color w:val="auto"/>
              </w:rPr>
            </w:pPr>
            <w:r>
              <w:rPr>
                <w:rFonts w:ascii="Arial" w:cs="Arial" w:eastAsia="Arial" w:hAnsi="Arial"/>
                <w:sz w:val="14"/>
                <w:szCs w:val="14"/>
                <w:color w:val="auto"/>
              </w:rPr>
              <w:t>Distribution to joint venture partner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Translation effect on net debt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26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760" w:type="dxa"/>
            <w:vAlign w:val="bottom"/>
          </w:tcPr>
          <w:p>
            <w:pPr>
              <w:ind w:left="40"/>
              <w:spacing w:after="0"/>
              <w:rPr>
                <w:sz w:val="20"/>
                <w:szCs w:val="20"/>
                <w:color w:val="auto"/>
              </w:rPr>
            </w:pPr>
            <w:r>
              <w:rPr>
                <w:rFonts w:ascii="Arial" w:cs="Arial" w:eastAsia="Arial" w:hAnsi="Arial"/>
                <w:sz w:val="14"/>
                <w:szCs w:val="14"/>
                <w:color w:val="auto"/>
              </w:rPr>
              <w:t>Other</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371</w:t>
            </w:r>
          </w:p>
        </w:tc>
        <w:tc>
          <w:tcPr>
            <w:tcW w:w="260" w:type="dxa"/>
            <w:vAlign w:val="bottom"/>
          </w:tcPr>
          <w:p>
            <w:pPr>
              <w:spacing w:after="0"/>
              <w:rPr>
                <w:sz w:val="15"/>
                <w:szCs w:val="15"/>
                <w:color w:val="auto"/>
              </w:rPr>
            </w:pPr>
          </w:p>
        </w:tc>
        <w:tc>
          <w:tcPr>
            <w:tcW w:w="940" w:type="dxa"/>
            <w:vAlign w:val="bottom"/>
            <w:gridSpan w:val="5"/>
          </w:tcPr>
          <w:p>
            <w:pPr>
              <w:jc w:val="right"/>
              <w:ind w:right="34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140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04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$(1,129)</w:t>
            </w:r>
          </w:p>
        </w:tc>
        <w:tc>
          <w:tcPr>
            <w:tcW w:w="94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$(1,857)</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$(2,834)</w:t>
            </w: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760" w:type="dxa"/>
            <w:vAlign w:val="bottom"/>
            <w:vMerge w:val="restart"/>
          </w:tcPr>
          <w:p>
            <w:pPr>
              <w:ind w:left="40"/>
              <w:spacing w:after="0"/>
              <w:rPr>
                <w:sz w:val="20"/>
                <w:szCs w:val="20"/>
                <w:color w:val="auto"/>
              </w:rPr>
            </w:pPr>
            <w:r>
              <w:rPr>
                <w:rFonts w:ascii="Arial" w:cs="Arial" w:eastAsia="Arial" w:hAnsi="Arial"/>
                <w:sz w:val="14"/>
                <w:szCs w:val="14"/>
                <w:color w:val="auto"/>
              </w:rPr>
              <w:t>Includes Multiclient seismic data costs.</w:t>
            </w: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00" w:type="dxa"/>
            <w:vAlign w:val="bottom"/>
            <w:gridSpan w:val="2"/>
            <w:vMerge w:val="continue"/>
          </w:tcPr>
          <w:p>
            <w:pPr>
              <w:spacing w:after="0"/>
              <w:rPr>
                <w:sz w:val="24"/>
                <w:szCs w:val="24"/>
                <w:color w:val="auto"/>
              </w:rPr>
            </w:pPr>
          </w:p>
        </w:tc>
        <w:tc>
          <w:tcPr>
            <w:tcW w:w="8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7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85"/>
              </w:rPr>
              <w:t>Dec. 31</w:t>
            </w:r>
          </w:p>
        </w:tc>
        <w:tc>
          <w:tcPr>
            <w:tcW w:w="940" w:type="dxa"/>
            <w:vAlign w:val="bottom"/>
            <w:tcBorders>
              <w:top w:val="single" w:sz="8" w:color="auto"/>
            </w:tcBorders>
            <w:gridSpan w:val="5"/>
          </w:tcPr>
          <w:p>
            <w:pPr>
              <w:jc w:val="right"/>
              <w:ind w:right="500"/>
              <w:spacing w:after="0" w:line="129" w:lineRule="exact"/>
              <w:rPr>
                <w:sz w:val="20"/>
                <w:szCs w:val="20"/>
                <w:color w:val="auto"/>
              </w:rPr>
            </w:pPr>
            <w:r>
              <w:rPr>
                <w:rFonts w:ascii="Arial" w:cs="Arial" w:eastAsia="Arial" w:hAnsi="Arial"/>
                <w:sz w:val="14"/>
                <w:szCs w:val="14"/>
                <w:b w:val="1"/>
                <w:bCs w:val="1"/>
                <w:color w:val="auto"/>
                <w:w w:val="85"/>
              </w:rPr>
              <w:t>Dec. 31</w:t>
            </w:r>
          </w:p>
        </w:tc>
        <w:tc>
          <w:tcPr>
            <w:tcW w:w="4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61"/>
        </w:trPr>
        <w:tc>
          <w:tcPr>
            <w:tcW w:w="906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Cash</w:t>
            </w:r>
          </w:p>
        </w:tc>
        <w:tc>
          <w:tcPr>
            <w:tcW w:w="87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189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   197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3,503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2,833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680" w:type="dxa"/>
            <w:vAlign w:val="bottom"/>
            <w:gridSpan w:val="3"/>
          </w:tcPr>
          <w:p>
            <w:pPr>
              <w:jc w:val="right"/>
              <w:ind w:right="132"/>
              <w:spacing w:after="0" w:line="149" w:lineRule="exact"/>
              <w:rPr>
                <w:sz w:val="20"/>
                <w:szCs w:val="20"/>
                <w:color w:val="auto"/>
              </w:rPr>
            </w:pPr>
            <w:r>
              <w:rPr>
                <w:rFonts w:ascii="Arial" w:cs="Arial" w:eastAsia="Arial" w:hAnsi="Arial"/>
                <w:sz w:val="14"/>
                <w:szCs w:val="14"/>
                <w:b w:val="1"/>
                <w:bCs w:val="1"/>
                <w:color w:val="auto"/>
              </w:rPr>
              <w:t>(1,598)</w:t>
            </w:r>
          </w:p>
        </w:tc>
        <w:tc>
          <w:tcPr>
            <w:tcW w:w="260" w:type="dxa"/>
            <w:vAlign w:val="bottom"/>
          </w:tcPr>
          <w:p>
            <w:pPr>
              <w:spacing w:after="0"/>
              <w:rPr>
                <w:sz w:val="12"/>
                <w:szCs w:val="12"/>
                <w:color w:val="auto"/>
              </w:rPr>
            </w:pPr>
          </w:p>
        </w:tc>
        <w:tc>
          <w:tcPr>
            <w:tcW w:w="56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(1,318)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(1,322)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debentures</w:t>
            </w:r>
          </w:p>
        </w:tc>
        <w:tc>
          <w:tcPr>
            <w:tcW w:w="68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(321)</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(769)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40" w:type="dxa"/>
            <w:vAlign w:val="bottom"/>
            <w:gridSpan w:val="2"/>
          </w:tcPr>
          <w:p>
            <w:pPr>
              <w:spacing w:after="0"/>
              <w:rPr>
                <w:sz w:val="20"/>
                <w:szCs w:val="20"/>
                <w:color w:val="auto"/>
              </w:rPr>
            </w:pPr>
            <w:r>
              <w:rPr>
                <w:rFonts w:ascii="Arial" w:cs="Arial" w:eastAsia="Arial" w:hAnsi="Arial"/>
                <w:sz w:val="14"/>
                <w:szCs w:val="14"/>
                <w:color w:val="auto"/>
              </w:rPr>
              <w:t>Other long-term debt</w:t>
            </w:r>
          </w:p>
        </w:tc>
        <w:tc>
          <w:tcPr>
            <w:tcW w:w="68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(3,372)</w:t>
            </w:r>
          </w:p>
        </w:tc>
        <w:tc>
          <w:tcPr>
            <w:tcW w:w="260" w:type="dxa"/>
            <w:vAlign w:val="bottom"/>
          </w:tcPr>
          <w:p>
            <w:pPr>
              <w:spacing w:after="0"/>
              <w:rPr>
                <w:sz w:val="15"/>
                <w:szCs w:val="15"/>
                <w:color w:val="auto"/>
              </w:rPr>
            </w:pPr>
          </w:p>
        </w:tc>
        <w:tc>
          <w:tcPr>
            <w:tcW w:w="560" w:type="dxa"/>
            <w:vAlign w:val="bottom"/>
            <w:gridSpan w:val="4"/>
          </w:tcPr>
          <w:p>
            <w:pPr>
              <w:jc w:val="right"/>
              <w:ind w:right="12"/>
              <w:spacing w:after="0"/>
              <w:rPr>
                <w:sz w:val="20"/>
                <w:szCs w:val="20"/>
                <w:color w:val="auto"/>
              </w:rPr>
            </w:pPr>
            <w:r>
              <w:rPr>
                <w:rFonts w:ascii="Arial" w:cs="Arial" w:eastAsia="Arial" w:hAnsi="Arial"/>
                <w:sz w:val="14"/>
                <w:szCs w:val="14"/>
                <w:color w:val="auto"/>
              </w:rPr>
              <w:t>(3,379)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5"/>
              </w:rPr>
              <w:t>(3,239)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7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Borders>
              <w:bottom w:val="single" w:sz="8" w:color="auto"/>
            </w:tcBorders>
            <w:gridSpan w:val="3"/>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Borders>
              <w:bottom w:val="single" w:sz="8" w:color="auto"/>
            </w:tcBorders>
            <w:gridSpan w:val="2"/>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82"/>
              </w:rPr>
              <w:t>$ (1,129)</w:t>
            </w:r>
          </w:p>
        </w:tc>
        <w:tc>
          <w:tcPr>
            <w:tcW w:w="26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 (1,857)</w:t>
            </w:r>
          </w:p>
        </w:tc>
        <w:tc>
          <w:tcPr>
            <w:tcW w:w="3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(2,834)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7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-1521460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-1521460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-1521460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-1521460</wp:posOffset>
            </wp:positionV>
            <wp:extent cx="29591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-1521460</wp:posOffset>
            </wp:positionV>
            <wp:extent cx="29591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2008, 2007 and 2006 included:</w:t>
      </w:r>
    </w:p>
    <w:p>
      <w:pPr>
        <w:spacing w:after="0" w:line="77" w:lineRule="exact"/>
        <w:rPr>
          <w:sz w:val="20"/>
          <w:szCs w:val="20"/>
          <w:color w:val="auto"/>
        </w:rPr>
      </w:pPr>
    </w:p>
    <w:p>
      <w:pPr>
        <w:ind w:left="780" w:right="80" w:hanging="326"/>
        <w:spacing w:after="0" w:line="331"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September 2008, Schlumberger Finance B.V. issued €500 million 5.25% Guaranteed Notes due 2013. Schlumberger entered into agreements to swap these Euro notes for US dollars on the date of issue until maturity, effectively making this a US dollar denominated debt on which Schlumberger Finance B.V. will pay interest in US dollars at a rate of 4.74%. The proceeds from these notes were used to repay commercial paper borrowings.</w:t>
      </w:r>
    </w:p>
    <w:p>
      <w:pPr>
        <w:spacing w:after="0" w:line="2" w:lineRule="exact"/>
        <w:rPr>
          <w:rFonts w:ascii="Arial" w:cs="Arial" w:eastAsia="Arial" w:hAnsi="Arial"/>
          <w:sz w:val="15"/>
          <w:szCs w:val="15"/>
          <w:color w:val="auto"/>
        </w:rPr>
      </w:pPr>
    </w:p>
    <w:p>
      <w:pPr>
        <w:ind w:left="780" w:right="380" w:hanging="326"/>
        <w:spacing w:after="0" w:line="34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 July 22, 2004, the Board of Directors of Schlumberger approved a share repurchase program of up to 30 million shares of common stock to be acquired in the open market before December 2006, subject to market conditions. This program was completed during the first quarter of 2006.</w:t>
      </w:r>
    </w:p>
    <w:p>
      <w:pPr>
        <w:spacing w:after="0" w:line="1" w:lineRule="exact"/>
        <w:rPr>
          <w:sz w:val="20"/>
          <w:szCs w:val="20"/>
          <w:color w:val="auto"/>
        </w:rPr>
      </w:pPr>
    </w:p>
    <w:p>
      <w:pPr>
        <w:ind w:left="800" w:right="280"/>
        <w:spacing w:after="0" w:line="325" w:lineRule="auto"/>
        <w:rPr>
          <w:sz w:val="20"/>
          <w:szCs w:val="20"/>
          <w:color w:val="auto"/>
        </w:rPr>
      </w:pPr>
      <w:r>
        <w:rPr>
          <w:rFonts w:ascii="Arial" w:cs="Arial" w:eastAsia="Arial" w:hAnsi="Arial"/>
          <w:sz w:val="16"/>
          <w:szCs w:val="16"/>
          <w:color w:val="auto"/>
        </w:rPr>
        <w:t>On April 20, 2006, the Board of Directors of Schlumberger approved a share repurchase program of up to 40 million shares of common stock to be acquired in the open market before April 2010, subject to market conditions. This program was completed during the second quarter of 2008.</w:t>
      </w:r>
    </w:p>
    <w:p>
      <w:pPr>
        <w:spacing w:after="0" w:line="1" w:lineRule="exact"/>
        <w:rPr>
          <w:sz w:val="20"/>
          <w:szCs w:val="20"/>
          <w:color w:val="auto"/>
        </w:rPr>
      </w:pPr>
    </w:p>
    <w:p>
      <w:pPr>
        <w:ind w:left="800" w:right="360"/>
        <w:spacing w:after="0" w:line="370" w:lineRule="auto"/>
        <w:rPr>
          <w:sz w:val="20"/>
          <w:szCs w:val="20"/>
          <w:color w:val="auto"/>
        </w:rPr>
      </w:pPr>
      <w:r>
        <w:rPr>
          <w:rFonts w:ascii="Arial" w:cs="Arial" w:eastAsia="Arial" w:hAnsi="Arial"/>
          <w:sz w:val="15"/>
          <w:szCs w:val="15"/>
          <w:color w:val="auto"/>
        </w:rPr>
        <w:t>On April 17, 2008, the Board of Directors of Schlumberger approved an $8 billion share repurchase program for shares of Schlumberger common stock to be acquired in the open market before December 31, 2011, of which $934 million has been repurchased as of December 31, 2008.</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summarizes the activity under these share repurchase programs during 2008, 2007 and 2006:</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(Stated in thousands except per share amounts and prices)</w:t>
      </w:r>
    </w:p>
    <w:tbl>
      <w:tblPr>
        <w:tblLayout w:type="fixed"/>
        <w:tblInd w:w="1440" w:type="dxa"/>
        <w:tblCellMar>
          <w:top w:w="0" w:type="dxa"/>
          <w:left w:w="0" w:type="dxa"/>
          <w:bottom w:w="0" w:type="dxa"/>
          <w:right w:w="0" w:type="dxa"/>
        </w:tblCellMar>
      </w:tblPr>
      <w:tr>
        <w:trPr>
          <w:trHeight w:val="129"/>
        </w:trPr>
        <w:tc>
          <w:tcPr>
            <w:tcW w:w="294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Total cost</w:t>
            </w:r>
          </w:p>
        </w:tc>
        <w:tc>
          <w:tcPr>
            <w:tcW w:w="12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7"/>
              </w:rPr>
              <w:t>Total number</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of shares</w:t>
            </w: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price paid</w:t>
            </w:r>
          </w:p>
        </w:tc>
      </w:tr>
      <w:tr>
        <w:trPr>
          <w:trHeight w:val="174"/>
        </w:trPr>
        <w:tc>
          <w:tcPr>
            <w:tcW w:w="2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4"/>
              </w:rPr>
              <w:t>purchased</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purchased</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r>
      <w:tr>
        <w:trPr>
          <w:trHeight w:val="95"/>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2008</w:t>
            </w:r>
          </w:p>
        </w:tc>
        <w:tc>
          <w:tcPr>
            <w:tcW w:w="37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$1,818,841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21,064.7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86.35</w:t>
            </w:r>
          </w:p>
        </w:tc>
      </w:tr>
      <w:tr>
        <w:trPr>
          <w:trHeight w:val="149"/>
        </w:trPr>
        <w:tc>
          <w:tcPr>
            <w:tcW w:w="2940" w:type="dxa"/>
            <w:vAlign w:val="bottom"/>
          </w:tcPr>
          <w:p>
            <w:pPr>
              <w:jc w:val="right"/>
              <w:ind w:right="2612"/>
              <w:spacing w:after="0" w:line="149" w:lineRule="exact"/>
              <w:rPr>
                <w:sz w:val="20"/>
                <w:szCs w:val="20"/>
                <w:color w:val="auto"/>
              </w:rPr>
            </w:pPr>
            <w:r>
              <w:rPr>
                <w:rFonts w:ascii="Arial" w:cs="Arial" w:eastAsia="Arial" w:hAnsi="Arial"/>
                <w:sz w:val="14"/>
                <w:szCs w:val="14"/>
                <w:color w:val="auto"/>
                <w:w w:val="76"/>
              </w:rPr>
              <w:t>2007</w:t>
            </w:r>
          </w:p>
        </w:tc>
        <w:tc>
          <w:tcPr>
            <w:tcW w:w="37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$1,355,000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16,336.1</w:t>
            </w:r>
          </w:p>
        </w:tc>
        <w:tc>
          <w:tcPr>
            <w:tcW w:w="4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82.95</w:t>
            </w: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2006</w:t>
            </w:r>
          </w:p>
        </w:tc>
        <w:tc>
          <w:tcPr>
            <w:tcW w:w="37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$1,067,842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17,992.7</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59.35</w:t>
            </w:r>
          </w:p>
        </w:tc>
      </w:tr>
    </w:tbl>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Given the current credit and economic environment, Schlumberger anticipates that the total dollar amount of stock repurchases in 2009 may be significantly less than the $1.8 billion spent during 2008. This anticipated reduction will serve to increase Schlumberger’s financial flexibility during these uncertain times. Stock buy-back activity during 2009 will continue to be targeted to offset any dilution caused by the Schlumberger stock-based compensation programs.</w:t>
      </w:r>
    </w:p>
    <w:p>
      <w:pPr>
        <w:spacing w:after="0" w:line="12" w:lineRule="exact"/>
        <w:rPr>
          <w:sz w:val="20"/>
          <w:szCs w:val="20"/>
          <w:color w:val="auto"/>
        </w:rPr>
      </w:pPr>
    </w:p>
    <w:p>
      <w:pPr>
        <w:ind w:left="780" w:right="40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Cash flow provided by operations was $6.9 billion in 2008, $6.3 billion in 2007 and $4.7 billion in 2006. These improvements were driven by the revenue and net income increases experienced in 2008 and 2007 offset by required investments in working capital.</w:t>
      </w:r>
    </w:p>
    <w:p>
      <w:pPr>
        <w:spacing w:after="0" w:line="1" w:lineRule="exact"/>
        <w:rPr>
          <w:rFonts w:ascii="Arial" w:cs="Arial" w:eastAsia="Arial" w:hAnsi="Arial"/>
          <w:sz w:val="16"/>
          <w:szCs w:val="16"/>
          <w:color w:val="auto"/>
        </w:rPr>
      </w:pPr>
    </w:p>
    <w:p>
      <w:pPr>
        <w:ind w:left="780" w:right="140" w:hanging="326"/>
        <w:spacing w:after="0" w:line="325"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2008, 2007 and 2006, Schlumberger announced that its Board of Directors had approved increases in the quarterly dividend of 20%, 40% and 19%, respectively. Total dividends paid during 2008, 2007 and 2006 were $964 million, $771 million and $568 million, respectively.</w:t>
      </w:r>
    </w:p>
    <w:p>
      <w:pPr>
        <w:spacing w:after="0" w:line="1" w:lineRule="exact"/>
        <w:rPr>
          <w:rFonts w:ascii="Arial" w:cs="Arial" w:eastAsia="Arial" w:hAnsi="Arial"/>
          <w:sz w:val="16"/>
          <w:szCs w:val="16"/>
          <w:color w:val="auto"/>
        </w:rPr>
      </w:pPr>
    </w:p>
    <w:p>
      <w:pPr>
        <w:ind w:left="780" w:right="32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expenditures were $3.7 billion in 2008, $2.9 billion in 2007 and $2.5 billion in 2006. These increases were a result of the increased activity levels experienced in recent years. Capital expenditures are expected to approach $3.0 billion in 2009, including $385 million relating to the construction of seismic vessels.</w:t>
      </w:r>
    </w:p>
    <w:p>
      <w:pPr>
        <w:spacing w:after="0" w:line="45" w:lineRule="exact"/>
        <w:rPr>
          <w:rFonts w:ascii="Arial" w:cs="Arial" w:eastAsia="Arial" w:hAnsi="Arial"/>
          <w:sz w:val="18"/>
          <w:szCs w:val="18"/>
          <w:color w:val="auto"/>
        </w:rPr>
      </w:pPr>
    </w:p>
    <w:p>
      <w:pPr>
        <w:ind w:left="780" w:right="36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2008, 2007 and 2006 Schlumberger made $290 million, $250 million and $251 million, respectively, of contributions to its defined benefit pension plans. The US qualified pension plan was 71% funded at December 31, 2008 based on the projected benefit obligation. This compares to 109% funded at December 31, 2007.</w:t>
      </w:r>
    </w:p>
    <w:p>
      <w:pPr>
        <w:spacing w:after="0" w:line="46"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 xml:space="preserve">Outside of the US, Schlumberger’s International Staff Pension Plan, which was converted to a defined benefit pension plan during the fourth quarter of 2008 (and therefore accounts for approximately half of the increase in the Postretirement Benefits liability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2008), and UK pension plan are a combined 69% funded at December 31, 2008 based on the projected benefit obligation. The UK pension plan was 92% funded at December 31, 2007.</w:t>
      </w:r>
    </w:p>
    <w:p>
      <w:pPr>
        <w:spacing w:after="0" w:line="49" w:lineRule="exact"/>
        <w:rPr>
          <w:sz w:val="20"/>
          <w:szCs w:val="20"/>
          <w:color w:val="auto"/>
        </w:rPr>
      </w:pPr>
    </w:p>
    <w:p>
      <w:pPr>
        <w:ind w:left="800" w:right="280"/>
        <w:spacing w:after="0" w:line="268" w:lineRule="auto"/>
        <w:rPr>
          <w:sz w:val="20"/>
          <w:szCs w:val="20"/>
          <w:color w:val="auto"/>
        </w:rPr>
      </w:pPr>
      <w:r>
        <w:rPr>
          <w:rFonts w:ascii="Arial" w:cs="Arial" w:eastAsia="Arial" w:hAnsi="Arial"/>
          <w:sz w:val="18"/>
          <w:szCs w:val="18"/>
          <w:color w:val="auto"/>
        </w:rPr>
        <w:t>Schlumberger currently anticipates contributing approximately $400 million to $500 million to its defined benefit pension plans in 2009, subject to market and business conditions.</w:t>
      </w:r>
    </w:p>
    <w:p>
      <w:pPr>
        <w:spacing w:after="0" w:line="37" w:lineRule="exact"/>
        <w:rPr>
          <w:sz w:val="20"/>
          <w:szCs w:val="20"/>
          <w:color w:val="auto"/>
        </w:rPr>
      </w:pPr>
    </w:p>
    <w:p>
      <w:pPr>
        <w:jc w:val="both"/>
        <w:ind w:left="780" w:right="60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2008 and 2007, certain holders of Schlumberger Limited 1.5% Series A Convertible Debentures due June 1, 2023 and 2.125% Series B Convertible Debentures due June 1, 2023 converted their debentures into Schlumberger common stock. The following table summarizes these conversions:</w:t>
      </w:r>
    </w:p>
    <w:p>
      <w:pPr>
        <w:spacing w:after="0" w:line="122"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(Stated in millions)</w:t>
      </w:r>
    </w:p>
    <w:tbl>
      <w:tblPr>
        <w:tblLayout w:type="fixed"/>
        <w:tblInd w:w="1440" w:type="dxa"/>
        <w:tblCellMar>
          <w:top w:w="0" w:type="dxa"/>
          <w:left w:w="0" w:type="dxa"/>
          <w:bottom w:w="0" w:type="dxa"/>
          <w:right w:w="0" w:type="dxa"/>
        </w:tblCellMar>
      </w:tblPr>
      <w:tr>
        <w:trPr>
          <w:trHeight w:val="174"/>
        </w:trPr>
        <w:tc>
          <w:tcPr>
            <w:tcW w:w="38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76"/>
        </w:trPr>
        <w:tc>
          <w:tcPr>
            <w:tcW w:w="3840" w:type="dxa"/>
            <w:vAlign w:val="bottom"/>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Borders>
              <w:bottom w:val="single" w:sz="8" w:color="auto"/>
            </w:tcBorders>
            <w:gridSpan w:val="2"/>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263"/>
        </w:trPr>
        <w:tc>
          <w:tcPr>
            <w:tcW w:w="3840" w:type="dxa"/>
            <w:vAlign w:val="bottom"/>
          </w:tcPr>
          <w:p>
            <w:pPr>
              <w:spacing w:after="0"/>
              <w:rPr>
                <w:sz w:val="22"/>
                <w:szCs w:val="22"/>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Conversions</w:t>
            </w: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Shares issued</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2"/>
              </w:rPr>
              <w:t>Conversions</w:t>
            </w:r>
          </w:p>
        </w:tc>
        <w:tc>
          <w:tcPr>
            <w:tcW w:w="5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0"/>
              </w:rPr>
              <w:t>Shares issued</w:t>
            </w:r>
          </w:p>
        </w:tc>
        <w:tc>
          <w:tcPr>
            <w:tcW w:w="20" w:type="dxa"/>
            <w:vAlign w:val="bottom"/>
          </w:tcPr>
          <w:p>
            <w:pPr>
              <w:spacing w:after="0"/>
              <w:rPr>
                <w:sz w:val="22"/>
                <w:szCs w:val="22"/>
                <w:color w:val="auto"/>
              </w:rPr>
            </w:pPr>
          </w:p>
        </w:tc>
      </w:tr>
      <w:tr>
        <w:trPr>
          <w:trHeight w:val="95"/>
        </w:trPr>
        <w:tc>
          <w:tcPr>
            <w:tcW w:w="3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1.5% Series A debentures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353</w:t>
            </w:r>
          </w:p>
        </w:tc>
        <w:tc>
          <w:tcPr>
            <w:tcW w:w="1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9.76</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20" w:type="dxa"/>
            <w:vAlign w:val="bottom"/>
          </w:tcPr>
          <w:p>
            <w:pPr>
              <w:spacing w:after="0"/>
              <w:rPr>
                <w:sz w:val="12"/>
                <w:szCs w:val="12"/>
                <w:color w:val="auto"/>
              </w:rPr>
            </w:pPr>
          </w:p>
        </w:tc>
      </w:tr>
      <w:tr>
        <w:trPr>
          <w:trHeight w:val="174"/>
        </w:trPr>
        <w:tc>
          <w:tcPr>
            <w:tcW w:w="3840" w:type="dxa"/>
            <w:vAlign w:val="bottom"/>
          </w:tcPr>
          <w:p>
            <w:pPr>
              <w:spacing w:after="0"/>
              <w:rPr>
                <w:sz w:val="20"/>
                <w:szCs w:val="20"/>
                <w:color w:val="auto"/>
              </w:rPr>
            </w:pPr>
            <w:r>
              <w:rPr>
                <w:rFonts w:ascii="Arial" w:cs="Arial" w:eastAsia="Arial" w:hAnsi="Arial"/>
                <w:sz w:val="14"/>
                <w:szCs w:val="14"/>
                <w:color w:val="auto"/>
              </w:rPr>
              <w:t>2.125% Series B debentures</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2.36</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34</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0.85</w:t>
            </w:r>
          </w:p>
        </w:tc>
        <w:tc>
          <w:tcPr>
            <w:tcW w:w="20" w:type="dxa"/>
            <w:vAlign w:val="bottom"/>
          </w:tcPr>
          <w:p>
            <w:pPr>
              <w:spacing w:after="0"/>
              <w:rPr>
                <w:sz w:val="15"/>
                <w:szCs w:val="15"/>
                <w:color w:val="auto"/>
              </w:rPr>
            </w:pPr>
          </w:p>
        </w:tc>
      </w:tr>
      <w:tr>
        <w:trPr>
          <w:trHeight w:val="82"/>
        </w:trPr>
        <w:tc>
          <w:tcPr>
            <w:tcW w:w="38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3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9"/>
        </w:trPr>
        <w:tc>
          <w:tcPr>
            <w:tcW w:w="3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448</w:t>
            </w:r>
          </w:p>
        </w:tc>
        <w:tc>
          <w:tcPr>
            <w:tcW w:w="1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12.12</w:t>
            </w: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w:t>
            </w: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20" w:type="dxa"/>
            <w:vAlign w:val="bottom"/>
          </w:tcPr>
          <w:p>
            <w:pPr>
              <w:spacing w:after="0"/>
              <w:rPr>
                <w:sz w:val="12"/>
                <w:szCs w:val="12"/>
                <w:color w:val="auto"/>
              </w:rPr>
            </w:pPr>
          </w:p>
        </w:tc>
      </w:tr>
      <w:tr>
        <w:trPr>
          <w:trHeight w:val="132"/>
        </w:trPr>
        <w:tc>
          <w:tcPr>
            <w:tcW w:w="3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482"/>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ind w:right="152"/>
              <w:spacing w:after="0"/>
              <w:rPr>
                <w:sz w:val="20"/>
                <w:szCs w:val="20"/>
                <w:color w:val="auto"/>
              </w:rPr>
            </w:pPr>
            <w:r>
              <w:rPr>
                <w:rFonts w:ascii="Arial" w:cs="Arial" w:eastAsia="Arial" w:hAnsi="Arial"/>
                <w:sz w:val="14"/>
                <w:szCs w:val="14"/>
                <w:color w:val="auto"/>
              </w:rPr>
              <w:t>28</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-335280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-335280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-335280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-335280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-335280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-335280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-335280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-335280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-335280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-335280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At December 31, 2008, there were no outstanding Series A debentures and there were $321 million outstanding Series B debentures.</w:t>
      </w:r>
    </w:p>
    <w:p>
      <w:pPr>
        <w:spacing w:after="0" w:line="100" w:lineRule="exact"/>
        <w:rPr>
          <w:sz w:val="20"/>
          <w:szCs w:val="20"/>
          <w:color w:val="auto"/>
        </w:rPr>
      </w:pPr>
    </w:p>
    <w:p>
      <w:pPr>
        <w:ind w:left="780" w:right="1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10, 2007, Schlumberger completed the acquisition of Eastern Echo for $838 million in cash. Net assets acquired included $320 million of cash and investments and $182 million of long-term debt.</w:t>
      </w:r>
    </w:p>
    <w:p>
      <w:pPr>
        <w:spacing w:after="0" w:line="37"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28, 2006, Schlumberger acquired the remaining 30% minority interest in WesternGeco from Baker Hughes Incorporated for $2.4 billion in cash. Approximately 50% of the purchase price was funded from Schlumberger’s cash and investments. The remaining 50% was financed through existing Schlumberger credit facilities.</w:t>
      </w:r>
    </w:p>
    <w:p>
      <w:pPr>
        <w:spacing w:after="0" w:line="45" w:lineRule="exact"/>
        <w:rPr>
          <w:rFonts w:ascii="Arial" w:cs="Arial" w:eastAsia="Arial" w:hAnsi="Arial"/>
          <w:sz w:val="18"/>
          <w:szCs w:val="18"/>
          <w:color w:val="auto"/>
        </w:rPr>
      </w:pPr>
    </w:p>
    <w:p>
      <w:pPr>
        <w:ind w:left="780" w:right="80" w:hanging="326"/>
        <w:spacing w:after="0" w:line="298"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proceeds from these notes were used to repay commercial paper borrowings.</w:t>
      </w:r>
    </w:p>
    <w:p>
      <w:pPr>
        <w:spacing w:after="0" w:line="9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As of December 31, 2008, Schlumberger had approximately $3.7 billion of cash and short-term investments on hand. Wholly-owned subsidiaries of Schlumberger had separate committed debt facility agreements aggregating $3.9 billion with commercial banks, of which $1.8 billion was available and unused as of December 31, 2008. Schlumberger believes that these amounts are sufficient to meet future business requirements for at least the next twelve months.</w:t>
      </w:r>
    </w:p>
    <w:p>
      <w:pPr>
        <w:spacing w:after="0" w:line="1" w:lineRule="exact"/>
        <w:rPr>
          <w:sz w:val="20"/>
          <w:szCs w:val="20"/>
          <w:color w:val="auto"/>
        </w:rPr>
      </w:pPr>
    </w:p>
    <w:p>
      <w:pPr>
        <w:jc w:val="both"/>
        <w:ind w:right="100" w:firstLine="228"/>
        <w:spacing w:after="0" w:line="250" w:lineRule="auto"/>
        <w:rPr>
          <w:sz w:val="20"/>
          <w:szCs w:val="20"/>
          <w:color w:val="auto"/>
        </w:rPr>
      </w:pPr>
      <w:r>
        <w:rPr>
          <w:rFonts w:ascii="Arial" w:cs="Arial" w:eastAsia="Arial" w:hAnsi="Arial"/>
          <w:sz w:val="18"/>
          <w:szCs w:val="18"/>
          <w:color w:val="auto"/>
        </w:rPr>
        <w:t>The current portion of long-term debt at December 31, 2008 has increased by $0.5 billion to $1.1 billion, as compared to December 31, 2007. This increase is primarily attributable to the outstanding €400 million Guaranteed Floating Rate Notes due 2009 being reclassified from long-term debt at December 21, 2008 to current at December 31, 2008 due to their maturity in the next twelve months.</w:t>
      </w:r>
    </w:p>
    <w:p>
      <w:pPr>
        <w:spacing w:after="0" w:line="1"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Schlumberger’s total outstanding debt at December 31, 2008 was $5.3 billion and included approximately $1.1 billion of commercial paper borrowings. The total outstanding debt decreased approximately $0.2 billion compared to December 31, 2007.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6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Payment Period</w:t>
            </w: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gridSpan w:val="2"/>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1"/>
                <w:szCs w:val="21"/>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2010 - 2011</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2012 - 2013</w:t>
            </w:r>
          </w:p>
        </w:tc>
        <w:tc>
          <w:tcPr>
            <w:tcW w:w="600" w:type="dxa"/>
            <w:vAlign w:val="bottom"/>
          </w:tcPr>
          <w:p>
            <w:pPr>
              <w:spacing w:after="0"/>
              <w:rPr>
                <w:sz w:val="21"/>
                <w:szCs w:val="21"/>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After 2013</w:t>
            </w: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Debt </w:t>
            </w:r>
            <w:r>
              <w:rPr>
                <w:rFonts w:ascii="Arial" w:cs="Arial" w:eastAsia="Arial" w:hAnsi="Arial"/>
                <w:sz w:val="20"/>
                <w:szCs w:val="20"/>
                <w:color w:val="auto"/>
                <w:vertAlign w:val="superscript"/>
              </w:rPr>
              <w:t>1</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$5,291</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w w:val="79"/>
              </w:rPr>
              <w:t>1,597</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2,148</w:t>
            </w: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$1,025</w:t>
            </w:r>
          </w:p>
        </w:tc>
        <w:tc>
          <w:tcPr>
            <w:tcW w:w="6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293</w:t>
            </w:r>
          </w:p>
        </w:tc>
        <w:tc>
          <w:tcPr>
            <w:tcW w:w="2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600" w:type="dxa"/>
            <w:vAlign w:val="bottom"/>
          </w:tcPr>
          <w:p>
            <w:pPr>
              <w:spacing w:after="0"/>
              <w:rPr>
                <w:sz w:val="12"/>
                <w:szCs w:val="12"/>
                <w:color w:val="auto"/>
              </w:rPr>
            </w:pP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20"/>
                <w:szCs w:val="20"/>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$1,588</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w w:val="79"/>
              </w:rPr>
              <w:t>1,461</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63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$7,904</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79"/>
              </w:rPr>
              <w:t>3,351</w:t>
            </w:r>
          </w:p>
        </w:tc>
        <w:tc>
          <w:tcPr>
            <w:tcW w:w="2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1,991</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2,304</w:t>
            </w: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3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444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Excludes future payments for interest. Includes amounts relating to the $321 million of Convertible Debentures which are described in Note 11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22" w:lineRule="exact"/>
        <w:rPr>
          <w:rFonts w:ascii="Arial" w:cs="Arial" w:eastAsia="Arial" w:hAnsi="Arial"/>
          <w:sz w:val="12"/>
          <w:szCs w:val="12"/>
          <w:color w:val="auto"/>
        </w:rPr>
      </w:pPr>
    </w:p>
    <w:p>
      <w:pPr>
        <w:ind w:left="340" w:right="440" w:hanging="332"/>
        <w:spacing w:after="0" w:line="230"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an estimate of contractual obligations in the ordinary course of business. Although these contractual obligations are considered enforceable and legally binding, the terms generally allow Schlumberger the option to reschedule and adjust their requirements based on business needs prior to the delivery of goods.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19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Schlumberger’s pension and other postretirement benefit obligations.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00" w:firstLine="228"/>
        <w:spacing w:after="0" w:line="283" w:lineRule="auto"/>
        <w:rPr>
          <w:sz w:val="20"/>
          <w:szCs w:val="20"/>
          <w:color w:val="auto"/>
        </w:rPr>
      </w:pPr>
      <w:r>
        <w:rPr>
          <w:rFonts w:ascii="Arial" w:cs="Arial" w:eastAsia="Arial" w:hAnsi="Arial"/>
          <w:sz w:val="16"/>
          <w:szCs w:val="16"/>
          <w:color w:val="auto"/>
        </w:rPr>
        <w:t xml:space="preserve">As discussed in Note 15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2008 is approximately $877 million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3" w:lineRule="exact"/>
        <w:rPr>
          <w:sz w:val="20"/>
          <w:szCs w:val="20"/>
          <w:color w:val="auto"/>
        </w:rPr>
      </w:pPr>
    </w:p>
    <w:p>
      <w:pPr>
        <w:jc w:val="both"/>
        <w:ind w:right="220" w:firstLine="228"/>
        <w:spacing w:after="0" w:line="361"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5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15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The WesternGeco segment capitalizes the costs associated with obtaining multiclient seismic data. The carrying value of the multiclient seismic data library at December 31, 2008 and 2007 was $287 million and $182 million, respectively.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primarily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 Certain larger surveys are analyzed for impairment on a survey by survey basis. These surveys are typically significantly prefunded by customers and accordingly, management has determined that it is not appropriate to include them within the United States and non-United States pools for impairment review purposes.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A significant amount of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 records as goodwill the excess of purchase price over the fair value of the tangible and identifiable intangible assets acquired. Statement of Financial Accounting Standards No.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4"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Determining the fair value of a reporting unit is a matter of judgment and often involves the use of significant estimates and assumptions. Schlumberger’s estimates of the fair value of each of its reporting units were significantly in excess of their respective carrying values at the time of the annual goodwill impairment tests for 2008, 2007 and 2006.</w:t>
      </w:r>
    </w:p>
    <w:p>
      <w:pPr>
        <w:spacing w:after="0" w:line="3"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over 100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19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or upon the occurrence of significant events.</w:t>
      </w:r>
    </w:p>
    <w:p>
      <w:pPr>
        <w:spacing w:after="0" w:line="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50" w:lineRule="exact"/>
        <w:rPr>
          <w:sz w:val="20"/>
          <w:szCs w:val="20"/>
          <w:color w:val="auto"/>
        </w:rPr>
      </w:pPr>
    </w:p>
    <w:p>
      <w:pPr>
        <w:ind w:left="780" w:right="3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plans was 6.50% at both December 31, 2008 and December 31, 2007.</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6.48% at December 31, 2008 and 5.80% at December 31, 2007.</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discount rate utilized to determine expense for Schlumberger’s United States pension plans and postretirement medical plans was increased from 6.00% in 2007 to 6.50% in 2008.</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was increased from 5.20% in 2007 to 5.80% in 2008.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higher discount rate decreases the present value of benefit obligations and decreases expense.</w:t>
      </w:r>
    </w:p>
    <w:p>
      <w:pPr>
        <w:spacing w:after="0" w:line="15"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for the United States pension plans was 8.50% in 2008 and 2007. The expected rate of return on plan assets for the international plans was 8.00% in 2008 and 2007. A lower expected rate of return would increase pension expense.</w:t>
      </w:r>
    </w:p>
    <w:p>
      <w:pPr>
        <w:spacing w:after="0" w:line="3"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Schlumberger’s medical cost trend rate assumptions are developed based on historical cost data, the near-term outlook and an assessment of likely long-term trends. The overall medical cost trend rate assumption utilized in both 2008 and 2007 was 9% graded to 6% over the next four years and 5% thereafter.</w:t>
      </w:r>
    </w:p>
    <w:p>
      <w:pPr>
        <w:spacing w:after="0" w:line="1" w:lineRule="exact"/>
        <w:rPr>
          <w:sz w:val="20"/>
          <w:szCs w:val="20"/>
          <w:color w:val="auto"/>
        </w:rPr>
      </w:pPr>
    </w:p>
    <w:p>
      <w:pPr>
        <w:ind w:right="480" w:firstLine="228"/>
        <w:spacing w:after="0" w:line="261"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the United States and international pension plans: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320" w:type="dxa"/>
            <w:vAlign w:val="bottom"/>
            <w:tcBorders>
              <w:top w:val="single" w:sz="8" w:color="auto"/>
            </w:tcBorders>
          </w:tcPr>
          <w:p>
            <w:pPr>
              <w:spacing w:after="0"/>
              <w:rPr>
                <w:sz w:val="11"/>
                <w:szCs w:val="11"/>
                <w:color w:val="auto"/>
              </w:rPr>
            </w:pPr>
          </w:p>
        </w:tc>
        <w:tc>
          <w:tcPr>
            <w:tcW w:w="5780" w:type="dxa"/>
            <w:vAlign w:val="bottom"/>
            <w:tcBorders>
              <w:top w:val="single" w:sz="8" w:color="auto"/>
            </w:tcBorders>
            <w:gridSpan w:val="2"/>
          </w:tcPr>
          <w:p>
            <w:pPr>
              <w:jc w:val="right"/>
              <w:ind w:right="452"/>
              <w:spacing w:after="0" w:line="129" w:lineRule="exact"/>
              <w:rPr>
                <w:sz w:val="20"/>
                <w:szCs w:val="20"/>
                <w:color w:val="auto"/>
              </w:rPr>
            </w:pPr>
            <w:r>
              <w:rPr>
                <w:rFonts w:ascii="Arial" w:cs="Arial" w:eastAsia="Arial" w:hAnsi="Arial"/>
                <w:sz w:val="14"/>
                <w:szCs w:val="14"/>
                <w:b w:val="1"/>
                <w:bCs w:val="1"/>
                <w:color w:val="auto"/>
              </w:rPr>
              <w:t>Effect on 2008</w:t>
            </w:r>
          </w:p>
        </w:tc>
        <w:tc>
          <w:tcPr>
            <w:tcW w:w="132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780" w:type="dxa"/>
            <w:vAlign w:val="bottom"/>
            <w:gridSpan w:val="2"/>
          </w:tcPr>
          <w:p>
            <w:pPr>
              <w:jc w:val="right"/>
              <w:ind w:right="452"/>
              <w:spacing w:after="0" w:line="149" w:lineRule="exact"/>
              <w:rPr>
                <w:sz w:val="20"/>
                <w:szCs w:val="20"/>
                <w:color w:val="auto"/>
              </w:rPr>
            </w:pPr>
            <w:r>
              <w:rPr>
                <w:rFonts w:ascii="Arial" w:cs="Arial" w:eastAsia="Arial" w:hAnsi="Arial"/>
                <w:sz w:val="14"/>
                <w:szCs w:val="14"/>
                <w:b w:val="1"/>
                <w:bCs w:val="1"/>
                <w:color w:val="auto"/>
              </w:rPr>
              <w:t>Pretax Pension</w:t>
            </w:r>
          </w:p>
        </w:tc>
        <w:tc>
          <w:tcPr>
            <w:tcW w:w="13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Dec. 31, 2008</w:t>
            </w:r>
          </w:p>
        </w:tc>
        <w:tc>
          <w:tcPr>
            <w:tcW w:w="0" w:type="dxa"/>
            <w:vAlign w:val="bottom"/>
          </w:tcPr>
          <w:p>
            <w:pPr>
              <w:spacing w:after="0"/>
              <w:rPr>
                <w:sz w:val="1"/>
                <w:szCs w:val="1"/>
                <w:color w:val="auto"/>
              </w:rPr>
            </w:pPr>
          </w:p>
        </w:tc>
      </w:tr>
      <w:tr>
        <w:trPr>
          <w:trHeight w:val="17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578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Expense</w:t>
            </w: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5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w w:val="76"/>
              </w:rPr>
              <w:t>15</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512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660" w:type="dxa"/>
            <w:vAlign w:val="bottom"/>
          </w:tcPr>
          <w:p>
            <w:pPr>
              <w:jc w:val="right"/>
              <w:ind w:right="452"/>
              <w:spacing w:after="0" w:line="149" w:lineRule="exact"/>
              <w:rPr>
                <w:sz w:val="20"/>
                <w:szCs w:val="20"/>
                <w:color w:val="auto"/>
              </w:rPr>
            </w:pPr>
            <w:r>
              <w:rPr>
                <w:rFonts w:ascii="Arial" w:cs="Arial" w:eastAsia="Arial" w:hAnsi="Arial"/>
                <w:sz w:val="14"/>
                <w:szCs w:val="14"/>
                <w:color w:val="auto"/>
                <w:w w:val="76"/>
              </w:rPr>
              <w:t>14</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 $172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5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52"/>
              <w:spacing w:after="0" w:line="149" w:lineRule="exact"/>
              <w:rPr>
                <w:sz w:val="20"/>
                <w:szCs w:val="20"/>
                <w:color w:val="auto"/>
              </w:rPr>
            </w:pPr>
            <w:r>
              <w:rPr>
                <w:rFonts w:ascii="Arial" w:cs="Arial" w:eastAsia="Arial" w:hAnsi="Arial"/>
                <w:sz w:val="14"/>
                <w:szCs w:val="14"/>
                <w:color w:val="auto"/>
              </w:rPr>
              <w:t>7</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5120" w:type="dxa"/>
            <w:vAlign w:val="bottom"/>
          </w:tcPr>
          <w:p>
            <w:pPr>
              <w:jc w:val="right"/>
              <w:spacing w:after="0"/>
              <w:rPr>
                <w:sz w:val="20"/>
                <w:szCs w:val="20"/>
                <w:color w:val="auto"/>
              </w:rPr>
            </w:pPr>
            <w:r>
              <w:rPr>
                <w:rFonts w:ascii="Arial" w:cs="Arial" w:eastAsia="Arial" w:hAnsi="Arial"/>
                <w:sz w:val="14"/>
                <w:szCs w:val="14"/>
                <w:color w:val="auto"/>
              </w:rPr>
              <w:t>- $</w:t>
            </w:r>
          </w:p>
        </w:tc>
        <w:tc>
          <w:tcPr>
            <w:tcW w:w="660" w:type="dxa"/>
            <w:vAlign w:val="bottom"/>
          </w:tcPr>
          <w:p>
            <w:pPr>
              <w:jc w:val="right"/>
              <w:ind w:right="452"/>
              <w:spacing w:after="0"/>
              <w:rPr>
                <w:sz w:val="20"/>
                <w:szCs w:val="20"/>
                <w:color w:val="auto"/>
              </w:rPr>
            </w:pPr>
            <w:r>
              <w:rPr>
                <w:rFonts w:ascii="Arial" w:cs="Arial" w:eastAsia="Arial" w:hAnsi="Arial"/>
                <w:sz w:val="14"/>
                <w:szCs w:val="14"/>
                <w:color w:val="auto"/>
              </w:rPr>
              <w:t>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120" w:type="dxa"/>
            <w:vAlign w:val="bottom"/>
          </w:tcPr>
          <w:p>
            <w:pPr>
              <w:jc w:val="right"/>
              <w:ind w:right="3612"/>
              <w:spacing w:after="0"/>
              <w:rPr>
                <w:sz w:val="20"/>
                <w:szCs w:val="20"/>
                <w:color w:val="auto"/>
              </w:rPr>
            </w:pPr>
            <w:r>
              <w:rPr>
                <w:rFonts w:ascii="Arial" w:cs="Arial" w:eastAsia="Arial" w:hAnsi="Arial"/>
                <w:sz w:val="14"/>
                <w:szCs w:val="14"/>
                <w:color w:val="auto"/>
              </w:rPr>
              <w:t>32</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 7A</w:t>
      </w:r>
    </w:p>
    <w:p>
      <w:pPr>
        <w:spacing w:after="0" w:line="206" w:lineRule="exact"/>
        <w:rPr>
          <w:sz w:val="20"/>
          <w:szCs w:val="20"/>
          <w:color w:val="auto"/>
        </w:rPr>
      </w:pPr>
    </w:p>
    <w:p>
      <w:pPr>
        <w:ind w:right="820" w:firstLine="228"/>
        <w:spacing w:after="0" w:line="268"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30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Effect on 2008</w:t>
            </w:r>
          </w:p>
        </w:tc>
        <w:tc>
          <w:tcPr>
            <w:tcW w:w="1380" w:type="dxa"/>
            <w:vAlign w:val="bottom"/>
            <w:gridSpan w:val="3"/>
          </w:tcPr>
          <w:p>
            <w:pPr>
              <w:jc w:val="center"/>
              <w:ind w:left="752"/>
              <w:spacing w:after="0"/>
              <w:rPr>
                <w:sz w:val="20"/>
                <w:szCs w:val="20"/>
                <w:color w:val="auto"/>
              </w:rPr>
            </w:pPr>
            <w:r>
              <w:rPr>
                <w:rFonts w:ascii="Arial" w:cs="Arial" w:eastAsia="Arial" w:hAnsi="Arial"/>
                <w:sz w:val="14"/>
                <w:szCs w:val="14"/>
                <w:b w:val="1"/>
                <w:bCs w:val="1"/>
                <w:color w:val="auto"/>
                <w:w w:val="86"/>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4300" w:type="dxa"/>
            <w:vAlign w:val="bottom"/>
            <w:gridSpan w:val="2"/>
          </w:tcPr>
          <w:p>
            <w:pPr>
              <w:jc w:val="right"/>
              <w:ind w:right="555"/>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38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6"/>
              </w:rPr>
              <w:t>Dec. 31, 2008</w:t>
            </w:r>
          </w:p>
        </w:tc>
        <w:tc>
          <w:tcPr>
            <w:tcW w:w="0" w:type="dxa"/>
            <w:vAlign w:val="bottom"/>
          </w:tcPr>
          <w:p>
            <w:pPr>
              <w:spacing w:after="0"/>
              <w:rPr>
                <w:sz w:val="1"/>
                <w:szCs w:val="1"/>
                <w:color w:val="auto"/>
              </w:rPr>
            </w:pP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430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Medical Expense</w:t>
            </w:r>
          </w:p>
        </w:tc>
        <w:tc>
          <w:tcPr>
            <w:tcW w:w="138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4"/>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3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55"/>
              <w:spacing w:after="0" w:line="149" w:lineRule="exact"/>
              <w:rPr>
                <w:sz w:val="20"/>
                <w:szCs w:val="20"/>
                <w:color w:val="auto"/>
              </w:rPr>
            </w:pPr>
            <w:r>
              <w:rPr>
                <w:rFonts w:ascii="Arial" w:cs="Arial" w:eastAsia="Arial" w:hAnsi="Arial"/>
                <w:sz w:val="14"/>
                <w:szCs w:val="14"/>
                <w:color w:val="auto"/>
              </w:rPr>
              <w:t>3</w:t>
            </w:r>
          </w:p>
        </w:tc>
        <w:tc>
          <w:tcPr>
            <w:tcW w:w="1160" w:type="dxa"/>
            <w:vAlign w:val="bottom"/>
            <w:shd w:val="clear" w:color="auto" w:fill="CCEEFF"/>
          </w:tcPr>
          <w:p>
            <w:pPr>
              <w:jc w:val="center"/>
              <w:ind w:left="952"/>
              <w:spacing w:after="0" w:line="149" w:lineRule="exact"/>
              <w:rPr>
                <w:sz w:val="20"/>
                <w:szCs w:val="20"/>
                <w:color w:val="auto"/>
              </w:rPr>
            </w:pPr>
            <w:r>
              <w:rPr>
                <w:rFonts w:ascii="Arial" w:cs="Arial" w:eastAsia="Arial" w:hAnsi="Arial"/>
                <w:sz w:val="14"/>
                <w:szCs w:val="14"/>
                <w:color w:val="auto"/>
                <w:w w:val="87"/>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356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740" w:type="dxa"/>
            <w:vAlign w:val="bottom"/>
          </w:tcPr>
          <w:p>
            <w:pPr>
              <w:jc w:val="right"/>
              <w:ind w:right="555"/>
              <w:spacing w:after="0" w:line="149" w:lineRule="exact"/>
              <w:rPr>
                <w:sz w:val="20"/>
                <w:szCs w:val="20"/>
                <w:color w:val="auto"/>
              </w:rPr>
            </w:pPr>
            <w:r>
              <w:rPr>
                <w:rFonts w:ascii="Arial" w:cs="Arial" w:eastAsia="Arial" w:hAnsi="Arial"/>
                <w:sz w:val="14"/>
                <w:szCs w:val="14"/>
                <w:color w:val="auto"/>
              </w:rPr>
              <w:t>3</w:t>
            </w:r>
          </w:p>
        </w:tc>
        <w:tc>
          <w:tcPr>
            <w:tcW w:w="1160" w:type="dxa"/>
            <w:vAlign w:val="bottom"/>
          </w:tcPr>
          <w:p>
            <w:pPr>
              <w:jc w:val="center"/>
              <w:ind w:left="952"/>
              <w:spacing w:after="0" w:line="149" w:lineRule="exact"/>
              <w:rPr>
                <w:sz w:val="20"/>
                <w:szCs w:val="20"/>
                <w:color w:val="auto"/>
              </w:rPr>
            </w:pPr>
            <w:r>
              <w:rPr>
                <w:rFonts w:ascii="Arial" w:cs="Arial" w:eastAsia="Arial" w:hAnsi="Arial"/>
                <w:sz w:val="14"/>
                <w:szCs w:val="14"/>
                <w:color w:val="auto"/>
                <w:w w:val="85"/>
              </w:rPr>
              <w:t>- $</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per annum in medical cost trend rate</w:t>
            </w:r>
          </w:p>
        </w:tc>
        <w:tc>
          <w:tcPr>
            <w:tcW w:w="3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2"/>
                <w:szCs w:val="12"/>
                <w:color w:val="auto"/>
                <w:w w:val="74"/>
              </w:rPr>
              <w:t>19</w:t>
            </w:r>
          </w:p>
        </w:tc>
        <w:tc>
          <w:tcPr>
            <w:tcW w:w="1160" w:type="dxa"/>
            <w:vAlign w:val="bottom"/>
            <w:shd w:val="clear" w:color="auto" w:fill="CCEEFF"/>
          </w:tcPr>
          <w:p>
            <w:pPr>
              <w:jc w:val="center"/>
              <w:ind w:left="952"/>
              <w:spacing w:after="0" w:line="149" w:lineRule="exact"/>
              <w:rPr>
                <w:sz w:val="20"/>
                <w:szCs w:val="20"/>
                <w:color w:val="auto"/>
              </w:rPr>
            </w:pPr>
            <w:r>
              <w:rPr>
                <w:rFonts w:ascii="Arial" w:cs="Arial" w:eastAsia="Arial" w:hAnsi="Arial"/>
                <w:sz w:val="14"/>
                <w:szCs w:val="14"/>
                <w:color w:val="auto"/>
                <w:w w:val="85"/>
              </w:rPr>
              <w:t>- $</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4"/>
                <w:szCs w:val="14"/>
                <w:color w:val="auto"/>
              </w:rPr>
              <w:t>100 basis point increase per annum in medical cost trend rate</w:t>
            </w:r>
          </w:p>
        </w:tc>
        <w:tc>
          <w:tcPr>
            <w:tcW w:w="35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55"/>
              <w:spacing w:after="0"/>
              <w:rPr>
                <w:sz w:val="20"/>
                <w:szCs w:val="20"/>
                <w:color w:val="auto"/>
              </w:rPr>
            </w:pPr>
            <w:r>
              <w:rPr>
                <w:rFonts w:ascii="Arial" w:cs="Arial" w:eastAsia="Arial" w:hAnsi="Arial"/>
                <w:sz w:val="12"/>
                <w:szCs w:val="12"/>
                <w:color w:val="auto"/>
                <w:w w:val="74"/>
              </w:rPr>
              <w:t>23</w:t>
            </w:r>
          </w:p>
        </w:tc>
        <w:tc>
          <w:tcPr>
            <w:tcW w:w="1160" w:type="dxa"/>
            <w:vAlign w:val="bottom"/>
          </w:tcPr>
          <w:p>
            <w:pPr>
              <w:jc w:val="center"/>
              <w:ind w:left="952"/>
              <w:spacing w:after="0"/>
              <w:rPr>
                <w:sz w:val="20"/>
                <w:szCs w:val="20"/>
                <w:color w:val="auto"/>
              </w:rPr>
            </w:pPr>
            <w:r>
              <w:rPr>
                <w:rFonts w:ascii="Arial" w:cs="Arial" w:eastAsia="Arial" w:hAnsi="Arial"/>
                <w:sz w:val="14"/>
                <w:szCs w:val="14"/>
                <w:color w:val="auto"/>
                <w:w w:val="87"/>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 subject to market risks primarily associated with changes in foreign currency exchange rates, commodity prices and interest rates.</w:t>
      </w:r>
    </w:p>
    <w:p>
      <w:pPr>
        <w:spacing w:after="0" w:line="38"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a multinational company, Schlumberger conducts business in approximately 80 countries. Schlumberger’s functional currency is primarily the US dollar, which is consistent with the oil and gas industry. Approximately 80% of Schlumberger’s revenue in 2008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3"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A 5% change in the average exchange rates of all the foreign currencies in 2008 would have changed revenue by approximately 1%. If the 2008 average exchange rates of the US dollar against all foreign currencies had strengthened by 5%, Schlumberger’s income from continuing operations would have increased by approximately 2%. Conversely, a 5% weakening of the US dollar average exchange rates would have decreased income from continuing operations by approximately 3%.</w:t>
      </w:r>
    </w:p>
    <w:p>
      <w:pPr>
        <w:spacing w:after="0" w:line="2"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to provide a hedge against currency fluctuations either on monetary assets/liabilities denominated in other than a functional currency or on expenses.</w:t>
      </w:r>
    </w:p>
    <w:p>
      <w:pPr>
        <w:spacing w:after="0" w:line="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At December 31, 2008, contracts were outstanding for the US dollar equivalent of $2.9 billion in various foreign currencies. These contracts mature on various dates in 2009.</w:t>
      </w:r>
    </w:p>
    <w:p>
      <w:pPr>
        <w:spacing w:after="0" w:line="1" w:lineRule="exact"/>
        <w:rPr>
          <w:sz w:val="20"/>
          <w:szCs w:val="20"/>
          <w:color w:val="auto"/>
        </w:rPr>
      </w:pPr>
    </w:p>
    <w:p>
      <w:pPr>
        <w:jc w:val="both"/>
        <w:ind w:right="360" w:firstLine="228"/>
        <w:spacing w:after="0" w:line="250"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generally does not involve derivatives and instead primarily uses a mix of variable and fixed rate debt combined with its investment portfolio to mitigate the exposure to changes in interest rates. At December 31, 2008, Schlumberger had fixed rate debt aggregating approximately $2.2 billion and variable rate debt aggregating approximately $3.1 billion.</w:t>
      </w:r>
    </w:p>
    <w:p>
      <w:pPr>
        <w:spacing w:after="0" w:line="2" w:lineRule="exact"/>
        <w:rPr>
          <w:sz w:val="20"/>
          <w:szCs w:val="20"/>
          <w:color w:val="auto"/>
        </w:rPr>
      </w:pPr>
    </w:p>
    <w:p>
      <w:pPr>
        <w:ind w:right="240" w:firstLine="228"/>
        <w:spacing w:after="0" w:line="254" w:lineRule="auto"/>
        <w:rPr>
          <w:sz w:val="20"/>
          <w:szCs w:val="20"/>
          <w:color w:val="auto"/>
        </w:rPr>
      </w:pPr>
      <w:r>
        <w:rPr>
          <w:rFonts w:ascii="Arial" w:cs="Arial" w:eastAsia="Arial" w:hAnsi="Arial"/>
          <w:sz w:val="18"/>
          <w:szCs w:val="18"/>
          <w:color w:val="auto"/>
        </w:rPr>
        <w:t xml:space="preserve">Schlumberger’s exposure to interest rate risk associated with its debt is also partially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w:t>
      </w:r>
      <w:r>
        <w:rPr>
          <w:rFonts w:ascii="Arial" w:cs="Arial" w:eastAsia="Arial" w:hAnsi="Arial"/>
          <w:sz w:val="18"/>
          <w:szCs w:val="18"/>
          <w:color w:val="auto"/>
        </w:rPr>
        <w:t>, which totaled approximately $4.0 billion at December 31, 2008, are comprised primarily of money market funds,</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time deposits, certificates of deposit, commercial paper, euro notes and Eurobonds and are substantially all denominated in US dollars. The average return on investment was 3.5% in 2008.</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represents principal amounts of Schlumberger’s debt at December 31, 2008 by year of maturity: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7"/>
          </w:tcPr>
          <w:p>
            <w:pPr>
              <w:ind w:left="140"/>
              <w:spacing w:after="0"/>
              <w:rPr>
                <w:sz w:val="20"/>
                <w:szCs w:val="20"/>
                <w:color w:val="auto"/>
              </w:rPr>
            </w:pPr>
            <w:r>
              <w:rPr>
                <w:rFonts w:ascii="Arial" w:cs="Arial" w:eastAsia="Arial" w:hAnsi="Arial"/>
                <w:sz w:val="14"/>
                <w:szCs w:val="14"/>
                <w:b w:val="1"/>
                <w:bCs w:val="1"/>
                <w:color w:val="auto"/>
                <w:w w:val="93"/>
              </w:rPr>
              <w:t>Expected Maturity Dates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320" w:type="dxa"/>
            <w:vAlign w:val="bottom"/>
          </w:tcPr>
          <w:p>
            <w:pPr>
              <w:spacing w:after="0"/>
              <w:rPr>
                <w:sz w:val="22"/>
                <w:szCs w:val="22"/>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rate debt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5.25% Guaranteed Bonds (Euro denominated)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714</w:t>
            </w:r>
          </w:p>
        </w:tc>
        <w:tc>
          <w:tcPr>
            <w:tcW w:w="3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2.125% Series B Convertible Debentures</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$321</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5.14% Guaranteed Notes (Canadian dollar denominated)</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(Euro denominated)</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6.5% Notes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647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$524</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w:t>
            </w:r>
          </w:p>
        </w:tc>
        <w:tc>
          <w:tcPr>
            <w:tcW w:w="4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714</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2,240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20"/>
                <w:szCs w:val="20"/>
                <w:color w:val="auto"/>
              </w:rPr>
            </w:pPr>
            <w:r>
              <w:rPr>
                <w:rFonts w:ascii="Arial" w:cs="Arial" w:eastAsia="Arial" w:hAnsi="Arial"/>
                <w:sz w:val="14"/>
                <w:szCs w:val="14"/>
                <w:b w:val="1"/>
                <w:bCs w:val="1"/>
                <w:color w:val="auto"/>
              </w:rPr>
              <w:t>Variable rate debt</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1,597</w:t>
            </w: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$245</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$422</w:t>
            </w:r>
          </w:p>
        </w:tc>
        <w:tc>
          <w:tcPr>
            <w:tcW w:w="4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771</w:t>
            </w:r>
          </w:p>
        </w:tc>
        <w:tc>
          <w:tcPr>
            <w:tcW w:w="32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32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3,051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1,597</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$769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$777</w:t>
            </w:r>
          </w:p>
        </w:tc>
        <w:tc>
          <w:tcPr>
            <w:tcW w:w="4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1,418</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730</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5,291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7876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225" w:lineRule="exact"/>
        <w:rPr>
          <w:sz w:val="20"/>
          <w:szCs w:val="20"/>
          <w:color w:val="auto"/>
        </w:rPr>
      </w:pPr>
    </w:p>
    <w:p>
      <w:pPr>
        <w:ind w:right="280" w:firstLine="228"/>
        <w:spacing w:after="0" w:line="254" w:lineRule="auto"/>
        <w:rPr>
          <w:sz w:val="20"/>
          <w:szCs w:val="20"/>
          <w:color w:val="auto"/>
        </w:rPr>
      </w:pPr>
      <w:r>
        <w:rPr>
          <w:rFonts w:ascii="Arial" w:cs="Arial" w:eastAsia="Arial" w:hAnsi="Arial"/>
          <w:sz w:val="18"/>
          <w:szCs w:val="18"/>
          <w:color w:val="auto"/>
        </w:rPr>
        <w:t>The fair market value of the outstanding fixed rate debt was approximately $2.4 billion as of December 31, 2008. The weighted average interest rate on the variable rate debt as of December 31, 2008 was approximately 4.5%.</w:t>
      </w: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as well as research &amp; development spending, by Schlumberger and the oil and gas industry; the business strategies of Schlumberger’s customers; the Schlumberger effective tax rate; Schlumberger’s stock repurchase program; expected pension and post-retirement funding; expected stock compensation costs; exploitation and integration of technology;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the financial condition of our suppliers and customers in light of current global economic conditions; operational and project modifications, delays or cancellations; political and economic uncertainty and socio-political unrest; and other risks and uncertainties described elsewhere in this Report, including under “Item 1A. Risk Factors”.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INCOME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74"/>
        </w:trPr>
        <w:tc>
          <w:tcPr>
            <w:tcW w:w="81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0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27,162,933</w:t>
            </w: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23,276,542</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19,230,478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line="149" w:lineRule="exact"/>
              <w:rPr>
                <w:sz w:val="20"/>
                <w:szCs w:val="20"/>
                <w:color w:val="auto"/>
              </w:rPr>
            </w:pPr>
            <w:r>
              <w:rPr>
                <w:rFonts w:ascii="Arial" w:cs="Arial" w:eastAsia="Arial" w:hAnsi="Arial"/>
                <w:sz w:val="14"/>
                <w:szCs w:val="14"/>
                <w:i w:val="1"/>
                <w:iCs w:val="1"/>
                <w:color w:val="auto"/>
              </w:rPr>
              <w:t>Interest and other income, net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401,834</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431,495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286,716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320"/>
              <w:spacing w:after="0" w:line="149" w:lineRule="exact"/>
              <w:rPr>
                <w:sz w:val="20"/>
                <w:szCs w:val="20"/>
                <w:color w:val="auto"/>
              </w:rPr>
            </w:pPr>
            <w:r>
              <w:rPr>
                <w:rFonts w:ascii="Arial" w:cs="Arial" w:eastAsia="Arial" w:hAnsi="Arial"/>
                <w:sz w:val="14"/>
                <w:szCs w:val="14"/>
                <w:color w:val="auto"/>
              </w:rPr>
              <w:t>Cost of goods sold and services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18,967,031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15,481,746</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13,182,753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Research &amp; engineering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818,791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728,491</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320"/>
              <w:spacing w:after="0" w:line="149" w:lineRule="exact"/>
              <w:rPr>
                <w:sz w:val="20"/>
                <w:szCs w:val="20"/>
                <w:color w:val="auto"/>
              </w:rPr>
            </w:pPr>
            <w:r>
              <w:rPr>
                <w:rFonts w:ascii="Arial" w:cs="Arial" w:eastAsia="Arial" w:hAnsi="Arial"/>
                <w:sz w:val="14"/>
                <w:szCs w:val="14"/>
                <w:color w:val="auto"/>
              </w:rPr>
              <w:t>Marketing</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95,120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81,545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75,704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General &amp; administrative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584,118</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517,248</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456,347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ind w:left="320"/>
              <w:spacing w:after="0"/>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247,252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274,558</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234,916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6,852,455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6,624,449</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4,948,158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ind w:left="320"/>
              <w:spacing w:after="0"/>
              <w:rPr>
                <w:sz w:val="20"/>
                <w:szCs w:val="20"/>
                <w:color w:val="auto"/>
              </w:rPr>
            </w:pPr>
            <w:r>
              <w:rPr>
                <w:rFonts w:ascii="Arial" w:cs="Arial" w:eastAsia="Arial" w:hAnsi="Arial"/>
                <w:sz w:val="14"/>
                <w:szCs w:val="14"/>
                <w:color w:val="auto"/>
              </w:rPr>
              <w:t>Taxes on income</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1,430,124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1,447,933</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1,189,568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5,422,331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5,176,516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ind w:left="320"/>
              <w:spacing w:after="0"/>
              <w:rPr>
                <w:sz w:val="20"/>
                <w:szCs w:val="20"/>
                <w:color w:val="auto"/>
              </w:rPr>
            </w:pPr>
            <w:r>
              <w:rPr>
                <w:rFonts w:ascii="Arial" w:cs="Arial" w:eastAsia="Arial" w:hAnsi="Arial"/>
                <w:sz w:val="14"/>
                <w:szCs w:val="14"/>
                <w:color w:val="auto"/>
              </w:rPr>
              <w:t>Minority interest</w:t>
            </w:r>
          </w:p>
        </w:tc>
        <w:tc>
          <w:tcPr>
            <w:tcW w:w="8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(25,380)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(48,739)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5,396,951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5,176,516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20"/>
                <w:szCs w:val="20"/>
                <w:color w:val="auto"/>
              </w:rPr>
            </w:pPr>
            <w:r>
              <w:rPr>
                <w:rFonts w:ascii="Arial" w:cs="Arial" w:eastAsia="Arial" w:hAnsi="Arial"/>
                <w:sz w:val="14"/>
                <w:szCs w:val="14"/>
                <w:i w:val="1"/>
                <w:iCs w:val="1"/>
                <w:color w:val="auto"/>
              </w:rPr>
              <w:t>Income from Discontinued Operations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37,850</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5,434,801</w:t>
            </w: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5,176,516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4.51</w:t>
            </w:r>
          </w:p>
        </w:tc>
        <w:tc>
          <w:tcPr>
            <w:tcW w:w="38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44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from Discontinued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4.54</w:t>
            </w: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ind w:left="320"/>
              <w:spacing w:after="0" w:line="149" w:lineRule="exact"/>
              <w:rPr>
                <w:sz w:val="20"/>
                <w:szCs w:val="20"/>
                <w:color w:val="auto"/>
              </w:rPr>
            </w:pPr>
            <w:r>
              <w:rPr>
                <w:rFonts w:ascii="Arial" w:cs="Arial" w:eastAsia="Arial" w:hAnsi="Arial"/>
                <w:sz w:val="14"/>
                <w:szCs w:val="14"/>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4.42</w:t>
            </w:r>
          </w:p>
        </w:tc>
        <w:tc>
          <w:tcPr>
            <w:tcW w:w="38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44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from Discontinued Operations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4.45</w:t>
            </w:r>
          </w:p>
        </w:tc>
        <w:tc>
          <w:tcPr>
            <w:tcW w:w="3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1,196,237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1,187,944</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1,181,683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20"/>
                <w:szCs w:val="20"/>
                <w:color w:val="auto"/>
              </w:rPr>
            </w:pPr>
            <w:r>
              <w:rPr>
                <w:rFonts w:ascii="Arial" w:cs="Arial" w:eastAsia="Arial" w:hAnsi="Arial"/>
                <w:sz w:val="14"/>
                <w:szCs w:val="14"/>
                <w:color w:val="auto"/>
              </w:rPr>
              <w:t>Average shares outstanding, assuming dilution</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1,223,894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1,238,675</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1,242,196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-1673225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-1673225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-1673225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-1673225</wp:posOffset>
            </wp:positionV>
            <wp:extent cx="51879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-1673225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-1673225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-1673225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-986790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-986790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-986790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-986790</wp:posOffset>
            </wp:positionV>
            <wp:extent cx="51879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-986790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-986790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-986790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-300990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-300990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-300990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-300990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-300990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-300990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-300990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-300990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-300990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61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3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3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3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188,928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3,502,742</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2,971,800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3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b w:val="1"/>
                <w:bCs w:val="1"/>
                <w:color w:val="auto"/>
              </w:rPr>
              <w:t>6,257,861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(2008 – $133,185; 2007 – $85,780)</w:t>
            </w:r>
          </w:p>
        </w:tc>
        <w:tc>
          <w:tcPr>
            <w:tcW w:w="3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5,361,114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1,918,503</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1,638,192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184,063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182,562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841,580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704,482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12,893,677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11,055,383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469,937</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440,127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1,869,820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1,412,189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9,690,340</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8,007,991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287,238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5,188,996</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5,142,083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819,986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564,648</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214,745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206,083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495,872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31,990,725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27,853,372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STOCKHOLDERS’ EQUITY</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3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5,268,019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1,006,816</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1,071,889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252,444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Long-term debt–current portion</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1,137,937</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638,633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Bank &amp; short-term loans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459,434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679,594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ind w:left="320"/>
              <w:spacing w:after="0"/>
              <w:rPr>
                <w:sz w:val="20"/>
                <w:szCs w:val="20"/>
                <w:color w:val="auto"/>
              </w:rPr>
            </w:pPr>
            <w:r>
              <w:rPr>
                <w:rFonts w:ascii="Arial" w:cs="Arial" w:eastAsia="Arial" w:hAnsi="Arial"/>
                <w:sz w:val="14"/>
                <w:szCs w:val="14"/>
                <w:color w:val="auto"/>
              </w:rPr>
              <w:t>Convertible debentures</w:t>
            </w: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353,408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160" w:type="dxa"/>
            <w:vAlign w:val="bottom"/>
            <w:tcBorders>
              <w:bottom w:val="single" w:sz="8" w:color="auto"/>
            </w:tcBorders>
          </w:tcPr>
          <w:p>
            <w:pPr>
              <w:spacing w:after="0"/>
              <w:rPr>
                <w:sz w:val="7"/>
                <w:szCs w:val="7"/>
                <w:color w:val="auto"/>
              </w:rPr>
            </w:pPr>
          </w:p>
        </w:tc>
        <w:tc>
          <w:tcPr>
            <w:tcW w:w="3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8,124,650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7,504,851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Convertible Debentures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321,334</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415,897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Long-term Debt</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3,372,183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3,378,569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2,369,448</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840,311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Liabilities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868,818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15,056,433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12,915,603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71,923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4,667,999</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4,136,363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19,890,842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15,461,767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(4,795,687)</w:t>
            </w:r>
          </w:p>
        </w:tc>
        <w:tc>
          <w:tcPr>
            <w:tcW w:w="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(3,549,243)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(2,900,785)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(1,172,999)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16,862,369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14,875,888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rPr>
                <w:sz w:val="12"/>
                <w:szCs w:val="12"/>
                <w:color w:val="auto"/>
              </w:rPr>
            </w:pPr>
          </w:p>
        </w:tc>
        <w:tc>
          <w:tcPr>
            <w:tcW w:w="3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31,990,725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27,853,372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-3141980</wp:posOffset>
            </wp:positionV>
            <wp:extent cx="129921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9921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2705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83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3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5,434,801</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5,176,516</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3,709,851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Less: Income from discontinued operations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(37,850)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2,268,508</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1,953,987</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1,561,410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(235,409)</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(189,127)</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(5,698)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171,559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135,510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113,843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64,730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8,596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Other non-cash items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75,030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23,886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88,287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0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Change in operating assets and liabilities:</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receivables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(944,294)</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6"/>
              </w:rPr>
              <w:t>(1,016,545)</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(860,564)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inventories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(299,142)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(356,294)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other current assets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(198,373)</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(92,442)</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(94,612)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683,202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502,417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417,941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(Decrease) increase in estimated liability for taxes on income</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(94,254)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328,448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162,893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(Decrease) increase in postretirement benefits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(193,554)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(135,763)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(decrease) in other liabilities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97,407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16,321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111,019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(90,507)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6,897,682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6,286,869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4,745,454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(3,722,976)</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6"/>
              </w:rPr>
              <w:t>(2,931,366)</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(2,457,093)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Multiclient seismic data capitalized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(345,208)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(259,675)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(179,623)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Capitalization of intangible assets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Eastern Echo, net of cash acquired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(837,684)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(2,406,331)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 net of cash acquired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(345,164)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(281,006)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(584,097)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(Purchase) sale of investments, net</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(597,985)</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(88,815)</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700,986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(131,222)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(229,681)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(5,142,555)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(4,628,227)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(5,060,776)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(964,140)</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(771,350)</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(567,673)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177,189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148,457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111,679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174,223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473,601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Stock options windfall tax benefit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137,491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75,231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(1,818,841)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(1,355,000)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(1,067,842)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long-term debt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1,281,493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455,129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1,413,874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(601,094)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(584,253)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(91,811)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120"/>
              <w:spacing w:after="0"/>
              <w:rPr>
                <w:sz w:val="20"/>
                <w:szCs w:val="20"/>
                <w:color w:val="auto"/>
              </w:rPr>
            </w:pPr>
            <w:r>
              <w:rPr>
                <w:rFonts w:ascii="Arial" w:cs="Arial" w:eastAsia="Arial" w:hAnsi="Arial"/>
                <w:sz w:val="14"/>
                <w:szCs w:val="14"/>
                <w:color w:val="auto"/>
              </w:rPr>
              <w:t>Net (decrease) increase in short-term debt</w:t>
            </w:r>
          </w:p>
        </w:tc>
        <w:tc>
          <w:tcPr>
            <w:tcW w:w="1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(210,729)</w:t>
            </w:r>
          </w:p>
        </w:tc>
        <w:tc>
          <w:tcPr>
            <w:tcW w:w="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(72,243)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194,177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(1,824,408)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(1,630,428)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 from discontinued operations—operating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63,382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before translation effect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(5,899)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effect on cash</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(2,406)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3,202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197,233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188,928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197,233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10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20" w:type="dxa"/>
            <w:vAlign w:val="bottom"/>
            <w:gridSpan w:val="2"/>
            <w:vMerge w:val="continue"/>
          </w:tcPr>
          <w:p>
            <w:pPr>
              <w:spacing w:after="0"/>
              <w:rPr>
                <w:sz w:val="24"/>
                <w:szCs w:val="24"/>
                <w:color w:val="auto"/>
              </w:rPr>
            </w:pPr>
          </w:p>
        </w:tc>
        <w:tc>
          <w:tcPr>
            <w:tcW w:w="8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gridSpan w:val="2"/>
          </w:tcPr>
          <w:p>
            <w:pPr>
              <w:spacing w:after="0"/>
              <w:rPr>
                <w:sz w:val="20"/>
                <w:szCs w:val="20"/>
                <w:color w:val="auto"/>
              </w:rPr>
            </w:pPr>
            <w:r>
              <w:rPr>
                <w:rFonts w:ascii="Arial" w:cs="Arial" w:eastAsia="Arial" w:hAnsi="Arial"/>
                <w:sz w:val="11"/>
                <w:szCs w:val="11"/>
                <w:color w:val="auto"/>
              </w:rPr>
              <w:t>2.</w:t>
            </w:r>
          </w:p>
        </w:tc>
        <w:tc>
          <w:tcPr>
            <w:tcW w:w="8100" w:type="dxa"/>
            <w:vAlign w:val="bottom"/>
          </w:tcPr>
          <w:p>
            <w:pPr>
              <w:ind w:left="120"/>
              <w:spacing w:after="0"/>
              <w:rPr>
                <w:sz w:val="20"/>
                <w:szCs w:val="20"/>
                <w:color w:val="auto"/>
              </w:rPr>
            </w:pPr>
            <w:r>
              <w:rPr>
                <w:rFonts w:ascii="Arial" w:cs="Arial" w:eastAsia="Arial" w:hAnsi="Arial"/>
                <w:sz w:val="14"/>
                <w:szCs w:val="14"/>
                <w:color w:val="auto"/>
              </w:rPr>
              <w:t>Net of the effect of business acquisitions.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-325120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-325120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-325120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-325120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-325120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-325120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-325120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-325120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-325120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9"/>
          </w:tcPr>
          <w:p>
            <w:pPr>
              <w:jc w:val="right"/>
              <w:ind w:right="460"/>
              <w:spacing w:after="0" w:line="129" w:lineRule="exact"/>
              <w:rPr>
                <w:sz w:val="20"/>
                <w:szCs w:val="20"/>
                <w:color w:val="auto"/>
              </w:rPr>
            </w:pPr>
            <w:r>
              <w:rPr>
                <w:rFonts w:ascii="Arial" w:cs="Arial" w:eastAsia="Arial" w:hAnsi="Arial"/>
                <w:sz w:val="14"/>
                <w:szCs w:val="14"/>
                <w:b w:val="1"/>
                <w:bCs w:val="1"/>
                <w:color w:val="auto"/>
                <w:w w:val="92"/>
              </w:rPr>
              <w:t>Accumulated Other Comprehensive</w:t>
            </w: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Deferred</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Employee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Retained</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Marked to</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Benefits</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Issued</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Liabilities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$2,750,570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$(2,113,276)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7,999,770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(17,042)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(291,486)</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(736,951)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2,102,481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37,754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37,754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(105,860)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FASB Statement No. 158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(489,579)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Tax benefit on adjustment to initially apply FASB Statement No. 158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199,125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165,286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1,852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61,912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(1,067,842)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PetroAlliance</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260,600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113,843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3,709,851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3,709,851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($0.50 per share)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(591,142)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8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27,883</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3,381,946</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(2,911,793)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11,118,479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20,712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(401,648)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(787,813)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3,877,035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55,930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55,930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(32,128)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Actuarial net gains arising in the year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120,210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120,210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(105,778)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194,877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278,724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86,588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(1,355,000)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135,510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263,299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392,384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(2,109)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5,176,516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5,176,516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Dividends declared ($0.70 per share)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(833,228)</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75,231</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4,136,363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(3,549,243)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15,461,767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31,627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(383,741)</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(820,885)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5,172,266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(82,180)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(135,310)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(19,831)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34 ,444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34 ,444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(1,076,711)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(1,076,711)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(724,817)</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(724,817)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276,619</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20,317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153,906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115,393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56,776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(1,818,841)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171,559</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86,257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361,262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(537)</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5,434,801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5,434,801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6"/>
              </w:rPr>
              <w:t>(1,005,726)</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137,491</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8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5"/>
              </w:rPr>
              <w:t>$4,667,999</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$(4,795,687)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19,890,842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(103,683)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(1,894,037)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(903,065)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3,707,015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-5955030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-5955030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-5955030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-4042410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-4042410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-4042410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-2035810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-2035810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-2035810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60452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78422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7759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5970"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gridSpan w:val="2"/>
          </w:tcPr>
          <w:p>
            <w:pPr>
              <w:spacing w:after="0"/>
              <w:rPr>
                <w:sz w:val="20"/>
                <w:szCs w:val="20"/>
                <w:color w:val="auto"/>
              </w:rPr>
            </w:pPr>
            <w:r>
              <w:rPr>
                <w:rFonts w:ascii="Arial" w:cs="Arial" w:eastAsia="Arial" w:hAnsi="Arial"/>
                <w:sz w:val="14"/>
                <w:szCs w:val="14"/>
                <w:color w:val="auto"/>
              </w:rPr>
              <w:t>Part II, Item 8</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7860" w:type="dxa"/>
            <w:vAlign w:val="bottom"/>
            <w:gridSpan w:val="2"/>
          </w:tcPr>
          <w:p>
            <w:pPr>
              <w:spacing w:after="0"/>
              <w:rPr>
                <w:sz w:val="20"/>
                <w:szCs w:val="20"/>
                <w:color w:val="auto"/>
              </w:rPr>
            </w:pPr>
            <w:r>
              <w:rPr>
                <w:rFonts w:ascii="Arial" w:cs="Arial" w:eastAsia="Arial" w:hAnsi="Arial"/>
                <w:sz w:val="14"/>
                <w:szCs w:val="14"/>
                <w:color w:val="auto"/>
              </w:rPr>
              <w:t>SCHLUMBERGER LIMITED AND SUBSIDIARIES</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4"/>
                <w:szCs w:val="14"/>
                <w:color w:val="auto"/>
              </w:rPr>
              <w:t>SHARES OF COMMON STOCK</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5"/>
                <w:szCs w:val="15"/>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Treasury</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(156,607,946)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1,177,604,218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11,169,313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11,169,313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2,347,586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2,347,586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(17,992,700)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(17,992,700)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Acquisition of PetroAlliance</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4,730,960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4,730,960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(156,318,705)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1,177,893,459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13,693,493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13,693,493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2,305,594</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2,305,594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(16,336,138)</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(16,336,138)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Shares issued on conversions of debentures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18,039,916</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18,039,916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(138,595,840)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1,195,616,324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5,395,390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5,395,390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1,995,751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1,995,751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(21,064,662)</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(21,064,662)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12,123,842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12,123,842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(140,111,319)</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1,194,100,845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Schlumberger Limited (Schlumberger N.V., incorporated in the Netherlands Antilles) and its subsidiaries form the world’s leading supplier of technology, integrated project management, and information solutions to customers in the oil and gas industry worldwide. Schlumberger consists of two business segments: Oilfield Services (“OFS”) and WesternGeco. The Oilfield Services segment provides the industry’s widest range of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96"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Limited (“Schlumberger”)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8"/>
          <w:szCs w:val="18"/>
          <w:i w:val="1"/>
          <w:iCs w:val="1"/>
          <w:color w:val="auto"/>
        </w:rPr>
        <w:t>Investments in Affiliated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 investments; recoverability of goodwill, intangible assets and investments in affiliates;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Oilfield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Products Revenue</w:t>
      </w:r>
    </w:p>
    <w:p>
      <w:pPr>
        <w:spacing w:after="0" w:line="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Schlumberger recognizes revenue for services and products based upon purchase orders, contracts or other persuasive evidence of an arrangement with the customer that include fixed or determinable prices. Revenue is recognized for services when they are rendered and collectibility is reasonably assured. Revenue is recognized for products upon delivery, customer acceptance and when collectibility is reasonably assured.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derived from the sale of licenses of Schlumberger software may include installation, maintenance, consulting and training services.</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2" w:lineRule="exact"/>
        <w:rPr>
          <w:sz w:val="20"/>
          <w:szCs w:val="20"/>
          <w:color w:val="auto"/>
        </w:rPr>
      </w:pPr>
    </w:p>
    <w:p>
      <w:pPr>
        <w:ind w:right="1020" w:firstLine="228"/>
        <w:spacing w:after="0" w:line="372"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color w:val="auto"/>
        </w:rPr>
        <w:t>WesternGeco</w:t>
      </w:r>
    </w:p>
    <w:p>
      <w:pPr>
        <w:spacing w:after="0" w:line="254" w:lineRule="auto"/>
        <w:rPr>
          <w:sz w:val="20"/>
          <w:szCs w:val="20"/>
          <w:color w:val="auto"/>
        </w:rPr>
      </w:pPr>
      <w:r>
        <w:rPr>
          <w:rFonts w:ascii="Arial" w:cs="Arial" w:eastAsia="Arial" w:hAnsi="Arial"/>
          <w:sz w:val="18"/>
          <w:szCs w:val="18"/>
          <w:color w:val="auto"/>
        </w:rPr>
        <w:t>Revenue from all services is recognized when persuasive evidence of an arrangement exists, the price is fixed or determinable and collectibility is reasonably assured. Revenue from contract services performed on a dayrate basis is recognized as the service is performed. Revenue from other contract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on completed multiclient data surveys is recognized upon obtaining a signed licensing agreement and providing customers with access to such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Deliverable Arrangements</w:t>
      </w:r>
    </w:p>
    <w:p>
      <w:pPr>
        <w:spacing w:after="0" w:line="7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Revenue in both segments may be generated from contractual arrangements that include multiple deliverables. Revenue from these arrangements is recognized as each item is delivered based on their relative fair value and when the delivered items have stand-alone value to the customer.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Taxes assessed by governmental authorities that are imposed concurrently on specific revenue-producing transaction, such as sales and value added taxes, are excluded from revenue in the </w:t>
      </w:r>
      <w:r>
        <w:rPr>
          <w:rFonts w:ascii="Arial" w:cs="Arial" w:eastAsia="Arial" w:hAnsi="Arial"/>
          <w:sz w:val="18"/>
          <w:szCs w:val="18"/>
          <w:i w:val="1"/>
          <w:iCs w:val="1"/>
          <w:color w:val="auto"/>
        </w:rPr>
        <w:t>Consolidated Statement of Income.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7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functional currency of Schlumberger is primarily the US dollar. All assets and liabilities recorded in functional currencies other than US dollars are translated at current exchange rates. The resulting adjustments are charged or credited directly to the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section of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Revenue and expenses are translated at the weighted-average exchange rates for the period. All realized and unrealized transaction gains and losses are included in income in the period in which they occur. Transaction gains, net of hedging activities, of $41 million were recognized in 2008. In 2007 and 2006, the transaction losses net of hedging activities were $17 million and $20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2008—$194 million; December 31, 2007—$201 million).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 commercial paper, euro notes and Eurobonds, and are substantially denominated in US dollars. They are stated at cost plus accrued interest, which approximates market. Short-term investments that are designated as trading are stated at market. The unrealized gains/losses on investments designated as trading were not significant at both December 31, 2008 and 2007.</w:t>
      </w:r>
    </w:p>
    <w:p>
      <w:pPr>
        <w:spacing w:after="0" w:line="1"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of them have original maturities in excess of three months.</w:t>
      </w:r>
    </w:p>
    <w:p>
      <w:pPr>
        <w:spacing w:after="0" w:line="1" w:lineRule="exact"/>
        <w:rPr>
          <w:sz w:val="20"/>
          <w:szCs w:val="20"/>
          <w:color w:val="auto"/>
        </w:rPr>
      </w:pPr>
    </w:p>
    <w:p>
      <w:pPr>
        <w:ind w:right="1120" w:firstLine="228"/>
        <w:spacing w:after="0" w:line="364" w:lineRule="auto"/>
        <w:rPr>
          <w:sz w:val="20"/>
          <w:szCs w:val="20"/>
          <w:color w:val="auto"/>
        </w:rPr>
      </w:pPr>
      <w:r>
        <w:rPr>
          <w:rFonts w:ascii="Arial" w:cs="Arial" w:eastAsia="Arial" w:hAnsi="Arial"/>
          <w:sz w:val="18"/>
          <w:szCs w:val="18"/>
          <w:color w:val="auto"/>
        </w:rPr>
        <w:t xml:space="preserve">Long-term fixed income investments of $470 million mature as follows: $140 million in 2010, $202 million in 2011 and $128 million in 2012. </w:t>
      </w:r>
      <w:r>
        <w:rPr>
          <w:rFonts w:ascii="Arial" w:cs="Arial" w:eastAsia="Arial" w:hAnsi="Arial"/>
          <w:sz w:val="18"/>
          <w:szCs w:val="18"/>
          <w:b w:val="1"/>
          <w:bCs w:val="1"/>
          <w:i w:val="1"/>
          <w:iCs w:val="1"/>
          <w:color w:val="auto"/>
        </w:rPr>
        <w:t>Inventories</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the percentage of the total costs to the estimated total revenue that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Schlumberger expects to receive from the sales of such data. However, under no circumstance will an individual survey carry a net book value greater than a 4-year straight-line amortized value.</w:t>
      </w:r>
    </w:p>
    <w:p>
      <w:pPr>
        <w:ind w:right="80" w:firstLine="228"/>
        <w:spacing w:after="0" w:line="254"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Schlumberger records as goodwill the excess of purchase price over the fair value of the tangible and identifiable intangible assets acquired. Statement of Financial Accounting Standards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right="220" w:firstLine="228"/>
        <w:spacing w:after="0" w:line="270" w:lineRule="auto"/>
        <w:rPr>
          <w:sz w:val="20"/>
          <w:szCs w:val="20"/>
          <w:color w:val="auto"/>
        </w:rPr>
      </w:pPr>
      <w:r>
        <w:rPr>
          <w:rFonts w:ascii="Arial" w:cs="Arial" w:eastAsia="Arial" w:hAnsi="Arial"/>
          <w:sz w:val="16"/>
          <w:szCs w:val="16"/>
          <w:color w:val="auto"/>
        </w:rPr>
        <w:t>For purposes of performing the impairment test for goodwill as required by SFAS 142, the Schlumberger reporting units are primarily the geographic areas comprising the Oilfield Services segment in addition to the WesternGeco segment. Schlumberger estimates the fair value of these reporting units using a discounted cash flow analysis and/or applying various market multiples. Determining the fair value of a reporting unit is a matter of judgment and involves the use of significant estimates and assumptions. Schlumberger’s estimates of the fair value of each of its reporting units were significantly in excess of their</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respective carrying values for 2008, 2007 and 2006. Schlumberger performs the annual goodwill impairment test of its WesternGeco reporting unit on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every year while the reporting units comprising the Oilfield Services segment are tested as of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2" w:lineRule="exact"/>
        <w:rPr>
          <w:sz w:val="20"/>
          <w:szCs w:val="20"/>
          <w:color w:val="auto"/>
        </w:rPr>
      </w:pPr>
    </w:p>
    <w:p>
      <w:pPr>
        <w:ind w:firstLine="228"/>
        <w:spacing w:after="0" w:line="280"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capitalizes certain costs of internally developed software. Capitalized costs include purchased materials and services, payroll and payroll related costs. The costs of internally developed software are amortized on a straight-line basis over the estimated useful life, which is principally 5 to 7 years. Other intangible assets consist primarily of technology and customer relationships acquired in business combinations. Acquired technology is generally amortized over periods ranging from 5 to 15 years and acquired customer relationships are generally amortized over periods ranging from 7 years to 20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Approximately $16 billion of consolidated income retained for use in the business on December 31, 2008 represented undistributed earnings of consolidated subsidiaries and Schlumberger’s share of equity method investees. No provision is made for deferred income taxes on those earnings considered to be indefinitely reinvested or earnings that would not be taxed when remitted.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w:t>
      </w:r>
    </w:p>
    <w:p>
      <w:pPr>
        <w:spacing w:after="0" w:line="7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Effective December 31, 2006, Schlumberger adopted the provisions of SFAS 158, </w:t>
      </w:r>
      <w:r>
        <w:rPr>
          <w:rFonts w:ascii="Arial" w:cs="Arial" w:eastAsia="Arial" w:hAnsi="Arial"/>
          <w:sz w:val="16"/>
          <w:szCs w:val="16"/>
          <w:i w:val="1"/>
          <w:iCs w:val="1"/>
          <w:color w:val="auto"/>
        </w:rPr>
        <w:t>Employer’s Accounting for Defined Benefit Pension and Other Postretirement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Plans, an amendment of FASB Statements No. 87, 88, 106 and 132(R) (“</w:t>
      </w:r>
      <w:r>
        <w:rPr>
          <w:rFonts w:ascii="Arial" w:cs="Arial" w:eastAsia="Arial" w:hAnsi="Arial"/>
          <w:sz w:val="16"/>
          <w:szCs w:val="16"/>
          <w:color w:val="auto"/>
        </w:rPr>
        <w:t>SFAS 158</w:t>
      </w:r>
      <w:r>
        <w:rPr>
          <w:rFonts w:ascii="Arial" w:cs="Arial" w:eastAsia="Arial" w:hAnsi="Arial"/>
          <w:sz w:val="16"/>
          <w:szCs w:val="16"/>
          <w:i w:val="1"/>
          <w:iCs w:val="1"/>
          <w:color w:val="auto"/>
        </w:rPr>
        <w:t>”)</w:t>
      </w:r>
      <w:r>
        <w:rPr>
          <w:rFonts w:ascii="Arial" w:cs="Arial" w:eastAsia="Arial" w:hAnsi="Arial"/>
          <w:sz w:val="16"/>
          <w:szCs w:val="16"/>
          <w:color w:val="auto"/>
        </w:rPr>
        <w:t>. SFAS 158 required Schlumberger to recognize the funded status (i.e.,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difference between the fair value of plan assets and the benefit obligation) of its postretirement benefit plans in its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with a corresponding adjustment to </w:t>
      </w:r>
      <w:r>
        <w:rPr>
          <w:rFonts w:ascii="Arial" w:cs="Arial" w:eastAsia="Arial" w:hAnsi="Arial"/>
          <w:sz w:val="16"/>
          <w:szCs w:val="16"/>
          <w:i w:val="1"/>
          <w:iCs w:val="1"/>
          <w:color w:val="auto"/>
        </w:rPr>
        <w:t>Accumulated Other Comprehensive Income (Loss), net of tax.</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credit risk. Schlumberger minimizes this credit risk by entering into transactions with high-quality counterparties, limiting the exposure to each counterparty and monitoring the financial condition of its counterparties.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All research and engineering expenditures are expensed as incurred, including costs relating to patents or rights that may result from such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Basic earnings per share is calculated by dividing net income by the weighted average number of common shares outstanding during the year. Diluted earnings per share is calculated by first adding back to net income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from</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Continuing</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Operations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4"/>
                <w:szCs w:val="14"/>
                <w:color w:val="auto"/>
              </w:rPr>
            </w:pPr>
          </w:p>
        </w:tc>
        <w:tc>
          <w:tcPr>
            <w:tcW w:w="68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Basic</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$ 5,396,951</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1,196,237</w:t>
            </w:r>
          </w:p>
        </w:tc>
        <w:tc>
          <w:tcPr>
            <w:tcW w:w="640" w:type="dxa"/>
            <w:vAlign w:val="bottom"/>
            <w:gridSpan w:val="2"/>
          </w:tcPr>
          <w:p>
            <w:pPr>
              <w:ind w:left="560"/>
              <w:spacing w:after="0"/>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Assumed conversion of debentures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11,517</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12,979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Assumed exercise of stock options</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12,958</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$ 5,408,468</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1,223,894</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2007:</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660" w:type="dxa"/>
            <w:vAlign w:val="bottom"/>
          </w:tcPr>
          <w:p>
            <w:pPr>
              <w:jc w:val="right"/>
              <w:spacing w:after="0"/>
              <w:rPr>
                <w:sz w:val="20"/>
                <w:szCs w:val="20"/>
                <w:color w:val="auto"/>
              </w:rPr>
            </w:pPr>
            <w:r>
              <w:rPr>
                <w:rFonts w:ascii="Arial" w:cs="Arial" w:eastAsia="Arial" w:hAnsi="Arial"/>
                <w:sz w:val="14"/>
                <w:szCs w:val="14"/>
                <w:color w:val="auto"/>
                <w:w w:val="86"/>
              </w:rPr>
              <w:t>$ 5,176,516</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1,187,944</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23,671</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28,986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20,868</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$ 5,200,187</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1,238,675</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660" w:type="dxa"/>
            <w:vAlign w:val="bottom"/>
          </w:tcPr>
          <w:p>
            <w:pPr>
              <w:jc w:val="right"/>
              <w:spacing w:after="0"/>
              <w:rPr>
                <w:sz w:val="20"/>
                <w:szCs w:val="20"/>
                <w:color w:val="auto"/>
              </w:rPr>
            </w:pPr>
            <w:r>
              <w:rPr>
                <w:rFonts w:ascii="Arial" w:cs="Arial" w:eastAsia="Arial" w:hAnsi="Arial"/>
                <w:sz w:val="14"/>
                <w:szCs w:val="14"/>
                <w:color w:val="auto"/>
                <w:w w:val="86"/>
              </w:rPr>
              <w:t>$ 3,709,851</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1,181,683</w:t>
            </w:r>
          </w:p>
        </w:tc>
        <w:tc>
          <w:tcPr>
            <w:tcW w:w="640" w:type="dxa"/>
            <w:vAlign w:val="bottom"/>
            <w:gridSpan w:val="2"/>
          </w:tcPr>
          <w:p>
            <w:pPr>
              <w:ind w:left="560"/>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28,788</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12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21,874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12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$ 3,738,639</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1,242,196</w:t>
            </w:r>
          </w:p>
        </w:tc>
        <w:tc>
          <w:tcPr>
            <w:tcW w:w="6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-2790825</wp:posOffset>
            </wp:positionV>
            <wp:extent cx="42418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-2104390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-2104390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-2104390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-2104390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-2104390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-2104390</wp:posOffset>
            </wp:positionV>
            <wp:extent cx="42418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-1753235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-1753235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-1753235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-1066800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-1066800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-1066800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-1066800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-1066800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-1066800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-1066800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-1066800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-715010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-715010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-715010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Employee stock options to purchase approximately 5.8 million, 0.8 million and 0.6 million shares of common stock at December 31, 2008, 2007 and 2006,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In December 2007, the Financial Accounting Standards Board (“FASB”) issued SFAS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an acquirer in a business combination recognizes and measures the assets acquired, liabilities assumed, and any noncontrolling interest (previously referred to as minority interest) in the acquiree. The provisions of SFAS 141(R) are effective for business combinations occurring on or after January 1, 2009.</w:t>
      </w:r>
    </w:p>
    <w:p>
      <w:pPr>
        <w:spacing w:after="0" w:line="1" w:lineRule="exact"/>
        <w:rPr>
          <w:sz w:val="20"/>
          <w:szCs w:val="20"/>
          <w:color w:val="auto"/>
        </w:rPr>
      </w:pPr>
    </w:p>
    <w:p>
      <w:pPr>
        <w:ind w:right="100" w:firstLine="228"/>
        <w:spacing w:after="0" w:line="361" w:lineRule="auto"/>
        <w:rPr>
          <w:sz w:val="20"/>
          <w:szCs w:val="20"/>
          <w:color w:val="auto"/>
        </w:rPr>
      </w:pPr>
      <w:r>
        <w:rPr>
          <w:rFonts w:ascii="Arial" w:cs="Arial" w:eastAsia="Arial" w:hAnsi="Arial"/>
          <w:sz w:val="15"/>
          <w:szCs w:val="15"/>
          <w:color w:val="auto"/>
        </w:rPr>
        <w:t xml:space="preserve">In December 2007, the FASB issued SFAS 160, </w:t>
      </w:r>
      <w:r>
        <w:rPr>
          <w:rFonts w:ascii="Arial" w:cs="Arial" w:eastAsia="Arial" w:hAnsi="Arial"/>
          <w:sz w:val="15"/>
          <w:szCs w:val="15"/>
          <w:i w:val="1"/>
          <w:iCs w:val="1"/>
          <w:color w:val="auto"/>
        </w:rPr>
        <w:t>Noncontrolling Interests in Consolidated Financial Statements</w:t>
      </w:r>
      <w:r>
        <w:rPr>
          <w:rFonts w:ascii="Arial" w:cs="Arial" w:eastAsia="Arial" w:hAnsi="Arial"/>
          <w:sz w:val="15"/>
          <w:szCs w:val="15"/>
          <w:color w:val="auto"/>
        </w:rPr>
        <w:t xml:space="preserve">, </w:t>
      </w:r>
      <w:r>
        <w:rPr>
          <w:rFonts w:ascii="Arial" w:cs="Arial" w:eastAsia="Arial" w:hAnsi="Arial"/>
          <w:sz w:val="15"/>
          <w:szCs w:val="15"/>
          <w:i w:val="1"/>
          <w:iCs w:val="1"/>
          <w:color w:val="auto"/>
        </w:rPr>
        <w:t>an Amendment of ARB No. 51</w:t>
      </w:r>
      <w:r>
        <w:rPr>
          <w:rFonts w:ascii="Arial" w:cs="Arial" w:eastAsia="Arial" w:hAnsi="Arial"/>
          <w:sz w:val="15"/>
          <w:szCs w:val="15"/>
          <w:color w:val="auto"/>
        </w:rPr>
        <w:t xml:space="preserve"> (“SFAS 160”)</w:t>
      </w:r>
      <w:r>
        <w:rPr>
          <w:rFonts w:ascii="Arial" w:cs="Arial" w:eastAsia="Arial" w:hAnsi="Arial"/>
          <w:sz w:val="15"/>
          <w:szCs w:val="15"/>
          <w:i w:val="1"/>
          <w:iCs w:val="1"/>
          <w:color w:val="auto"/>
        </w:rPr>
        <w:t>.</w:t>
      </w:r>
      <w:r>
        <w:rPr>
          <w:rFonts w:ascii="Arial" w:cs="Arial" w:eastAsia="Arial" w:hAnsi="Arial"/>
          <w:sz w:val="15"/>
          <w:szCs w:val="15"/>
          <w:color w:val="auto"/>
        </w:rPr>
        <w:t xml:space="preserve"> This statement amends ARB 51 to establish accounting and reporting standards for the noncontrolling interest in a subsidiary and for the loss of control of</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subsidiary. Upon its adoption on January 1, 2009, noncontrolling interests will be classified as equity in the Schlumberger financial statements.</w:t>
      </w:r>
    </w:p>
    <w:p>
      <w:pPr>
        <w:spacing w:after="0" w:line="38" w:lineRule="exact"/>
        <w:rPr>
          <w:sz w:val="20"/>
          <w:szCs w:val="20"/>
          <w:color w:val="auto"/>
        </w:rPr>
      </w:pPr>
    </w:p>
    <w:p>
      <w:pPr>
        <w:jc w:val="both"/>
        <w:ind w:right="120" w:firstLine="228"/>
        <w:spacing w:after="0" w:line="302" w:lineRule="auto"/>
        <w:rPr>
          <w:sz w:val="20"/>
          <w:szCs w:val="20"/>
          <w:color w:val="auto"/>
        </w:rPr>
      </w:pPr>
      <w:r>
        <w:rPr>
          <w:rFonts w:ascii="Arial" w:cs="Arial" w:eastAsia="Arial" w:hAnsi="Arial"/>
          <w:sz w:val="16"/>
          <w:szCs w:val="16"/>
          <w:color w:val="auto"/>
        </w:rPr>
        <w:t>SFAS 160 also changes the way the consolidated income statement is presented by requiring net income to include the net income for both the parent and the noncontrolling interest, with disclosure of both amounts on the consolidated statement of income. The calculation of earnings per share will continue to be based on income amounts attributable to the parent. The provisions of this standard must be applied retrospectively upon adoption.</w:t>
      </w:r>
    </w:p>
    <w:p>
      <w:pPr>
        <w:spacing w:after="0" w:line="8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2008, 2007 and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2008:</w:t>
      </w:r>
    </w:p>
    <w:p>
      <w:pPr>
        <w:spacing w:after="0" w:line="77" w:lineRule="exact"/>
        <w:rPr>
          <w:sz w:val="20"/>
          <w:szCs w:val="20"/>
          <w:color w:val="auto"/>
        </w:rPr>
      </w:pPr>
    </w:p>
    <w:p>
      <w:pPr>
        <w:ind w:left="780" w:right="100" w:hanging="326"/>
        <w:spacing w:after="0" w:line="298"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Due to the continuing slowdown in oil and gas exploration and production spending and its effect on activity in the oilfield services sector, Schlumberger is taking actions to reduce its global workforce. As a result of these actions, Schlumberger recorded a pretax charge of $74 million ($65 million after-tax), which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Depending on how the market situation evolves, further actions may be necessary, which could result in additional charges in future periods.</w:t>
      </w:r>
    </w:p>
    <w:p>
      <w:pPr>
        <w:spacing w:after="0" w:line="18" w:lineRule="exact"/>
        <w:rPr>
          <w:rFonts w:ascii="Arial" w:cs="Arial" w:eastAsia="Arial" w:hAnsi="Arial"/>
          <w:sz w:val="16"/>
          <w:szCs w:val="16"/>
          <w:color w:val="auto"/>
        </w:rPr>
      </w:pPr>
    </w:p>
    <w:p>
      <w:pPr>
        <w:ind w:left="780" w:right="80" w:hanging="326"/>
        <w:spacing w:after="0" w:line="306" w:lineRule="auto"/>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Schlumberger wrote off certain assets, primarily accounts receivable relating to one client with liquidity issues. Accordingly, Schlumberger recorded a pretax charge of $42 million ($28 million after-tax and minority interest). $32 million of the pretax charge is classified in </w:t>
      </w:r>
      <w:r>
        <w:rPr>
          <w:rFonts w:ascii="Arial" w:cs="Arial" w:eastAsia="Arial" w:hAnsi="Arial"/>
          <w:sz w:val="16"/>
          <w:szCs w:val="16"/>
          <w:i w:val="1"/>
          <w:iCs w:val="1"/>
          <w:color w:val="auto"/>
        </w:rPr>
        <w:t>Cost of goods sold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services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w:t>
      </w:r>
      <w:r>
        <w:rPr>
          <w:rFonts w:ascii="Arial" w:cs="Arial" w:eastAsia="Arial" w:hAnsi="Arial"/>
          <w:sz w:val="16"/>
          <w:szCs w:val="16"/>
          <w:color w:val="auto"/>
        </w:rPr>
        <w:t>, with the remaining $10 million classified in</w:t>
      </w:r>
      <w:r>
        <w:rPr>
          <w:rFonts w:ascii="Arial" w:cs="Arial" w:eastAsia="Arial" w:hAnsi="Arial"/>
          <w:sz w:val="16"/>
          <w:szCs w:val="16"/>
          <w:i w:val="1"/>
          <w:iCs w:val="1"/>
          <w:color w:val="auto"/>
        </w:rPr>
        <w:t xml:space="preserve"> Interest and other income, net</w:t>
      </w:r>
      <w:r>
        <w:rPr>
          <w:rFonts w:ascii="Arial" w:cs="Arial" w:eastAsia="Arial" w:hAnsi="Arial"/>
          <w:sz w:val="16"/>
          <w:szCs w:val="16"/>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2008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6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auto"/>
              </w:rPr>
              <w:t>- Workforce reduction</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5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8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$65.3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Provision for doubtful accounts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00" w:type="dxa"/>
            <w:vAlign w:val="bottom"/>
          </w:tcPr>
          <w:p>
            <w:pPr>
              <w:ind w:left="320"/>
              <w:spacing w:after="0"/>
              <w:rPr>
                <w:sz w:val="20"/>
                <w:szCs w:val="20"/>
                <w:color w:val="auto"/>
              </w:rPr>
            </w:pPr>
            <w:r>
              <w:rPr>
                <w:rFonts w:ascii="Arial" w:cs="Arial" w:eastAsia="Arial" w:hAnsi="Arial"/>
                <w:sz w:val="14"/>
                <w:szCs w:val="14"/>
                <w:color w:val="auto"/>
              </w:rPr>
              <w:t>- Other</w:t>
            </w: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9.8</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116.0</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7"/>
              </w:rPr>
              <w:t>(16.9)</w:t>
            </w:r>
          </w:p>
        </w:tc>
        <w:tc>
          <w:tcPr>
            <w:tcW w:w="28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$93.0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2007</w:t>
            </w: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83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8"/>
                <w:szCs w:val="18"/>
                <w:color w:val="auto"/>
              </w:rPr>
              <w:t>Fourth quarter of 2007:</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-445770</wp:posOffset>
            </wp:positionV>
            <wp:extent cx="25273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-445770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-445770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-445770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-445770</wp:posOffset>
            </wp:positionV>
            <wp:extent cx="3644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-445770</wp:posOffset>
            </wp:positionV>
            <wp:extent cx="20129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41" w:lineRule="exact"/>
        <w:rPr>
          <w:sz w:val="20"/>
          <w:szCs w:val="20"/>
          <w:color w:val="auto"/>
        </w:rPr>
      </w:pPr>
    </w:p>
    <w:p>
      <w:pPr>
        <w:ind w:left="780" w:right="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Schlumberger sold certain workover rigs for $32 million, resulting in a pretax gain of $25 million ($17 million after-tax) which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income, net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2006:</w:t>
      </w:r>
    </w:p>
    <w:p>
      <w:pPr>
        <w:spacing w:after="0" w:line="77" w:lineRule="exact"/>
        <w:rPr>
          <w:sz w:val="20"/>
          <w:szCs w:val="20"/>
          <w:color w:val="auto"/>
        </w:rPr>
      </w:pPr>
    </w:p>
    <w:p>
      <w:pPr>
        <w:ind w:left="780" w:right="4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As discussed in further detail in Note 4 </w:t>
      </w:r>
      <w:r>
        <w:rPr>
          <w:rFonts w:ascii="Arial" w:cs="Arial" w:eastAsia="Arial" w:hAnsi="Arial"/>
          <w:sz w:val="18"/>
          <w:szCs w:val="18"/>
          <w:i w:val="1"/>
          <w:iCs w:val="1"/>
          <w:color w:val="auto"/>
        </w:rPr>
        <w:t>Acquisitions</w:t>
      </w:r>
      <w:r>
        <w:rPr>
          <w:rFonts w:ascii="Arial" w:cs="Arial" w:eastAsia="Arial" w:hAnsi="Arial"/>
          <w:sz w:val="18"/>
          <w:szCs w:val="18"/>
          <w:color w:val="auto"/>
        </w:rPr>
        <w:t>, Schlumberger acquired the remaining 30% minority interest in WesternGeco held by Baker Hughes Incorporated for $2.4 billion in cash during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800" w:right="160"/>
        <w:spacing w:after="0" w:line="294" w:lineRule="auto"/>
        <w:rPr>
          <w:sz w:val="20"/>
          <w:szCs w:val="20"/>
          <w:color w:val="auto"/>
        </w:rPr>
      </w:pPr>
      <w:r>
        <w:rPr>
          <w:rFonts w:ascii="Arial" w:cs="Arial" w:eastAsia="Arial" w:hAnsi="Arial"/>
          <w:sz w:val="16"/>
          <w:szCs w:val="16"/>
          <w:color w:val="auto"/>
        </w:rPr>
        <w:t xml:space="preserve">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35" w:lineRule="exact"/>
        <w:rPr>
          <w:sz w:val="20"/>
          <w:szCs w:val="20"/>
          <w:color w:val="auto"/>
        </w:rPr>
      </w:pPr>
    </w:p>
    <w:p>
      <w:pPr>
        <w:jc w:val="both"/>
        <w:ind w:left="780" w:right="120" w:hanging="326"/>
        <w:spacing w:after="0" w:line="347"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5"/>
          <w:szCs w:val="15"/>
          <w:i w:val="1"/>
          <w:iCs w:val="1"/>
          <w:color w:val="auto"/>
        </w:rPr>
        <w:t>Interest and other income, net</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p>
    <w:p>
      <w:pPr>
        <w:ind w:left="780" w:right="520" w:hanging="326"/>
        <w:spacing w:after="0" w:line="332"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In connection with the settlement of a visa matter, a pretax charge of $10 million ($7 million after-tax and minority interest) was recorded in the second quarter of 2006 and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Pretax</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Tax</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 WesternGeco in-process R&amp;D charge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tcPr>
          <w:p>
            <w:pPr>
              <w:ind w:left="4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liquidation of investments to fund</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WesternGeco transaction</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 WesternGeco visa settlement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80" w:type="dxa"/>
            <w:vAlign w:val="bottom"/>
            <w:gridSpan w:val="2"/>
          </w:tcPr>
          <w:p>
            <w:pPr>
              <w:ind w:left="320"/>
              <w:spacing w:after="0"/>
              <w:rPr>
                <w:sz w:val="20"/>
                <w:szCs w:val="20"/>
                <w:color w:val="auto"/>
              </w:rPr>
            </w:pPr>
            <w:r>
              <w:rPr>
                <w:rFonts w:ascii="Arial" w:cs="Arial" w:eastAsia="Arial" w:hAnsi="Arial"/>
                <w:sz w:val="14"/>
                <w:szCs w:val="14"/>
                <w:color w:val="auto"/>
              </w:rPr>
              <w:t>- Other in-process R&amp;D charges</w:t>
            </w: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5.6</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500" w:type="dxa"/>
            <w:vAlign w:val="bottom"/>
            <w:gridSpan w:val="3"/>
            <w:shd w:val="clear" w:color="auto" w:fill="CCEEFF"/>
          </w:tcPr>
          <w:p>
            <w:pPr>
              <w:ind w:left="44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20129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Eastern Echo Holding Plc</w:t>
      </w:r>
    </w:p>
    <w:p>
      <w:pPr>
        <w:spacing w:after="0" w:line="77"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On December 10, 2007, Schlumberger completed the acquisition of Eastern Echo Holding Plc (“Eastern Echo”) for $838 million in cash. Eastern Echo was a Dubai-based marine seismic company that did not have any operations at the time of acquisition, but had signed contracts for the construction of six seismic vessels.</w:t>
      </w:r>
    </w:p>
    <w:p>
      <w:pPr>
        <w:ind w:left="240"/>
        <w:spacing w:after="0"/>
        <w:rPr>
          <w:sz w:val="20"/>
          <w:szCs w:val="20"/>
          <w:color w:val="auto"/>
        </w:rPr>
      </w:pPr>
      <w:r>
        <w:rPr>
          <w:rFonts w:ascii="Arial" w:cs="Arial" w:eastAsia="Arial" w:hAnsi="Arial"/>
          <w:sz w:val="18"/>
          <w:szCs w:val="18"/>
          <w:color w:val="auto"/>
        </w:rPr>
        <w:t>The purchase price has been allocated to the net assets acquired based upon their estimated fair values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short-term investments</w:t>
            </w:r>
          </w:p>
        </w:tc>
        <w:tc>
          <w:tcPr>
            <w:tcW w:w="73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$ 266</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7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7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line="149" w:lineRule="exact"/>
              <w:rPr>
                <w:sz w:val="20"/>
                <w:szCs w:val="20"/>
                <w:color w:val="auto"/>
              </w:rPr>
            </w:pPr>
            <w:r>
              <w:rPr>
                <w:rFonts w:ascii="Arial" w:cs="Arial" w:eastAsia="Arial" w:hAnsi="Arial"/>
                <w:sz w:val="14"/>
                <w:szCs w:val="14"/>
                <w:color w:val="auto"/>
              </w:rPr>
              <w:t>Vessels under construction</w:t>
            </w:r>
          </w:p>
        </w:tc>
        <w:tc>
          <w:tcPr>
            <w:tcW w:w="7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7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color w:val="auto"/>
              </w:rPr>
              <w:t>Long-term debt</w:t>
            </w:r>
          </w:p>
        </w:tc>
        <w:tc>
          <w:tcPr>
            <w:tcW w:w="7420" w:type="dxa"/>
            <w:vAlign w:val="bottom"/>
            <w:gridSpan w:val="3"/>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70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7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7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7040" w:type="dxa"/>
            <w:vAlign w:val="bottom"/>
            <w:vMerge w:val="restart"/>
          </w:tcPr>
          <w:p>
            <w:pPr>
              <w:jc w:val="right"/>
              <w:ind w:right="5192"/>
              <w:spacing w:after="0"/>
              <w:rPr>
                <w:sz w:val="20"/>
                <w:szCs w:val="20"/>
                <w:color w:val="auto"/>
              </w:rPr>
            </w:pPr>
            <w:r>
              <w:rPr>
                <w:rFonts w:ascii="Arial" w:cs="Arial" w:eastAsia="Arial" w:hAnsi="Arial"/>
                <w:sz w:val="14"/>
                <w:szCs w:val="14"/>
                <w:color w:val="auto"/>
              </w:rPr>
              <w:t>47</w:t>
            </w: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7009765</wp:posOffset>
            </wp:positionH>
            <wp:positionV relativeFrom="paragraph">
              <wp:posOffset>-292735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WesternGeco Minority Interest</w:t>
      </w:r>
    </w:p>
    <w:p>
      <w:pPr>
        <w:spacing w:after="0" w:line="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April 28, 2006, Schlumberger acquired the remaining 30% minority interest in WesternGeco from Baker Hughes Incorporated for $2.4 billion in cash. Schlumberger also incurred direct acquisition costs of $6 million in connection with this transaction. As a result of this transaction, Schlumberger owns 100% of WesternGeco.</w:t>
      </w:r>
    </w:p>
    <w:p>
      <w:pPr>
        <w:ind w:left="240"/>
        <w:spacing w:after="0"/>
        <w:rPr>
          <w:sz w:val="20"/>
          <w:szCs w:val="20"/>
          <w:color w:val="auto"/>
        </w:rPr>
      </w:pPr>
      <w:r>
        <w:rPr>
          <w:rFonts w:ascii="Arial" w:cs="Arial" w:eastAsia="Arial" w:hAnsi="Arial"/>
          <w:sz w:val="18"/>
          <w:szCs w:val="18"/>
          <w:color w:val="auto"/>
        </w:rPr>
        <w:t>The purchase price has been allocated to the proportionate share of net assets acquired based upon their estimated fair values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1098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Customer relationships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Vessels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fixed assets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Multiclient seismic data</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In-process research and development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2,406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amount allocated to goodwill represents the excess of the purchase price over the fair value of the net assets acquired. Approximately $0.8 billion of the $1.3 billion of goodwill is tax deductible. In addition, approximately $650 million of the goodwill created as a result of this transaction has been allocated to the Oilfield Services business segment in recognition of the estimated present value of future synergies paid for in this transaction that will directly benefit that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PetroAlliance Minority Interest</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over a 3-year period based on a formula determined at that time. During the second quarter of 2006, Schlumberger acquired the remaining 49% of PetroAlliance Services that it did not own for $165 million in cash and 4,730,960 shares of Schlumberger common stock valued at approximately $330 million. This brought the aggregate purchase price paid for PetroAlliance Services over the 3-year period to $650 million.</w:t>
      </w:r>
    </w:p>
    <w:p>
      <w:pPr>
        <w:spacing w:after="0" w:line="3"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$495 million purchase price paid in the second quarter of 2006 has been allocated to the proportionate share of net assets acquired based upon their estimated fair values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4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7"/>
        </w:trPr>
        <w:tc>
          <w:tcPr>
            <w:tcW w:w="708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4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Customer relationships (life of 12 years)</w:t>
            </w:r>
          </w:p>
        </w:tc>
        <w:tc>
          <w:tcPr>
            <w:tcW w:w="4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5 years)</w:t>
            </w:r>
          </w:p>
        </w:tc>
        <w:tc>
          <w:tcPr>
            <w:tcW w:w="4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4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60" w:type="dxa"/>
            <w:vAlign w:val="bottom"/>
          </w:tcPr>
          <w:p>
            <w:pPr>
              <w:ind w:left="320"/>
              <w:spacing w:after="0"/>
              <w:rPr>
                <w:sz w:val="20"/>
                <w:szCs w:val="20"/>
                <w:color w:val="auto"/>
              </w:rPr>
            </w:pPr>
            <w:r>
              <w:rPr>
                <w:rFonts w:ascii="Arial" w:cs="Arial" w:eastAsia="Arial" w:hAnsi="Arial"/>
                <w:sz w:val="14"/>
                <w:szCs w:val="14"/>
                <w:color w:val="auto"/>
              </w:rPr>
              <w:t>Goodwill</w:t>
            </w:r>
          </w:p>
        </w:tc>
        <w:tc>
          <w:tcPr>
            <w:tcW w:w="4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404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6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4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495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-27305</wp:posOffset>
            </wp:positionV>
            <wp:extent cx="20129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28"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The amount allocated to goodwill represents the excess of the purchase price over the fair value of the net assets acquired. The goodwill is not tax deductible.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7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Schlumberger has made other acquisitions and minority interest investments, none of which were significant on an individual basis, for cash payments of $345 million during 2008, $306 million during 2007, and $356 million during 2006.</w:t>
      </w:r>
    </w:p>
    <w:p>
      <w:pPr>
        <w:ind w:right="20" w:firstLine="228"/>
        <w:spacing w:after="0" w:line="281" w:lineRule="auto"/>
        <w:rPr>
          <w:sz w:val="20"/>
          <w:szCs w:val="20"/>
          <w:color w:val="auto"/>
        </w:rPr>
      </w:pPr>
      <w:r>
        <w:rPr>
          <w:rFonts w:ascii="Arial" w:cs="Arial" w:eastAsia="Arial" w:hAnsi="Arial"/>
          <w:sz w:val="16"/>
          <w:szCs w:val="16"/>
          <w:color w:val="auto"/>
        </w:rPr>
        <w:t>Under the terms of certain acquisitions, Schlumberger has obligations to pay additional consideration if specific conditions were met. Schlumberger made cash payments of $63 million during 2006 with respect to certain transactions that were consummated in prior years, which were recorded as additional goodwill.</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Pro forma results pertaining to the above acquisitions, including the WesternGeco and PetroAlliance Services transactions, are not presented as the impact was not significant.</w:t>
      </w:r>
    </w:p>
    <w:p>
      <w:pPr>
        <w:spacing w:after="0" w:line="11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MI-SWACO drilling fluids joint venture is owned 40% by Schlumberger and 60% by Smith International, Inc. Schlumberger records income relating to this venture using the equity method of accounting. Schlumberger’s investment in the joint venture on December 31, 2008 and 2007 was $1.3 billion and $1.2 billion, respectively. Schlumberger’s equity income from this joint venture in 2008 was $210 million, $174 million in 2007 and $135 million in 2006. Schlumberger received cash distributions from the joint venture of $57 million in 2008 and $40 million in 2007. There were no such distributions in 2006.</w:t>
      </w:r>
    </w:p>
    <w:p>
      <w:pPr>
        <w:spacing w:after="0" w:line="3" w:lineRule="exact"/>
        <w:rPr>
          <w:sz w:val="20"/>
          <w:szCs w:val="20"/>
          <w:color w:val="auto"/>
        </w:rPr>
      </w:pPr>
    </w:p>
    <w:p>
      <w:pPr>
        <w:ind w:right="60" w:firstLine="228"/>
        <w:spacing w:after="0" w:line="331" w:lineRule="auto"/>
        <w:rPr>
          <w:sz w:val="20"/>
          <w:szCs w:val="20"/>
          <w:color w:val="auto"/>
        </w:rPr>
      </w:pPr>
      <w:r>
        <w:rPr>
          <w:rFonts w:ascii="Arial" w:cs="Arial" w:eastAsia="Arial" w:hAnsi="Arial"/>
          <w:sz w:val="15"/>
          <w:szCs w:val="15"/>
          <w:color w:val="auto"/>
        </w:rPr>
        <w:t>Schlumberger’s joint venture agreement with Smith International, Inc. contains a provision under which either party to the joint venture may offer to sell its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6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101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$ 1,674</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$ 1,359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$ 1,919</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$ 1,638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698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6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840" w:type="dxa"/>
            <w:vAlign w:val="bottom"/>
          </w:tcPr>
          <w:p>
            <w:pPr>
              <w:spacing w:after="0"/>
              <w:rPr>
                <w:sz w:val="3"/>
                <w:szCs w:val="3"/>
                <w:color w:val="auto"/>
              </w:rPr>
            </w:pPr>
          </w:p>
        </w:tc>
        <w:tc>
          <w:tcPr>
            <w:tcW w:w="6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6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Buildings &amp; improvements</w:t>
            </w: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6"/>
              </w:rPr>
              <w:t>1,611</w:t>
            </w: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6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16,593</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Seismic vessels and related equipment</w:t>
            </w: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722</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Seismic vessels under construction</w:t>
            </w:r>
          </w:p>
        </w:tc>
        <w:tc>
          <w:tcPr>
            <w:tcW w:w="6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1,107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20,152</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6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9"/>
              </w:rPr>
              <w:t>10,462</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9,337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9,690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6220" w:type="dxa"/>
            <w:vAlign w:val="bottom"/>
            <w:vMerge w:val="restart"/>
          </w:tcPr>
          <w:p>
            <w:pPr>
              <w:jc w:val="right"/>
              <w:ind w:right="4232"/>
              <w:spacing w:after="0"/>
              <w:rPr>
                <w:sz w:val="20"/>
                <w:szCs w:val="20"/>
                <w:color w:val="auto"/>
              </w:rPr>
            </w:pPr>
            <w:r>
              <w:rPr>
                <w:rFonts w:ascii="Arial" w:cs="Arial" w:eastAsia="Arial" w:hAnsi="Arial"/>
                <w:sz w:val="14"/>
                <w:szCs w:val="14"/>
                <w:color w:val="auto"/>
              </w:rPr>
              <w:t>49</w:t>
            </w: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-292735</wp:posOffset>
            </wp:positionV>
            <wp:extent cx="28702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-292735</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-292735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60" w:firstLine="228"/>
        <w:spacing w:after="0" w:line="253" w:lineRule="auto"/>
        <w:rPr>
          <w:sz w:val="20"/>
          <w:szCs w:val="20"/>
          <w:color w:val="auto"/>
        </w:rPr>
      </w:pPr>
      <w:r>
        <w:rPr>
          <w:rFonts w:ascii="Arial" w:cs="Arial" w:eastAsia="Arial" w:hAnsi="Arial"/>
          <w:sz w:val="18"/>
          <w:szCs w:val="18"/>
          <w:color w:val="auto"/>
        </w:rPr>
        <w:t>The estimated useful lives of Buildings &amp; improvements are primarily 30 to 40 years. The estimated useful lives of Machinery &amp; equipment range from 2 years to 10 years, with 90% being depreciated over 5 to 10 years (determined on a gross book value basis). Seismic vessels are depreciated over periods ranging from 20 to 30 years with the related equipment generally depreciated over 5 years.</w:t>
      </w:r>
    </w:p>
    <w:p>
      <w:pPr>
        <w:ind w:left="240"/>
        <w:spacing w:after="0"/>
        <w:rPr>
          <w:sz w:val="20"/>
          <w:szCs w:val="20"/>
          <w:color w:val="auto"/>
        </w:rPr>
      </w:pPr>
      <w:r>
        <w:rPr>
          <w:rFonts w:ascii="Arial" w:cs="Arial" w:eastAsia="Arial" w:hAnsi="Arial"/>
          <w:sz w:val="16"/>
          <w:szCs w:val="16"/>
          <w:color w:val="auto"/>
        </w:rPr>
        <w:t>Depreciation and amortization expense relating to fixed assets was $1.9 billion, $1.5 billion and $1.2 billion in 2008, 2007 and 2006,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8.  Multiclient Seismic Data</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220" w:type="dxa"/>
            <w:vAlign w:val="bottom"/>
            <w:gridSpan w:val="2"/>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$ 182</w:t>
            </w:r>
          </w:p>
        </w:tc>
        <w:tc>
          <w:tcPr>
            <w:tcW w:w="2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345</w:t>
            </w:r>
          </w:p>
        </w:tc>
        <w:tc>
          <w:tcPr>
            <w:tcW w:w="280" w:type="dxa"/>
            <w:vAlign w:val="bottom"/>
          </w:tcPr>
          <w:p>
            <w:pPr>
              <w:spacing w:after="0"/>
              <w:rPr>
                <w:sz w:val="12"/>
                <w:szCs w:val="12"/>
                <w:color w:val="auto"/>
              </w:rPr>
            </w:pPr>
          </w:p>
        </w:tc>
        <w:tc>
          <w:tcPr>
            <w:tcW w:w="6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Charged to cost of goods sold &amp; services</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(240)</w:t>
            </w: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$ 287</w:t>
            </w:r>
          </w:p>
        </w:tc>
        <w:tc>
          <w:tcPr>
            <w:tcW w:w="280" w:type="dxa"/>
            <w:vAlign w:val="bottom"/>
            <w:shd w:val="clear" w:color="auto" w:fill="CCEEFF"/>
          </w:tcPr>
          <w:p>
            <w:pPr>
              <w:spacing w:after="0"/>
              <w:rPr>
                <w:sz w:val="12"/>
                <w:szCs w:val="12"/>
                <w:color w:val="auto"/>
              </w:rPr>
            </w:pPr>
          </w:p>
        </w:tc>
        <w:tc>
          <w:tcPr>
            <w:tcW w:w="6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$ 182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3558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pacing w:after="0" w:line="13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2008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10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Western</w:t>
            </w:r>
          </w:p>
        </w:tc>
        <w:tc>
          <w:tcPr>
            <w:tcW w:w="3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Geco</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5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4,174</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1,015</w:t>
            </w: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by business segment in 2007 were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Western</w:t>
            </w:r>
          </w:p>
        </w:tc>
        <w:tc>
          <w:tcPr>
            <w:tcW w:w="2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5"/>
                <w:szCs w:val="15"/>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Geco</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4,049</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2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4,185</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1305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At December 31, the gross book value and accumulated amortization of intangible assets were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11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55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10" w:type="dxa"/>
            <w:vAlign w:val="bottom"/>
            <w:gridSpan w:val="3"/>
          </w:tcPr>
          <w:p>
            <w:pPr>
              <w:ind w:left="230"/>
              <w:spacing w:after="0"/>
              <w:rPr>
                <w:sz w:val="20"/>
                <w:szCs w:val="20"/>
                <w:color w:val="auto"/>
              </w:rPr>
            </w:pPr>
            <w:r>
              <w:rPr>
                <w:rFonts w:ascii="Arial" w:cs="Arial" w:eastAsia="Arial" w:hAnsi="Arial"/>
                <w:sz w:val="14"/>
                <w:szCs w:val="14"/>
                <w:b w:val="1"/>
                <w:bCs w:val="1"/>
                <w:color w:val="auto"/>
              </w:rPr>
              <w:t>Gross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Net Book</w:t>
            </w:r>
          </w:p>
        </w:tc>
        <w:tc>
          <w:tcPr>
            <w:tcW w:w="20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87"/>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Book Value</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337</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233</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110" w:type="dxa"/>
            <w:vAlign w:val="bottom"/>
          </w:tcPr>
          <w:p>
            <w:pPr>
              <w:spacing w:after="0"/>
              <w:rPr>
                <w:sz w:val="12"/>
                <w:szCs w:val="12"/>
                <w:color w:val="auto"/>
              </w:rPr>
            </w:pPr>
          </w:p>
        </w:tc>
        <w:tc>
          <w:tcPr>
            <w:tcW w:w="57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465</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117</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348</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110" w:type="dxa"/>
            <w:vAlign w:val="bottom"/>
            <w:shd w:val="clear" w:color="auto" w:fill="CCEEFF"/>
          </w:tcPr>
          <w:p>
            <w:pPr>
              <w:spacing w:after="0"/>
              <w:rPr>
                <w:sz w:val="12"/>
                <w:szCs w:val="12"/>
                <w:color w:val="auto"/>
              </w:rPr>
            </w:pP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345</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Other</w:t>
            </w:r>
          </w:p>
        </w:tc>
        <w:tc>
          <w:tcPr>
            <w:tcW w:w="110" w:type="dxa"/>
            <w:vAlign w:val="bottom"/>
          </w:tcPr>
          <w:p>
            <w:pPr>
              <w:spacing w:after="0"/>
              <w:rPr>
                <w:sz w:val="15"/>
                <w:szCs w:val="15"/>
                <w:color w:val="auto"/>
              </w:rPr>
            </w:pPr>
          </w:p>
        </w:tc>
        <w:tc>
          <w:tcPr>
            <w:tcW w:w="570" w:type="dxa"/>
            <w:vAlign w:val="bottom"/>
            <w:gridSpan w:val="2"/>
          </w:tcPr>
          <w:p>
            <w:pPr>
              <w:jc w:val="right"/>
              <w:spacing w:after="0"/>
              <w:rPr>
                <w:sz w:val="20"/>
                <w:szCs w:val="20"/>
                <w:color w:val="auto"/>
              </w:rPr>
            </w:pPr>
            <w:r>
              <w:rPr>
                <w:rFonts w:ascii="Arial" w:cs="Arial" w:eastAsia="Arial" w:hAnsi="Arial"/>
                <w:sz w:val="14"/>
                <w:szCs w:val="14"/>
                <w:b w:val="1"/>
                <w:bCs w:val="1"/>
                <w:color w:val="auto"/>
              </w:rPr>
              <w:t>124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79</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128</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1,271</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451</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52"/>
              <w:spacing w:after="0"/>
              <w:rPr>
                <w:sz w:val="20"/>
                <w:szCs w:val="20"/>
                <w:color w:val="auto"/>
              </w:rPr>
            </w:pPr>
            <w:r>
              <w:rPr>
                <w:rFonts w:ascii="Arial" w:cs="Arial" w:eastAsia="Arial" w:hAnsi="Arial"/>
                <w:sz w:val="14"/>
                <w:szCs w:val="14"/>
                <w:color w:val="auto"/>
                <w:w w:val="89"/>
              </w:rPr>
              <w:t>50</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-292735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-292735</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-292735</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-292735</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-292735</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-292735</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-292735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-292735</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-292735</wp:posOffset>
            </wp:positionV>
            <wp:extent cx="2159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-292735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-292735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-292735</wp:posOffset>
            </wp:positionV>
            <wp:extent cx="2159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-292735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-292735</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-292735</wp:posOffset>
            </wp:positionV>
            <wp:extent cx="2159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-292735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2159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expense was $124 million in 2008, $124 million in 2007 and $113 million in 2006.</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9" w:lineRule="exact"/>
        <w:rPr>
          <w:sz w:val="20"/>
          <w:szCs w:val="20"/>
          <w:color w:val="auto"/>
        </w:rPr>
      </w:pPr>
    </w:p>
    <w:p>
      <w:pPr>
        <w:ind w:right="440" w:firstLine="228"/>
        <w:spacing w:after="0" w:line="261" w:lineRule="auto"/>
        <w:rPr>
          <w:sz w:val="20"/>
          <w:szCs w:val="20"/>
          <w:color w:val="auto"/>
        </w:rPr>
      </w:pPr>
      <w:r>
        <w:rPr>
          <w:rFonts w:ascii="Arial" w:cs="Arial" w:eastAsia="Arial" w:hAnsi="Arial"/>
          <w:sz w:val="18"/>
          <w:szCs w:val="18"/>
          <w:color w:val="auto"/>
        </w:rPr>
        <w:t>Amortization expense for the subsequent five years is estimated to be as follows: 2009 – $113 million, 2010 – $100 million, 2011 – $91 million, 2012 – $85 million and 2013 – $66 million.</w:t>
      </w:r>
    </w:p>
    <w:p>
      <w:pPr>
        <w:spacing w:after="0" w:line="114"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Debt Facility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Convertible Debentures</w:t>
      </w:r>
    </w:p>
    <w:p>
      <w:pPr>
        <w:spacing w:after="0" w:line="70"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During 2003, Schlumberger Limited issued $975 million aggregate principal amount of 1.5% Series A Convertible Debentures due June 1, 2023. The Series A debentures were convertible, at the holders’ option, into shares of common stock of Schlumberger Limited at a conversion rate of 27.651 shares for each $1,000 of principal amount (equivalent to an initial conversion price of $36.165 per share).</w:t>
      </w:r>
    </w:p>
    <w:p>
      <w:pPr>
        <w:ind w:right="520" w:firstLine="228"/>
        <w:spacing w:after="0" w:line="323" w:lineRule="auto"/>
        <w:rPr>
          <w:sz w:val="20"/>
          <w:szCs w:val="20"/>
          <w:color w:val="auto"/>
        </w:rPr>
      </w:pPr>
      <w:r>
        <w:rPr>
          <w:rFonts w:ascii="Arial" w:cs="Arial" w:eastAsia="Arial" w:hAnsi="Arial"/>
          <w:sz w:val="16"/>
          <w:szCs w:val="16"/>
          <w:color w:val="auto"/>
        </w:rPr>
        <w:t>During 2007, $622 million of the Series A debentures were converted into 17.2 million shares of Schlumberger common stock. During 2008, all of the remaining $353 million of outstanding Series A debentures were converted into 9.8 million shares of Schlumberger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Convertible Debentures</w:t>
      </w:r>
    </w:p>
    <w:p>
      <w:pPr>
        <w:spacing w:after="0" w:line="7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During 2003, Schlumberger Limited issued $450 million aggregate principal amount of 2.125% Series B Convertible Debentures due June 1, 2023. The Series B debentures are convertible, at the holders’ option, into shares of common stock of Schlumberger Limited. Holders of the Series B debentures may convert their debentures into common stock at a conversion rate of 25.000 shares for each $1,000 of principal (equivalent to an initial conversion price of $40.00 per share). The conversion rate may be adjusted for certain events, but it will not be adjusted for accrued interest.</w:t>
      </w:r>
    </w:p>
    <w:p>
      <w:pPr>
        <w:spacing w:after="0" w:line="3"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On or after June 6, 2010, Schlumberger may redeem for cash all or part of the debentures, upon notice to the holders, at the redemption prices of 100% of the principal amount of the debentures, plus accrued and unpaid interest to the date of redemption. On June 1, 2010, June 1, 2013 and June 1, 2018, holders may require Schlumberger to repurchase their Series B debentures. The repurchase price will be 100% of the principal amount of the debentures plus accrued and unpaid interest to the repurchase date. The repurchase price for repurchases on June 1, 2010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for an amount equal to 100% of the principal amount of the debentures plus accrued and unpaid interest to the repurchase date. The repurchase price may be paid in cash, Schlumberger common stock (or if Schlumberger is not the surviving entity in a merger, the securities of the surviving entity) or a combination of cash and the applicable securities, at Schlumberger’s option. The applicable securities will be valued at 99% of their market price.</w:t>
      </w:r>
    </w:p>
    <w:p>
      <w:pPr>
        <w:spacing w:after="0" w:line="7" w:lineRule="exact"/>
        <w:rPr>
          <w:sz w:val="20"/>
          <w:szCs w:val="20"/>
          <w:color w:val="auto"/>
        </w:rPr>
      </w:pPr>
    </w:p>
    <w:p>
      <w:pPr>
        <w:ind w:right="180" w:firstLine="228"/>
        <w:spacing w:after="0" w:line="250" w:lineRule="auto"/>
        <w:rPr>
          <w:sz w:val="20"/>
          <w:szCs w:val="20"/>
          <w:color w:val="auto"/>
        </w:rPr>
      </w:pPr>
      <w:r>
        <w:rPr>
          <w:rFonts w:ascii="Arial" w:cs="Arial" w:eastAsia="Arial" w:hAnsi="Arial"/>
          <w:sz w:val="18"/>
          <w:szCs w:val="18"/>
          <w:color w:val="auto"/>
        </w:rPr>
        <w:t>Schlumberger’s option to pay the repurchase price with securities is subject to certain conditions. The debentures will mature on June 1, 2023 unless earlier redeemed or repurchased.</w:t>
      </w:r>
    </w:p>
    <w:p>
      <w:pPr>
        <w:spacing w:after="0" w:line="1" w:lineRule="exact"/>
        <w:rPr>
          <w:sz w:val="20"/>
          <w:szCs w:val="20"/>
          <w:color w:val="auto"/>
        </w:rPr>
      </w:pPr>
    </w:p>
    <w:p>
      <w:pPr>
        <w:ind w:right="520" w:firstLine="228"/>
        <w:spacing w:after="0" w:line="250" w:lineRule="auto"/>
        <w:rPr>
          <w:sz w:val="20"/>
          <w:szCs w:val="20"/>
          <w:color w:val="auto"/>
        </w:rPr>
      </w:pPr>
      <w:r>
        <w:rPr>
          <w:rFonts w:ascii="Arial" w:cs="Arial" w:eastAsia="Arial" w:hAnsi="Arial"/>
          <w:sz w:val="18"/>
          <w:szCs w:val="18"/>
          <w:color w:val="auto"/>
        </w:rPr>
        <w:t>During 2008 and 2007, $95 million and $34 million of the Series B debentures were converted into 2.4 million and 0.9 million shares of Schlumberger common stock, respectively.</w:t>
      </w:r>
    </w:p>
    <w:p>
      <w:pPr>
        <w:spacing w:after="0" w:line="1" w:lineRule="exact"/>
        <w:rPr>
          <w:sz w:val="20"/>
          <w:szCs w:val="20"/>
          <w:color w:val="auto"/>
        </w:rPr>
      </w:pPr>
    </w:p>
    <w:p>
      <w:pPr>
        <w:ind w:right="120" w:firstLine="228"/>
        <w:spacing w:after="0" w:line="261" w:lineRule="auto"/>
        <w:rPr>
          <w:sz w:val="20"/>
          <w:szCs w:val="20"/>
          <w:color w:val="auto"/>
        </w:rPr>
      </w:pPr>
      <w:r>
        <w:rPr>
          <w:rFonts w:ascii="Arial" w:cs="Arial" w:eastAsia="Arial" w:hAnsi="Arial"/>
          <w:sz w:val="18"/>
          <w:szCs w:val="18"/>
          <w:color w:val="auto"/>
        </w:rPr>
        <w:t>At December 31, 2008, there were $321 million of the Series B debentures outstanding. The fair value of the Series B debentures at December 31, 2008 was $398 million.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77"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A summary of other long-term debt by currency, analyzed by Bonds and Notes, Commercial Paper (CP) and Other, at December 31 follows. As described in further detail below, the currencies are presented after taking into account currency swaps entered into on the date of issuance until maturity.</w:t>
      </w: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Borders>
              <w:top w:val="single" w:sz="8" w:color="auto"/>
            </w:tcBorders>
          </w:tcPr>
          <w:p>
            <w:pPr>
              <w:spacing w:after="0"/>
              <w:rPr>
                <w:sz w:val="15"/>
                <w:szCs w:val="15"/>
                <w:color w:val="auto"/>
              </w:rPr>
            </w:pPr>
          </w:p>
        </w:tc>
        <w:tc>
          <w:tcPr>
            <w:tcW w:w="110" w:type="dxa"/>
            <w:vAlign w:val="bottom"/>
            <w:tcBorders>
              <w:top w:val="single" w:sz="8" w:color="auto"/>
            </w:tcBorders>
          </w:tcPr>
          <w:p>
            <w:pPr>
              <w:spacing w:after="0"/>
              <w:rPr>
                <w:sz w:val="15"/>
                <w:szCs w:val="15"/>
                <w:color w:val="auto"/>
              </w:rPr>
            </w:pPr>
          </w:p>
        </w:tc>
        <w:tc>
          <w:tcPr>
            <w:tcW w:w="57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3"/>
              </w:rPr>
              <w:t>2008</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57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Bonds and</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CP</w:t>
            </w:r>
          </w:p>
        </w:tc>
        <w:tc>
          <w:tcPr>
            <w:tcW w:w="44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Other</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Notes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CP</w:t>
            </w:r>
          </w:p>
        </w:tc>
        <w:tc>
          <w:tcPr>
            <w:tcW w:w="320" w:type="dxa"/>
            <w:vAlign w:val="bottom"/>
          </w:tcPr>
          <w:p>
            <w:pPr>
              <w:spacing w:after="0"/>
              <w:rPr>
                <w:sz w:val="15"/>
                <w:szCs w:val="15"/>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1,361</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$525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$ 2,074</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2,149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461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Pound sterling</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246</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color w:val="auto"/>
              </w:rPr>
              <w:t>Canadian dollar</w:t>
            </w: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Norwegian kroner</w:t>
            </w: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1,919</w:t>
            </w:r>
          </w:p>
        </w:tc>
        <w:tc>
          <w:tcPr>
            <w:tcW w:w="4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$771</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682</w:t>
            </w:r>
          </w:p>
        </w:tc>
        <w:tc>
          <w:tcPr>
            <w:tcW w:w="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$ 3,372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$688</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w:t>
            </w:r>
          </w:p>
        </w:tc>
        <w:tc>
          <w:tcPr>
            <w:tcW w:w="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3,379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-29210</wp:posOffset>
            </wp:positionV>
            <wp:extent cx="18415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6162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4330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8415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Bonds and Notes consist of the following at December 31,</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6.5% Notes due 2012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5.25% Guaranteed Notes due 2013</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due 2011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5.14% Guaranteed Notes due 2010</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Guaranteed Floating Rate Notes due 2009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20" w:type="dxa"/>
            <w:vAlign w:val="bottom"/>
          </w:tcPr>
          <w:p>
            <w:pPr>
              <w:spacing w:after="0"/>
              <w:rPr>
                <w:sz w:val="20"/>
                <w:szCs w:val="20"/>
                <w:color w:val="auto"/>
              </w:rPr>
            </w:pPr>
            <w:r>
              <w:rPr>
                <w:rFonts w:ascii="Arial" w:cs="Arial" w:eastAsia="Arial" w:hAnsi="Arial"/>
                <w:sz w:val="14"/>
                <w:szCs w:val="14"/>
                <w:color w:val="auto"/>
              </w:rPr>
              <w:t>10.875% Senior Secured Bonds due 2012</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1,919</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the $647 million of Schlumberger Technology Corporation 6.5% Notes due 2012 was $651 million at December 31, 2008.</w:t>
      </w:r>
    </w:p>
    <w:p>
      <w:pPr>
        <w:spacing w:after="0" w:line="15" w:lineRule="exact"/>
        <w:rPr>
          <w:sz w:val="20"/>
          <w:szCs w:val="20"/>
          <w:color w:val="auto"/>
        </w:rPr>
      </w:pPr>
    </w:p>
    <w:p>
      <w:pPr>
        <w:jc w:val="both"/>
        <w:ind w:right="100" w:firstLine="228"/>
        <w:spacing w:after="0" w:line="281" w:lineRule="auto"/>
        <w:rPr>
          <w:sz w:val="20"/>
          <w:szCs w:val="20"/>
          <w:color w:val="auto"/>
        </w:rPr>
      </w:pPr>
      <w:r>
        <w:rPr>
          <w:rFonts w:ascii="Arial" w:cs="Arial" w:eastAsia="Arial" w:hAnsi="Arial"/>
          <w:sz w:val="16"/>
          <w:szCs w:val="16"/>
          <w:color w:val="auto"/>
        </w:rPr>
        <w:t>In September 2008, Schlumberger Finance B.V. issued €500 million 5.25% Guaranteed Notes due 2013. Schlumberger entered into agreements to swap these Euro notes for US dollars on the date of issue until maturity, effectively making this a US dollar denominated debt on which Schlumberger Finance B.V. will pay interest in US dollars at a rate of 4.74%. The fair value of these Notes was $731 million at December 31, 2008.</w:t>
      </w:r>
    </w:p>
    <w:p>
      <w:pPr>
        <w:spacing w:after="0" w:line="2" w:lineRule="exact"/>
        <w:rPr>
          <w:sz w:val="20"/>
          <w:szCs w:val="20"/>
          <w:color w:val="auto"/>
        </w:rPr>
      </w:pPr>
    </w:p>
    <w:p>
      <w:pPr>
        <w:ind w:left="240" w:right="280"/>
        <w:spacing w:after="0" w:line="300" w:lineRule="auto"/>
        <w:rPr>
          <w:sz w:val="20"/>
          <w:szCs w:val="20"/>
          <w:color w:val="auto"/>
        </w:rPr>
      </w:pPr>
      <w:r>
        <w:rPr>
          <w:rFonts w:ascii="Arial" w:cs="Arial" w:eastAsia="Arial" w:hAnsi="Arial"/>
          <w:sz w:val="15"/>
          <w:szCs w:val="15"/>
          <w:color w:val="auto"/>
        </w:rPr>
        <w:t>The fair value of the $355 million of Schlumberger SA euro denominated 5.875% Guaranteed Bonds due 2011 was $390 million at December 31, 2008. The fair value of the $203 million of Schlumberger Canada Limited 5.14% Guaranteed Notes due 2010, which are Canadian dollar denominated, was $209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at December 31, 2008.</w:t>
      </w:r>
    </w:p>
    <w:p>
      <w:pPr>
        <w:spacing w:after="0" w:line="9" w:lineRule="exact"/>
        <w:rPr>
          <w:sz w:val="20"/>
          <w:szCs w:val="20"/>
          <w:color w:val="auto"/>
        </w:rPr>
      </w:pPr>
    </w:p>
    <w:p>
      <w:pPr>
        <w:ind w:right="600" w:firstLine="228"/>
        <w:spacing w:after="0" w:line="250" w:lineRule="auto"/>
        <w:rPr>
          <w:sz w:val="20"/>
          <w:szCs w:val="20"/>
          <w:color w:val="auto"/>
        </w:rPr>
      </w:pPr>
      <w:r>
        <w:rPr>
          <w:rFonts w:ascii="Arial" w:cs="Arial" w:eastAsia="Arial" w:hAnsi="Arial"/>
          <w:sz w:val="18"/>
          <w:szCs w:val="18"/>
          <w:color w:val="auto"/>
        </w:rPr>
        <w:t xml:space="preserve">In September 2006, Schlumberger Finance B.V. issued €400 million Guaranteed Floating Rate Notes due 2009. At December 31, 2008 these Notes are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 xml:space="preserve">In connection with the Eastern Echo acquisition (see Note 4, </w:t>
      </w:r>
      <w:r>
        <w:rPr>
          <w:rFonts w:ascii="Arial" w:cs="Arial" w:eastAsia="Arial" w:hAnsi="Arial"/>
          <w:sz w:val="18"/>
          <w:szCs w:val="18"/>
          <w:i w:val="1"/>
          <w:iCs w:val="1"/>
          <w:color w:val="auto"/>
        </w:rPr>
        <w:t>Acquisitions</w:t>
      </w:r>
      <w:r>
        <w:rPr>
          <w:rFonts w:ascii="Arial" w:cs="Arial" w:eastAsia="Arial" w:hAnsi="Arial"/>
          <w:sz w:val="18"/>
          <w:szCs w:val="18"/>
          <w:color w:val="auto"/>
        </w:rPr>
        <w:t>), Schlumberger assumed 10.875% Senior Secured Bonds due May 2012 with par value of $160 million. The fair value of these bonds at the time of the acquisition was approximately $182 million. These bonds were redeemed by Schlumberger during the second quarter of 2008.</w:t>
      </w:r>
    </w:p>
    <w:p>
      <w:pPr>
        <w:spacing w:after="0" w:line="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Commercial paper borrowings outstanding at December 31, 2008 and 2007 include certain notes issued in currencies other than the US dollar which were swapped for US dollars and pounds sterling on the date of issue until maturity. Commercial paper borrowings are classified as long-term debt to the extent of their backup by available and unused committed credit facilities maturing in more than one year and to the extent it is Schlumberger’s intent to maintain these obligations for longer than one year.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00" w:firstLine="228"/>
        <w:spacing w:after="0" w:line="283" w:lineRule="auto"/>
        <w:rPr>
          <w:sz w:val="20"/>
          <w:szCs w:val="20"/>
          <w:color w:val="auto"/>
        </w:rPr>
      </w:pPr>
      <w:r>
        <w:rPr>
          <w:rFonts w:ascii="Arial" w:cs="Arial" w:eastAsia="Arial" w:hAnsi="Arial"/>
          <w:sz w:val="16"/>
          <w:szCs w:val="16"/>
          <w:color w:val="auto"/>
        </w:rPr>
        <w:t xml:space="preserve">On December 31, 2008, wholly-owned subsidiaries of Schlumberger had separate committed debt facility agreements aggregating $3.9 billion with commercial banks, of which $1.8 billion was available and unused. This included $2.5 billion of committed facilities which support commercial paper programs in the United States and Europe, and mature in April 2012. Interest rates and other terms of borrowing under these lines of credit vary from country to country. Borrowings under the commercial paper programs at December 31, 2008 were $1.1 billion, of which $0.4 billion was classified within </w:t>
      </w:r>
      <w:r>
        <w:rPr>
          <w:rFonts w:ascii="Arial" w:cs="Arial" w:eastAsia="Arial" w:hAnsi="Arial"/>
          <w:sz w:val="16"/>
          <w:szCs w:val="16"/>
          <w:i w:val="1"/>
          <w:iCs w:val="1"/>
          <w:color w:val="auto"/>
        </w:rPr>
        <w:t>Long-term debt – current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portion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Balance Sheet </w:t>
      </w:r>
      <w:r>
        <w:rPr>
          <w:rFonts w:ascii="Arial" w:cs="Arial" w:eastAsia="Arial" w:hAnsi="Arial"/>
          <w:sz w:val="16"/>
          <w:szCs w:val="16"/>
          <w:color w:val="auto"/>
        </w:rPr>
        <w:t>due to Schlumberger’s current intent to repay such amount in 2009.</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interest rate on variable rate debt as of December 31, 2008 was 4.5%.</w:t>
      </w:r>
    </w:p>
    <w:p>
      <w:pPr>
        <w:spacing w:after="0" w:line="9" w:lineRule="exact"/>
        <w:rPr>
          <w:sz w:val="20"/>
          <w:szCs w:val="20"/>
          <w:color w:val="auto"/>
        </w:rPr>
      </w:pPr>
    </w:p>
    <w:p>
      <w:pPr>
        <w:ind w:right="460" w:firstLine="228"/>
        <w:spacing w:after="0" w:line="261" w:lineRule="auto"/>
        <w:rPr>
          <w:sz w:val="20"/>
          <w:szCs w:val="20"/>
          <w:color w:val="auto"/>
        </w:rPr>
      </w:pPr>
      <w:r>
        <w:rPr>
          <w:rFonts w:ascii="Arial" w:cs="Arial" w:eastAsia="Arial" w:hAnsi="Arial"/>
          <w:sz w:val="18"/>
          <w:szCs w:val="18"/>
          <w:i w:val="1"/>
          <w:iCs w:val="1"/>
          <w:color w:val="auto"/>
        </w:rPr>
        <w:t xml:space="preserve">Other Long-term Debt </w:t>
      </w:r>
      <w:r>
        <w:rPr>
          <w:rFonts w:ascii="Arial" w:cs="Arial" w:eastAsia="Arial" w:hAnsi="Arial"/>
          <w:sz w:val="18"/>
          <w:szCs w:val="18"/>
          <w:color w:val="auto"/>
        </w:rPr>
        <w:t>as of December 31, 2008, which excludes the Series B debentures, is due as follows: $447 million in 2010, $777 million in 2011,</w:t>
      </w:r>
      <w:r>
        <w:rPr>
          <w:rFonts w:ascii="Arial" w:cs="Arial" w:eastAsia="Arial" w:hAnsi="Arial"/>
          <w:sz w:val="18"/>
          <w:szCs w:val="18"/>
          <w:i w:val="1"/>
          <w:iCs w:val="1"/>
          <w:color w:val="auto"/>
        </w:rPr>
        <w:t xml:space="preserve"> </w:t>
      </w:r>
      <w:r>
        <w:rPr>
          <w:rFonts w:ascii="Arial" w:cs="Arial" w:eastAsia="Arial" w:hAnsi="Arial"/>
          <w:sz w:val="18"/>
          <w:szCs w:val="18"/>
          <w:color w:val="auto"/>
        </w:rPr>
        <w:t>$1.418 billion in 2012 and $730 million in 2013.</w:t>
      </w:r>
    </w:p>
    <w:p>
      <w:pPr>
        <w:spacing w:after="0" w:line="114"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7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Schlumberger is subject to market risks primarily associated with changes in foreign currency exchange rates, commodity prices and interest rates. To mitigate these risks, Schlumberger utilizes derivative instruments. Schlumberger does not enter into derivatives for speculative purposes.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a multinational company, Schlumberger conducts its business in approximately 80 countries. Schlumberger’s functional currency is primarily the US dollar, which is consistent with the oil and gas industry. Approximately 80% of Schlumberger’s revenue in 2008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 – reported expenses will increase.</w:t>
      </w:r>
    </w:p>
    <w:p>
      <w:pPr>
        <w:spacing w:after="0" w:line="3"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under the provisions of SFAS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(SFAS No. 133), with the effective portion of changes in the fair value of the hedge recorded on the</w:t>
      </w:r>
      <w:r>
        <w:rPr>
          <w:rFonts w:ascii="Arial" w:cs="Arial" w:eastAsia="Arial" w:hAnsi="Arial"/>
          <w:sz w:val="16"/>
          <w:szCs w:val="16"/>
          <w:i w:val="1"/>
          <w:iCs w:val="1"/>
          <w:color w:val="auto"/>
        </w:rPr>
        <w:t xml:space="preserve"> 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are reclassified into earnings in the same period or periods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hedged item is recognized in earnings. The ineffective portion of changes in the fair value of the hedged item is recorded directly to earnings.</w:t>
      </w:r>
    </w:p>
    <w:p>
      <w:pPr>
        <w:spacing w:after="0" w:line="4" w:lineRule="exact"/>
        <w:rPr>
          <w:sz w:val="20"/>
          <w:szCs w:val="20"/>
          <w:color w:val="auto"/>
        </w:rPr>
      </w:pPr>
    </w:p>
    <w:p>
      <w:pPr>
        <w:ind w:right="500" w:firstLine="228"/>
        <w:spacing w:after="0" w:line="250" w:lineRule="auto"/>
        <w:rPr>
          <w:sz w:val="20"/>
          <w:szCs w:val="20"/>
          <w:color w:val="auto"/>
        </w:rPr>
      </w:pPr>
      <w:r>
        <w:rPr>
          <w:rFonts w:ascii="Arial" w:cs="Arial" w:eastAsia="Arial" w:hAnsi="Arial"/>
          <w:sz w:val="18"/>
          <w:szCs w:val="18"/>
          <w:color w:val="auto"/>
        </w:rPr>
        <w:t xml:space="preserve">At December 31, 2008, Schlumberger recognized a cumulative net $104 million loss in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relating to revaluation of foreign currency forward contracts and foreign currency options designated as cash flow hedges at December 31, 2008.</w:t>
      </w:r>
    </w:p>
    <w:p>
      <w:pPr>
        <w:spacing w:after="0" w:line="1"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under the provisions of SFAS No. 133,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3"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At December 31, 2008, contracts were outstanding for the US dollar equivalent of $4.3 billion in various foreign currencies, the majority of which expire on various dates in 2009.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Schlumberger is exposed to the impact of market fluctuations in the price of commodities, such as copper and lead. Schlumberger has entered into forward contracts on these commodities to manage the price risk</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associated with forecasted purchases. The objective of these contracts is to reduce the variability of cash flows associated with the forecasted purchase of those commodities These contracts do not qualify for hedge accounting treatment under the provisions of SFAS No. 133 and therefore, changes in the fair value of the forward contracts are recorded directly to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77"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generally does not involve derivatives and instead primarily uses a mix of variable and fixed rate debt combined with its investment portfolio to mitigate the exposure to changes in interest rates. At December 31, 2008, Schlumberger had fixed rate debt aggregating approximately $2.2 billion and variable rate debt aggregating approximately $3.1 billion.</w:t>
      </w:r>
    </w:p>
    <w:p>
      <w:pPr>
        <w:spacing w:after="0" w:line="1"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 xml:space="preserve">Schlumberger’s exposure to interest rate risk associated with its debt is also partially mitigated by its investment portfolio.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which totaled approximately $4.0 billion at December 31, 2008, are comprised primarily of money market funds,</w:t>
      </w:r>
      <w:r>
        <w:rPr>
          <w:rFonts w:ascii="Arial" w:cs="Arial" w:eastAsia="Arial" w:hAnsi="Arial"/>
          <w:sz w:val="16"/>
          <w:szCs w:val="16"/>
          <w:i w:val="1"/>
          <w:iCs w:val="1"/>
          <w:color w:val="auto"/>
        </w:rPr>
        <w:t xml:space="preserve"> </w:t>
      </w:r>
      <w:r>
        <w:rPr>
          <w:rFonts w:ascii="Arial" w:cs="Arial" w:eastAsia="Arial" w:hAnsi="Arial"/>
          <w:sz w:val="16"/>
          <w:szCs w:val="16"/>
          <w:color w:val="auto"/>
        </w:rPr>
        <w:t>eurodollar time deposits, certificates of deposit, commercial paper, euro notes and Eurobonds and are substantially all denominated in US dollars.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detail the effect of derivatives on the financial position and performance of Schlumberger: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at December 31,</w:t>
            </w:r>
          </w:p>
        </w:tc>
        <w:tc>
          <w:tcPr>
            <w:tcW w:w="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91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5"/>
              </w:rPr>
              <w:t>Derivatives</w:t>
            </w:r>
          </w:p>
        </w:tc>
        <w:tc>
          <w:tcPr>
            <w:tcW w:w="94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95"/>
        </w:trPr>
        <w:tc>
          <w:tcPr>
            <w:tcW w:w="91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Derivatives designated as hedging instruments under SFAS No. 133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 under SFAS No. 133</w:t>
            </w: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9"/>
        </w:trPr>
        <w:tc>
          <w:tcPr>
            <w:tcW w:w="9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Commodity contracts</w:t>
            </w:r>
          </w:p>
        </w:tc>
        <w:tc>
          <w:tcPr>
            <w:tcW w:w="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derivatives</w:t>
            </w:r>
          </w:p>
        </w:tc>
        <w:tc>
          <w:tcPr>
            <w:tcW w:w="2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9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fair value of all outstanding derivatives are determined using a model with inputs that are observable in the market or can be derived from or corroborated by observable data, and are included in Accounts payable and accrued liabilities on the Consolidated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Derivative Instruments on the Consolidated Statement of Income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46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60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606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Derivatives in SFAS No. 133 Fair Value Hedging Relationships</w:t>
            </w:r>
          </w:p>
        </w:tc>
        <w:tc>
          <w:tcPr>
            <w:tcW w:w="6060" w:type="dxa"/>
            <w:vAlign w:val="bottom"/>
          </w:tcPr>
          <w:p>
            <w:pPr>
              <w:ind w:left="2380"/>
              <w:spacing w:after="0"/>
              <w:rPr>
                <w:sz w:val="20"/>
                <w:szCs w:val="20"/>
                <w:color w:val="auto"/>
              </w:rPr>
            </w:pPr>
            <w:r>
              <w:rPr>
                <w:rFonts w:ascii="Arial" w:cs="Arial" w:eastAsia="Arial" w:hAnsi="Arial"/>
                <w:sz w:val="14"/>
                <w:szCs w:val="14"/>
                <w:b w:val="1"/>
                <w:bCs w:val="1"/>
                <w:color w:val="auto"/>
              </w:rPr>
              <w:t>Location of Gain or (Loss) recognized</w:t>
            </w:r>
          </w:p>
        </w:tc>
        <w:tc>
          <w:tcPr>
            <w:tcW w:w="130" w:type="dxa"/>
            <w:vAlign w:val="bottom"/>
          </w:tcPr>
          <w:p>
            <w:pPr>
              <w:spacing w:after="0"/>
              <w:rPr>
                <w:sz w:val="15"/>
                <w:szCs w:val="15"/>
                <w:color w:val="auto"/>
              </w:rPr>
            </w:pPr>
          </w:p>
        </w:tc>
        <w:tc>
          <w:tcPr>
            <w:tcW w:w="55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30" w:type="dxa"/>
            <w:vAlign w:val="bottom"/>
          </w:tcPr>
          <w:p>
            <w:pPr>
              <w:spacing w:after="0"/>
              <w:rPr>
                <w:sz w:val="8"/>
                <w:szCs w:val="8"/>
                <w:color w:val="auto"/>
              </w:rPr>
            </w:pPr>
          </w:p>
        </w:tc>
        <w:tc>
          <w:tcPr>
            <w:tcW w:w="55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6060" w:type="dxa"/>
            <w:vAlign w:val="bottom"/>
            <w:shd w:val="clear" w:color="auto" w:fill="CCEEFF"/>
          </w:tcPr>
          <w:p>
            <w:pPr>
              <w:ind w:left="2380"/>
              <w:spacing w:after="0" w:line="149" w:lineRule="exact"/>
              <w:rPr>
                <w:sz w:val="20"/>
                <w:szCs w:val="20"/>
                <w:color w:val="auto"/>
              </w:rPr>
            </w:pPr>
            <w:r>
              <w:rPr>
                <w:rFonts w:ascii="Arial" w:cs="Arial" w:eastAsia="Arial" w:hAnsi="Arial"/>
                <w:sz w:val="14"/>
                <w:szCs w:val="14"/>
                <w:color w:val="auto"/>
              </w:rPr>
              <w:t>Cost of goods sold and services</w:t>
            </w:r>
          </w:p>
        </w:tc>
        <w:tc>
          <w:tcPr>
            <w:tcW w:w="13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1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060" w:type="dxa"/>
            <w:vAlign w:val="bottom"/>
            <w:vMerge w:val="restart"/>
          </w:tcPr>
          <w:p>
            <w:pPr>
              <w:jc w:val="right"/>
              <w:ind w:right="4832"/>
              <w:spacing w:after="0"/>
              <w:rPr>
                <w:sz w:val="20"/>
                <w:szCs w:val="20"/>
                <w:color w:val="auto"/>
              </w:rPr>
            </w:pPr>
            <w:r>
              <w:rPr>
                <w:rFonts w:ascii="Arial" w:cs="Arial" w:eastAsia="Arial" w:hAnsi="Arial"/>
                <w:sz w:val="14"/>
                <w:szCs w:val="14"/>
                <w:color w:val="auto"/>
              </w:rPr>
              <w:t>54</w:t>
            </w:r>
          </w:p>
        </w:tc>
        <w:tc>
          <w:tcPr>
            <w:tcW w:w="13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3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6786245</wp:posOffset>
            </wp:positionH>
            <wp:positionV relativeFrom="paragraph">
              <wp:posOffset>-292735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-292735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20"/>
                <w:szCs w:val="20"/>
                <w:color w:val="auto"/>
              </w:rPr>
            </w:pPr>
            <w:r>
              <w:rPr>
                <w:rFonts w:ascii="Arial" w:cs="Arial" w:eastAsia="Arial" w:hAnsi="Arial"/>
                <w:sz w:val="14"/>
                <w:szCs w:val="14"/>
                <w:color w:val="auto"/>
              </w:rPr>
              <w:t>Part II, Item 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501"/>
        </w:trPr>
        <w:tc>
          <w:tcPr>
            <w:tcW w:w="6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 or</w:t>
            </w:r>
          </w:p>
        </w:tc>
        <w:tc>
          <w:tcPr>
            <w:tcW w:w="2400" w:type="dxa"/>
            <w:vAlign w:val="bottom"/>
          </w:tcPr>
          <w:p>
            <w:pPr>
              <w:spacing w:after="0"/>
              <w:rPr>
                <w:sz w:val="24"/>
                <w:szCs w:val="24"/>
                <w:color w:val="auto"/>
              </w:rPr>
            </w:pPr>
          </w:p>
        </w:tc>
      </w:tr>
      <w:tr>
        <w:trPr>
          <w:trHeight w:val="149"/>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(Loss)</w:t>
            </w:r>
          </w:p>
        </w:tc>
        <w:tc>
          <w:tcPr>
            <w:tcW w:w="2400" w:type="dxa"/>
            <w:vAlign w:val="bottom"/>
          </w:tcPr>
          <w:p>
            <w:pPr>
              <w:spacing w:after="0"/>
              <w:rPr>
                <w:sz w:val="12"/>
                <w:szCs w:val="12"/>
                <w:color w:val="auto"/>
              </w:rPr>
            </w:pPr>
          </w:p>
        </w:tc>
      </w:tr>
      <w:tr>
        <w:trPr>
          <w:trHeight w:val="149"/>
        </w:trPr>
        <w:tc>
          <w:tcPr>
            <w:tcW w:w="614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recognized</w:t>
            </w:r>
          </w:p>
        </w:tc>
        <w:tc>
          <w:tcPr>
            <w:tcW w:w="2400" w:type="dxa"/>
            <w:vAlign w:val="bottom"/>
          </w:tcPr>
          <w:p>
            <w:pPr>
              <w:spacing w:after="0"/>
              <w:rPr>
                <w:sz w:val="12"/>
                <w:szCs w:val="12"/>
                <w:color w:val="auto"/>
              </w:rPr>
            </w:pPr>
          </w:p>
        </w:tc>
      </w:tr>
      <w:tr>
        <w:trPr>
          <w:trHeight w:val="149"/>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in OCI on</w:t>
            </w:r>
          </w:p>
        </w:tc>
        <w:tc>
          <w:tcPr>
            <w:tcW w:w="240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87"/>
              </w:rPr>
              <w:t>Location of Gain or (Loss)</w:t>
            </w:r>
          </w:p>
        </w:tc>
      </w:tr>
      <w:tr>
        <w:trPr>
          <w:trHeight w:val="149"/>
        </w:trPr>
        <w:tc>
          <w:tcPr>
            <w:tcW w:w="614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Derivatives</w:t>
            </w:r>
          </w:p>
        </w:tc>
        <w:tc>
          <w:tcPr>
            <w:tcW w:w="240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85"/>
              </w:rPr>
              <w:t>reclassified from</w:t>
            </w:r>
          </w:p>
        </w:tc>
      </w:tr>
      <w:tr>
        <w:trPr>
          <w:trHeight w:val="174"/>
        </w:trPr>
        <w:tc>
          <w:tcPr>
            <w:tcW w:w="6140" w:type="dxa"/>
            <w:vAlign w:val="bottom"/>
          </w:tcPr>
          <w:p>
            <w:pPr>
              <w:spacing w:after="0"/>
              <w:rPr>
                <w:sz w:val="20"/>
                <w:szCs w:val="20"/>
                <w:color w:val="auto"/>
              </w:rPr>
            </w:pPr>
            <w:r>
              <w:rPr>
                <w:rFonts w:ascii="Arial" w:cs="Arial" w:eastAsia="Arial" w:hAnsi="Arial"/>
                <w:sz w:val="14"/>
                <w:szCs w:val="14"/>
                <w:b w:val="1"/>
                <w:bCs w:val="1"/>
                <w:color w:val="auto"/>
              </w:rPr>
              <w:t>Derivatives in SFAS No. 133 Cash Flow Hedging Relationships</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5"/>
                <w:szCs w:val="15"/>
                <w:color w:val="auto"/>
              </w:rPr>
            </w:pPr>
          </w:p>
        </w:tc>
        <w:tc>
          <w:tcPr>
            <w:tcW w:w="2400" w:type="dxa"/>
            <w:vAlign w:val="bottom"/>
          </w:tcPr>
          <w:p>
            <w:pPr>
              <w:jc w:val="center"/>
              <w:ind w:left="552"/>
              <w:spacing w:after="0"/>
              <w:rPr>
                <w:sz w:val="20"/>
                <w:szCs w:val="20"/>
                <w:color w:val="auto"/>
              </w:rPr>
            </w:pPr>
            <w:r>
              <w:rPr>
                <w:rFonts w:ascii="Arial" w:cs="Arial" w:eastAsia="Arial" w:hAnsi="Arial"/>
                <w:sz w:val="14"/>
                <w:szCs w:val="14"/>
                <w:b w:val="1"/>
                <w:bCs w:val="1"/>
                <w:color w:val="auto"/>
                <w:w w:val="89"/>
              </w:rPr>
              <w:t>Accumulated OCI into Income</w:t>
            </w:r>
          </w:p>
        </w:tc>
      </w:tr>
      <w:tr>
        <w:trPr>
          <w:trHeight w:val="216"/>
        </w:trPr>
        <w:tc>
          <w:tcPr>
            <w:tcW w:w="614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(149)</w:t>
            </w:r>
          </w:p>
        </w:tc>
        <w:tc>
          <w:tcPr>
            <w:tcW w:w="2400" w:type="dxa"/>
            <w:vAlign w:val="bottom"/>
          </w:tcPr>
          <w:p>
            <w:pPr>
              <w:ind w:left="300"/>
              <w:spacing w:after="0"/>
              <w:rPr>
                <w:sz w:val="20"/>
                <w:szCs w:val="20"/>
                <w:color w:val="auto"/>
              </w:rPr>
            </w:pPr>
            <w:r>
              <w:rPr>
                <w:rFonts w:ascii="Arial" w:cs="Arial" w:eastAsia="Arial" w:hAnsi="Arial"/>
                <w:sz w:val="14"/>
                <w:szCs w:val="14"/>
                <w:color w:val="auto"/>
              </w:rPr>
              <w:t>Cost of goods sold and services</w:t>
            </w:r>
          </w:p>
        </w:tc>
      </w:tr>
      <w:tr>
        <w:trPr>
          <w:trHeight w:val="119"/>
        </w:trPr>
        <w:tc>
          <w:tcPr>
            <w:tcW w:w="6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4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946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7460"/>
        <w:spacing w:after="0"/>
        <w:rPr>
          <w:sz w:val="20"/>
          <w:szCs w:val="20"/>
          <w:color w:val="auto"/>
        </w:rPr>
      </w:pPr>
      <w:r>
        <w:rPr>
          <w:rFonts w:ascii="Arial" w:cs="Arial" w:eastAsia="Arial" w:hAnsi="Arial"/>
          <w:sz w:val="14"/>
          <w:szCs w:val="14"/>
          <w:color w:val="auto"/>
        </w:rPr>
        <w:t>Research &amp;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67310</wp:posOffset>
            </wp:positionV>
            <wp:extent cx="24784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60"/>
        <w:spacing w:after="0"/>
        <w:rPr>
          <w:sz w:val="20"/>
          <w:szCs w:val="20"/>
          <w:color w:val="auto"/>
        </w:rPr>
      </w:pPr>
      <w:r>
        <w:rPr>
          <w:rFonts w:ascii="Arial" w:cs="Arial" w:eastAsia="Arial" w:hAnsi="Arial"/>
          <w:sz w:val="12"/>
          <w:szCs w:val="12"/>
          <w:b w:val="1"/>
          <w:bCs w:val="1"/>
          <w:color w:val="auto"/>
        </w:rPr>
        <w:t>Gain (Loss)</w:t>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2"/>
          <w:szCs w:val="12"/>
          <w:b w:val="1"/>
          <w:bCs w:val="1"/>
          <w:color w:val="auto"/>
        </w:rPr>
        <w:t>reclassified</w:t>
      </w:r>
    </w:p>
    <w:p>
      <w:pPr>
        <w:jc w:val="right"/>
        <w:ind w:right="60"/>
        <w:spacing w:after="0" w:line="237" w:lineRule="auto"/>
        <w:rPr>
          <w:sz w:val="20"/>
          <w:szCs w:val="20"/>
          <w:color w:val="auto"/>
        </w:rPr>
      </w:pPr>
      <w:r>
        <w:rPr>
          <w:rFonts w:ascii="Arial" w:cs="Arial" w:eastAsia="Arial" w:hAnsi="Arial"/>
          <w:sz w:val="14"/>
          <w:szCs w:val="14"/>
          <w:b w:val="1"/>
          <w:bCs w:val="1"/>
          <w:color w:val="auto"/>
        </w:rPr>
        <w:t>from</w:t>
      </w:r>
    </w:p>
    <w:p>
      <w:pPr>
        <w:jc w:val="right"/>
        <w:ind w:right="60"/>
        <w:spacing w:after="0"/>
        <w:rPr>
          <w:sz w:val="20"/>
          <w:szCs w:val="20"/>
          <w:color w:val="auto"/>
        </w:rPr>
      </w:pPr>
      <w:r>
        <w:rPr>
          <w:rFonts w:ascii="Arial" w:cs="Arial" w:eastAsia="Arial" w:hAnsi="Arial"/>
          <w:sz w:val="12"/>
          <w:szCs w:val="12"/>
          <w:b w:val="1"/>
          <w:bCs w:val="1"/>
          <w:color w:val="auto"/>
        </w:rPr>
        <w:t>Accumulated</w:t>
      </w:r>
    </w:p>
    <w:p>
      <w:pPr>
        <w:jc w:val="right"/>
        <w:ind w:right="60"/>
        <w:spacing w:after="0" w:line="237" w:lineRule="auto"/>
        <w:rPr>
          <w:sz w:val="20"/>
          <w:szCs w:val="20"/>
          <w:color w:val="auto"/>
        </w:rPr>
      </w:pPr>
      <w:r>
        <w:rPr>
          <w:rFonts w:ascii="Arial" w:cs="Arial" w:eastAsia="Arial" w:hAnsi="Arial"/>
          <w:sz w:val="14"/>
          <w:szCs w:val="14"/>
          <w:b w:val="1"/>
          <w:bCs w:val="1"/>
          <w:color w:val="auto"/>
        </w:rPr>
        <w:t>OCI into</w:t>
      </w:r>
    </w:p>
    <w:p>
      <w:pPr>
        <w:jc w:val="right"/>
        <w:ind w:right="60"/>
        <w:spacing w:after="0" w:line="221" w:lineRule="auto"/>
        <w:rPr>
          <w:sz w:val="20"/>
          <w:szCs w:val="20"/>
          <w:color w:val="auto"/>
        </w:rPr>
      </w:pPr>
      <w:r>
        <w:rPr>
          <w:rFonts w:ascii="Arial" w:cs="Arial" w:eastAsia="Arial" w:hAnsi="Arial"/>
          <w:sz w:val="14"/>
          <w:szCs w:val="14"/>
          <w:b w:val="1"/>
          <w:bCs w:val="1"/>
          <w:color w:val="auto"/>
        </w:rPr>
        <w:t>Income</w:t>
      </w:r>
    </w:p>
    <w:p>
      <w:pPr>
        <w:jc w:val="right"/>
        <w:ind w:right="60"/>
        <w:spacing w:after="0"/>
        <w:rPr>
          <w:sz w:val="20"/>
          <w:szCs w:val="20"/>
          <w:color w:val="auto"/>
        </w:rPr>
      </w:pPr>
      <w:r>
        <w:rPr>
          <w:rFonts w:ascii="Arial" w:cs="Arial" w:eastAsia="Arial" w:hAnsi="Arial"/>
          <w:sz w:val="14"/>
          <w:szCs w:val="14"/>
          <w:b w:val="1"/>
          <w:bCs w:val="1"/>
          <w:color w:val="auto"/>
        </w:rPr>
        <w:t>2008</w:t>
      </w:r>
    </w:p>
    <w:p>
      <w:pPr>
        <w:spacing w:after="0" w:line="57" w:lineRule="exact"/>
        <w:rPr>
          <w:sz w:val="20"/>
          <w:szCs w:val="20"/>
          <w:color w:val="auto"/>
        </w:rPr>
      </w:pPr>
    </w:p>
    <w:p>
      <w:pPr>
        <w:ind w:left="584" w:hanging="584"/>
        <w:spacing w:after="0"/>
        <w:tabs>
          <w:tab w:leader="none" w:pos="584" w:val="left"/>
        </w:tabs>
        <w:numPr>
          <w:ilvl w:val="0"/>
          <w:numId w:val="33"/>
        </w:numPr>
        <w:rPr>
          <w:rFonts w:ascii="Arial" w:cs="Arial" w:eastAsia="Arial" w:hAnsi="Arial"/>
          <w:sz w:val="12"/>
          <w:szCs w:val="12"/>
          <w:color w:val="auto"/>
        </w:rPr>
      </w:pPr>
      <w:r>
        <w:rPr>
          <w:rFonts w:ascii="Arial" w:cs="Arial" w:eastAsia="Arial" w:hAnsi="Arial"/>
          <w:sz w:val="12"/>
          <w:szCs w:val="12"/>
          <w:color w:val="auto"/>
        </w:rPr>
        <w:t>(19)</w:t>
      </w:r>
    </w:p>
    <w:p>
      <w:pPr>
        <w:spacing w:after="0" w:line="267" w:lineRule="exact"/>
        <w:rPr>
          <w:rFonts w:ascii="Arial" w:cs="Arial" w:eastAsia="Arial" w:hAnsi="Arial"/>
          <w:sz w:val="12"/>
          <w:szCs w:val="12"/>
          <w:color w:val="auto"/>
        </w:rPr>
      </w:pPr>
    </w:p>
    <w:p>
      <w:pPr>
        <w:ind w:left="704"/>
        <w:spacing w:after="0"/>
        <w:rPr>
          <w:rFonts w:ascii="Arial" w:cs="Arial" w:eastAsia="Arial" w:hAnsi="Arial"/>
          <w:sz w:val="12"/>
          <w:szCs w:val="12"/>
          <w:color w:val="auto"/>
        </w:rPr>
      </w:pPr>
      <w:r>
        <w:rPr>
          <w:rFonts w:ascii="Arial" w:cs="Arial" w:eastAsia="Arial" w:hAnsi="Arial"/>
          <w:sz w:val="14"/>
          <w:szCs w:val="14"/>
          <w:color w:val="auto"/>
        </w:rPr>
        <w:t>5</w:t>
      </w:r>
    </w:p>
    <w:p>
      <w:pPr>
        <w:spacing w:after="0" w:line="200" w:lineRule="exact"/>
        <w:rPr>
          <w:sz w:val="20"/>
          <w:szCs w:val="20"/>
          <w:color w:val="auto"/>
        </w:rPr>
      </w:pPr>
    </w:p>
    <w:p>
      <w:pPr>
        <w:sectPr>
          <w:pgSz w:w="11900" w:h="16838" w:orient="portrait"/>
          <w:cols w:equalWidth="0" w:num="2">
            <w:col w:w="9876" w:space="720"/>
            <w:col w:w="824"/>
          </w:cols>
          <w:pgMar w:left="240" w:top="459"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980" w:type="dxa"/>
            <w:vAlign w:val="bottom"/>
          </w:tcPr>
          <w:p>
            <w:pPr>
              <w:jc w:val="center"/>
              <w:ind w:right="572"/>
              <w:spacing w:after="0" w:line="149" w:lineRule="exact"/>
              <w:rPr>
                <w:sz w:val="20"/>
                <w:szCs w:val="20"/>
                <w:color w:val="auto"/>
              </w:rPr>
            </w:pPr>
            <w:r>
              <w:rPr>
                <w:rFonts w:ascii="Arial" w:cs="Arial" w:eastAsia="Arial" w:hAnsi="Arial"/>
                <w:sz w:val="14"/>
                <w:szCs w:val="14"/>
                <w:b w:val="1"/>
                <w:bCs w:val="1"/>
                <w:color w:val="auto"/>
                <w:w w:val="85"/>
              </w:rPr>
              <w:t>Gain (Loss) recognized in</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74"/>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Derivatives not designated as hedging instruments under SFAS 133</w:t>
            </w:r>
          </w:p>
        </w:tc>
        <w:tc>
          <w:tcPr>
            <w:tcW w:w="1880" w:type="dxa"/>
            <w:vAlign w:val="bottom"/>
          </w:tcPr>
          <w:p>
            <w:pPr>
              <w:spacing w:after="0"/>
              <w:rPr>
                <w:sz w:val="15"/>
                <w:szCs w:val="15"/>
                <w:color w:val="auto"/>
              </w:rPr>
            </w:pPr>
          </w:p>
        </w:tc>
        <w:tc>
          <w:tcPr>
            <w:tcW w:w="2980" w:type="dxa"/>
            <w:vAlign w:val="bottom"/>
          </w:tcPr>
          <w:p>
            <w:pPr>
              <w:jc w:val="center"/>
              <w:ind w:right="572"/>
              <w:spacing w:after="0"/>
              <w:rPr>
                <w:sz w:val="20"/>
                <w:szCs w:val="20"/>
                <w:color w:val="auto"/>
              </w:rPr>
            </w:pPr>
            <w:r>
              <w:rPr>
                <w:rFonts w:ascii="Arial" w:cs="Arial" w:eastAsia="Arial" w:hAnsi="Arial"/>
                <w:sz w:val="14"/>
                <w:szCs w:val="14"/>
                <w:b w:val="1"/>
                <w:bCs w:val="1"/>
                <w:color w:val="auto"/>
                <w:w w:val="87"/>
              </w:rPr>
              <w:t>Income on Derivatives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4860" w:type="dxa"/>
            <w:vAlign w:val="bottom"/>
            <w:gridSpan w:val="2"/>
            <w:shd w:val="clear" w:color="auto" w:fill="CCEEFF"/>
          </w:tcPr>
          <w:p>
            <w:pPr>
              <w:ind w:left="1880"/>
              <w:spacing w:after="0" w:line="149" w:lineRule="exact"/>
              <w:rPr>
                <w:sz w:val="20"/>
                <w:szCs w:val="20"/>
                <w:color w:val="auto"/>
              </w:rPr>
            </w:pPr>
            <w:r>
              <w:rPr>
                <w:rFonts w:ascii="Arial" w:cs="Arial" w:eastAsia="Arial" w:hAnsi="Arial"/>
                <w:sz w:val="14"/>
                <w:szCs w:val="14"/>
                <w:color w:val="auto"/>
              </w:rPr>
              <w:t>Cost of goods sold and services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20"/>
                <w:szCs w:val="20"/>
                <w:color w:val="auto"/>
              </w:rPr>
            </w:pPr>
            <w:r>
              <w:rPr>
                <w:rFonts w:ascii="Arial" w:cs="Arial" w:eastAsia="Arial" w:hAnsi="Arial"/>
                <w:sz w:val="14"/>
                <w:szCs w:val="14"/>
                <w:color w:val="auto"/>
              </w:rPr>
              <w:t>Commodity contracts</w:t>
            </w:r>
          </w:p>
        </w:tc>
        <w:tc>
          <w:tcPr>
            <w:tcW w:w="4860" w:type="dxa"/>
            <w:vAlign w:val="bottom"/>
            <w:gridSpan w:val="2"/>
          </w:tcPr>
          <w:p>
            <w:pPr>
              <w:ind w:left="1880"/>
              <w:spacing w:after="0"/>
              <w:rPr>
                <w:sz w:val="20"/>
                <w:szCs w:val="20"/>
                <w:color w:val="auto"/>
              </w:rPr>
            </w:pPr>
            <w:r>
              <w:rPr>
                <w:rFonts w:ascii="Arial" w:cs="Arial" w:eastAsia="Arial" w:hAnsi="Arial"/>
                <w:sz w:val="14"/>
                <w:szCs w:val="14"/>
                <w:color w:val="auto"/>
              </w:rPr>
              <w:t>Cost of goods sold and services</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7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6726555</wp:posOffset>
            </wp:positionH>
            <wp:positionV relativeFrom="paragraph">
              <wp:posOffset>-1229995</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-1229995</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-1229995</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Schlumberger is authorized to issue 3,000,000,000 shares of common stock, par value $0.01 per share, of which 1,194,100,845 and 1,195,616,324 shares were outstanding on December 31, 2008 and 2007,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89"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Schlumberger has three types of stock-based compensation programs: stock options, a restricted stock and restricted stock unit program (collectively referred to as “restricted stock”) and a discounted stock purchase plan (“DSPP”).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72"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Key employees are granted stock options under Schlumberger stock option plans. For all of the stock options granted, the exercise price of each option equals the average of the high and low sales prices of Schlumberger stock on the date of grant; an option’s maximum term is generally ten years, and options generally vest in increments over four or five years. The gain on the awards granted during the period from July 2003 to January 2006 is capped at 125% of the exercise price. Awards granted subsequent to January 2006 do not have a cap on any potential gain and generally vest in increments over five years.</w:t>
      </w:r>
    </w:p>
    <w:p>
      <w:pPr>
        <w:spacing w:after="0" w:line="3"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5280" w:type="dxa"/>
            <w:vAlign w:val="bottom"/>
          </w:tcPr>
          <w:p>
            <w:pPr>
              <w:jc w:val="right"/>
              <w:ind w:right="372"/>
              <w:spacing w:after="0"/>
              <w:rPr>
                <w:sz w:val="20"/>
                <w:szCs w:val="20"/>
                <w:color w:val="auto"/>
              </w:rPr>
            </w:pPr>
            <w:r>
              <w:rPr>
                <w:rFonts w:ascii="Arial" w:cs="Arial" w:eastAsia="Arial" w:hAnsi="Arial"/>
                <w:sz w:val="14"/>
                <w:szCs w:val="14"/>
                <w:b w:val="1"/>
                <w:bCs w:val="1"/>
                <w:color w:val="auto"/>
              </w:rPr>
              <w:t>2008</w:t>
            </w:r>
          </w:p>
        </w:tc>
        <w:tc>
          <w:tcPr>
            <w:tcW w:w="12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840" w:type="dxa"/>
            <w:vAlign w:val="bottom"/>
          </w:tcPr>
          <w:p>
            <w:pPr>
              <w:spacing w:after="0"/>
              <w:rPr>
                <w:sz w:val="4"/>
                <w:szCs w:val="4"/>
                <w:color w:val="auto"/>
              </w:rPr>
            </w:pPr>
          </w:p>
        </w:tc>
        <w:tc>
          <w:tcPr>
            <w:tcW w:w="5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5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1.0%</w:t>
            </w:r>
          </w:p>
        </w:tc>
        <w:tc>
          <w:tcPr>
            <w:tcW w:w="1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52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31%</w:t>
            </w:r>
          </w:p>
        </w:tc>
        <w:tc>
          <w:tcPr>
            <w:tcW w:w="1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52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3.2%</w:t>
            </w:r>
          </w:p>
        </w:tc>
        <w:tc>
          <w:tcPr>
            <w:tcW w:w="1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4.7%</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52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7.0 years</w:t>
            </w:r>
          </w:p>
        </w:tc>
        <w:tc>
          <w:tcPr>
            <w:tcW w:w="12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6.9 years</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6.1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52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   29.33</w:t>
            </w:r>
          </w:p>
        </w:tc>
        <w:tc>
          <w:tcPr>
            <w:tcW w:w="12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   25.94</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jc w:val="right"/>
              <w:ind w:right="3292"/>
              <w:spacing w:after="0"/>
              <w:rPr>
                <w:sz w:val="20"/>
                <w:szCs w:val="20"/>
                <w:color w:val="auto"/>
              </w:rPr>
            </w:pPr>
            <w:r>
              <w:rPr>
                <w:rFonts w:ascii="Arial" w:cs="Arial" w:eastAsia="Arial" w:hAnsi="Arial"/>
                <w:sz w:val="14"/>
                <w:szCs w:val="14"/>
                <w:color w:val="auto"/>
              </w:rPr>
              <w:t>55</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concerning outstanding and exercisable options by five ranges of exercise prices as of December 31, 2008:</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60" w:type="dxa"/>
            <w:vAlign w:val="bottom"/>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60" w:type="dxa"/>
            <w:vAlign w:val="bottom"/>
          </w:tcPr>
          <w:p>
            <w:pPr>
              <w:jc w:val="right"/>
              <w:ind w:right="412"/>
              <w:spacing w:after="0"/>
              <w:rPr>
                <w:sz w:val="20"/>
                <w:szCs w:val="20"/>
                <w:color w:val="auto"/>
              </w:rPr>
            </w:pPr>
            <w:r>
              <w:rPr>
                <w:rFonts w:ascii="Arial" w:cs="Arial" w:eastAsia="Arial" w:hAnsi="Arial"/>
                <w:sz w:val="14"/>
                <w:szCs w:val="14"/>
                <w:b w:val="1"/>
                <w:bCs w:val="1"/>
                <w:color w:val="auto"/>
              </w:rPr>
              <w:t>Weighted-</w:t>
            </w: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Weighted-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w:t>
            </w: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Number</w:t>
            </w:r>
          </w:p>
        </w:tc>
        <w:tc>
          <w:tcPr>
            <w:tcW w:w="2060" w:type="dxa"/>
            <w:vAlign w:val="bottom"/>
          </w:tcPr>
          <w:p>
            <w:pPr>
              <w:jc w:val="right"/>
              <w:ind w:right="412"/>
              <w:spacing w:after="0" w:line="13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1"/>
                <w:szCs w:val="11"/>
                <w:color w:val="auto"/>
              </w:rPr>
            </w:pPr>
          </w:p>
        </w:tc>
        <w:tc>
          <w:tcPr>
            <w:tcW w:w="120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Range of</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outstanding as</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exercise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exercisable</w:t>
            </w:r>
          </w:p>
        </w:tc>
        <w:tc>
          <w:tcPr>
            <w:tcW w:w="8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88"/>
        </w:trPr>
        <w:tc>
          <w:tcPr>
            <w:tcW w:w="4920" w:type="dxa"/>
            <w:vAlign w:val="bottom"/>
            <w:gridSpan w:val="4"/>
          </w:tcPr>
          <w:p>
            <w:pPr>
              <w:spacing w:after="0"/>
              <w:rPr>
                <w:sz w:val="20"/>
                <w:szCs w:val="20"/>
                <w:color w:val="auto"/>
              </w:rPr>
            </w:pPr>
            <w:r>
              <w:rPr>
                <w:rFonts w:ascii="Arial" w:cs="Arial" w:eastAsia="Arial" w:hAnsi="Arial"/>
                <w:sz w:val="14"/>
                <w:szCs w:val="14"/>
                <w:b w:val="1"/>
                <w:bCs w:val="1"/>
                <w:color w:val="auto"/>
              </w:rPr>
              <w:t>exercise prices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of 12/31/08</w:t>
            </w:r>
          </w:p>
        </w:tc>
        <w:tc>
          <w:tcPr>
            <w:tcW w:w="2060" w:type="dxa"/>
            <w:vAlign w:val="bottom"/>
          </w:tcPr>
          <w:p>
            <w:pPr>
              <w:jc w:val="right"/>
              <w:ind w:right="412"/>
              <w:spacing w:after="0"/>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6"/>
                <w:szCs w:val="16"/>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3"/>
              </w:rPr>
              <w:t>as of 12/31/08</w:t>
            </w:r>
          </w:p>
        </w:tc>
        <w:tc>
          <w:tcPr>
            <w:tcW w:w="8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0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$19.04 - $27.87</w:t>
            </w: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7,307,406</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2.99</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25.91</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7,307,406</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w w:val="83"/>
              </w:rPr>
              <w:t>$27.94</w:t>
            </w:r>
          </w:p>
        </w:tc>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 $32.62</w:t>
            </w:r>
          </w:p>
        </w:tc>
        <w:tc>
          <w:tcPr>
            <w:tcW w:w="7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4,543,384</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5.22</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32.26</w:t>
            </w:r>
          </w:p>
        </w:tc>
        <w:tc>
          <w:tcPr>
            <w:tcW w:w="7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3,312,660</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$34.83</w:t>
            </w:r>
          </w:p>
        </w:tc>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$54.24</w:t>
            </w: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9,938,296</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5.89</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49.53</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5,745,381</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w w:val="83"/>
              </w:rPr>
              <w:t>$58.46</w:t>
            </w:r>
          </w:p>
        </w:tc>
        <w:tc>
          <w:tcPr>
            <w:tcW w:w="3820" w:type="dxa"/>
            <w:vAlign w:val="bottom"/>
          </w:tcPr>
          <w:p>
            <w:pPr>
              <w:ind w:left="20"/>
              <w:spacing w:after="0" w:line="149" w:lineRule="exact"/>
              <w:rPr>
                <w:sz w:val="20"/>
                <w:szCs w:val="20"/>
                <w:color w:val="auto"/>
              </w:rPr>
            </w:pPr>
            <w:r>
              <w:rPr>
                <w:rFonts w:ascii="Arial" w:cs="Arial" w:eastAsia="Arial" w:hAnsi="Arial"/>
                <w:sz w:val="14"/>
                <w:szCs w:val="14"/>
                <w:color w:val="auto"/>
              </w:rPr>
              <w:t>- $92.70</w:t>
            </w:r>
          </w:p>
        </w:tc>
        <w:tc>
          <w:tcPr>
            <w:tcW w:w="7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9,367,481</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8.45</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73.03</w:t>
            </w:r>
          </w:p>
        </w:tc>
        <w:tc>
          <w:tcPr>
            <w:tcW w:w="7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1,078,501</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$93.97</w:t>
            </w:r>
          </w:p>
        </w:tc>
        <w:tc>
          <w:tcPr>
            <w:tcW w:w="3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 $110.78</w:t>
            </w: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1,144,750</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9.26</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99.94</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57,200</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32,301,317</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17,501,148</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2008 was 4.32 years.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stock option activity during the years ended December 31, 2008, 2007 and 2006: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b w:val="1"/>
                <w:bCs w:val="1"/>
                <w:color w:val="auto"/>
                <w:w w:val="83"/>
              </w:rPr>
              <w:t>2008</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Weighted-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2"/>
              </w:rPr>
              <w:t>Weighted-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4"/>
              </w:rPr>
              <w:t>average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average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exercise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5"/>
                <w:szCs w:val="15"/>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35,718,782</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41.02</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48,678,601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36.36</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52,978,806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color w:val="auto"/>
              </w:rPr>
              <w:t>Granted</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5,421,900</w:t>
            </w: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84.95</w:t>
            </w:r>
          </w:p>
        </w:tc>
        <w:tc>
          <w:tcPr>
            <w:tcW w:w="4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4,398,500</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66.48</w:t>
            </w:r>
          </w:p>
        </w:tc>
        <w:tc>
          <w:tcPr>
            <w:tcW w:w="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9,055,140</w:t>
            </w:r>
          </w:p>
        </w:tc>
        <w:tc>
          <w:tcPr>
            <w:tcW w:w="3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(5,443,552)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32.69</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(13,788,401)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34.89</w:t>
            </w:r>
          </w:p>
        </w:tc>
        <w:tc>
          <w:tcPr>
            <w:tcW w:w="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3"/>
              </w:rPr>
              <w:t>(11,277,006)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Arial" w:cs="Arial" w:eastAsia="Arial" w:hAnsi="Arial"/>
                <w:sz w:val="14"/>
                <w:szCs w:val="14"/>
                <w:color w:val="auto"/>
              </w:rPr>
              <w:t>Forfeited</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(3,395,813)</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42.68</w:t>
            </w:r>
          </w:p>
        </w:tc>
        <w:tc>
          <w:tcPr>
            <w:tcW w:w="4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(3,569,918)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31.74</w:t>
            </w:r>
          </w:p>
        </w:tc>
        <w:tc>
          <w:tcPr>
            <w:tcW w:w="2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(2,078,339)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32,301,317</w:t>
            </w: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50.36</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35,718,782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41.02</w:t>
            </w: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48,678,601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873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873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The aggregate intrinsic value of stock options outstanding as of December 31, 2008 was approximately $175 million. The aggregate intrinsic value of stock options exercisable as of December 31, 2008 was approximately $161 million.</w:t>
      </w:r>
    </w:p>
    <w:p>
      <w:pPr>
        <w:ind w:right="220" w:firstLine="22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2008, 2007 and 2006, was approximately $119 million, $607 million and $366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Schlumberger began granting restricted stock in 2006. Executive officers of Schlumberger may not receive grants of restricted stock unless the grants are subject to performance-based vesting. Restricted stock awards generally vest at the end of three years, with the exception of certain grants which vest over a two-year period with a two-year holding period. There have not been any grants to date that are subject to performance-based vesting.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restricted stock transactions: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7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11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Average</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11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7"/>
              </w:rPr>
              <w:t>Average</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1"/>
              </w:rPr>
              <w:t>Restricted</w:t>
            </w:r>
          </w:p>
        </w:tc>
        <w:tc>
          <w:tcPr>
            <w:tcW w:w="1200" w:type="dxa"/>
            <w:vAlign w:val="bottom"/>
            <w:gridSpan w:val="3"/>
          </w:tcPr>
          <w:p>
            <w:pPr>
              <w:jc w:val="right"/>
              <w:ind w:right="540"/>
              <w:spacing w:after="0" w:line="135" w:lineRule="exact"/>
              <w:rPr>
                <w:sz w:val="20"/>
                <w:szCs w:val="20"/>
                <w:color w:val="auto"/>
              </w:rPr>
            </w:pPr>
            <w:r>
              <w:rPr>
                <w:rFonts w:ascii="Arial" w:cs="Arial" w:eastAsia="Arial" w:hAnsi="Arial"/>
                <w:sz w:val="14"/>
                <w:szCs w:val="14"/>
                <w:b w:val="1"/>
                <w:bCs w:val="1"/>
                <w:color w:val="auto"/>
                <w:w w:val="89"/>
              </w:rPr>
              <w:t>Grant Date</w:t>
            </w:r>
          </w:p>
        </w:tc>
        <w:tc>
          <w:tcPr>
            <w:tcW w:w="108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4"/>
              </w:rPr>
              <w:t>Restricted</w:t>
            </w:r>
          </w:p>
        </w:tc>
        <w:tc>
          <w:tcPr>
            <w:tcW w:w="1220" w:type="dxa"/>
            <w:vAlign w:val="bottom"/>
            <w:gridSpan w:val="3"/>
          </w:tcPr>
          <w:p>
            <w:pPr>
              <w:jc w:val="right"/>
              <w:ind w:right="540"/>
              <w:spacing w:after="0" w:line="135" w:lineRule="exact"/>
              <w:rPr>
                <w:sz w:val="20"/>
                <w:szCs w:val="20"/>
                <w:color w:val="auto"/>
              </w:rPr>
            </w:pPr>
            <w:r>
              <w:rPr>
                <w:rFonts w:ascii="Arial" w:cs="Arial" w:eastAsia="Arial" w:hAnsi="Arial"/>
                <w:sz w:val="14"/>
                <w:szCs w:val="14"/>
                <w:b w:val="1"/>
                <w:bCs w:val="1"/>
                <w:color w:val="auto"/>
                <w:w w:val="92"/>
              </w:rPr>
              <w:t>Grant Date</w:t>
            </w:r>
          </w:p>
        </w:tc>
        <w:tc>
          <w:tcPr>
            <w:tcW w:w="8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8"/>
              </w:rPr>
              <w:t>Fair Value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 w:type="dxa"/>
            <w:vAlign w:val="bottom"/>
          </w:tcPr>
          <w:p>
            <w:pPr>
              <w:spacing w:after="0"/>
              <w:rPr>
                <w:sz w:val="4"/>
                <w:szCs w:val="4"/>
                <w:color w:val="auto"/>
              </w:rPr>
            </w:pPr>
          </w:p>
        </w:tc>
        <w:tc>
          <w:tcPr>
            <w:tcW w:w="57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at beginning of year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884,600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65.14</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636,800</w:t>
            </w:r>
          </w:p>
        </w:tc>
        <w:tc>
          <w:tcPr>
            <w:tcW w:w="4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tcPr>
          <w:p>
            <w:pPr>
              <w:spacing w:after="0" w:line="149" w:lineRule="exact"/>
              <w:rPr>
                <w:sz w:val="20"/>
                <w:szCs w:val="20"/>
                <w:color w:val="auto"/>
              </w:rPr>
            </w:pPr>
            <w:r>
              <w:rPr>
                <w:rFonts w:ascii="Arial" w:cs="Arial" w:eastAsia="Arial" w:hAnsi="Arial"/>
                <w:sz w:val="14"/>
                <w:szCs w:val="14"/>
                <w:color w:val="auto"/>
              </w:rPr>
              <w:t>Granted</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862,500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68.04</w:t>
            </w:r>
          </w:p>
        </w:tc>
        <w:tc>
          <w:tcPr>
            <w:tcW w:w="5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285,800</w:t>
            </w:r>
          </w:p>
        </w:tc>
        <w:tc>
          <w:tcPr>
            <w:tcW w:w="48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570" w:type="dxa"/>
            <w:vAlign w:val="bottom"/>
          </w:tcPr>
          <w:p>
            <w:pPr>
              <w:jc w:val="right"/>
              <w:spacing w:after="0" w:line="149" w:lineRule="exact"/>
              <w:rPr>
                <w:sz w:val="20"/>
                <w:szCs w:val="20"/>
                <w:color w:val="auto"/>
              </w:rPr>
            </w:pPr>
            <w:r>
              <w:rPr>
                <w:rFonts w:ascii="Arial" w:cs="Arial" w:eastAsia="Arial" w:hAnsi="Arial"/>
                <w:sz w:val="14"/>
                <w:szCs w:val="14"/>
                <w:color w:val="auto"/>
              </w:rPr>
              <w:t>64.71</w:t>
            </w:r>
          </w:p>
        </w:tc>
        <w:tc>
          <w:tcPr>
            <w:tcW w:w="5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661,000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(18,200)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65.35</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10" w:type="dxa"/>
            <w:vAlign w:val="bottom"/>
            <w:shd w:val="clear" w:color="auto" w:fill="CCEEFF"/>
          </w:tcPr>
          <w:p>
            <w:pPr>
              <w:spacing w:after="0"/>
              <w:rPr>
                <w:sz w:val="12"/>
                <w:szCs w:val="12"/>
                <w:color w:val="auto"/>
              </w:rPr>
            </w:pPr>
          </w:p>
        </w:tc>
        <w:tc>
          <w:tcPr>
            <w:tcW w:w="111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gridSpan w:val="2"/>
          </w:tcPr>
          <w:p>
            <w:pPr>
              <w:spacing w:after="0"/>
              <w:rPr>
                <w:sz w:val="20"/>
                <w:szCs w:val="20"/>
                <w:color w:val="auto"/>
              </w:rPr>
            </w:pPr>
            <w:r>
              <w:rPr>
                <w:rFonts w:ascii="Arial" w:cs="Arial" w:eastAsia="Arial" w:hAnsi="Arial"/>
                <w:sz w:val="14"/>
                <w:szCs w:val="14"/>
                <w:color w:val="auto"/>
              </w:rPr>
              <w:t>Forfeited</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(28,300)</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72.44</w:t>
            </w:r>
          </w:p>
        </w:tc>
        <w:tc>
          <w:tcPr>
            <w:tcW w:w="54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(38,000)</w:t>
            </w:r>
          </w:p>
        </w:tc>
        <w:tc>
          <w:tcPr>
            <w:tcW w:w="110" w:type="dxa"/>
            <w:vAlign w:val="bottom"/>
          </w:tcPr>
          <w:p>
            <w:pPr>
              <w:spacing w:after="0"/>
              <w:rPr>
                <w:sz w:val="15"/>
                <w:szCs w:val="15"/>
                <w:color w:val="auto"/>
              </w:rPr>
            </w:pPr>
          </w:p>
        </w:tc>
        <w:tc>
          <w:tcPr>
            <w:tcW w:w="570" w:type="dxa"/>
            <w:vAlign w:val="bottom"/>
          </w:tcPr>
          <w:p>
            <w:pPr>
              <w:jc w:val="right"/>
              <w:spacing w:after="0"/>
              <w:rPr>
                <w:sz w:val="20"/>
                <w:szCs w:val="20"/>
                <w:color w:val="auto"/>
              </w:rPr>
            </w:pPr>
            <w:r>
              <w:rPr>
                <w:rFonts w:ascii="Arial" w:cs="Arial" w:eastAsia="Arial" w:hAnsi="Arial"/>
                <w:sz w:val="14"/>
                <w:szCs w:val="14"/>
                <w:color w:val="auto"/>
              </w:rPr>
              <w:t>63.12</w:t>
            </w:r>
          </w:p>
        </w:tc>
        <w:tc>
          <w:tcPr>
            <w:tcW w:w="5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(24,200)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7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at end of year</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1,700,600</w:t>
            </w: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66.49</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884,600</w:t>
            </w:r>
          </w:p>
        </w:tc>
        <w:tc>
          <w:tcPr>
            <w:tcW w:w="480" w:type="dxa"/>
            <w:vAlign w:val="bottom"/>
            <w:shd w:val="clear" w:color="auto" w:fill="CCEEFF"/>
          </w:tcPr>
          <w:p>
            <w:pPr>
              <w:spacing w:after="0"/>
              <w:rPr>
                <w:sz w:val="12"/>
                <w:szCs w:val="12"/>
                <w:color w:val="auto"/>
              </w:rPr>
            </w:pPr>
          </w:p>
        </w:tc>
        <w:tc>
          <w:tcPr>
            <w:tcW w:w="1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636,800</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65.21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3218815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3873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42418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42418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72" w:lineRule="exact"/>
        <w:rPr>
          <w:sz w:val="20"/>
          <w:szCs w:val="20"/>
          <w:color w:val="auto"/>
        </w:rPr>
      </w:pPr>
    </w:p>
    <w:p>
      <w:pPr>
        <w:ind w:right="620"/>
        <w:spacing w:after="0" w:line="305" w:lineRule="auto"/>
        <w:rPr>
          <w:sz w:val="20"/>
          <w:szCs w:val="20"/>
          <w:color w:val="auto"/>
        </w:rPr>
      </w:pPr>
      <w:r>
        <w:rPr>
          <w:rFonts w:ascii="Arial" w:cs="Arial" w:eastAsia="Arial" w:hAnsi="Arial"/>
          <w:sz w:val="15"/>
          <w:szCs w:val="15"/>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1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75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21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0.9%</w:t>
            </w:r>
          </w:p>
        </w:tc>
        <w:tc>
          <w:tcPr>
            <w:tcW w:w="2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21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34%</w:t>
            </w:r>
          </w:p>
        </w:tc>
        <w:tc>
          <w:tcPr>
            <w:tcW w:w="26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34%</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21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2.7%</w:t>
            </w:r>
          </w:p>
        </w:tc>
        <w:tc>
          <w:tcPr>
            <w:tcW w:w="2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2160" w:type="dxa"/>
            <w:vAlign w:val="bottom"/>
          </w:tcPr>
          <w:p>
            <w:pPr>
              <w:jc w:val="right"/>
              <w:ind w:right="172"/>
              <w:spacing w:after="0"/>
              <w:rPr>
                <w:sz w:val="20"/>
                <w:szCs w:val="20"/>
                <w:color w:val="auto"/>
              </w:rPr>
            </w:pPr>
            <w:r>
              <w:rPr>
                <w:rFonts w:ascii="Arial" w:cs="Arial" w:eastAsia="Arial" w:hAnsi="Arial"/>
                <w:sz w:val="14"/>
                <w:szCs w:val="14"/>
                <w:b w:val="1"/>
                <w:bCs w:val="1"/>
                <w:color w:val="auto"/>
              </w:rPr>
              <w:t>$17.21</w:t>
            </w:r>
          </w:p>
        </w:tc>
        <w:tc>
          <w:tcPr>
            <w:tcW w:w="26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color w:val="auto"/>
              </w:rPr>
              <w:t>$11.52</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$6.19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Total Stock-based Compensation Expense</w:t>
            </w:r>
          </w:p>
        </w:tc>
        <w:tc>
          <w:tcPr>
            <w:tcW w:w="2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The following summarizes stock-based compensation expense recognized in income:</w:t>
            </w:r>
          </w:p>
        </w:tc>
        <w:tc>
          <w:tcPr>
            <w:tcW w:w="2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$ 111</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$ 94</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2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7589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5895"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As of December 31, 2008, there was $305 million of total unrecognized compensation cost related to nonvested stock-based compensation arrangements. Approximately $128 million is expected to be recognized in 2009, $80 million is expected to be recognized in 2010, $62 million in 2011, $32 million in 2012 and $3 million in 2013.</w:t>
      </w:r>
    </w:p>
    <w:p>
      <w:pPr>
        <w:spacing w:after="0" w:line="116"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Pretax book income subject to United States and non-United States income taxes for each of the three years ended December 31, was as follows: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80" w:type="dxa"/>
            <w:vAlign w:val="bottom"/>
            <w:tcBorders>
              <w:top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$1,432</w:t>
            </w:r>
          </w:p>
        </w:tc>
        <w:tc>
          <w:tcPr>
            <w:tcW w:w="128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$ 1,754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$ 1,582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spacing w:after="0"/>
              <w:rPr>
                <w:sz w:val="20"/>
                <w:szCs w:val="20"/>
                <w:color w:val="auto"/>
              </w:rPr>
            </w:pPr>
            <w:r>
              <w:rPr>
                <w:rFonts w:ascii="Arial" w:cs="Arial" w:eastAsia="Arial" w:hAnsi="Arial"/>
                <w:sz w:val="14"/>
                <w:szCs w:val="14"/>
                <w:color w:val="auto"/>
              </w:rPr>
              <w:t>Outside United States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5,420</w:t>
            </w:r>
          </w:p>
        </w:tc>
        <w:tc>
          <w:tcPr>
            <w:tcW w:w="1280" w:type="dxa"/>
            <w:vAlign w:val="bottom"/>
            <w:gridSpan w:val="4"/>
          </w:tcPr>
          <w:p>
            <w:pPr>
              <w:jc w:val="right"/>
              <w:ind w:right="460"/>
              <w:spacing w:after="0"/>
              <w:rPr>
                <w:sz w:val="20"/>
                <w:szCs w:val="20"/>
                <w:color w:val="auto"/>
              </w:rPr>
            </w:pPr>
            <w:r>
              <w:rPr>
                <w:rFonts w:ascii="Arial" w:cs="Arial" w:eastAsia="Arial" w:hAnsi="Arial"/>
                <w:sz w:val="14"/>
                <w:szCs w:val="14"/>
                <w:color w:val="auto"/>
              </w:rPr>
              <w:t>4,870</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3,366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$6,852</w:t>
            </w:r>
          </w:p>
        </w:tc>
        <w:tc>
          <w:tcPr>
            <w:tcW w:w="128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$ 6,624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$ 4,948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25273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26162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-76200</wp:posOffset>
            </wp:positionV>
            <wp:extent cx="20574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7045960</wp:posOffset>
            </wp:positionH>
            <wp:positionV relativeFrom="paragraph">
              <wp:posOffset>-76200</wp:posOffset>
            </wp:positionV>
            <wp:extent cx="17145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Borders>
              <w:top w:val="single" w:sz="8" w:color="auto"/>
            </w:tcBorders>
          </w:tcPr>
          <w:p>
            <w:pPr>
              <w:spacing w:after="0"/>
              <w:rPr>
                <w:sz w:val="15"/>
                <w:szCs w:val="15"/>
                <w:color w:val="auto"/>
              </w:rPr>
            </w:pPr>
          </w:p>
        </w:tc>
        <w:tc>
          <w:tcPr>
            <w:tcW w:w="5220" w:type="dxa"/>
            <w:vAlign w:val="bottom"/>
            <w:tcBorders>
              <w:top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860" w:type="dxa"/>
            <w:vAlign w:val="bottom"/>
          </w:tcPr>
          <w:p>
            <w:pPr>
              <w:spacing w:after="0"/>
              <w:rPr>
                <w:sz w:val="6"/>
                <w:szCs w:val="6"/>
                <w:color w:val="auto"/>
              </w:rPr>
            </w:pPr>
          </w:p>
        </w:tc>
        <w:tc>
          <w:tcPr>
            <w:tcW w:w="44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net</w:t>
            </w:r>
          </w:p>
        </w:tc>
        <w:tc>
          <w:tcPr>
            <w:tcW w:w="52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$ 556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$249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line="149" w:lineRule="exact"/>
              <w:rPr>
                <w:sz w:val="20"/>
                <w:szCs w:val="20"/>
                <w:color w:val="auto"/>
              </w:rPr>
            </w:pPr>
            <w:r>
              <w:rPr>
                <w:rFonts w:ascii="Arial" w:cs="Arial" w:eastAsia="Arial" w:hAnsi="Arial"/>
                <w:sz w:val="14"/>
                <w:szCs w:val="14"/>
                <w:color w:val="auto"/>
              </w:rPr>
              <w:t>Multiclient seismic data</w:t>
            </w:r>
          </w:p>
        </w:tc>
        <w:tc>
          <w:tcPr>
            <w:tcW w:w="5220" w:type="dxa"/>
            <w:vAlign w:val="bottom"/>
            <w:gridSpan w:val="4"/>
          </w:tcPr>
          <w:p>
            <w:pPr>
              <w:jc w:val="right"/>
              <w:ind w:right="500"/>
              <w:spacing w:after="0" w:line="149" w:lineRule="exact"/>
              <w:rPr>
                <w:sz w:val="20"/>
                <w:szCs w:val="20"/>
                <w:color w:val="auto"/>
              </w:rPr>
            </w:pPr>
            <w:r>
              <w:rPr>
                <w:rFonts w:ascii="Arial" w:cs="Arial" w:eastAsia="Arial" w:hAnsi="Arial"/>
                <w:sz w:val="14"/>
                <w:szCs w:val="14"/>
                <w:b w:val="1"/>
                <w:bCs w:val="1"/>
                <w:color w:val="auto"/>
              </w:rPr>
              <w:t>121</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5220" w:type="dxa"/>
            <w:vAlign w:val="bottom"/>
            <w:gridSpan w:val="4"/>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(106)</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20"/>
                <w:szCs w:val="20"/>
                <w:color w:val="auto"/>
              </w:rPr>
            </w:pPr>
            <w:r>
              <w:rPr>
                <w:rFonts w:ascii="Arial" w:cs="Arial" w:eastAsia="Arial" w:hAnsi="Arial"/>
                <w:sz w:val="14"/>
                <w:szCs w:val="14"/>
                <w:color w:val="auto"/>
              </w:rPr>
              <w:t>Other, net</w:t>
            </w:r>
          </w:p>
        </w:tc>
        <w:tc>
          <w:tcPr>
            <w:tcW w:w="52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178</w:t>
            </w:r>
          </w:p>
        </w:tc>
        <w:tc>
          <w:tcPr>
            <w:tcW w:w="260" w:type="dxa"/>
            <w:vAlign w:val="bottom"/>
          </w:tcPr>
          <w:p>
            <w:pPr>
              <w:jc w:val="right"/>
              <w:spacing w:after="0"/>
              <w:rPr>
                <w:sz w:val="20"/>
                <w:szCs w:val="20"/>
                <w:color w:val="auto"/>
              </w:rPr>
            </w:pPr>
            <w:r>
              <w:rPr>
                <w:rFonts w:ascii="Arial" w:cs="Arial" w:eastAsia="Arial" w:hAnsi="Arial"/>
                <w:sz w:val="14"/>
                <w:szCs w:val="14"/>
                <w:color w:val="auto"/>
              </w:rPr>
              <w:t>121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4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shd w:val="clear" w:color="auto" w:fill="CCEEFF"/>
          </w:tcPr>
          <w:p>
            <w:pPr>
              <w:spacing w:after="0"/>
              <w:rPr>
                <w:sz w:val="12"/>
                <w:szCs w:val="12"/>
                <w:color w:val="auto"/>
              </w:rPr>
            </w:pPr>
          </w:p>
        </w:tc>
        <w:tc>
          <w:tcPr>
            <w:tcW w:w="5220" w:type="dxa"/>
            <w:vAlign w:val="bottom"/>
            <w:gridSpan w:val="4"/>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$ 749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$397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23558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380" w:firstLine="228"/>
        <w:spacing w:after="0" w:line="252" w:lineRule="auto"/>
        <w:rPr>
          <w:sz w:val="20"/>
          <w:szCs w:val="20"/>
          <w:color w:val="auto"/>
        </w:rPr>
      </w:pPr>
      <w:r>
        <w:rPr>
          <w:rFonts w:ascii="Arial" w:cs="Arial" w:eastAsia="Arial" w:hAnsi="Arial"/>
          <w:sz w:val="18"/>
          <w:szCs w:val="18"/>
          <w:color w:val="auto"/>
        </w:rPr>
        <w:t>The above deferred tax assets at December 31, 2008 and 2007 are net of valuation allowances relating to net operating losses in certain countries of $197 million and $214 million, respectively. The deferred tax assets are also net of valuation allowances relating to a capital loss carryforward of $140 million at December 31, 2008 ($144 million at December 31, 2007) which $124 million expires in 2009 and $16 million expires in 2010, and a foreign tax credit carryforward of $49 million at December 31, 2008 ($55 million at December 31, 2007) of which $2 million expires in 2009, and $47 million expires in years 2010 through 2012.</w:t>
      </w:r>
    </w:p>
    <w:p>
      <w:pPr>
        <w:ind w:left="240"/>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4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2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453</w:t>
            </w:r>
          </w:p>
        </w:tc>
        <w:tc>
          <w:tcPr>
            <w:tcW w:w="4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5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949</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834</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1,436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1,426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4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1,430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1,448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-29210</wp:posOffset>
            </wp:positionV>
            <wp:extent cx="2698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698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6220" w:type="dxa"/>
            <w:vAlign w:val="bottom"/>
            <w:gridSpan w:val="4"/>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35%</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55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income taxed at different rates</w:t>
            </w:r>
          </w:p>
        </w:tc>
        <w:tc>
          <w:tcPr>
            <w:tcW w:w="6220" w:type="dxa"/>
            <w:vAlign w:val="bottom"/>
            <w:gridSpan w:val="4"/>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(13)</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622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220" w:type="dxa"/>
            <w:vAlign w:val="bottom"/>
            <w:gridSpan w:val="4"/>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Borders>
              <w:bottom w:val="single" w:sz="8" w:color="auto"/>
            </w:tcBorders>
          </w:tcPr>
          <w:p>
            <w:pPr>
              <w:spacing w:after="0"/>
              <w:rPr>
                <w:sz w:val="9"/>
                <w:szCs w:val="9"/>
                <w:color w:val="auto"/>
              </w:rPr>
            </w:pPr>
          </w:p>
        </w:tc>
        <w:tc>
          <w:tcPr>
            <w:tcW w:w="53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6220" w:type="dxa"/>
            <w:vAlign w:val="bottom"/>
            <w:gridSpan w:val="4"/>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21%</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5300" w:type="dxa"/>
            <w:vAlign w:val="bottom"/>
            <w:vMerge w:val="restart"/>
          </w:tcPr>
          <w:p>
            <w:pPr>
              <w:jc w:val="right"/>
              <w:ind w:right="3332"/>
              <w:spacing w:after="0"/>
              <w:rPr>
                <w:sz w:val="20"/>
                <w:szCs w:val="20"/>
                <w:color w:val="auto"/>
              </w:rPr>
            </w:pPr>
            <w:r>
              <w:rPr>
                <w:rFonts w:ascii="Arial" w:cs="Arial" w:eastAsia="Arial" w:hAnsi="Arial"/>
                <w:sz w:val="14"/>
                <w:szCs w:val="14"/>
                <w:color w:val="auto"/>
              </w:rPr>
              <w:t>58</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-292735</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-292735</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-292735</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-292735</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-292735</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-292735</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Schlumberger adopted the provisions of FASB Interpretation No. 48, </w:t>
      </w:r>
      <w:r>
        <w:rPr>
          <w:rFonts w:ascii="Arial" w:cs="Arial" w:eastAsia="Arial" w:hAnsi="Arial"/>
          <w:sz w:val="16"/>
          <w:szCs w:val="16"/>
          <w:i w:val="1"/>
          <w:iCs w:val="1"/>
          <w:color w:val="auto"/>
        </w:rPr>
        <w:t>Accounting for Uncertainty in Income Taxes – an Interpretation of FASB Statement</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on January 1, 2007. This interpretation clarifies the accounting for uncertain tax positions and requires companies to recognize the impact of a</w:t>
      </w:r>
      <w:r>
        <w:rPr>
          <w:rFonts w:ascii="Arial" w:cs="Arial" w:eastAsia="Arial" w:hAnsi="Arial"/>
          <w:sz w:val="16"/>
          <w:szCs w:val="16"/>
          <w:i w:val="1"/>
          <w:iCs w:val="1"/>
          <w:color w:val="auto"/>
        </w:rPr>
        <w:t xml:space="preserve"> </w:t>
      </w:r>
      <w:r>
        <w:rPr>
          <w:rFonts w:ascii="Arial" w:cs="Arial" w:eastAsia="Arial" w:hAnsi="Arial"/>
          <w:sz w:val="16"/>
          <w:szCs w:val="16"/>
          <w:color w:val="auto"/>
        </w:rPr>
        <w:t>tax position in their financial statements, if that position is more likely than not of being sustained on audit, based on the technical merits of the position. The adoption of FIN 48 did not have any impact on the total liabilities or stockholders’ equity of Schlumberger.</w:t>
      </w:r>
    </w:p>
    <w:p>
      <w:pPr>
        <w:spacing w:after="0" w:line="2"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2008 and 2007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60" w:type="dxa"/>
            <w:vAlign w:val="bottom"/>
          </w:tcPr>
          <w:p>
            <w:pPr>
              <w:spacing w:after="0"/>
              <w:rPr>
                <w:sz w:val="14"/>
                <w:szCs w:val="14"/>
                <w:color w:val="auto"/>
              </w:rPr>
            </w:pPr>
          </w:p>
        </w:tc>
        <w:tc>
          <w:tcPr>
            <w:tcW w:w="8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2008</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$ 858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$730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tcPr>
          <w:p>
            <w:pPr>
              <w:spacing w:after="0" w:line="149" w:lineRule="exact"/>
              <w:rPr>
                <w:sz w:val="20"/>
                <w:szCs w:val="20"/>
                <w:color w:val="auto"/>
              </w:rPr>
            </w:pPr>
            <w:r>
              <w:rPr>
                <w:rFonts w:ascii="Arial" w:cs="Arial" w:eastAsia="Arial" w:hAnsi="Arial"/>
                <w:sz w:val="14"/>
                <w:szCs w:val="14"/>
                <w:color w:val="auto"/>
              </w:rPr>
              <w:t>Additions based on tax positions related to the current year</w:t>
            </w:r>
          </w:p>
        </w:tc>
        <w:tc>
          <w:tcPr>
            <w:tcW w:w="8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223</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for tax positions of prior years</w:t>
            </w: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19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8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(72)</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Settlements with tax authorities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tcPr>
          <w:p>
            <w:pPr>
              <w:spacing w:after="0" w:line="149" w:lineRule="exact"/>
              <w:rPr>
                <w:sz w:val="20"/>
                <w:szCs w:val="20"/>
                <w:color w:val="auto"/>
              </w:rPr>
            </w:pPr>
            <w:r>
              <w:rPr>
                <w:rFonts w:ascii="Arial" w:cs="Arial" w:eastAsia="Arial" w:hAnsi="Arial"/>
                <w:sz w:val="14"/>
                <w:szCs w:val="14"/>
                <w:color w:val="auto"/>
              </w:rPr>
              <w:t>Reductions for tax positions of prior years</w:t>
            </w:r>
          </w:p>
        </w:tc>
        <w:tc>
          <w:tcPr>
            <w:tcW w:w="82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(111)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Reductions due to the lapse of the applicable statute of limitations</w:t>
            </w:r>
          </w:p>
        </w:tc>
        <w:tc>
          <w:tcPr>
            <w:tcW w:w="82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82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$ 877</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$858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6529070</wp:posOffset>
            </wp:positionH>
            <wp:positionV relativeFrom="paragraph">
              <wp:posOffset>-29210</wp:posOffset>
            </wp:positionV>
            <wp:extent cx="22733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 xml:space="preserve">Included in the Schlumberger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2008 is approximately $877 million of liabilities associated with uncertain tax positions in the over 100 jurisdictions in which Schlumberger conducts business, a number of which have tax laws that are not fully defined and are evolving. This amount excludes $136 million of accrued interest and penalties. All of the unrecognized tax benefits, if recognized, would impact the Schlumberger effective tax rate.</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 xml:space="preserve">Schlumberger classifies interest and penalties relating to uncertain tax positions within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During 2008 and 2007, Schlumberger recognized approximately $25 million and $36 million in interest and penalties, respectively.</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2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0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4140" w:type="dxa"/>
            <w:vAlign w:val="bottom"/>
            <w:shd w:val="clear" w:color="auto" w:fill="CCEEFF"/>
          </w:tcPr>
          <w:p>
            <w:pPr>
              <w:ind w:left="3480"/>
              <w:spacing w:after="0"/>
              <w:rPr>
                <w:sz w:val="20"/>
                <w:szCs w:val="20"/>
                <w:color w:val="auto"/>
              </w:rPr>
            </w:pPr>
            <w:r>
              <w:rPr>
                <w:rFonts w:ascii="Arial" w:cs="Arial" w:eastAsia="Arial" w:hAnsi="Arial"/>
                <w:sz w:val="14"/>
                <w:szCs w:val="14"/>
                <w:color w:val="auto"/>
                <w:w w:val="82"/>
              </w:rPr>
              <w:t>2002 – 2008</w:t>
            </w: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4140" w:type="dxa"/>
            <w:vAlign w:val="bottom"/>
          </w:tcPr>
          <w:p>
            <w:pPr>
              <w:ind w:left="3480"/>
              <w:spacing w:after="0" w:line="149" w:lineRule="exact"/>
              <w:rPr>
                <w:sz w:val="20"/>
                <w:szCs w:val="20"/>
                <w:color w:val="auto"/>
              </w:rPr>
            </w:pPr>
            <w:r>
              <w:rPr>
                <w:rFonts w:ascii="Arial" w:cs="Arial" w:eastAsia="Arial" w:hAnsi="Arial"/>
                <w:sz w:val="14"/>
                <w:szCs w:val="14"/>
                <w:color w:val="auto"/>
                <w:w w:val="82"/>
              </w:rPr>
              <w:t>2003 – 2008</w:t>
            </w: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Russia</w:t>
            </w:r>
          </w:p>
        </w:tc>
        <w:tc>
          <w:tcPr>
            <w:tcW w:w="4140" w:type="dxa"/>
            <w:vAlign w:val="bottom"/>
            <w:shd w:val="clear" w:color="auto" w:fill="CCEEFF"/>
          </w:tcPr>
          <w:p>
            <w:pPr>
              <w:ind w:left="3480"/>
              <w:spacing w:after="0" w:line="149" w:lineRule="exact"/>
              <w:rPr>
                <w:sz w:val="20"/>
                <w:szCs w:val="20"/>
                <w:color w:val="auto"/>
              </w:rPr>
            </w:pPr>
            <w:r>
              <w:rPr>
                <w:rFonts w:ascii="Arial" w:cs="Arial" w:eastAsia="Arial" w:hAnsi="Arial"/>
                <w:sz w:val="14"/>
                <w:szCs w:val="14"/>
                <w:color w:val="auto"/>
                <w:w w:val="82"/>
              </w:rPr>
              <w:t>2004 – 2008</w:t>
            </w:r>
          </w:p>
        </w:tc>
      </w:tr>
      <w:tr>
        <w:trPr>
          <w:trHeight w:val="149"/>
        </w:trPr>
        <w:tc>
          <w:tcPr>
            <w:tcW w:w="4400" w:type="dxa"/>
            <w:vAlign w:val="bottom"/>
          </w:tcPr>
          <w:p>
            <w:pPr>
              <w:spacing w:after="0" w:line="149" w:lineRule="exact"/>
              <w:rPr>
                <w:sz w:val="20"/>
                <w:szCs w:val="20"/>
                <w:color w:val="auto"/>
              </w:rPr>
            </w:pPr>
            <w:r>
              <w:rPr>
                <w:rFonts w:ascii="Arial" w:cs="Arial" w:eastAsia="Arial" w:hAnsi="Arial"/>
                <w:sz w:val="14"/>
                <w:szCs w:val="14"/>
                <w:color w:val="auto"/>
              </w:rPr>
              <w:t>Saudi Arabia</w:t>
            </w:r>
          </w:p>
        </w:tc>
        <w:tc>
          <w:tcPr>
            <w:tcW w:w="4140" w:type="dxa"/>
            <w:vAlign w:val="bottom"/>
          </w:tcPr>
          <w:p>
            <w:pPr>
              <w:ind w:left="3480"/>
              <w:spacing w:after="0" w:line="149" w:lineRule="exact"/>
              <w:rPr>
                <w:sz w:val="20"/>
                <w:szCs w:val="20"/>
                <w:color w:val="auto"/>
              </w:rPr>
            </w:pPr>
            <w:r>
              <w:rPr>
                <w:rFonts w:ascii="Arial" w:cs="Arial" w:eastAsia="Arial" w:hAnsi="Arial"/>
                <w:sz w:val="14"/>
                <w:szCs w:val="14"/>
                <w:color w:val="auto"/>
                <w:w w:val="82"/>
              </w:rPr>
              <w:t>2001 – 2008</w:t>
            </w:r>
          </w:p>
        </w:tc>
      </w:tr>
      <w:tr>
        <w:trPr>
          <w:trHeight w:val="149"/>
        </w:trPr>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Kingdom</w:t>
            </w:r>
          </w:p>
        </w:tc>
        <w:tc>
          <w:tcPr>
            <w:tcW w:w="4140" w:type="dxa"/>
            <w:vAlign w:val="bottom"/>
            <w:shd w:val="clear" w:color="auto" w:fill="CCEEFF"/>
          </w:tcPr>
          <w:p>
            <w:pPr>
              <w:ind w:left="3480"/>
              <w:spacing w:after="0" w:line="149" w:lineRule="exact"/>
              <w:rPr>
                <w:sz w:val="20"/>
                <w:szCs w:val="20"/>
                <w:color w:val="auto"/>
              </w:rPr>
            </w:pPr>
            <w:r>
              <w:rPr>
                <w:rFonts w:ascii="Arial" w:cs="Arial" w:eastAsia="Arial" w:hAnsi="Arial"/>
                <w:sz w:val="14"/>
                <w:szCs w:val="14"/>
                <w:color w:val="auto"/>
                <w:w w:val="82"/>
              </w:rPr>
              <w:t>2005 – 2008</w:t>
            </w:r>
          </w:p>
        </w:tc>
      </w:tr>
      <w:tr>
        <w:trPr>
          <w:trHeight w:val="172"/>
        </w:trPr>
        <w:tc>
          <w:tcPr>
            <w:tcW w:w="4400" w:type="dxa"/>
            <w:vAlign w:val="bottom"/>
          </w:tcPr>
          <w:p>
            <w:pPr>
              <w:spacing w:after="0"/>
              <w:rPr>
                <w:sz w:val="20"/>
                <w:szCs w:val="20"/>
                <w:color w:val="auto"/>
              </w:rPr>
            </w:pPr>
            <w:r>
              <w:rPr>
                <w:rFonts w:ascii="Arial" w:cs="Arial" w:eastAsia="Arial" w:hAnsi="Arial"/>
                <w:sz w:val="14"/>
                <w:szCs w:val="14"/>
                <w:color w:val="auto"/>
              </w:rPr>
              <w:t>United States</w:t>
            </w:r>
          </w:p>
        </w:tc>
        <w:tc>
          <w:tcPr>
            <w:tcW w:w="4140" w:type="dxa"/>
            <w:vAlign w:val="bottom"/>
          </w:tcPr>
          <w:p>
            <w:pPr>
              <w:ind w:left="3480"/>
              <w:spacing w:after="0"/>
              <w:rPr>
                <w:sz w:val="20"/>
                <w:szCs w:val="20"/>
                <w:color w:val="auto"/>
              </w:rPr>
            </w:pPr>
            <w:r>
              <w:rPr>
                <w:rFonts w:ascii="Arial" w:cs="Arial" w:eastAsia="Arial" w:hAnsi="Arial"/>
                <w:sz w:val="14"/>
                <w:szCs w:val="14"/>
                <w:color w:val="auto"/>
                <w:w w:val="82"/>
              </w:rPr>
              <w:t>2005 – 2008</w:t>
            </w:r>
          </w:p>
        </w:tc>
      </w:tr>
    </w:tbl>
    <w:p>
      <w:pPr>
        <w:spacing w:after="0" w:line="35"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1" w:lineRule="exact"/>
        <w:rPr>
          <w:sz w:val="20"/>
          <w:szCs w:val="20"/>
          <w:color w:val="auto"/>
        </w:rPr>
      </w:pPr>
    </w:p>
    <w:p>
      <w:pPr>
        <w:ind w:right="160" w:firstLine="228"/>
        <w:spacing w:after="0" w:line="292" w:lineRule="auto"/>
        <w:rPr>
          <w:sz w:val="20"/>
          <w:szCs w:val="20"/>
          <w:color w:val="auto"/>
        </w:rPr>
      </w:pPr>
      <w:r>
        <w:rPr>
          <w:rFonts w:ascii="Arial" w:cs="Arial" w:eastAsia="Arial" w:hAnsi="Arial"/>
          <w:sz w:val="16"/>
          <w:szCs w:val="16"/>
          <w:color w:val="auto"/>
        </w:rPr>
        <w:t>Due to the geographic breadth of the Schlumberger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Leases and Lease Commitments</w:t>
      </w:r>
    </w:p>
    <w:p>
      <w:pPr>
        <w:spacing w:after="0" w:line="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Total rental expense was $1.1 billion in 2008, $913 million in 2007, and $686 million in 2006. Future minimum rental commitments under noncancelable operating leases for each of the next five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11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2009</w:t>
            </w: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4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4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040" w:type="dxa"/>
            <w:vAlign w:val="bottom"/>
          </w:tcPr>
          <w:p>
            <w:pPr>
              <w:spacing w:after="0"/>
              <w:rPr>
                <w:sz w:val="20"/>
                <w:szCs w:val="20"/>
                <w:color w:val="auto"/>
              </w:rPr>
            </w:pPr>
            <w:r>
              <w:rPr>
                <w:rFonts w:ascii="Arial" w:cs="Arial" w:eastAsia="Arial" w:hAnsi="Arial"/>
                <w:sz w:val="14"/>
                <w:szCs w:val="14"/>
                <w:color w:val="auto"/>
              </w:rPr>
              <w:t>Thereafter</w:t>
            </w: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10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Schlumberger and its subsidiaries are party to various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91"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oil and gas industry; Europe is a major self-contained market that includes the CIS and Africa, whose economy is increasingly linked to that of Europe; Middle East &amp; Asia includes the remainder of the Eastern Hemisphere, which consists of many countries at different stages of economic development that share a common dependence on the oil and gas industry. The Oilfield Services segment provides virtually all exploration and production services required during the life of an oil and gas reservoir.</w:t>
      </w:r>
    </w:p>
    <w:p>
      <w:pPr>
        <w:spacing w:after="0" w:line="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2008, 2007 and 2006, by segment,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2008</w:t>
            </w:r>
          </w:p>
        </w:tc>
        <w:tc>
          <w:tcPr>
            <w:tcW w:w="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after tax</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before tax</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1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&amp; Min. Int.</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Expense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&amp; Min. Int.</w:t>
            </w: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3"/>
              </w:rPr>
              <w:t>Assets</w:t>
            </w:r>
          </w:p>
        </w:tc>
        <w:tc>
          <w:tcPr>
            <w:tcW w:w="2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Amortn.</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5,914</w:t>
            </w:r>
          </w:p>
        </w:tc>
        <w:tc>
          <w:tcPr>
            <w:tcW w:w="2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1,371</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3,229</w:t>
            </w:r>
          </w:p>
        </w:tc>
        <w:tc>
          <w:tcPr>
            <w:tcW w:w="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3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2,804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8,180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1,813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4,634</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3,741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2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234</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3,689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24,282</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1,287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6,505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18,097</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1,743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836</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3,274</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Corporate items and eliminations</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4,611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6,009</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$ 27,163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31,991</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(217)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3"/>
        </w:trPr>
        <w:tc>
          <w:tcPr>
            <w:tcW w:w="4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2007</w:t>
            </w:r>
          </w:p>
        </w:tc>
        <w:tc>
          <w:tcPr>
            <w:tcW w:w="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5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after tax</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before tax</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18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&amp; Min. Int.</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Expense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&amp; Min. Int.</w:t>
            </w:r>
          </w:p>
        </w:tc>
        <w:tc>
          <w:tcPr>
            <w:tcW w:w="8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3"/>
              </w:rPr>
              <w:t>Assets</w:t>
            </w:r>
          </w:p>
        </w:tc>
        <w:tc>
          <w:tcPr>
            <w:tcW w:w="2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Amortn.</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3"/>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5,345</w:t>
            </w:r>
          </w:p>
        </w:tc>
        <w:tc>
          <w:tcPr>
            <w:tcW w:w="2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1,040</w:t>
            </w:r>
          </w:p>
        </w:tc>
        <w:tc>
          <w:tcPr>
            <w:tcW w:w="3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497</w:t>
            </w:r>
          </w:p>
        </w:tc>
        <w:tc>
          <w:tcPr>
            <w:tcW w:w="10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1,537</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2,841</w:t>
            </w:r>
          </w:p>
        </w:tc>
        <w:tc>
          <w:tcPr>
            <w:tcW w:w="4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3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2,123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6,602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1,559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3,727</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3,078</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2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3,022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20,306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14,791</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3,036</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ind w:left="320"/>
              <w:spacing w:after="0" w:line="149" w:lineRule="exact"/>
              <w:rPr>
                <w:sz w:val="20"/>
                <w:szCs w:val="20"/>
                <w:color w:val="auto"/>
              </w:rPr>
            </w:pPr>
            <w:r>
              <w:rPr>
                <w:rFonts w:ascii="Arial" w:cs="Arial" w:eastAsia="Arial" w:hAnsi="Arial"/>
                <w:sz w:val="14"/>
                <w:szCs w:val="14"/>
                <w:color w:val="auto"/>
              </w:rPr>
              <w:t>Corporate items and eliminations</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(267)</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(312)</w:t>
            </w: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3,981</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 and Intangible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6,045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$ 23,277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1,448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27,853</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1,954</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52"/>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-4134485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-4134485</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-4134485</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-4134485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-4134485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-4134485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-4134485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-4134485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-4134485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-4134485</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-4134485</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-4134485</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-4134485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-4134485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-4134485</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-4134485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-4134485</wp:posOffset>
            </wp:positionV>
            <wp:extent cx="2159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-4134485</wp:posOffset>
            </wp:positionV>
            <wp:extent cx="3873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-4134485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-4134485</wp:posOffset>
            </wp:positionV>
            <wp:extent cx="2159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-4134485</wp:posOffset>
            </wp:positionV>
            <wp:extent cx="3873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-3448685</wp:posOffset>
            </wp:positionV>
            <wp:extent cx="45021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-978535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-978535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-978535</wp:posOffset>
            </wp:positionV>
            <wp:extent cx="2159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-978535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-978535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-978535</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-978535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-978535</wp:posOffset>
            </wp:positionV>
            <wp:extent cx="2159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-978535</wp:posOffset>
            </wp:positionV>
            <wp:extent cx="3873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-978535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-978535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-978535</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-978535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-978535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-978535</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-978535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-978535</wp:posOffset>
            </wp:positionV>
            <wp:extent cx="2159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-978535</wp:posOffset>
            </wp:positionV>
            <wp:extent cx="38735"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-978535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-978535</wp:posOffset>
            </wp:positionV>
            <wp:extent cx="2159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-978535</wp:posOffset>
            </wp:positionV>
            <wp:extent cx="38735"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-292735</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-292735</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-292735</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after tax</w:t>
            </w: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Minority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before tax</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Depn. &amp;</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Revenue</w:t>
            </w: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&amp; Min. Int.</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Interest</w:t>
            </w:r>
          </w:p>
        </w:tc>
        <w:tc>
          <w:tcPr>
            <w:tcW w:w="300" w:type="dxa"/>
            <w:vAlign w:val="bottom"/>
          </w:tcPr>
          <w:p>
            <w:pPr>
              <w:spacing w:after="0"/>
              <w:rPr>
                <w:sz w:val="16"/>
                <w:szCs w:val="16"/>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w w:val="93"/>
              </w:rPr>
              <w:t>Expense</w:t>
            </w:r>
          </w:p>
        </w:tc>
        <w:tc>
          <w:tcPr>
            <w:tcW w:w="280" w:type="dxa"/>
            <w:vAlign w:val="bottom"/>
          </w:tcPr>
          <w:p>
            <w:pPr>
              <w:spacing w:after="0"/>
              <w:rPr>
                <w:sz w:val="16"/>
                <w:szCs w:val="16"/>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&amp; Min. Int.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8"/>
              </w:rPr>
              <w:t>Assets</w:t>
            </w:r>
          </w:p>
        </w:tc>
        <w:tc>
          <w:tcPr>
            <w:tcW w:w="30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Amortn.</w:t>
            </w:r>
          </w:p>
        </w:tc>
        <w:tc>
          <w:tcPr>
            <w:tcW w:w="2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5,273</w:t>
            </w:r>
          </w:p>
        </w:tc>
        <w:tc>
          <w:tcPr>
            <w:tcW w:w="3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1,604</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2,577</w:t>
            </w: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310</w:t>
            </w: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403</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5,057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1,075</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1,292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1,070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1,194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148</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2,591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16,762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3,634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4,644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425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Corporate items and eliminations</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(290)</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(346)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3,388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 and Intangible assets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19,230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3,871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22,832</w:t>
            </w: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1,561</w:t>
            </w: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(229)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-713105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-713105</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-713105</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-713105</wp:posOffset>
            </wp:positionV>
            <wp:extent cx="45021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-713105</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-713105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-713105</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-713105</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-713105</wp:posOffset>
            </wp:positionV>
            <wp:extent cx="2159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-713105</wp:posOffset>
            </wp:positionV>
            <wp:extent cx="38735"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-713105</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-713105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-713105</wp:posOffset>
            </wp:positionV>
            <wp:extent cx="2159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-713105</wp:posOffset>
            </wp:positionV>
            <wp:extent cx="32131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-713105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-713105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-713105</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-27305</wp:posOffset>
            </wp:positionV>
            <wp:extent cx="45021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147" w:lineRule="exact"/>
        <w:rPr>
          <w:sz w:val="20"/>
          <w:szCs w:val="20"/>
          <w:color w:val="auto"/>
        </w:rPr>
      </w:pPr>
    </w:p>
    <w:p>
      <w:pPr>
        <w:ind w:right="540" w:firstLine="228"/>
        <w:spacing w:after="0" w:line="254" w:lineRule="auto"/>
        <w:rPr>
          <w:sz w:val="20"/>
          <w:szCs w:val="20"/>
          <w:color w:val="auto"/>
        </w:rPr>
      </w:pPr>
      <w:r>
        <w:rPr>
          <w:rFonts w:ascii="Arial" w:cs="Arial" w:eastAsia="Arial" w:hAnsi="Arial"/>
          <w:sz w:val="18"/>
          <w:szCs w:val="18"/>
          <w:color w:val="auto"/>
        </w:rPr>
        <w:t>Oilfield Services Elims/Other include certain headquarters administrative costs which are not allocated geographically, manufacturing and certain other operations, and costs maintained at the Oilfield Services level.</w:t>
      </w:r>
    </w:p>
    <w:p>
      <w:pPr>
        <w:ind w:right="20" w:firstLine="228"/>
        <w:spacing w:after="0" w:line="250" w:lineRule="auto"/>
        <w:rPr>
          <w:sz w:val="20"/>
          <w:szCs w:val="20"/>
          <w:color w:val="auto"/>
        </w:rPr>
      </w:pPr>
      <w:r>
        <w:rPr>
          <w:rFonts w:ascii="Arial" w:cs="Arial" w:eastAsia="Arial" w:hAnsi="Arial"/>
          <w:sz w:val="18"/>
          <w:szCs w:val="18"/>
          <w:color w:val="auto"/>
        </w:rPr>
        <w:t>Corporate items, which are not included in the segments’ income, principally comprise nonoperating expenses, such as interest on postretirement medical benefits, stock-based compensation costs and corporate expenses. Corporate assets largely comprise short-term investments and fixed income investments, held to maturity.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years ended December 31, 2008, no single customer exceeded 10% of consolidated revenue.</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2008, 2007 and 2006 was $5.9 billion, $5.6 billion and $5.2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income excludes amounts which are included in the segments’ income (2008 – $7 million: 2007 – $2 million; 2006 – $2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(2008 – $30 million; 2007 – $7 million; 2006 – $6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includes Multiclient seismic data costs.</w:t>
      </w:r>
    </w:p>
    <w:p>
      <w:pPr>
        <w:spacing w:after="0" w:line="9" w:lineRule="exact"/>
        <w:rPr>
          <w:sz w:val="20"/>
          <w:szCs w:val="20"/>
          <w:color w:val="auto"/>
        </w:rPr>
      </w:pPr>
    </w:p>
    <w:p>
      <w:pPr>
        <w:ind w:right="20" w:firstLine="228"/>
        <w:spacing w:after="0" w:line="261" w:lineRule="auto"/>
        <w:rPr>
          <w:sz w:val="20"/>
          <w:szCs w:val="20"/>
          <w:color w:val="auto"/>
        </w:rPr>
      </w:pPr>
      <w:r>
        <w:rPr>
          <w:rFonts w:ascii="Arial" w:cs="Arial" w:eastAsia="Arial" w:hAnsi="Arial"/>
          <w:sz w:val="18"/>
          <w:szCs w:val="18"/>
          <w:color w:val="auto"/>
        </w:rPr>
        <w:t>Effective January 1, 2008, a component of the Middle East &amp; Asia Area was reallocated to the Europe/CIS/Africa Area. Prior period data has been reclassified to conform to the current organizational structure.</w:t>
      </w:r>
    </w:p>
    <w:p>
      <w:pPr>
        <w:spacing w:after="0" w:line="114"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Plans</w:t>
      </w:r>
    </w:p>
    <w:p>
      <w:pPr>
        <w:spacing w:after="0" w:line="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Schlumberger and its United States subsidiary sponsor several defined benefit pension plans that cover substantially all U.S. employees hired prior to October 1, 2004. The benefits are based on years of service and compensation, on a career-average pay basis.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83" w:lineRule="auto"/>
        <w:rPr>
          <w:sz w:val="20"/>
          <w:szCs w:val="20"/>
          <w:color w:val="auto"/>
        </w:rPr>
      </w:pPr>
      <w:r>
        <w:rPr>
          <w:rFonts w:ascii="Arial" w:cs="Arial" w:eastAsia="Arial" w:hAnsi="Arial"/>
          <w:sz w:val="16"/>
          <w:szCs w:val="16"/>
          <w:color w:val="auto"/>
        </w:rPr>
        <w:t>In addition to the United States defined benefit pension plans, Schlumberger sponsors several other international defined benefit pension plans. The most significant of these international plans are the International Staff Pension Plan, which was converted from a defined contribution plan to a defined benefit pension plan during the fourth quarter of 2008,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spacing w:after="0" w:line="2"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weighted-average assumed discount rate, compensation increases and the expected long-term rate of return on plan assets used to determine the net pension cost for the US and International (“Int’l”) plans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580" w:type="dxa"/>
            <w:vAlign w:val="bottom"/>
          </w:tcPr>
          <w:p>
            <w:pPr>
              <w:jc w:val="right"/>
              <w:ind w:right="272"/>
              <w:spacing w:after="0"/>
              <w:rPr>
                <w:sz w:val="20"/>
                <w:szCs w:val="20"/>
                <w:color w:val="auto"/>
              </w:rPr>
            </w:pPr>
            <w:r>
              <w:rPr>
                <w:rFonts w:ascii="Arial" w:cs="Arial" w:eastAsia="Arial" w:hAnsi="Arial"/>
                <w:sz w:val="14"/>
                <w:szCs w:val="14"/>
                <w:b w:val="1"/>
                <w:bCs w:val="1"/>
                <w:color w:val="auto"/>
              </w:rPr>
              <w:t>US</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580" w:type="dxa"/>
            <w:vAlign w:val="bottom"/>
          </w:tcPr>
          <w:p>
            <w:pPr>
              <w:jc w:val="right"/>
              <w:ind w:right="272"/>
              <w:spacing w:after="0"/>
              <w:rPr>
                <w:sz w:val="20"/>
                <w:szCs w:val="20"/>
                <w:color w:val="auto"/>
              </w:rPr>
            </w:pPr>
            <w:r>
              <w:rPr>
                <w:rFonts w:ascii="Arial" w:cs="Arial" w:eastAsia="Arial" w:hAnsi="Arial"/>
                <w:sz w:val="14"/>
                <w:szCs w:val="14"/>
                <w:b w:val="1"/>
                <w:bCs w:val="1"/>
                <w:color w:val="auto"/>
              </w:rPr>
              <w:t>US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Int’l</w:t>
            </w:r>
          </w:p>
        </w:tc>
        <w:tc>
          <w:tcPr>
            <w:tcW w:w="560" w:type="dxa"/>
            <w:vAlign w:val="bottom"/>
          </w:tcPr>
          <w:p>
            <w:pPr>
              <w:jc w:val="right"/>
              <w:ind w:right="252"/>
              <w:spacing w:after="0"/>
              <w:rPr>
                <w:sz w:val="20"/>
                <w:szCs w:val="20"/>
                <w:color w:val="auto"/>
              </w:rPr>
            </w:pPr>
            <w:r>
              <w:rPr>
                <w:rFonts w:ascii="Arial" w:cs="Arial" w:eastAsia="Arial" w:hAnsi="Arial"/>
                <w:sz w:val="14"/>
                <w:szCs w:val="14"/>
                <w:b w:val="1"/>
                <w:bCs w:val="1"/>
                <w:color w:val="auto"/>
              </w:rPr>
              <w:t>US</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90"/>
              </w:rPr>
              <w:t>6.50%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5.80%</w:t>
            </w:r>
          </w:p>
        </w:tc>
        <w:tc>
          <w:tcPr>
            <w:tcW w:w="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5"/>
              </w:rPr>
              <w:t>6.00%</w:t>
            </w:r>
          </w:p>
        </w:tc>
        <w:tc>
          <w:tcPr>
            <w:tcW w:w="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5.20%</w:t>
            </w:r>
          </w:p>
        </w:tc>
        <w:tc>
          <w:tcPr>
            <w:tcW w:w="5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5"/>
              </w:rPr>
              <w:t>5.75%</w:t>
            </w: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5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0"/>
              </w:rPr>
              <w:t>4.00%</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4.90%</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85"/>
              </w:rPr>
              <w:t>4.00%</w:t>
            </w: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4.50%</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85"/>
              </w:rPr>
              <w:t>3.00%</w:t>
            </w:r>
          </w:p>
        </w:tc>
        <w:tc>
          <w:tcPr>
            <w:tcW w:w="4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5"/>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90"/>
              </w:rPr>
              <w:t>8.50%</w:t>
            </w:r>
          </w:p>
        </w:tc>
        <w:tc>
          <w:tcPr>
            <w:tcW w:w="6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8.00%</w:t>
            </w:r>
          </w:p>
        </w:tc>
        <w:tc>
          <w:tcPr>
            <w:tcW w:w="5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85"/>
              </w:rPr>
              <w:t>8.50%</w:t>
            </w:r>
          </w:p>
        </w:tc>
        <w:tc>
          <w:tcPr>
            <w:tcW w:w="6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8.00%</w:t>
            </w:r>
          </w:p>
        </w:tc>
        <w:tc>
          <w:tcPr>
            <w:tcW w:w="5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w w:val="85"/>
              </w:rPr>
              <w:t>8.50%</w:t>
            </w: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8.00%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for 2008, 2007 and 2006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0344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Int’l</w:t>
            </w:r>
          </w:p>
        </w:tc>
        <w:tc>
          <w:tcPr>
            <w:tcW w:w="80" w:type="dxa"/>
            <w:vAlign w:val="bottom"/>
          </w:tcPr>
          <w:p>
            <w:pPr>
              <w:spacing w:after="0"/>
              <w:rPr>
                <w:sz w:val="22"/>
                <w:szCs w:val="22"/>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US</w:t>
            </w: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Int’l</w:t>
            </w:r>
          </w:p>
        </w:tc>
        <w:tc>
          <w:tcPr>
            <w:tcW w:w="80" w:type="dxa"/>
            <w:vAlign w:val="bottom"/>
          </w:tcPr>
          <w:p>
            <w:pPr>
              <w:spacing w:after="0"/>
              <w:rPr>
                <w:sz w:val="22"/>
                <w:szCs w:val="22"/>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$ 35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130</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120</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w w:val="79"/>
              </w:rPr>
              <w:t>(162)</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(75)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(147)</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(134)</w:t>
            </w: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Amortization of net loss</w:t>
            </w: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4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pension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$ 28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$ 38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2159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3873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2159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-29210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7035165</wp:posOffset>
            </wp:positionH>
            <wp:positionV relativeFrom="paragraph">
              <wp:posOffset>-29210</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-29210</wp:posOffset>
            </wp:positionV>
            <wp:extent cx="2159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As the International Staff Pension Plan was converted to a defined benefit pension plan during the fourth quarter of 2008, the net pension cost included above for this pension plan was not significant in 2008.</w:t>
      </w:r>
    </w:p>
    <w:p>
      <w:pPr>
        <w:ind w:right="400" w:firstLine="228"/>
        <w:spacing w:after="0" w:line="261"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6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660" w:type="dxa"/>
            <w:vAlign w:val="bottom"/>
          </w:tcPr>
          <w:p>
            <w:pPr>
              <w:jc w:val="right"/>
              <w:ind w:right="352"/>
              <w:spacing w:after="0"/>
              <w:rPr>
                <w:sz w:val="20"/>
                <w:szCs w:val="20"/>
                <w:color w:val="auto"/>
              </w:rPr>
            </w:pPr>
            <w:r>
              <w:rPr>
                <w:rFonts w:ascii="Arial" w:cs="Arial" w:eastAsia="Arial" w:hAnsi="Arial"/>
                <w:sz w:val="14"/>
                <w:szCs w:val="14"/>
                <w:b w:val="1"/>
                <w:bCs w:val="1"/>
                <w:color w:val="auto"/>
              </w:rPr>
              <w:t>US</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640" w:type="dxa"/>
            <w:vAlign w:val="bottom"/>
          </w:tcPr>
          <w:p>
            <w:pPr>
              <w:jc w:val="right"/>
              <w:ind w:right="332"/>
              <w:spacing w:after="0"/>
              <w:rPr>
                <w:sz w:val="20"/>
                <w:szCs w:val="20"/>
                <w:color w:val="auto"/>
              </w:rPr>
            </w:pPr>
            <w:r>
              <w:rPr>
                <w:rFonts w:ascii="Arial" w:cs="Arial" w:eastAsia="Arial" w:hAnsi="Arial"/>
                <w:sz w:val="14"/>
                <w:szCs w:val="14"/>
                <w:b w:val="1"/>
                <w:bCs w:val="1"/>
                <w:color w:val="auto"/>
              </w:rPr>
              <w:t>US</w:t>
            </w: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612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rPr>
              <w:t>6.50%</w:t>
            </w:r>
          </w:p>
        </w:tc>
        <w:tc>
          <w:tcPr>
            <w:tcW w:w="7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6.48%</w:t>
            </w:r>
          </w:p>
        </w:tc>
        <w:tc>
          <w:tcPr>
            <w:tcW w:w="6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w w:val="80"/>
              </w:rPr>
              <w:t>6.50%</w:t>
            </w: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w w:val="85"/>
              </w:rPr>
              <w:t>5.80%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Compensation increases</w:t>
            </w:r>
          </w:p>
        </w:tc>
        <w:tc>
          <w:tcPr>
            <w:tcW w:w="61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4.00%</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4.80%</w:t>
            </w:r>
          </w:p>
        </w:tc>
        <w:tc>
          <w:tcPr>
            <w:tcW w:w="640" w:type="dxa"/>
            <w:vAlign w:val="bottom"/>
          </w:tcPr>
          <w:p>
            <w:pPr>
              <w:jc w:val="right"/>
              <w:ind w:right="232"/>
              <w:spacing w:after="0"/>
              <w:rPr>
                <w:sz w:val="20"/>
                <w:szCs w:val="20"/>
                <w:color w:val="auto"/>
              </w:rPr>
            </w:pPr>
            <w:r>
              <w:rPr>
                <w:rFonts w:ascii="Arial" w:cs="Arial" w:eastAsia="Arial" w:hAnsi="Arial"/>
                <w:sz w:val="14"/>
                <w:szCs w:val="14"/>
                <w:color w:val="auto"/>
                <w:w w:val="80"/>
              </w:rPr>
              <w:t>4.00%</w:t>
            </w:r>
          </w:p>
        </w:tc>
        <w:tc>
          <w:tcPr>
            <w:tcW w:w="420" w:type="dxa"/>
            <w:vAlign w:val="bottom"/>
            <w:gridSpan w:val="2"/>
          </w:tcPr>
          <w:p>
            <w:pPr>
              <w:ind w:left="60"/>
              <w:spacing w:after="0"/>
              <w:rPr>
                <w:sz w:val="20"/>
                <w:szCs w:val="20"/>
                <w:color w:val="auto"/>
              </w:rPr>
            </w:pPr>
            <w:r>
              <w:rPr>
                <w:rFonts w:ascii="Arial" w:cs="Arial" w:eastAsia="Arial" w:hAnsi="Arial"/>
                <w:sz w:val="14"/>
                <w:szCs w:val="14"/>
                <w:color w:val="auto"/>
                <w:w w:val="85"/>
              </w:rPr>
              <w:t>4.90%</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460" w:type="dxa"/>
            <w:vAlign w:val="bottom"/>
          </w:tcPr>
          <w:p>
            <w:pPr>
              <w:jc w:val="right"/>
              <w:ind w:right="3092"/>
              <w:spacing w:after="0"/>
              <w:rPr>
                <w:sz w:val="20"/>
                <w:szCs w:val="20"/>
                <w:color w:val="auto"/>
              </w:rPr>
            </w:pPr>
            <w:r>
              <w:rPr>
                <w:rFonts w:ascii="Arial" w:cs="Arial" w:eastAsia="Arial" w:hAnsi="Arial"/>
                <w:sz w:val="14"/>
                <w:szCs w:val="14"/>
                <w:color w:val="auto"/>
              </w:rPr>
              <w:t>63</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Int’l</w:t>
            </w:r>
          </w:p>
        </w:tc>
        <w:tc>
          <w:tcPr>
            <w:tcW w:w="80" w:type="dxa"/>
            <w:vAlign w:val="bottom"/>
          </w:tcPr>
          <w:p>
            <w:pPr>
              <w:spacing w:after="0"/>
              <w:rPr>
                <w:sz w:val="22"/>
                <w:szCs w:val="2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2,030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1,063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2,006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losses/(gains)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(218)</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Currency effect</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(257)</w:t>
            </w: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(28)</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Impact of International Staff Pension Plan</w:t>
            </w:r>
          </w:p>
        </w:tc>
        <w:tc>
          <w:tcPr>
            <w:tcW w:w="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2,114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2,150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2,767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2,030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2,170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1,913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Actual (loss)/return on plan assets</w:t>
            </w:r>
          </w:p>
        </w:tc>
        <w:tc>
          <w:tcPr>
            <w:tcW w:w="6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(572)</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(259)</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Contributions</w:t>
            </w: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6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(100)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2"/>
                <w:szCs w:val="12"/>
                <w:color w:val="auto"/>
              </w:rPr>
            </w:pP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International Staff Pension Plan</w:t>
            </w: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1,037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1,490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1,913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2,170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(underfunded)/overfunded position at end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(660)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(854)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-1443990</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-1443990</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-1443990</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-1443990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-1443990</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-1443990</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-1443990</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-1443990</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-1443990</wp:posOffset>
            </wp:positionV>
            <wp:extent cx="3873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-1443990</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-1443990</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-1443990</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-286385</wp:posOffset>
            </wp:positionV>
            <wp:extent cx="2698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-286385</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-286385</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-286385</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-286385</wp:posOffset>
            </wp:positionV>
            <wp:extent cx="2698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-286385</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-286385</wp:posOffset>
            </wp:positionV>
            <wp:extent cx="2159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698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00" w:firstLine="228"/>
        <w:spacing w:after="0" w:line="286" w:lineRule="auto"/>
        <w:rPr>
          <w:sz w:val="20"/>
          <w:szCs w:val="20"/>
          <w:color w:val="auto"/>
        </w:rPr>
      </w:pPr>
      <w:r>
        <w:rPr>
          <w:rFonts w:ascii="Arial" w:cs="Arial" w:eastAsia="Arial" w:hAnsi="Arial"/>
          <w:sz w:val="16"/>
          <w:szCs w:val="16"/>
          <w:color w:val="auto"/>
        </w:rPr>
        <w:t>The underfunded/overfunded position represents the difference between the plan assets and the projected benefit obligation (“PBO”). The PBO represents the actuarial present value of benefits based on employee service and compensation and includes an assumption about future compensation levels.</w:t>
      </w:r>
    </w:p>
    <w:p>
      <w:pPr>
        <w:ind w:left="240"/>
        <w:spacing w:after="0"/>
        <w:rPr>
          <w:sz w:val="20"/>
          <w:szCs w:val="20"/>
          <w:color w:val="auto"/>
        </w:rPr>
      </w:pPr>
      <w:r>
        <w:rPr>
          <w:rFonts w:ascii="Arial" w:cs="Arial" w:eastAsia="Arial" w:hAnsi="Arial"/>
          <w:sz w:val="18"/>
          <w:szCs w:val="18"/>
          <w:color w:val="auto"/>
        </w:rPr>
        <w:t>The amounts recognized on the Consolidated Balance Sheet for the Schlumberger defined benefit pension plans are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at December 31,</w:t>
            </w: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8960" w:type="dxa"/>
            <w:vAlign w:val="bottom"/>
            <w:gridSpan w:val="2"/>
            <w:vMerge w:val="continue"/>
          </w:tcPr>
          <w:p>
            <w:pPr>
              <w:spacing w:after="0"/>
              <w:rPr>
                <w:sz w:val="9"/>
                <w:szCs w:val="9"/>
                <w:color w:val="auto"/>
              </w:rPr>
            </w:pP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9"/>
                <w:szCs w:val="9"/>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US</w:t>
            </w:r>
          </w:p>
        </w:tc>
        <w:tc>
          <w:tcPr>
            <w:tcW w:w="440" w:type="dxa"/>
            <w:vAlign w:val="bottom"/>
          </w:tcPr>
          <w:p>
            <w:pPr>
              <w:spacing w:after="0"/>
              <w:rPr>
                <w:sz w:val="9"/>
                <w:szCs w:val="9"/>
                <w:color w:val="auto"/>
              </w:rPr>
            </w:pP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6"/>
              </w:rPr>
              <w:t>Int’l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$(660)</w:t>
            </w: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$(877)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40" w:type="dxa"/>
            <w:vAlign w:val="bottom"/>
          </w:tcPr>
          <w:p>
            <w:pPr>
              <w:spacing w:after="0"/>
              <w:rPr>
                <w:sz w:val="20"/>
                <w:szCs w:val="20"/>
                <w:color w:val="auto"/>
              </w:rPr>
            </w:pPr>
            <w:r>
              <w:rPr>
                <w:rFonts w:ascii="Arial" w:cs="Arial" w:eastAsia="Arial" w:hAnsi="Arial"/>
                <w:sz w:val="14"/>
                <w:szCs w:val="14"/>
                <w:color w:val="auto"/>
              </w:rPr>
              <w:t>Other Assets</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140</w:t>
            </w:r>
          </w:p>
        </w:tc>
        <w:tc>
          <w:tcPr>
            <w:tcW w:w="440" w:type="dxa"/>
            <w:vAlign w:val="bottom"/>
          </w:tcPr>
          <w:p>
            <w:pPr>
              <w:spacing w:after="0"/>
              <w:rPr>
                <w:sz w:val="15"/>
                <w:szCs w:val="15"/>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amount recognized</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$(660)</w:t>
            </w:r>
          </w:p>
        </w:tc>
        <w:tc>
          <w:tcPr>
            <w:tcW w:w="106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$(854)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140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7589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weighted-average breakdown of the plans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US</w:t>
            </w: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Int’l</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US</w:t>
            </w:r>
          </w:p>
        </w:tc>
        <w:tc>
          <w:tcPr>
            <w:tcW w:w="340" w:type="dxa"/>
            <w:vAlign w:val="bottom"/>
          </w:tcPr>
          <w:p>
            <w:pPr>
              <w:spacing w:after="0"/>
              <w:rPr>
                <w:sz w:val="22"/>
                <w:szCs w:val="2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6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57%</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64%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66%</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5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4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460" w:type="dxa"/>
            <w:vAlign w:val="bottom"/>
          </w:tcPr>
          <w:p>
            <w:pPr>
              <w:spacing w:after="0"/>
              <w:rPr>
                <w:sz w:val="12"/>
                <w:szCs w:val="12"/>
                <w:color w:val="auto"/>
              </w:rPr>
            </w:pPr>
          </w:p>
        </w:tc>
        <w:tc>
          <w:tcPr>
            <w:tcW w:w="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4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3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Other investments</w:t>
            </w:r>
          </w:p>
        </w:tc>
        <w:tc>
          <w:tcPr>
            <w:tcW w:w="5680" w:type="dxa"/>
            <w:vAlign w:val="bottom"/>
            <w:gridSpan w:val="2"/>
          </w:tcPr>
          <w:p>
            <w:pPr>
              <w:jc w:val="right"/>
              <w:spacing w:after="0"/>
              <w:rPr>
                <w:sz w:val="20"/>
                <w:szCs w:val="20"/>
                <w:color w:val="auto"/>
              </w:rPr>
            </w:pPr>
            <w:r>
              <w:rPr>
                <w:rFonts w:ascii="Arial" w:cs="Arial" w:eastAsia="Arial" w:hAnsi="Arial"/>
                <w:sz w:val="14"/>
                <w:szCs w:val="14"/>
                <w:b w:val="1"/>
                <w:bCs w:val="1"/>
                <w:color w:val="auto"/>
              </w:rPr>
              <w:t>9</w:t>
            </w:r>
          </w:p>
        </w:tc>
        <w:tc>
          <w:tcPr>
            <w:tcW w:w="4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46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614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100%</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8"/>
              </w:rPr>
              <w:t>100%</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5480" w:type="dxa"/>
            <w:vAlign w:val="bottom"/>
            <w:vMerge w:val="restart"/>
          </w:tcPr>
          <w:p>
            <w:pPr>
              <w:jc w:val="right"/>
              <w:ind w:right="3172"/>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-335280</wp:posOffset>
            </wp:positionV>
            <wp:extent cx="15875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5875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-335280</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-335280</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-335280</wp:posOffset>
            </wp:positionV>
            <wp:extent cx="15875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5875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-335280</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-335280</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the weighted-average target allocation of the defined benefit pension plans’ assets: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US</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Int’l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76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55%</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200" w:type="dxa"/>
            <w:vAlign w:val="bottom"/>
          </w:tcPr>
          <w:p>
            <w:pPr>
              <w:ind w:left="80"/>
              <w:spacing w:after="0"/>
              <w:rPr>
                <w:sz w:val="20"/>
                <w:szCs w:val="20"/>
                <w:color w:val="auto"/>
              </w:rPr>
            </w:pPr>
            <w:r>
              <w:rPr>
                <w:rFonts w:ascii="Arial" w:cs="Arial" w:eastAsia="Arial" w:hAnsi="Arial"/>
                <w:sz w:val="12"/>
                <w:szCs w:val="12"/>
                <w:color w:val="auto"/>
                <w:w w:val="74"/>
              </w:rPr>
              <w:t>33</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200" w:type="dxa"/>
            <w:vAlign w:val="bottom"/>
            <w:shd w:val="clear" w:color="auto" w:fill="CCEEFF"/>
          </w:tcPr>
          <w:p>
            <w:pPr>
              <w:ind w:left="80"/>
              <w:spacing w:after="0"/>
              <w:rPr>
                <w:sz w:val="20"/>
                <w:szCs w:val="20"/>
                <w:color w:val="auto"/>
              </w:rPr>
            </w:pPr>
            <w:r>
              <w:rPr>
                <w:rFonts w:ascii="Arial" w:cs="Arial" w:eastAsia="Arial" w:hAnsi="Arial"/>
                <w:sz w:val="12"/>
                <w:szCs w:val="12"/>
                <w:color w:val="auto"/>
                <w:w w:val="74"/>
              </w:rPr>
              <w:t>12</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100%</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The asset allocation objectives are to diversify the portfolio among several asset classes to reduce volatility while maintaining an asset mix that provides the highest expected rate of return consistent with an acceptable level of risk. There is no investment of any plan assets in Schlumberger common stock. Schlumberger’s asset allocation strategy is reviewed at least annually. Other investments above consist primarily of alternative investments such as real estate and private equity.</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The expected long-term rate of return on assets assumptions reflect the average rate of earnings expected on funds invested or to be invested. The assumptions have been determined by reflecting expectations regarding future rates of return for the portfolio considering the asset distribution and related historical rates of return. The appropriateness of the assumptions is reviewed annually.</w:t>
      </w:r>
    </w:p>
    <w:p>
      <w:pPr>
        <w:spacing w:after="0" w:line="1" w:lineRule="exact"/>
        <w:rPr>
          <w:sz w:val="20"/>
          <w:szCs w:val="20"/>
          <w:color w:val="auto"/>
        </w:rPr>
      </w:pPr>
    </w:p>
    <w:p>
      <w:pPr>
        <w:ind w:right="380" w:firstLine="228"/>
        <w:spacing w:after="0" w:line="302" w:lineRule="auto"/>
        <w:rPr>
          <w:sz w:val="20"/>
          <w:szCs w:val="20"/>
          <w:color w:val="auto"/>
        </w:rPr>
      </w:pPr>
      <w:r>
        <w:rPr>
          <w:rFonts w:ascii="Arial" w:cs="Arial" w:eastAsia="Arial" w:hAnsi="Arial"/>
          <w:sz w:val="16"/>
          <w:szCs w:val="16"/>
          <w:color w:val="auto"/>
        </w:rPr>
        <w:t>The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$400 million to $500 million to its defined benefit pension plans in 2009, subject to market and business conditions.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United States subsidiary provide certain health care benefits to former US employees who have retired.</w:t>
      </w:r>
    </w:p>
    <w:p>
      <w:pPr>
        <w:spacing w:after="0" w:line="15" w:lineRule="exact"/>
        <w:rPr>
          <w:sz w:val="20"/>
          <w:szCs w:val="20"/>
          <w:color w:val="auto"/>
        </w:rPr>
      </w:pPr>
    </w:p>
    <w:p>
      <w:pPr>
        <w:ind w:right="280" w:firstLine="228"/>
        <w:spacing w:after="0" w:line="250" w:lineRule="auto"/>
        <w:rPr>
          <w:sz w:val="20"/>
          <w:szCs w:val="20"/>
          <w:color w:val="auto"/>
        </w:rPr>
      </w:pPr>
      <w:r>
        <w:rPr>
          <w:rFonts w:ascii="Arial" w:cs="Arial" w:eastAsia="Arial" w:hAnsi="Arial"/>
          <w:sz w:val="18"/>
          <w:szCs w:val="18"/>
          <w:color w:val="auto"/>
        </w:rPr>
        <w:t>The actuarial assumptions used to measure net periodic benefit costs were a discount rate of 6.50% in 2008, 6.00% in 2007 and 5.75% in 2006. The overall medical cost trend rate assumption is 9% graded to 6% over the next four years and 5% thereafter.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periodic benefit cost for the US postretirement medical plan included the following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Borders>
              <w:top w:val="single" w:sz="8" w:color="auto"/>
            </w:tcBorders>
          </w:tcPr>
          <w:p>
            <w:pPr>
              <w:spacing w:after="0"/>
              <w:rPr>
                <w:sz w:val="15"/>
                <w:szCs w:val="15"/>
                <w:color w:val="auto"/>
              </w:rPr>
            </w:pPr>
          </w:p>
        </w:tc>
        <w:tc>
          <w:tcPr>
            <w:tcW w:w="5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100" w:type="dxa"/>
            <w:vAlign w:val="bottom"/>
          </w:tcPr>
          <w:p>
            <w:pPr>
              <w:spacing w:after="0"/>
              <w:rPr>
                <w:sz w:val="6"/>
                <w:szCs w:val="6"/>
                <w:color w:val="auto"/>
              </w:rPr>
            </w:pPr>
          </w:p>
        </w:tc>
        <w:tc>
          <w:tcPr>
            <w:tcW w:w="5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5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5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62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62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(27)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net loss</w:t>
            </w:r>
          </w:p>
        </w:tc>
        <w:tc>
          <w:tcPr>
            <w:tcW w:w="5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5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EEFF"/>
          </w:tcPr>
          <w:p>
            <w:pPr>
              <w:spacing w:after="0"/>
              <w:rPr>
                <w:sz w:val="12"/>
                <w:szCs w:val="12"/>
                <w:color w:val="auto"/>
              </w:rPr>
            </w:pPr>
          </w:p>
        </w:tc>
        <w:tc>
          <w:tcPr>
            <w:tcW w:w="5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6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40" w:type="dxa"/>
            <w:vAlign w:val="bottom"/>
            <w:vMerge w:val="restart"/>
          </w:tcPr>
          <w:p>
            <w:pPr>
              <w:jc w:val="right"/>
              <w:ind w:right="3712"/>
              <w:spacing w:after="0"/>
              <w:rPr>
                <w:sz w:val="20"/>
                <w:szCs w:val="20"/>
                <w:color w:val="auto"/>
              </w:rPr>
            </w:pPr>
            <w:r>
              <w:rPr>
                <w:rFonts w:ascii="Arial" w:cs="Arial" w:eastAsia="Arial" w:hAnsi="Arial"/>
                <w:sz w:val="14"/>
                <w:szCs w:val="14"/>
                <w:color w:val="auto"/>
              </w:rPr>
              <w:t>65</w:t>
            </w: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-335280</wp:posOffset>
            </wp:positionV>
            <wp:extent cx="1270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-335280</wp:posOffset>
            </wp:positionV>
            <wp:extent cx="2159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-335280</wp:posOffset>
            </wp:positionV>
            <wp:extent cx="3873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-335280</wp:posOffset>
            </wp:positionV>
            <wp:extent cx="1270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-335280</wp:posOffset>
            </wp:positionV>
            <wp:extent cx="2159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-335280</wp:posOffset>
            </wp:positionV>
            <wp:extent cx="3873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-335280</wp:posOffset>
            </wp:positionV>
            <wp:extent cx="20129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accumulated postretirement benefit obligation, plan assets and funded status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2007</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10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losses/(gains)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300" w:type="dxa"/>
            <w:vAlign w:val="bottom"/>
          </w:tcPr>
          <w:p>
            <w:pPr>
              <w:spacing w:after="0"/>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5"/>
                <w:szCs w:val="15"/>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862</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Contributions</w:t>
            </w: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38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(833)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-1161415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-1161415</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-1161415</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-1161415</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-1161415</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-1161415</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-286385</wp:posOffset>
            </wp:positionV>
            <wp:extent cx="1270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-286385</wp:posOffset>
            </wp:positionV>
            <wp:extent cx="2159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-286385</wp:posOffset>
            </wp:positionV>
            <wp:extent cx="3873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-286385</wp:posOffset>
            </wp:positionV>
            <wp:extent cx="23558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3558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The underfunded position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6.50% for 2008 and 6.50% for 2007.</w:t>
      </w:r>
    </w:p>
    <w:p>
      <w:pPr>
        <w:spacing w:after="0" w:line="9"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overall medical cost trend rate assumption used to determine the accumulated postretirement benefit obligation for both 2008 and 2007 was 9% graded to 6% over the next four years and 5% thereafter.</w:t>
      </w:r>
    </w:p>
    <w:p>
      <w:pPr>
        <w:spacing w:after="0" w:line="1"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080" w:type="dxa"/>
            <w:vAlign w:val="bottom"/>
            <w:tcBorders>
              <w:top w:val="single" w:sz="8" w:color="auto"/>
            </w:tcBorders>
          </w:tcPr>
          <w:p>
            <w:pPr>
              <w:spacing w:after="0"/>
              <w:rPr>
                <w:sz w:val="11"/>
                <w:szCs w:val="11"/>
                <w:color w:val="auto"/>
              </w:rPr>
            </w:pPr>
          </w:p>
        </w:tc>
        <w:tc>
          <w:tcPr>
            <w:tcW w:w="33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One</w:t>
            </w:r>
          </w:p>
        </w:tc>
        <w:tc>
          <w:tcPr>
            <w:tcW w:w="6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One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200" w:type="dxa"/>
            <w:vAlign w:val="bottom"/>
            <w:gridSpan w:val="2"/>
          </w:tcPr>
          <w:p>
            <w:pPr>
              <w:ind w:left="3160"/>
              <w:spacing w:after="0"/>
              <w:rPr>
                <w:sz w:val="20"/>
                <w:szCs w:val="20"/>
                <w:color w:val="auto"/>
              </w:rPr>
            </w:pPr>
            <w:r>
              <w:rPr>
                <w:rFonts w:ascii="Arial" w:cs="Arial" w:eastAsia="Arial" w:hAnsi="Arial"/>
                <w:sz w:val="14"/>
                <w:szCs w:val="14"/>
                <w:b w:val="1"/>
                <w:bCs w:val="1"/>
                <w:color w:val="auto"/>
              </w:rPr>
              <w:t>percentage</w:t>
            </w:r>
          </w:p>
        </w:tc>
        <w:tc>
          <w:tcPr>
            <w:tcW w:w="1120" w:type="dxa"/>
            <w:vAlign w:val="bottom"/>
            <w:gridSpan w:val="2"/>
          </w:tcPr>
          <w:p>
            <w:pPr>
              <w:ind w:left="440"/>
              <w:spacing w:after="0"/>
              <w:rPr>
                <w:sz w:val="20"/>
                <w:szCs w:val="20"/>
                <w:color w:val="auto"/>
              </w:rPr>
            </w:pPr>
            <w:r>
              <w:rPr>
                <w:rFonts w:ascii="Arial" w:cs="Arial" w:eastAsia="Arial" w:hAnsi="Arial"/>
                <w:sz w:val="14"/>
                <w:szCs w:val="14"/>
                <w:b w:val="1"/>
                <w:bCs w:val="1"/>
                <w:color w:val="auto"/>
                <w:w w:val="88"/>
              </w:rPr>
              <w:t>percentage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0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on total service and interest cost components</w:t>
            </w:r>
          </w:p>
        </w:tc>
        <w:tc>
          <w:tcPr>
            <w:tcW w:w="3380" w:type="dxa"/>
            <w:vAlign w:val="bottom"/>
            <w:shd w:val="clear" w:color="auto" w:fill="CCEEFF"/>
          </w:tcPr>
          <w:p>
            <w:pPr>
              <w:ind w:left="31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Arial" w:cs="Arial" w:eastAsia="Arial" w:hAnsi="Arial"/>
                <w:sz w:val="14"/>
                <w:szCs w:val="14"/>
                <w:color w:val="auto"/>
              </w:rPr>
              <w:t>Effect on accumulated postretirment benefit obligation</w:t>
            </w:r>
          </w:p>
        </w:tc>
        <w:tc>
          <w:tcPr>
            <w:tcW w:w="3380" w:type="dxa"/>
            <w:vAlign w:val="bottom"/>
          </w:tcPr>
          <w:p>
            <w:pPr>
              <w:ind w:left="31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52"/>
              <w:spacing w:after="0"/>
              <w:rPr>
                <w:sz w:val="20"/>
                <w:szCs w:val="20"/>
                <w:color w:val="auto"/>
              </w:rPr>
            </w:pPr>
            <w:r>
              <w:rPr>
                <w:rFonts w:ascii="Arial" w:cs="Arial" w:eastAsia="Arial" w:hAnsi="Arial"/>
                <w:sz w:val="14"/>
                <w:szCs w:val="14"/>
                <w:color w:val="auto"/>
              </w:rPr>
              <w:t>127</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(which is disclosed net of the annual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Medicare Part D subsidy, which ranges from $3 million to $6 million per year)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Pension Benefits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vMerge w:val="restart"/>
          </w:tcPr>
          <w:p>
            <w:pPr>
              <w:spacing w:after="0"/>
              <w:rPr>
                <w:sz w:val="8"/>
                <w:szCs w:val="8"/>
                <w:color w:val="auto"/>
              </w:rPr>
            </w:pPr>
          </w:p>
        </w:tc>
        <w:tc>
          <w:tcPr>
            <w:tcW w:w="8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4"/>
              </w:rPr>
              <w:t>Postretirement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US</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Int’l</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Medical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4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2009</w:t>
            </w:r>
          </w:p>
        </w:tc>
        <w:tc>
          <w:tcPr>
            <w:tcW w:w="43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100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4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43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43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113</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131</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43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2014 – 2018</w:t>
            </w:r>
          </w:p>
        </w:tc>
        <w:tc>
          <w:tcPr>
            <w:tcW w:w="4300" w:type="dxa"/>
            <w:vAlign w:val="bottom"/>
            <w:gridSpan w:val="3"/>
          </w:tcPr>
          <w:p>
            <w:pPr>
              <w:jc w:val="right"/>
              <w:ind w:right="140"/>
              <w:spacing w:after="0"/>
              <w:rPr>
                <w:sz w:val="20"/>
                <w:szCs w:val="20"/>
                <w:color w:val="auto"/>
              </w:rPr>
            </w:pPr>
            <w:r>
              <w:rPr>
                <w:rFonts w:ascii="Arial" w:cs="Arial" w:eastAsia="Arial" w:hAnsi="Arial"/>
                <w:sz w:val="14"/>
                <w:szCs w:val="14"/>
                <w:color w:val="auto"/>
              </w:rPr>
              <w:t>727</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863</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2008 are the following non-cash pretax charges which have not yet been recognized in net periodic pension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year-ending December 31, 2009.</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3"/>
              </w:rPr>
              <w:t>Amt. recognized in Acc.</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Amount expected to be</w:t>
            </w:r>
          </w:p>
        </w:tc>
      </w:tr>
      <w:tr>
        <w:trPr>
          <w:trHeight w:val="149"/>
        </w:trPr>
        <w:tc>
          <w:tcPr>
            <w:tcW w:w="3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Other Comp. Income at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4"/>
              </w:rPr>
              <w:t>charged to net periodic cost</w:t>
            </w:r>
          </w:p>
        </w:tc>
      </w:tr>
      <w:tr>
        <w:trPr>
          <w:trHeight w:val="174"/>
        </w:trPr>
        <w:tc>
          <w:tcPr>
            <w:tcW w:w="39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 2008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in 2009</w:t>
            </w:r>
          </w:p>
        </w:tc>
      </w:tr>
      <w:tr>
        <w:trPr>
          <w:trHeight w:val="95"/>
        </w:trPr>
        <w:tc>
          <w:tcPr>
            <w:tcW w:w="39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16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3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77"/>
              </w:rPr>
              <w:t>Pension</w:t>
            </w: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20"/>
                <w:szCs w:val="20"/>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4"/>
              </w:rPr>
              <w:t>Pension</w:t>
            </w:r>
          </w:p>
        </w:tc>
        <w:tc>
          <w:tcPr>
            <w:tcW w:w="16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85"/>
              </w:rPr>
              <w:t>Plans</w:t>
            </w:r>
          </w:p>
        </w:tc>
        <w:tc>
          <w:tcPr>
            <w:tcW w:w="7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Medical Plan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Plans</w:t>
            </w:r>
          </w:p>
        </w:tc>
        <w:tc>
          <w:tcPr>
            <w:tcW w:w="82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Medical Plan</w:t>
            </w:r>
          </w:p>
        </w:tc>
      </w:tr>
      <w:tr>
        <w:trPr>
          <w:trHeight w:val="149"/>
        </w:trPr>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2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w w:val="91"/>
              </w:rPr>
              <w:t>1,018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4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r>
      <w:tr>
        <w:trPr>
          <w:trHeight w:val="174"/>
        </w:trPr>
        <w:tc>
          <w:tcPr>
            <w:tcW w:w="3940" w:type="dxa"/>
            <w:vAlign w:val="bottom"/>
          </w:tcPr>
          <w:p>
            <w:pPr>
              <w:spacing w:after="0"/>
              <w:rPr>
                <w:sz w:val="20"/>
                <w:szCs w:val="20"/>
                <w:color w:val="auto"/>
              </w:rPr>
            </w:pPr>
            <w:r>
              <w:rPr>
                <w:rFonts w:ascii="Arial" w:cs="Arial" w:eastAsia="Arial" w:hAnsi="Arial"/>
                <w:sz w:val="14"/>
                <w:szCs w:val="14"/>
                <w:color w:val="auto"/>
              </w:rPr>
              <w:t>Prior service cost / (credit)</w:t>
            </w: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1,125</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(92)</w:t>
            </w:r>
          </w:p>
        </w:tc>
        <w:tc>
          <w:tcPr>
            <w:tcW w:w="4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129</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(27)</w:t>
            </w:r>
          </w:p>
        </w:tc>
      </w:tr>
    </w:tbl>
    <w:p>
      <w:pPr>
        <w:spacing w:after="0" w:line="3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$482 million, $408 million and $351 million in 2008, 2007 and 2006, respectively.</w:t>
      </w:r>
    </w:p>
    <w:p>
      <w:pPr>
        <w:spacing w:after="0" w:line="1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Supplementary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6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272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  289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6"/>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  269</w:t>
            </w: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$ 234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40" w:type="dxa"/>
            <w:vAlign w:val="bottom"/>
          </w:tcPr>
          <w:p>
            <w:pPr>
              <w:spacing w:after="0"/>
              <w:rPr>
                <w:sz w:val="20"/>
                <w:szCs w:val="20"/>
                <w:color w:val="auto"/>
              </w:rPr>
            </w:pPr>
            <w:r>
              <w:rPr>
                <w:rFonts w:ascii="Arial" w:cs="Arial" w:eastAsia="Arial" w:hAnsi="Arial"/>
                <w:sz w:val="14"/>
                <w:szCs w:val="14"/>
                <w:color w:val="auto"/>
              </w:rPr>
              <w:t>Income taxes</w:t>
            </w:r>
          </w:p>
        </w:tc>
        <w:tc>
          <w:tcPr>
            <w:tcW w:w="27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$1,158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6"/>
          </w:tcPr>
          <w:p>
            <w:pPr>
              <w:jc w:val="right"/>
              <w:ind w:right="160"/>
              <w:spacing w:after="0"/>
              <w:rPr>
                <w:sz w:val="20"/>
                <w:szCs w:val="20"/>
                <w:color w:val="auto"/>
              </w:rPr>
            </w:pPr>
            <w:r>
              <w:rPr>
                <w:rFonts w:ascii="Arial" w:cs="Arial" w:eastAsia="Arial" w:hAnsi="Arial"/>
                <w:sz w:val="14"/>
                <w:szCs w:val="14"/>
                <w:color w:val="auto"/>
              </w:rPr>
              <w:t>$ 1,127</w:t>
            </w:r>
          </w:p>
        </w:tc>
        <w:tc>
          <w:tcPr>
            <w:tcW w:w="580" w:type="dxa"/>
            <w:vAlign w:val="bottom"/>
            <w:gridSpan w:val="5"/>
          </w:tcPr>
          <w:p>
            <w:pPr>
              <w:jc w:val="right"/>
              <w:spacing w:after="0"/>
              <w:rPr>
                <w:sz w:val="20"/>
                <w:szCs w:val="20"/>
                <w:color w:val="auto"/>
              </w:rPr>
            </w:pPr>
            <w:r>
              <w:rPr>
                <w:rFonts w:ascii="Arial" w:cs="Arial" w:eastAsia="Arial" w:hAnsi="Arial"/>
                <w:sz w:val="14"/>
                <w:szCs w:val="14"/>
                <w:color w:val="auto"/>
              </w:rPr>
              <w:t>$ 997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40" w:type="dxa"/>
            <w:vAlign w:val="bottom"/>
          </w:tcPr>
          <w:p>
            <w:pPr>
              <w:ind w:left="22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tc>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260" w:type="dxa"/>
            <w:vAlign w:val="bottom"/>
            <w:tcBorders>
              <w:bottom w:val="single" w:sz="8" w:color="auto"/>
            </w:tcBorders>
            <w:gridSpan w:val="2"/>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2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$ 1,126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$ 1,076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1,872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1,554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2,270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$ 5,268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$ 4,551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includes the following:</w:t>
            </w: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260" w:type="dxa"/>
            <w:vAlign w:val="bottom"/>
            <w:tcBorders>
              <w:bottom w:val="single" w:sz="8" w:color="auto"/>
            </w:tcBorders>
            <w:gridSpan w:val="2"/>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5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74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$119</w:t>
            </w:r>
          </w:p>
        </w:tc>
        <w:tc>
          <w:tcPr>
            <w:tcW w:w="14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72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293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244</w:t>
            </w:r>
          </w:p>
        </w:tc>
        <w:tc>
          <w:tcPr>
            <w:tcW w:w="180" w:type="dxa"/>
            <w:vAlign w:val="bottom"/>
          </w:tcPr>
          <w:p>
            <w:pPr>
              <w:spacing w:after="0"/>
              <w:rPr>
                <w:sz w:val="12"/>
                <w:szCs w:val="12"/>
                <w:color w:val="auto"/>
              </w:rPr>
            </w:pPr>
          </w:p>
        </w:tc>
        <w:tc>
          <w:tcPr>
            <w:tcW w:w="5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88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w:t>
            </w: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rPr>
                <w:sz w:val="12"/>
                <w:szCs w:val="12"/>
                <w:color w:val="auto"/>
              </w:rPr>
            </w:pPr>
          </w:p>
        </w:tc>
        <w:tc>
          <w:tcPr>
            <w:tcW w:w="27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tc>
        <w:tc>
          <w:tcPr>
            <w:tcW w:w="2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7260" w:type="dxa"/>
            <w:vAlign w:val="bottom"/>
            <w:tcBorders>
              <w:bottom w:val="single" w:sz="8" w:color="auto"/>
            </w:tcBorders>
            <w:gridSpan w:val="2"/>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2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$ 86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25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65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written off</w:t>
            </w:r>
          </w:p>
        </w:tc>
        <w:tc>
          <w:tcPr>
            <w:tcW w:w="27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40" w:type="dxa"/>
            <w:vAlign w:val="bottom"/>
            <w:tcBorders>
              <w:top w:val="single" w:sz="8" w:color="auto"/>
            </w:tcBorders>
          </w:tcPr>
          <w:p>
            <w:pPr>
              <w:spacing w:after="0"/>
              <w:rPr>
                <w:sz w:val="8"/>
                <w:szCs w:val="8"/>
                <w:color w:val="auto"/>
              </w:rPr>
            </w:pPr>
          </w:p>
        </w:tc>
        <w:tc>
          <w:tcPr>
            <w:tcW w:w="23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2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$ 86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-2653665</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-2653665</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-2653665</wp:posOffset>
            </wp:positionV>
            <wp:extent cx="2159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-2653665</wp:posOffset>
            </wp:positionV>
            <wp:extent cx="269875"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-1341120</wp:posOffset>
            </wp:positionV>
            <wp:extent cx="1270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-1341120</wp:posOffset>
            </wp:positionV>
            <wp:extent cx="2159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-1341120</wp:posOffset>
            </wp:positionV>
            <wp:extent cx="38735"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-1341120</wp:posOffset>
            </wp:positionV>
            <wp:extent cx="1270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-1341120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-1341120</wp:posOffset>
            </wp:positionV>
            <wp:extent cx="2159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-1341120</wp:posOffset>
            </wp:positionV>
            <wp:extent cx="1270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-1341120</wp:posOffset>
            </wp:positionV>
            <wp:extent cx="2159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-1341120</wp:posOffset>
            </wp:positionV>
            <wp:extent cx="38735"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01295"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During 2008, Schlumberger recorded an after-tax gain of $38 million related to the resolution of a contingency associated with a previously disposed of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gain is included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13a–15(f) of the Securities Exchange Act of 1934, as amended.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 xml:space="preserve">Schlumberger Limited management assessed the effectiveness of our internal control over financial reporting as of December 31, 2008.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our assessment we have concluded that, as of December 31, 2008, our internal control over financial reporting is effective based on those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2"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effectiveness of Schlumberger Limited’s internal control over financial reporting as of December 31, 2008, has been audited by PricewaterhouseCoopers LLP, an independent registered public accounting firm, as stated in their report which appears herein.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 and the related consolidated statements of income, of stockholders’ equity and of cash flows present fairly, in all material respects, the financial position of Schlumberger Limited and its subsidiaries at December 31, 2008 and 2007, and the results of their operations and their cash flows for each of the three years in the period ended December 31, 2008 in conformity with accounting principles generally accepted in the United States of America. Also in our opinion, the Company maintained, in all material respects, effective internal control over financial reporting as of December 31, 2008,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68 of this Annual Report on Form 10-K.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As discussed in Note 15 to the consolidated financial statements, the Company changed its method of accounting for uncertainty in income taxes on January 1, 2007. Additionally, as discussed in Note 2 to the consolidated financial statements, the Company changed its method of accounting for defined benefit pension and other postretirement plans on December 31, 2006.</w:t>
      </w:r>
    </w:p>
    <w:p>
      <w:pPr>
        <w:spacing w:after="0" w:line="1"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 9, 9A, 9B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for each of the four quarters for the years ended December 31, 2008 and 2007.</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-76200</wp:posOffset>
            </wp:positionV>
            <wp:extent cx="254698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spacing w:after="0" w:line="125" w:lineRule="exact"/>
              <w:rPr>
                <w:sz w:val="20"/>
                <w:szCs w:val="20"/>
                <w:color w:val="auto"/>
              </w:rPr>
            </w:pPr>
            <w:r>
              <w:rPr>
                <w:rFonts w:ascii="Arial" w:cs="Arial" w:eastAsia="Arial" w:hAnsi="Arial"/>
                <w:sz w:val="14"/>
                <w:szCs w:val="14"/>
                <w:b w:val="1"/>
                <w:bCs w:val="1"/>
                <w:color w:val="auto"/>
                <w:w w:val="88"/>
              </w:rPr>
              <w:t>Earnings 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center"/>
              <w:spacing w:after="0" w:line="234" w:lineRule="exact"/>
              <w:rPr>
                <w:sz w:val="20"/>
                <w:szCs w:val="20"/>
                <w:color w:val="auto"/>
              </w:rPr>
            </w:pPr>
            <w:r>
              <w:rPr>
                <w:rFonts w:ascii="Arial" w:cs="Arial" w:eastAsia="Arial" w:hAnsi="Arial"/>
                <w:sz w:val="14"/>
                <w:szCs w:val="14"/>
                <w:b w:val="1"/>
                <w:bCs w:val="1"/>
                <w:color w:val="auto"/>
                <w:w w:val="83"/>
              </w:rPr>
              <w:t>share</w:t>
            </w:r>
            <w:r>
              <w:rPr>
                <w:rFonts w:ascii="Arial" w:cs="Arial" w:eastAsia="Arial" w:hAnsi="Arial"/>
                <w:sz w:val="22"/>
                <w:szCs w:val="22"/>
                <w:b w:val="1"/>
                <w:bCs w:val="1"/>
                <w:color w:val="auto"/>
                <w:w w:val="83"/>
                <w:vertAlign w:val="superscript"/>
              </w:rPr>
              <w:t>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jc w:val="right"/>
              <w:ind w:right="440"/>
              <w:spacing w:after="0" w:line="144" w:lineRule="exact"/>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5"/>
                <w:szCs w:val="5"/>
                <w:color w:val="auto"/>
              </w:rPr>
            </w:pPr>
          </w:p>
        </w:tc>
        <w:tc>
          <w:tcPr>
            <w:tcW w:w="360" w:type="dxa"/>
            <w:vAlign w:val="bottom"/>
            <w:vMerge w:val="restart"/>
          </w:tcPr>
          <w:p>
            <w:pPr>
              <w:jc w:val="right"/>
              <w:spacing w:after="0" w:line="144" w:lineRule="exact"/>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82"/>
              </w:rPr>
              <w:t>Revenue</w:t>
            </w:r>
          </w:p>
        </w:tc>
        <w:tc>
          <w:tcPr>
            <w:tcW w:w="440" w:type="dxa"/>
            <w:vAlign w:val="bottom"/>
          </w:tcPr>
          <w:p>
            <w:pPr>
              <w:spacing w:after="0"/>
              <w:rPr>
                <w:sz w:val="16"/>
                <w:szCs w:val="16"/>
                <w:color w:val="auto"/>
              </w:rPr>
            </w:pPr>
          </w:p>
        </w:tc>
        <w:tc>
          <w:tcPr>
            <w:tcW w:w="940" w:type="dxa"/>
            <w:vAlign w:val="bottom"/>
            <w:gridSpan w:val="3"/>
          </w:tcPr>
          <w:p>
            <w:pPr>
              <w:spacing w:after="0" w:line="193" w:lineRule="exact"/>
              <w:rPr>
                <w:sz w:val="20"/>
                <w:szCs w:val="20"/>
                <w:color w:val="auto"/>
              </w:rPr>
            </w:pPr>
            <w:r>
              <w:rPr>
                <w:rFonts w:ascii="Arial" w:cs="Arial" w:eastAsia="Arial" w:hAnsi="Arial"/>
                <w:sz w:val="14"/>
                <w:szCs w:val="14"/>
                <w:b w:val="1"/>
                <w:bCs w:val="1"/>
                <w:color w:val="auto"/>
              </w:rPr>
              <w:t>Margin</w:t>
            </w:r>
            <w:r>
              <w:rPr>
                <w:rFonts w:ascii="Arial" w:cs="Arial" w:eastAsia="Arial" w:hAnsi="Arial"/>
                <w:sz w:val="22"/>
                <w:szCs w:val="22"/>
                <w:b w:val="1"/>
                <w:bCs w:val="1"/>
                <w:color w:val="auto"/>
                <w:vertAlign w:val="superscript"/>
              </w:rPr>
              <w:t>1</w:t>
            </w:r>
          </w:p>
        </w:tc>
        <w:tc>
          <w:tcPr>
            <w:tcW w:w="480" w:type="dxa"/>
            <w:vAlign w:val="bottom"/>
            <w:gridSpan w:val="2"/>
          </w:tcPr>
          <w:p>
            <w:pPr>
              <w:spacing w:after="0" w:line="193" w:lineRule="exact"/>
              <w:rPr>
                <w:sz w:val="20"/>
                <w:szCs w:val="20"/>
                <w:color w:val="auto"/>
              </w:rPr>
            </w:pPr>
            <w:r>
              <w:rPr>
                <w:rFonts w:ascii="Arial" w:cs="Arial" w:eastAsia="Arial" w:hAnsi="Arial"/>
                <w:sz w:val="14"/>
                <w:szCs w:val="14"/>
                <w:b w:val="1"/>
                <w:bCs w:val="1"/>
                <w:color w:val="auto"/>
                <w:w w:val="80"/>
              </w:rPr>
              <w:t>Income</w:t>
            </w:r>
            <w:r>
              <w:rPr>
                <w:rFonts w:ascii="Arial" w:cs="Arial" w:eastAsia="Arial" w:hAnsi="Arial"/>
                <w:sz w:val="22"/>
                <w:szCs w:val="22"/>
                <w:b w:val="1"/>
                <w:bCs w:val="1"/>
                <w:color w:val="auto"/>
                <w:w w:val="80"/>
                <w:vertAlign w:val="superscript"/>
              </w:rPr>
              <w:t>2</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74"/>
              </w:rPr>
              <w:t>Basic</w:t>
            </w:r>
          </w:p>
        </w:tc>
        <w:tc>
          <w:tcPr>
            <w:tcW w:w="440" w:type="dxa"/>
            <w:vAlign w:val="bottom"/>
          </w:tcPr>
          <w:p>
            <w:pPr>
              <w:spacing w:after="0"/>
              <w:rPr>
                <w:sz w:val="16"/>
                <w:szCs w:val="16"/>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6,290</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1,932</w:t>
            </w:r>
          </w:p>
        </w:tc>
        <w:tc>
          <w:tcPr>
            <w:tcW w:w="4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1,338</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$1.12</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6,746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2,137</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1,420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7,259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2,292</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1,526</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1.27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6,868</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1,835</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1,150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0.96</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27,163</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8,196</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5,435</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$4.54</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5,464</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1,842</w:t>
            </w:r>
          </w:p>
        </w:tc>
        <w:tc>
          <w:tcPr>
            <w:tcW w:w="4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1,181</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52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5,639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1,258</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5,926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2,021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1,354</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8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6,248</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1,383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23,277</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5,177</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5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-921385</wp:posOffset>
            </wp:positionV>
            <wp:extent cx="32131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-921385</wp:posOffset>
            </wp:positionV>
            <wp:extent cx="32131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-921385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-921385</wp:posOffset>
            </wp:positionV>
            <wp:extent cx="1270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-921385</wp:posOffset>
            </wp:positionV>
            <wp:extent cx="2159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-921385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-921385</wp:posOffset>
            </wp:positionV>
            <wp:extent cx="1270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-921385</wp:posOffset>
            </wp:positionV>
            <wp:extent cx="2159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-921385</wp:posOffset>
            </wp:positionV>
            <wp:extent cx="278765"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78765"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2159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78765"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78765"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Gross margin equals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less </w:t>
      </w:r>
      <w:r>
        <w:rPr>
          <w:rFonts w:ascii="Arial" w:cs="Arial" w:eastAsia="Arial" w:hAnsi="Arial"/>
          <w:sz w:val="14"/>
          <w:szCs w:val="14"/>
          <w:i w:val="1"/>
          <w:iCs w:val="1"/>
          <w:color w:val="auto"/>
        </w:rPr>
        <w:t>Cost of goods sold &amp; services</w:t>
      </w:r>
      <w:r>
        <w:rPr>
          <w:rFonts w:ascii="Arial" w:cs="Arial" w:eastAsia="Arial" w:hAnsi="Arial"/>
          <w:sz w:val="14"/>
          <w:szCs w:val="14"/>
          <w:color w:val="auto"/>
        </w:rPr>
        <w:t>.</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Due to rounding, the addition of net income and earnings per share by quarter may not equal the total for the year.</w:t>
      </w:r>
    </w:p>
    <w:p>
      <w:pPr>
        <w:ind w:left="340" w:hanging="332"/>
        <w:spacing w:after="0" w:line="22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income in the fourth quarter of 2008 includes an after-tax charge of $93 million.</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income in the fourth quarter of 2007 includes an after-tax credit of $17 million.</w:t>
      </w:r>
    </w:p>
    <w:p>
      <w:pPr>
        <w:spacing w:after="0" w:line="4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2008,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Securities and Exchange Commission rules and forms.</w:t>
      </w:r>
    </w:p>
    <w:p>
      <w:pPr>
        <w:spacing w:after="0" w:line="2" w:lineRule="exact"/>
        <w:rPr>
          <w:sz w:val="20"/>
          <w:szCs w:val="20"/>
          <w:color w:val="auto"/>
        </w:rPr>
      </w:pPr>
    </w:p>
    <w:p>
      <w:pPr>
        <w:ind w:right="460" w:firstLine="228"/>
        <w:spacing w:after="0" w:line="281" w:lineRule="auto"/>
        <w:rPr>
          <w:sz w:val="20"/>
          <w:szCs w:val="20"/>
          <w:color w:val="auto"/>
        </w:rPr>
      </w:pPr>
      <w:r>
        <w:rPr>
          <w:rFonts w:ascii="Arial" w:cs="Arial" w:eastAsia="Arial" w:hAnsi="Arial"/>
          <w:sz w:val="16"/>
          <w:szCs w:val="16"/>
          <w:color w:val="auto"/>
        </w:rPr>
        <w:t>There has been no change in Schlumberger’s internal control over financial reporting that occurred during the quarter ended December 31, 2008 that has materially affected, or is reasonably likely to materially affect, Schlumberger’s internal control over financial reporting.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page 66 of this Report for Management’s Report on Internal Control Over Financial Reporting.</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 11, 12</w:t>
      </w: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Schlumberger.</w:t>
      </w:r>
    </w:p>
    <w:p>
      <w:pPr>
        <w:spacing w:after="0" w:line="7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See “Item 4. Submission of Matters to a Vote of Security Holders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Proxy Statement to be filed with the SEC with respect to the 2009 Annual General Meeting of Stockholders is incorporated herein by reference.</w:t>
      </w:r>
    </w:p>
    <w:p>
      <w:pPr>
        <w:spacing w:after="0" w:line="3"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 xml:space="preserve">Schlumberger has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“Compensation Committee Report” and “Director Compensation” in Schlumberger’s Proxy Statement to be filed with the SEC with respect to the 2009 Annual General Meeting of Stockholders is incorporated herein by reference.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Matters.</w:t>
      </w:r>
    </w:p>
    <w:p>
      <w:pPr>
        <w:spacing w:after="0" w:line="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Schlumberger’s Proxy Statement to be filed with the SEC with respect to the 2009 Annual General Meeting of Stockholders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below sets forth the following information as of December 31, 2008 for (1) all compensation plans previously approved by our stockholders and (2) all compensation plans not previously approved by our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3"/>
          </w:tcPr>
          <w:p>
            <w:pPr>
              <w:jc w:val="right"/>
              <w:ind w:right="1260"/>
              <w:spacing w:after="0" w:line="149" w:lineRule="exact"/>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5"/>
              </w:rPr>
              <w:t>available 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3"/>
          </w:tcPr>
          <w:p>
            <w:pPr>
              <w:jc w:val="right"/>
              <w:ind w:right="1260"/>
              <w:spacing w:after="0" w:line="149" w:lineRule="exact"/>
              <w:rPr>
                <w:sz w:val="20"/>
                <w:szCs w:val="20"/>
                <w:color w:val="auto"/>
              </w:rPr>
            </w:pPr>
            <w:r>
              <w:rPr>
                <w:rFonts w:ascii="Arial" w:cs="Arial" w:eastAsia="Arial" w:hAnsi="Arial"/>
                <w:sz w:val="14"/>
                <w:szCs w:val="14"/>
                <w:b w:val="1"/>
                <w:bCs w:val="1"/>
                <w:color w:val="auto"/>
                <w:w w:val="81"/>
              </w:rPr>
              <w:t>to be issued upon exercise</w:t>
            </w:r>
          </w:p>
        </w:tc>
        <w:tc>
          <w:tcPr>
            <w:tcW w:w="80" w:type="dxa"/>
            <w:vAlign w:val="bottom"/>
          </w:tcPr>
          <w:p>
            <w:pPr>
              <w:spacing w:after="0"/>
              <w:rPr>
                <w:sz w:val="12"/>
                <w:szCs w:val="12"/>
                <w:color w:val="auto"/>
              </w:rPr>
            </w:pPr>
          </w:p>
        </w:tc>
        <w:tc>
          <w:tcPr>
            <w:tcW w:w="282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8"/>
              </w:rPr>
              <w:t>under 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3"/>
          </w:tcPr>
          <w:p>
            <w:pPr>
              <w:jc w:val="right"/>
              <w:ind w:right="1260"/>
              <w:spacing w:after="0" w:line="149" w:lineRule="exact"/>
              <w:rPr>
                <w:sz w:val="20"/>
                <w:szCs w:val="20"/>
                <w:color w:val="auto"/>
              </w:rPr>
            </w:pPr>
            <w:r>
              <w:rPr>
                <w:rFonts w:ascii="Arial" w:cs="Arial" w:eastAsia="Arial" w:hAnsi="Arial"/>
                <w:sz w:val="14"/>
                <w:szCs w:val="14"/>
                <w:b w:val="1"/>
                <w:bCs w:val="1"/>
                <w:color w:val="auto"/>
                <w:w w:val="93"/>
              </w:rPr>
              <w:t>of outstanding options,</w:t>
            </w:r>
          </w:p>
        </w:tc>
        <w:tc>
          <w:tcPr>
            <w:tcW w:w="80" w:type="dxa"/>
            <w:vAlign w:val="bottom"/>
          </w:tcPr>
          <w:p>
            <w:pPr>
              <w:spacing w:after="0"/>
              <w:rPr>
                <w:sz w:val="12"/>
                <w:szCs w:val="12"/>
                <w:color w:val="auto"/>
              </w:rPr>
            </w:pPr>
          </w:p>
        </w:tc>
        <w:tc>
          <w:tcPr>
            <w:tcW w:w="282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18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plans (excluding securities</w:t>
            </w:r>
          </w:p>
        </w:tc>
        <w:tc>
          <w:tcPr>
            <w:tcW w:w="0" w:type="dxa"/>
            <w:vAlign w:val="bottom"/>
          </w:tcPr>
          <w:p>
            <w:pPr>
              <w:spacing w:after="0"/>
              <w:rPr>
                <w:sz w:val="1"/>
                <w:szCs w:val="1"/>
                <w:color w:val="auto"/>
              </w:rPr>
            </w:pPr>
          </w:p>
        </w:tc>
      </w:tr>
      <w:tr>
        <w:trPr>
          <w:trHeight w:val="174"/>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74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rPr>
              <w:t>warrants and rights</w:t>
            </w:r>
          </w:p>
        </w:tc>
        <w:tc>
          <w:tcPr>
            <w:tcW w:w="290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86"/>
              </w:rPr>
              <w:t>options, warrants and rights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 security</w:t>
            </w:r>
          </w:p>
        </w:tc>
        <w:tc>
          <w:tcPr>
            <w:tcW w:w="1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3"/>
            <w:shd w:val="clear" w:color="auto" w:fill="CCEEFF"/>
          </w:tcPr>
          <w:p>
            <w:pPr>
              <w:ind w:left="320"/>
              <w:spacing w:after="0" w:line="159" w:lineRule="exact"/>
              <w:rPr>
                <w:sz w:val="20"/>
                <w:szCs w:val="20"/>
                <w:color w:val="auto"/>
              </w:rPr>
            </w:pPr>
            <w:r>
              <w:rPr>
                <w:rFonts w:ascii="Arial" w:cs="Arial" w:eastAsia="Arial" w:hAnsi="Arial"/>
                <w:sz w:val="14"/>
                <w:szCs w:val="14"/>
                <w:color w:val="auto"/>
              </w:rPr>
              <w:t>holders</w:t>
            </w:r>
          </w:p>
        </w:tc>
        <w:tc>
          <w:tcPr>
            <w:tcW w:w="1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32,301,317</w:t>
            </w: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50.36</w:t>
            </w:r>
          </w:p>
        </w:tc>
        <w:tc>
          <w:tcPr>
            <w:tcW w:w="126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22,599,548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3"/>
          </w:tcPr>
          <w:p>
            <w:pPr>
              <w:spacing w:after="0" w:line="138" w:lineRule="exact"/>
              <w:rPr>
                <w:sz w:val="20"/>
                <w:szCs w:val="20"/>
                <w:color w:val="auto"/>
              </w:rPr>
            </w:pPr>
            <w:r>
              <w:rPr>
                <w:rFonts w:ascii="Arial" w:cs="Arial" w:eastAsia="Arial" w:hAnsi="Arial"/>
                <w:sz w:val="14"/>
                <w:szCs w:val="14"/>
                <w:color w:val="auto"/>
              </w:rPr>
              <w:t>Equity compensation plans not approved by</w:t>
            </w:r>
          </w:p>
        </w:tc>
        <w:tc>
          <w:tcPr>
            <w:tcW w:w="14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3"/>
          </w:tcPr>
          <w:p>
            <w:pPr>
              <w:ind w:left="320"/>
              <w:spacing w:after="0"/>
              <w:rPr>
                <w:sz w:val="20"/>
                <w:szCs w:val="20"/>
                <w:color w:val="auto"/>
              </w:rPr>
            </w:pPr>
            <w:r>
              <w:rPr>
                <w:rFonts w:ascii="Arial" w:cs="Arial" w:eastAsia="Arial" w:hAnsi="Arial"/>
                <w:sz w:val="14"/>
                <w:szCs w:val="14"/>
                <w:color w:val="auto"/>
              </w:rPr>
              <w:t>security holders</w:t>
            </w:r>
          </w:p>
        </w:tc>
        <w:tc>
          <w:tcPr>
            <w:tcW w:w="2740" w:type="dxa"/>
            <w:vAlign w:val="bottom"/>
            <w:gridSpan w:val="3"/>
          </w:tcPr>
          <w:p>
            <w:pPr>
              <w:jc w:val="right"/>
              <w:ind w:right="126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2820" w:type="dxa"/>
            <w:vAlign w:val="bottom"/>
            <w:gridSpan w:val="2"/>
          </w:tcPr>
          <w:p>
            <w:pPr>
              <w:jc w:val="right"/>
              <w:ind w:right="1260"/>
              <w:spacing w:after="0"/>
              <w:rPr>
                <w:sz w:val="20"/>
                <w:szCs w:val="20"/>
                <w:color w:val="auto"/>
              </w:rPr>
            </w:pPr>
            <w:r>
              <w:rPr>
                <w:rFonts w:ascii="Arial" w:cs="Arial" w:eastAsia="Arial" w:hAnsi="Arial"/>
                <w:sz w:val="14"/>
                <w:szCs w:val="14"/>
                <w:color w:val="auto"/>
              </w:rPr>
              <w:t>N/A</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32,301,317</w:t>
            </w: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w:t>
            </w:r>
          </w:p>
        </w:tc>
        <w:tc>
          <w:tcPr>
            <w:tcW w:w="1260" w:type="dxa"/>
            <w:vAlign w:val="bottom"/>
            <w:shd w:val="clear" w:color="auto" w:fill="CCEEFF"/>
          </w:tcPr>
          <w:p>
            <w:pPr>
              <w:spacing w:after="0"/>
              <w:rPr>
                <w:sz w:val="12"/>
                <w:szCs w:val="12"/>
                <w:color w:val="auto"/>
              </w:rPr>
            </w:pPr>
          </w:p>
        </w:tc>
        <w:tc>
          <w:tcPr>
            <w:tcW w:w="1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22,599,548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-29210</wp:posOffset>
            </wp:positionV>
            <wp:extent cx="1270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Equity compensation plans approved by our stockholders include the Schlumberger 1994 Stock Option Plan as amended, the Schlumberger 1998 Stock Option Plan as amended, the Schlumberger 2001 Stock Option Plan, as amended, the Schlumberger 2005 Stock Incentive Plan, as amended, the Schlumberger 2008 Stock Incentive Plan, as amended, and the Schlumberger Discounted Stock Purchase Plan and the Schlumberger Stock and Deferral Plan for Non-Employee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13, 14</w:t>
      </w:r>
    </w:p>
    <w:p>
      <w:pPr>
        <w:spacing w:after="0" w:line="19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under the captions “Corporate Governance – Director Independence” and “Corporate Governance – Policies and Procedures for Approval of Related Person Transactions” in Schlumberger’s Proxy Statement to be filed with the SEC for the 2009 Annual General Meeting of Stockholders is incorporated herein by reference.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Proxy Statement to be filed with the SEC with respect to the 2009 Annual General Meeting of Stockholders is incorporated herein by reference.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240" w:top="459" w:right="3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tcPr>
          <w:p>
            <w:pPr>
              <w:ind w:left="1600"/>
              <w:spacing w:after="0"/>
              <w:rPr>
                <w:sz w:val="20"/>
                <w:szCs w:val="20"/>
                <w:color w:val="auto"/>
              </w:rPr>
            </w:pPr>
            <w:r>
              <w:rPr>
                <w:rFonts w:ascii="Arial" w:cs="Arial" w:eastAsia="Arial" w:hAnsi="Arial"/>
                <w:sz w:val="14"/>
                <w:szCs w:val="14"/>
                <w:b w:val="1"/>
                <w:bCs w:val="1"/>
                <w:color w:val="auto"/>
              </w:rPr>
              <w:t>Page(s)</w:t>
            </w:r>
          </w:p>
        </w:tc>
      </w:tr>
      <w:tr>
        <w:trPr>
          <w:trHeight w:val="216"/>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  Financial Statements</w:t>
            </w:r>
          </w:p>
        </w:tc>
        <w:tc>
          <w:tcPr>
            <w:tcW w:w="2400" w:type="dxa"/>
            <w:vAlign w:val="bottom"/>
            <w:shd w:val="clear" w:color="auto" w:fill="CCEEFF"/>
          </w:tcPr>
          <w:p>
            <w:pPr>
              <w:spacing w:after="0"/>
              <w:rPr>
                <w:sz w:val="18"/>
                <w:szCs w:val="18"/>
                <w:color w:val="auto"/>
              </w:rPr>
            </w:pPr>
          </w:p>
        </w:tc>
      </w:tr>
      <w:tr>
        <w:trPr>
          <w:trHeight w:val="282"/>
        </w:trPr>
        <w:tc>
          <w:tcPr>
            <w:tcW w:w="9020" w:type="dxa"/>
            <w:vAlign w:val="bottom"/>
          </w:tcPr>
          <w:p>
            <w:pPr>
              <w:ind w:left="800"/>
              <w:spacing w:after="0"/>
              <w:rPr>
                <w:sz w:val="20"/>
                <w:szCs w:val="20"/>
                <w:color w:val="auto"/>
              </w:rPr>
            </w:pPr>
            <w:r>
              <w:rPr>
                <w:rFonts w:ascii="Arial" w:cs="Arial" w:eastAsia="Arial" w:hAnsi="Arial"/>
                <w:sz w:val="18"/>
                <w:szCs w:val="18"/>
                <w:color w:val="auto"/>
              </w:rPr>
              <w:t>ConsolidatedStatement of Income for the three years ended December 31, 2008</w:t>
            </w:r>
          </w:p>
        </w:tc>
        <w:tc>
          <w:tcPr>
            <w:tcW w:w="2400" w:type="dxa"/>
            <w:vAlign w:val="bottom"/>
          </w:tcPr>
          <w:p>
            <w:pPr>
              <w:ind w:left="1600"/>
              <w:spacing w:after="0"/>
              <w:rPr>
                <w:sz w:val="20"/>
                <w:szCs w:val="20"/>
                <w:color w:val="auto"/>
              </w:rPr>
            </w:pPr>
            <w:r>
              <w:rPr>
                <w:rFonts w:ascii="Arial" w:cs="Arial" w:eastAsia="Arial" w:hAnsi="Arial"/>
                <w:sz w:val="18"/>
                <w:szCs w:val="18"/>
                <w:color w:val="auto"/>
              </w:rPr>
              <w:t>35</w:t>
            </w:r>
          </w:p>
        </w:tc>
      </w:tr>
      <w:tr>
        <w:trPr>
          <w:trHeight w:val="70"/>
        </w:trPr>
        <w:tc>
          <w:tcPr>
            <w:tcW w:w="9020" w:type="dxa"/>
            <w:vAlign w:val="bottom"/>
          </w:tcPr>
          <w:p>
            <w:pPr>
              <w:spacing w:after="0"/>
              <w:rPr>
                <w:sz w:val="6"/>
                <w:szCs w:val="6"/>
                <w:color w:val="auto"/>
              </w:rPr>
            </w:pPr>
          </w:p>
        </w:tc>
        <w:tc>
          <w:tcPr>
            <w:tcW w:w="2400" w:type="dxa"/>
            <w:vAlign w:val="bottom"/>
          </w:tcPr>
          <w:p>
            <w:pPr>
              <w:spacing w:after="0"/>
              <w:rPr>
                <w:sz w:val="6"/>
                <w:szCs w:val="6"/>
                <w:color w:val="auto"/>
              </w:rPr>
            </w:pPr>
          </w:p>
        </w:tc>
      </w:tr>
      <w:tr>
        <w:trPr>
          <w:trHeight w:val="216"/>
        </w:trPr>
        <w:tc>
          <w:tcPr>
            <w:tcW w:w="9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ConsolidatedBalance Sheet at December 31, 2008 and 2007</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36</w:t>
            </w:r>
          </w:p>
        </w:tc>
      </w:tr>
      <w:tr>
        <w:trPr>
          <w:trHeight w:val="282"/>
        </w:trPr>
        <w:tc>
          <w:tcPr>
            <w:tcW w:w="9020" w:type="dxa"/>
            <w:vAlign w:val="bottom"/>
          </w:tcPr>
          <w:p>
            <w:pPr>
              <w:ind w:left="800"/>
              <w:spacing w:after="0"/>
              <w:rPr>
                <w:sz w:val="20"/>
                <w:szCs w:val="20"/>
                <w:color w:val="auto"/>
              </w:rPr>
            </w:pPr>
            <w:r>
              <w:rPr>
                <w:rFonts w:ascii="Arial" w:cs="Arial" w:eastAsia="Arial" w:hAnsi="Arial"/>
                <w:sz w:val="18"/>
                <w:szCs w:val="18"/>
                <w:color w:val="auto"/>
              </w:rPr>
              <w:t>ConsolidatedStatement of Cash Flows for the three years ended December 31, 2008</w:t>
            </w:r>
          </w:p>
        </w:tc>
        <w:tc>
          <w:tcPr>
            <w:tcW w:w="2400" w:type="dxa"/>
            <w:vAlign w:val="bottom"/>
          </w:tcPr>
          <w:p>
            <w:pPr>
              <w:ind w:left="1600"/>
              <w:spacing w:after="0"/>
              <w:rPr>
                <w:sz w:val="20"/>
                <w:szCs w:val="20"/>
                <w:color w:val="auto"/>
              </w:rPr>
            </w:pPr>
            <w:r>
              <w:rPr>
                <w:rFonts w:ascii="Arial" w:cs="Arial" w:eastAsia="Arial" w:hAnsi="Arial"/>
                <w:sz w:val="18"/>
                <w:szCs w:val="18"/>
                <w:color w:val="auto"/>
              </w:rPr>
              <w:t>37</w:t>
            </w:r>
          </w:p>
        </w:tc>
      </w:tr>
      <w:tr>
        <w:trPr>
          <w:trHeight w:val="70"/>
        </w:trPr>
        <w:tc>
          <w:tcPr>
            <w:tcW w:w="9020" w:type="dxa"/>
            <w:vAlign w:val="bottom"/>
          </w:tcPr>
          <w:p>
            <w:pPr>
              <w:spacing w:after="0"/>
              <w:rPr>
                <w:sz w:val="6"/>
                <w:szCs w:val="6"/>
                <w:color w:val="auto"/>
              </w:rPr>
            </w:pPr>
          </w:p>
        </w:tc>
        <w:tc>
          <w:tcPr>
            <w:tcW w:w="2400" w:type="dxa"/>
            <w:vAlign w:val="bottom"/>
          </w:tcPr>
          <w:p>
            <w:pPr>
              <w:spacing w:after="0"/>
              <w:rPr>
                <w:sz w:val="6"/>
                <w:szCs w:val="6"/>
                <w:color w:val="auto"/>
              </w:rPr>
            </w:pPr>
          </w:p>
        </w:tc>
      </w:tr>
      <w:tr>
        <w:trPr>
          <w:trHeight w:val="216"/>
        </w:trPr>
        <w:tc>
          <w:tcPr>
            <w:tcW w:w="9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Consolidated Statement of Stockholders’ Equity for the three years ended December 31, 2008</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97"/>
              </w:rPr>
              <w:t>38 and 39</w:t>
            </w:r>
          </w:p>
        </w:tc>
      </w:tr>
      <w:tr>
        <w:trPr>
          <w:trHeight w:val="282"/>
        </w:trPr>
        <w:tc>
          <w:tcPr>
            <w:tcW w:w="9020" w:type="dxa"/>
            <w:vAlign w:val="bottom"/>
          </w:tcPr>
          <w:p>
            <w:pPr>
              <w:ind w:left="800"/>
              <w:spacing w:after="0"/>
              <w:rPr>
                <w:sz w:val="20"/>
                <w:szCs w:val="20"/>
                <w:color w:val="auto"/>
              </w:rPr>
            </w:pPr>
            <w:r>
              <w:rPr>
                <w:rFonts w:ascii="Arial" w:cs="Arial" w:eastAsia="Arial" w:hAnsi="Arial"/>
                <w:sz w:val="18"/>
                <w:szCs w:val="18"/>
                <w:color w:val="auto"/>
              </w:rPr>
              <w:t>Notes to Consolidated Financial Statements</w:t>
            </w:r>
          </w:p>
        </w:tc>
        <w:tc>
          <w:tcPr>
            <w:tcW w:w="2400" w:type="dxa"/>
            <w:vAlign w:val="bottom"/>
          </w:tcPr>
          <w:p>
            <w:pPr>
              <w:ind w:left="1600"/>
              <w:spacing w:after="0"/>
              <w:rPr>
                <w:sz w:val="20"/>
                <w:szCs w:val="20"/>
                <w:color w:val="auto"/>
              </w:rPr>
            </w:pPr>
            <w:r>
              <w:rPr>
                <w:rFonts w:ascii="Arial" w:cs="Arial" w:eastAsia="Arial" w:hAnsi="Arial"/>
                <w:sz w:val="18"/>
                <w:szCs w:val="18"/>
                <w:color w:val="auto"/>
              </w:rPr>
              <w:t>40 to 67</w:t>
            </w:r>
          </w:p>
        </w:tc>
      </w:tr>
      <w:tr>
        <w:trPr>
          <w:trHeight w:val="70"/>
        </w:trPr>
        <w:tc>
          <w:tcPr>
            <w:tcW w:w="9020" w:type="dxa"/>
            <w:vAlign w:val="bottom"/>
          </w:tcPr>
          <w:p>
            <w:pPr>
              <w:spacing w:after="0"/>
              <w:rPr>
                <w:sz w:val="6"/>
                <w:szCs w:val="6"/>
                <w:color w:val="auto"/>
              </w:rPr>
            </w:pPr>
          </w:p>
        </w:tc>
        <w:tc>
          <w:tcPr>
            <w:tcW w:w="2400" w:type="dxa"/>
            <w:vAlign w:val="bottom"/>
          </w:tcPr>
          <w:p>
            <w:pPr>
              <w:spacing w:after="0"/>
              <w:rPr>
                <w:sz w:val="6"/>
                <w:szCs w:val="6"/>
                <w:color w:val="auto"/>
              </w:rPr>
            </w:pPr>
          </w:p>
        </w:tc>
      </w:tr>
      <w:tr>
        <w:trPr>
          <w:trHeight w:val="216"/>
        </w:trPr>
        <w:tc>
          <w:tcPr>
            <w:tcW w:w="90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Report of Independent Registered Public Accounting Firm</w:t>
            </w:r>
          </w:p>
        </w:tc>
        <w:tc>
          <w:tcPr>
            <w:tcW w:w="240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69</w:t>
            </w:r>
          </w:p>
        </w:tc>
      </w:tr>
      <w:tr>
        <w:trPr>
          <w:trHeight w:val="282"/>
        </w:trPr>
        <w:tc>
          <w:tcPr>
            <w:tcW w:w="9020" w:type="dxa"/>
            <w:vAlign w:val="bottom"/>
          </w:tcPr>
          <w:p>
            <w:pPr>
              <w:ind w:left="800"/>
              <w:spacing w:after="0"/>
              <w:rPr>
                <w:sz w:val="20"/>
                <w:szCs w:val="20"/>
                <w:color w:val="auto"/>
              </w:rPr>
            </w:pPr>
            <w:r>
              <w:rPr>
                <w:rFonts w:ascii="Arial" w:cs="Arial" w:eastAsia="Arial" w:hAnsi="Arial"/>
                <w:sz w:val="18"/>
                <w:szCs w:val="18"/>
                <w:color w:val="auto"/>
              </w:rPr>
              <w:t>Quarterly Results (Unaudited)</w:t>
            </w:r>
          </w:p>
        </w:tc>
        <w:tc>
          <w:tcPr>
            <w:tcW w:w="2400" w:type="dxa"/>
            <w:vAlign w:val="bottom"/>
          </w:tcPr>
          <w:p>
            <w:pPr>
              <w:ind w:left="1600"/>
              <w:spacing w:after="0"/>
              <w:rPr>
                <w:sz w:val="20"/>
                <w:szCs w:val="20"/>
                <w:color w:val="auto"/>
              </w:rPr>
            </w:pPr>
            <w:r>
              <w:rPr>
                <w:rFonts w:ascii="Arial" w:cs="Arial" w:eastAsia="Arial" w:hAnsi="Arial"/>
                <w:sz w:val="18"/>
                <w:szCs w:val="18"/>
                <w:color w:val="auto"/>
              </w:rPr>
              <w:t>71</w:t>
            </w:r>
          </w:p>
        </w:tc>
      </w:tr>
    </w:tbl>
    <w:p>
      <w:pPr>
        <w:spacing w:after="0" w:line="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Financial statements of 20% – 50% owned companies accounted for under the equity method and unconsolidated subsidiaries have been omitted because they do not meet the materiality tests for assets or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 w:lineRule="exact"/>
        <w:rPr>
          <w:sz w:val="20"/>
          <w:szCs w:val="20"/>
          <w:color w:val="auto"/>
        </w:rPr>
      </w:pPr>
    </w:p>
    <w:p>
      <w:pPr>
        <w:ind w:left="760" w:hanging="387"/>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76" w:lineRule="exact"/>
        <w:rPr>
          <w:rFonts w:ascii="Arial" w:cs="Arial" w:eastAsia="Arial" w:hAnsi="Arial"/>
          <w:sz w:val="18"/>
          <w:szCs w:val="18"/>
          <w:color w:val="auto"/>
        </w:rPr>
      </w:pPr>
    </w:p>
    <w:p>
      <w:pPr>
        <w:ind w:left="760" w:hanging="387"/>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to Exhibits” are filed or incorporated by reference as part of this Form 10-K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Date: February 11, 2009</w:t>
            </w: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432"/>
        </w:trPr>
        <w:tc>
          <w:tcPr>
            <w:tcW w:w="390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ind w:left="154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9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22"/>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3240" w:type="dxa"/>
            <w:vAlign w:val="bottom"/>
          </w:tcPr>
          <w:p>
            <w:pPr>
              <w:jc w:val="center"/>
              <w:ind w:right="1933"/>
              <w:spacing w:after="0"/>
              <w:rPr>
                <w:sz w:val="20"/>
                <w:szCs w:val="20"/>
                <w:color w:val="auto"/>
              </w:rPr>
            </w:pPr>
            <w:r>
              <w:rPr>
                <w:rFonts w:ascii="Arial" w:cs="Arial" w:eastAsia="Arial" w:hAnsi="Arial"/>
                <w:sz w:val="14"/>
                <w:szCs w:val="14"/>
                <w:b w:val="1"/>
                <w:bCs w:val="1"/>
                <w:color w:val="auto"/>
                <w:w w:val="89"/>
              </w:rPr>
              <w:t>Name</w:t>
            </w:r>
          </w:p>
        </w:tc>
        <w:tc>
          <w:tcPr>
            <w:tcW w:w="454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03"/>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w w:val="99"/>
              </w:rPr>
              <w:t>Director, Chairman and Chief Executive Officer</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3240" w:type="dxa"/>
            <w:vAlign w:val="bottom"/>
            <w:vMerge w:val="restart"/>
          </w:tcPr>
          <w:p>
            <w:pPr>
              <w:jc w:val="center"/>
              <w:ind w:right="1913"/>
              <w:spacing w:after="0"/>
              <w:rPr>
                <w:sz w:val="20"/>
                <w:szCs w:val="20"/>
                <w:color w:val="auto"/>
              </w:rPr>
            </w:pPr>
            <w:r>
              <w:rPr>
                <w:rFonts w:ascii="Arial" w:cs="Arial" w:eastAsia="Arial" w:hAnsi="Arial"/>
                <w:sz w:val="18"/>
                <w:szCs w:val="18"/>
                <w:color w:val="auto"/>
                <w:w w:val="91"/>
              </w:rPr>
              <w:t>Andrew Gould</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20" w:type="dxa"/>
            <w:vAlign w:val="bottom"/>
          </w:tcPr>
          <w:p>
            <w:pPr>
              <w:ind w:left="1860"/>
              <w:spacing w:after="0"/>
              <w:rPr>
                <w:sz w:val="20"/>
                <w:szCs w:val="20"/>
                <w:color w:val="auto"/>
              </w:rPr>
            </w:pPr>
            <w:r>
              <w:rPr>
                <w:rFonts w:ascii="Arial" w:cs="Arial" w:eastAsia="Arial" w:hAnsi="Arial"/>
                <w:sz w:val="18"/>
                <w:szCs w:val="18"/>
                <w:color w:val="auto"/>
                <w:w w:val="73"/>
              </w:rPr>
              <w:t>/s/</w:t>
            </w:r>
          </w:p>
        </w:tc>
        <w:tc>
          <w:tcPr>
            <w:tcW w:w="3240" w:type="dxa"/>
            <w:vAlign w:val="bottom"/>
          </w:tcPr>
          <w:p>
            <w:pPr>
              <w:jc w:val="center"/>
              <w:ind w:right="1873"/>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IMON</w:t>
            </w:r>
            <w:r>
              <w:rPr>
                <w:rFonts w:ascii="Arial" w:cs="Arial" w:eastAsia="Arial" w:hAnsi="Arial"/>
                <w:sz w:val="18"/>
                <w:szCs w:val="18"/>
                <w:color w:val="auto"/>
                <w:w w:val="99"/>
              </w:rPr>
              <w:t xml:space="preserve"> A</w:t>
            </w:r>
            <w:r>
              <w:rPr>
                <w:rFonts w:ascii="Arial" w:cs="Arial" w:eastAsia="Arial" w:hAnsi="Arial"/>
                <w:sz w:val="14"/>
                <w:szCs w:val="14"/>
                <w:color w:val="auto"/>
                <w:w w:val="99"/>
              </w:rPr>
              <w:t>YAT</w:t>
            </w:r>
          </w:p>
        </w:tc>
        <w:tc>
          <w:tcPr>
            <w:tcW w:w="4540" w:type="dxa"/>
            <w:vAlign w:val="bottom"/>
          </w:tcPr>
          <w:p>
            <w:pPr>
              <w:ind w:left="80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3240" w:type="dxa"/>
            <w:vAlign w:val="bottom"/>
            <w:vMerge w:val="restart"/>
          </w:tcPr>
          <w:p>
            <w:pPr>
              <w:jc w:val="center"/>
              <w:ind w:right="1933"/>
              <w:spacing w:after="0"/>
              <w:rPr>
                <w:sz w:val="20"/>
                <w:szCs w:val="20"/>
                <w:color w:val="auto"/>
              </w:rPr>
            </w:pPr>
            <w:r>
              <w:rPr>
                <w:rFonts w:ascii="Arial" w:cs="Arial" w:eastAsia="Arial" w:hAnsi="Arial"/>
                <w:sz w:val="18"/>
                <w:szCs w:val="18"/>
                <w:color w:val="auto"/>
                <w:w w:val="89"/>
              </w:rPr>
              <w:t>Simon Ayat</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20" w:type="dxa"/>
            <w:vAlign w:val="bottom"/>
          </w:tcPr>
          <w:p>
            <w:pPr>
              <w:ind w:left="1720"/>
              <w:spacing w:after="0"/>
              <w:rPr>
                <w:sz w:val="20"/>
                <w:szCs w:val="20"/>
                <w:color w:val="auto"/>
              </w:rPr>
            </w:pPr>
            <w:r>
              <w:rPr>
                <w:rFonts w:ascii="Arial" w:cs="Arial" w:eastAsia="Arial" w:hAnsi="Arial"/>
                <w:sz w:val="18"/>
                <w:szCs w:val="18"/>
                <w:color w:val="auto"/>
              </w:rPr>
              <w:t>/s/</w:t>
            </w:r>
          </w:p>
        </w:tc>
        <w:tc>
          <w:tcPr>
            <w:tcW w:w="3240" w:type="dxa"/>
            <w:vAlign w:val="bottom"/>
          </w:tcPr>
          <w:p>
            <w:pPr>
              <w:jc w:val="center"/>
              <w:ind w:right="1873"/>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540" w:type="dxa"/>
            <w:vAlign w:val="bottom"/>
          </w:tcPr>
          <w:p>
            <w:pPr>
              <w:ind w:left="8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16"/>
        </w:trPr>
        <w:tc>
          <w:tcPr>
            <w:tcW w:w="202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86"/>
        </w:trPr>
        <w:tc>
          <w:tcPr>
            <w:tcW w:w="2020" w:type="dxa"/>
            <w:vAlign w:val="bottom"/>
          </w:tcPr>
          <w:p>
            <w:pPr>
              <w:spacing w:after="0"/>
              <w:rPr>
                <w:sz w:val="7"/>
                <w:szCs w:val="7"/>
                <w:color w:val="auto"/>
              </w:rPr>
            </w:pPr>
          </w:p>
        </w:tc>
        <w:tc>
          <w:tcPr>
            <w:tcW w:w="3240" w:type="dxa"/>
            <w:vAlign w:val="bottom"/>
            <w:vMerge w:val="restart"/>
          </w:tcPr>
          <w:p>
            <w:pPr>
              <w:jc w:val="center"/>
              <w:ind w:right="1913"/>
              <w:spacing w:after="0"/>
              <w:rPr>
                <w:sz w:val="20"/>
                <w:szCs w:val="20"/>
                <w:color w:val="auto"/>
              </w:rPr>
            </w:pPr>
            <w:r>
              <w:rPr>
                <w:rFonts w:ascii="Arial" w:cs="Arial" w:eastAsia="Arial" w:hAnsi="Arial"/>
                <w:sz w:val="18"/>
                <w:szCs w:val="18"/>
                <w:color w:val="auto"/>
                <w:w w:val="91"/>
              </w:rPr>
              <w:t>Howard Guild</w:t>
            </w:r>
          </w:p>
        </w:tc>
        <w:tc>
          <w:tcPr>
            <w:tcW w:w="4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88"/>
              </w:rPr>
              <w:t>Philippe Camus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auto"/>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89"/>
              </w:rPr>
              <w:t>Jamie S. Gorelick</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86"/>
              </w:rPr>
              <w:t>Tony Isaac</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auto"/>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91"/>
              </w:rPr>
              <w:t>Nikolay Kudryavtsev</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90"/>
              </w:rPr>
              <w:t>Adrian Lajous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260" w:type="dxa"/>
            <w:vAlign w:val="bottom"/>
            <w:tcBorders>
              <w:bottom w:val="single" w:sz="8" w:color="auto"/>
            </w:tcBorders>
            <w:gridSpan w:val="2"/>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60" w:type="dxa"/>
            <w:vAlign w:val="bottom"/>
            <w:gridSpan w:val="2"/>
          </w:tcPr>
          <w:p>
            <w:pPr>
              <w:jc w:val="center"/>
              <w:spacing w:after="0"/>
              <w:rPr>
                <w:sz w:val="20"/>
                <w:szCs w:val="20"/>
                <w:color w:val="auto"/>
              </w:rPr>
            </w:pPr>
            <w:r>
              <w:rPr>
                <w:rFonts w:ascii="Arial" w:cs="Arial" w:eastAsia="Arial" w:hAnsi="Arial"/>
                <w:sz w:val="18"/>
                <w:szCs w:val="18"/>
                <w:color w:val="auto"/>
                <w:w w:val="91"/>
              </w:rPr>
              <w:t>Michael E. Marks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90"/>
              </w:rPr>
              <w:t>Leo Rafael Reif</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33"/>
              <w:spacing w:after="0"/>
              <w:rPr>
                <w:sz w:val="20"/>
                <w:szCs w:val="20"/>
                <w:color w:val="auto"/>
              </w:rPr>
            </w:pPr>
            <w:r>
              <w:rPr>
                <w:rFonts w:ascii="Arial" w:cs="Arial" w:eastAsia="Arial" w:hAnsi="Arial"/>
                <w:sz w:val="18"/>
                <w:szCs w:val="18"/>
                <w:color w:val="auto"/>
                <w:w w:val="87"/>
              </w:rPr>
              <w:t>Tore Sandvold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89"/>
              </w:rPr>
              <w:t>Nicolas Seydoux</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rPr>
              <w:t>*</w:t>
            </w:r>
          </w:p>
        </w:tc>
        <w:tc>
          <w:tcPr>
            <w:tcW w:w="4540" w:type="dxa"/>
            <w:vAlign w:val="bottom"/>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3240" w:type="dxa"/>
            <w:vAlign w:val="bottom"/>
          </w:tcPr>
          <w:p>
            <w:pPr>
              <w:jc w:val="center"/>
              <w:ind w:right="1913"/>
              <w:spacing w:after="0"/>
              <w:rPr>
                <w:sz w:val="20"/>
                <w:szCs w:val="20"/>
                <w:color w:val="auto"/>
              </w:rPr>
            </w:pPr>
            <w:r>
              <w:rPr>
                <w:rFonts w:ascii="Arial" w:cs="Arial" w:eastAsia="Arial" w:hAnsi="Arial"/>
                <w:sz w:val="18"/>
                <w:szCs w:val="18"/>
                <w:color w:val="auto"/>
                <w:w w:val="90"/>
              </w:rPr>
              <w:t>Linda G. Stuntz</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20" w:type="dxa"/>
            <w:vAlign w:val="bottom"/>
          </w:tcPr>
          <w:p>
            <w:pPr>
              <w:ind w:left="1740"/>
              <w:spacing w:after="0"/>
              <w:rPr>
                <w:sz w:val="20"/>
                <w:szCs w:val="20"/>
                <w:color w:val="auto"/>
              </w:rPr>
            </w:pPr>
            <w:r>
              <w:rPr>
                <w:rFonts w:ascii="Arial" w:cs="Arial" w:eastAsia="Arial" w:hAnsi="Arial"/>
                <w:sz w:val="18"/>
                <w:szCs w:val="18"/>
                <w:color w:val="auto"/>
              </w:rPr>
              <w:t>/s/</w:t>
            </w:r>
          </w:p>
        </w:tc>
        <w:tc>
          <w:tcPr>
            <w:tcW w:w="3240" w:type="dxa"/>
            <w:vAlign w:val="bottom"/>
          </w:tcPr>
          <w:p>
            <w:pPr>
              <w:jc w:val="center"/>
              <w:ind w:right="1873"/>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LLEN</w:t>
            </w:r>
            <w:r>
              <w:rPr>
                <w:rFonts w:ascii="Arial" w:cs="Arial" w:eastAsia="Arial" w:hAnsi="Arial"/>
                <w:sz w:val="18"/>
                <w:szCs w:val="18"/>
                <w:color w:val="auto"/>
                <w:w w:val="99"/>
              </w:rPr>
              <w:t xml:space="preserve"> S</w:t>
            </w:r>
            <w:r>
              <w:rPr>
                <w:rFonts w:ascii="Arial" w:cs="Arial" w:eastAsia="Arial" w:hAnsi="Arial"/>
                <w:sz w:val="14"/>
                <w:szCs w:val="14"/>
                <w:color w:val="auto"/>
                <w:w w:val="99"/>
              </w:rPr>
              <w:t>UMMER</w:t>
            </w:r>
          </w:p>
        </w:tc>
        <w:tc>
          <w:tcPr>
            <w:tcW w:w="4540" w:type="dxa"/>
            <w:vAlign w:val="bottom"/>
          </w:tcPr>
          <w:p>
            <w:pPr>
              <w:ind w:left="800"/>
              <w:spacing w:after="0"/>
              <w:rPr>
                <w:sz w:val="20"/>
                <w:szCs w:val="20"/>
                <w:color w:val="auto"/>
              </w:rPr>
            </w:pPr>
            <w:r>
              <w:rPr>
                <w:rFonts w:ascii="Arial" w:cs="Arial" w:eastAsia="Arial" w:hAnsi="Arial"/>
                <w:sz w:val="18"/>
                <w:szCs w:val="18"/>
                <w:color w:val="auto"/>
              </w:rPr>
              <w:t>February 11, 2009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33362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*By Ellen Summer Attorney-in-Fact</w:t>
      </w:r>
    </w:p>
    <w:p>
      <w:pPr>
        <w:sectPr>
          <w:pgSz w:w="11900" w:h="16838" w:orient="portrait"/>
          <w:cols w:equalWidth="0" w:num="1">
            <w:col w:w="11420"/>
          </w:cols>
          <w:pgMar w:left="240" w:top="459" w:right="239" w:bottom="759"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20"/>
          </w:cols>
          <w:pgMar w:left="240" w:top="459" w:right="239" w:bottom="759"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1"/>
              </w:rPr>
              <w:t>Articles of Incorporation of Schlumberger Limited (Schlumberger N.V.), as last amended on April 12, 2006 (incorporated by reference to Exhibit 3.1</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to Schlumberger’s Quarterly Report on Form 10-Q for the quarter ended March 31, 2006)</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3"/>
              </w:rPr>
              <w:t>Amended and Restated By-Laws of Schlumberger Limited (Schlumberger N.V.), as last amended on April 21, 2005 (incorporated by reference to</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Exhibit 3.1 to Schlumberger’s Current Report on Form 8-K filed on April 22, 2005)</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0"/>
              </w:rPr>
              <w:t>Indenture dated as of June 9, 2003, by and between Schlumberger Limited and Citibank, N.A., as Trustee (incorporated by reference to Exhibit 4.3 to</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Schlumberger’s Registration Statement on Form S-3 filed on September 12, 2003)</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4"/>
              </w:rPr>
              <w:t>First Supplemental Indenture dated as of June 9, 2003, by and between Schlumberger Limited and Citibank, N.A., as Trustee (incorporated by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reference to Exhibit 4.4 to Schlumberger’s Registration Statement on Form S-3 filed on September 12, 2003)</w:t>
            </w:r>
          </w:p>
        </w:tc>
        <w:tc>
          <w:tcPr>
            <w:tcW w:w="680" w:type="dxa"/>
            <w:vAlign w:val="bottom"/>
          </w:tcPr>
          <w:p>
            <w:pPr>
              <w:spacing w:after="0"/>
              <w:rPr>
                <w:sz w:val="19"/>
                <w:szCs w:val="19"/>
                <w:color w:val="auto"/>
              </w:rPr>
            </w:pP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1994 Stock Option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Limited Supplementary Benefit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Limited Restoration Savings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1998 Stock Option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2001 Stock Option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2005 Stock Incentive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1"/>
              </w:rPr>
              <w:t>Schlumberger Limited 2004 Stock and Deferral Plan for Non-Employee Directors,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Schlumberger 2008 Stock Incentive Plan, as conformed to include amendments through January 1, 2009(*)(+)</w:t>
            </w: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2"/>
              </w:rPr>
              <w:t>Form of Option Agreement, Incentive Stock Option (incorporated by reference to Exhibit 10.1 to Schlumberger’s Current Report on Form 8-K filed</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on January 19, 2006)</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2"/>
              </w:rPr>
              <w:t>Form of Option Agreement, Non-Qualified Stock Option (incorporated by reference to Exhibit 10.2 to Schlumberger’s Current Report on Form 8-K</w:t>
            </w:r>
          </w:p>
        </w:tc>
        <w:tc>
          <w:tcPr>
            <w:tcW w:w="68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filed on January 19, 2006)</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6"/>
              </w:rPr>
              <w:t>Employment Agreement dated January 18, 2007 and effective as of March 1, 2007, between Schlumberger Limited and Jean-Marc Perraud</w:t>
            </w:r>
          </w:p>
        </w:tc>
        <w:tc>
          <w:tcPr>
            <w:tcW w:w="68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(incorporated by reference to Exhibit 10.1 to Schlumberger’s Current Report on Form 8-K filed on January 22, 2007)(+)</w:t>
            </w:r>
          </w:p>
        </w:tc>
        <w:tc>
          <w:tcPr>
            <w:tcW w:w="680" w:type="dxa"/>
            <w:vAlign w:val="bottom"/>
          </w:tcPr>
          <w:p>
            <w:pPr>
              <w:spacing w:after="0"/>
              <w:rPr>
                <w:sz w:val="19"/>
                <w:szCs w:val="19"/>
                <w:color w:val="auto"/>
              </w:rPr>
            </w:pPr>
          </w:p>
        </w:tc>
      </w:tr>
      <w:tr>
        <w:trPr>
          <w:trHeight w:val="277"/>
        </w:trPr>
        <w:tc>
          <w:tcPr>
            <w:tcW w:w="10740" w:type="dxa"/>
            <w:vAlign w:val="bottom"/>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Schlumberger’s Current Report on Form 8-K filed on April 22,</w:t>
            </w:r>
          </w:p>
        </w:tc>
        <w:tc>
          <w:tcPr>
            <w:tcW w:w="68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22"/>
        </w:trPr>
        <w:tc>
          <w:tcPr>
            <w:tcW w:w="10740" w:type="dxa"/>
            <w:vAlign w:val="bottom"/>
          </w:tcPr>
          <w:p>
            <w:pPr>
              <w:ind w:left="220"/>
              <w:spacing w:after="0"/>
              <w:rPr>
                <w:sz w:val="20"/>
                <w:szCs w:val="20"/>
                <w:color w:val="auto"/>
              </w:rPr>
            </w:pPr>
            <w:r>
              <w:rPr>
                <w:rFonts w:ascii="Arial" w:cs="Arial" w:eastAsia="Arial" w:hAnsi="Arial"/>
                <w:sz w:val="18"/>
                <w:szCs w:val="18"/>
                <w:color w:val="auto"/>
              </w:rPr>
              <w:t>2005)</w:t>
            </w:r>
          </w:p>
        </w:tc>
        <w:tc>
          <w:tcPr>
            <w:tcW w:w="680" w:type="dxa"/>
            <w:vAlign w:val="bottom"/>
          </w:tcPr>
          <w:p>
            <w:pPr>
              <w:spacing w:after="0"/>
              <w:rPr>
                <w:sz w:val="19"/>
                <w:szCs w:val="19"/>
                <w:color w:val="auto"/>
              </w:rPr>
            </w:pP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Subsidiaries(*)</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107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2"/>
        </w:trPr>
        <w:tc>
          <w:tcPr>
            <w:tcW w:w="10740" w:type="dxa"/>
            <w:vAlign w:val="bottom"/>
          </w:tcPr>
          <w:p>
            <w:pPr>
              <w:ind w:left="5640"/>
              <w:spacing w:after="0"/>
              <w:rPr>
                <w:sz w:val="20"/>
                <w:szCs w:val="20"/>
                <w:color w:val="auto"/>
              </w:rPr>
            </w:pPr>
            <w:r>
              <w:rPr>
                <w:rFonts w:ascii="Arial" w:cs="Arial" w:eastAsia="Arial" w:hAnsi="Arial"/>
                <w:sz w:val="14"/>
                <w:szCs w:val="14"/>
                <w:color w:val="auto"/>
              </w:rPr>
              <w:t>76</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3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Powers of Attorney(*)</w:t>
            </w:r>
          </w:p>
        </w:tc>
        <w:tc>
          <w:tcPr>
            <w:tcW w:w="534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dated: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Philippe Camus</w:t>
            </w:r>
          </w:p>
        </w:tc>
        <w:tc>
          <w:tcPr>
            <w:tcW w:w="534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January 22, 2009</w:t>
            </w: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Jamie S. Gorelick</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Andrew Gould</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Tony Isaac</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Nikolay Kudryavtsev</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Adrian Lajous</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Michael E. Marks</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Leo Rafael Reif</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Tore I. Sandvold</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Nicolas Seydoux</w:t>
            </w:r>
          </w:p>
        </w:tc>
        <w:tc>
          <w:tcPr>
            <w:tcW w:w="5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Linda G. Stuntz</w:t>
            </w:r>
          </w:p>
        </w:tc>
        <w:tc>
          <w:tcPr>
            <w:tcW w:w="5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400" w:type="dxa"/>
            <w:vAlign w:val="bottom"/>
            <w:gridSpan w:val="2"/>
          </w:tcPr>
          <w:p>
            <w:pPr>
              <w:spacing w:after="0"/>
              <w:rPr>
                <w:sz w:val="20"/>
                <w:szCs w:val="20"/>
                <w:color w:val="auto"/>
              </w:rPr>
            </w:pPr>
            <w:r>
              <w:rPr>
                <w:rFonts w:ascii="Arial" w:cs="Arial" w:eastAsia="Arial" w:hAnsi="Arial"/>
                <w:sz w:val="18"/>
                <w:szCs w:val="18"/>
                <w:color w:val="auto"/>
              </w:rPr>
              <w:t>Additional Exhibits:</w:t>
            </w:r>
          </w:p>
        </w:tc>
        <w:tc>
          <w:tcPr>
            <w:tcW w:w="5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72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Certification of Chief Executive Officer pursuant to Rule 13a-14(a) as Adopted Pursuant to Section 302 of the Sarbanes-Oxley Act of 2002(*)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2"/>
              </w:rPr>
              <w:t>Certification of Chief Financial Officer pursuant to Rule 13a-14(a) as Adopted Pursuant to Section 302 of the Sarbanes-Oxley Act of 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72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 of</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jc w:val="right"/>
              <w:ind w:right="4092"/>
              <w:spacing w:after="0"/>
              <w:rPr>
                <w:sz w:val="20"/>
                <w:szCs w:val="20"/>
                <w:color w:val="auto"/>
              </w:rPr>
            </w:pPr>
            <w:r>
              <w:rPr>
                <w:rFonts w:ascii="Arial" w:cs="Arial" w:eastAsia="Arial" w:hAnsi="Arial"/>
                <w:sz w:val="18"/>
                <w:szCs w:val="18"/>
                <w:color w:val="auto"/>
              </w:rPr>
              <w:t>2002(*)</w:t>
            </w:r>
          </w:p>
        </w:tc>
        <w:tc>
          <w:tcPr>
            <w:tcW w:w="5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720" w:type="dxa"/>
            <w:vAlign w:val="bottom"/>
            <w:gridSpan w:val="2"/>
          </w:tcPr>
          <w:p>
            <w:pPr>
              <w:ind w:left="4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 of</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2"/>
        </w:trPr>
        <w:tc>
          <w:tcPr>
            <w:tcW w:w="5400" w:type="dxa"/>
            <w:vAlign w:val="bottom"/>
            <w:gridSpan w:val="2"/>
          </w:tcPr>
          <w:p>
            <w:pPr>
              <w:jc w:val="right"/>
              <w:ind w:right="4092"/>
              <w:spacing w:after="0"/>
              <w:rPr>
                <w:sz w:val="20"/>
                <w:szCs w:val="20"/>
                <w:color w:val="auto"/>
              </w:rPr>
            </w:pPr>
            <w:r>
              <w:rPr>
                <w:rFonts w:ascii="Arial" w:cs="Arial" w:eastAsia="Arial" w:hAnsi="Arial"/>
                <w:sz w:val="18"/>
                <w:szCs w:val="18"/>
                <w:color w:val="auto"/>
              </w:rPr>
              <w:t>2002(*)</w:t>
            </w:r>
          </w:p>
        </w:tc>
        <w:tc>
          <w:tcPr>
            <w:tcW w:w="5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physically filed with this Form 10-K report. All other exhibits are incorporated by reference.</w:t>
      </w:r>
    </w:p>
    <w:p>
      <w:pPr>
        <w:spacing w:after="0" w:line="7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1994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January 26, 1994,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conformed to include amendments through January 1, 2009)</w:t>
      </w:r>
    </w:p>
    <w:p>
      <w:pPr>
        <w:spacing w:after="0" w:line="19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25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right="100" w:firstLine="464"/>
        <w:spacing w:after="0" w:line="291"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disinterested administration of the Plan as set forth in Rule 16b-3 under the United States Securities Exchange Act of 1934 (the “Act”) as it may be amended from time to time.</w:t>
      </w:r>
    </w:p>
    <w:p>
      <w:pPr>
        <w:spacing w:after="0" w:line="120" w:lineRule="exact"/>
        <w:rPr>
          <w:rFonts w:ascii="Arial" w:cs="Arial" w:eastAsia="Arial" w:hAnsi="Arial"/>
          <w:sz w:val="16"/>
          <w:szCs w:val="16"/>
          <w:color w:val="auto"/>
        </w:rPr>
      </w:pPr>
    </w:p>
    <w:p>
      <w:pPr>
        <w:ind w:right="20" w:firstLine="464"/>
        <w:spacing w:after="0" w:line="291" w:lineRule="auto"/>
        <w:tabs>
          <w:tab w:leader="none" w:pos="702"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120" w:lineRule="exact"/>
        <w:rPr>
          <w:rFonts w:ascii="Arial" w:cs="Arial" w:eastAsia="Arial" w:hAnsi="Arial"/>
          <w:sz w:val="16"/>
          <w:szCs w:val="16"/>
          <w:color w:val="auto"/>
        </w:rPr>
      </w:pPr>
    </w:p>
    <w:p>
      <w:pPr>
        <w:ind w:right="580" w:firstLine="464"/>
        <w:spacing w:after="0" w:line="268"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ectPr>
          <w:pgSz w:w="11900" w:h="16838" w:orient="portrait"/>
          <w:cols w:equalWidth="0" w:num="1">
            <w:col w:w="11420"/>
          </w:cols>
          <w:pgMar w:left="240" w:top="125" w:right="239" w:bottom="1440" w:gutter="0" w:footer="0" w:header="0"/>
        </w:sectPr>
      </w:pPr>
    </w:p>
    <w:bookmarkStart w:id="78" w:name="page79"/>
    <w:bookmarkEnd w:id="78"/>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Stock Options</w:t>
      </w:r>
    </w:p>
    <w:p>
      <w:pPr>
        <w:spacing w:after="0" w:line="96" w:lineRule="exact"/>
        <w:rPr>
          <w:rFonts w:ascii="Arial" w:cs="Arial" w:eastAsia="Arial" w:hAnsi="Arial"/>
          <w:sz w:val="18"/>
          <w:szCs w:val="18"/>
          <w:b w:val="1"/>
          <w:bCs w:val="1"/>
          <w:color w:val="auto"/>
        </w:rPr>
      </w:pPr>
    </w:p>
    <w:p>
      <w:pPr>
        <w:ind w:right="20" w:firstLine="464"/>
        <w:spacing w:after="0" w:line="253" w:lineRule="auto"/>
        <w:tabs>
          <w:tab w:leader="none" w:pos="69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47" w:lineRule="exact"/>
        <w:rPr>
          <w:rFonts w:ascii="Arial" w:cs="Arial" w:eastAsia="Arial" w:hAnsi="Arial"/>
          <w:sz w:val="18"/>
          <w:szCs w:val="18"/>
          <w:color w:val="auto"/>
        </w:rPr>
      </w:pPr>
    </w:p>
    <w:p>
      <w:pPr>
        <w:ind w:firstLine="464"/>
        <w:spacing w:after="0" w:line="255" w:lineRule="auto"/>
        <w:tabs>
          <w:tab w:leader="none" w:pos="705"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All such Agreements shall contain a provision providing that the Stock Option shall not be exercisable unless the recipient remains in the employment of the Company or a subsidiary for a period of at least one (1) year from the date of any such Agreement, subject to the right of the Company or subsidiary to terminate such employment.</w:t>
      </w:r>
    </w:p>
    <w:p>
      <w:pPr>
        <w:spacing w:after="0" w:line="142" w:lineRule="exact"/>
        <w:rPr>
          <w:rFonts w:ascii="Arial" w:cs="Arial" w:eastAsia="Arial" w:hAnsi="Arial"/>
          <w:sz w:val="18"/>
          <w:szCs w:val="18"/>
          <w:color w:val="auto"/>
        </w:rPr>
      </w:pPr>
    </w:p>
    <w:p>
      <w:pPr>
        <w:ind w:right="160" w:firstLine="464"/>
        <w:spacing w:after="0" w:line="288" w:lineRule="auto"/>
        <w:tabs>
          <w:tab w:leader="none" w:pos="695"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 The foregoing notwithstanding, with respect to an employee whose employment is transferred directly and without interruption to a corporation, limited liability company or other entity (an “M-I Company”) pursuant to and in accordance with the terms of that certain Amended and Restated Organization Agreement and other agreements in connection therewith by and among Smith International, Inc., Schlumberger, </w:t>
      </w:r>
      <w:r>
        <w:rPr>
          <w:rFonts w:ascii="Arial" w:cs="Arial" w:eastAsia="Arial" w:hAnsi="Arial"/>
          <w:sz w:val="16"/>
          <w:szCs w:val="16"/>
          <w:i w:val="1"/>
          <w:iCs w:val="1"/>
          <w:color w:val="auto"/>
        </w:rPr>
        <w:t>et al</w:t>
      </w:r>
      <w:r>
        <w:rPr>
          <w:rFonts w:ascii="Arial" w:cs="Arial" w:eastAsia="Arial" w:hAnsi="Arial"/>
          <w:sz w:val="16"/>
          <w:szCs w:val="16"/>
          <w:color w:val="auto"/>
        </w:rPr>
        <w:t>., dated as of July 13, 1999, such employee’s employment with the Company shall include employment with an M-I Company for purposes of exercising such employee’s outstanding Stock Options as of the transfer date, and any such Stock Option shall not be affected by such employee’s subsequent transfer of employment directly and without interruption from an M-I Company to the Company or any of its subsidiaries, from the Company or any of its subsidiaries to an M-I Company or between M-I Companies.</w:t>
      </w:r>
    </w:p>
    <w:p>
      <w:pPr>
        <w:spacing w:after="0" w:line="119" w:lineRule="exact"/>
        <w:rPr>
          <w:rFonts w:ascii="Arial" w:cs="Arial" w:eastAsia="Arial" w:hAnsi="Arial"/>
          <w:sz w:val="16"/>
          <w:szCs w:val="16"/>
          <w:color w:val="auto"/>
        </w:rPr>
      </w:pPr>
    </w:p>
    <w:p>
      <w:pPr>
        <w:ind w:firstLine="464"/>
        <w:spacing w:after="0" w:line="286"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purchase price of the shares as to which a Stock Option is exercised shall be paid in full at the time of the exercise: (i) in cash or by certified check; (ii) in the discretion of the Committee, by the delivery of shares of Schlumberger Common Stock with a fair market value (as determined according to</w:t>
      </w:r>
    </w:p>
    <w:p>
      <w:pPr>
        <w:ind w:right="560"/>
        <w:spacing w:after="0" w:line="261" w:lineRule="auto"/>
        <w:rPr>
          <w:rFonts w:ascii="Arial" w:cs="Arial" w:eastAsia="Arial" w:hAnsi="Arial"/>
          <w:sz w:val="16"/>
          <w:szCs w:val="16"/>
          <w:color w:val="auto"/>
        </w:rPr>
      </w:pPr>
      <w:r>
        <w:rPr>
          <w:rFonts w:ascii="Arial" w:cs="Arial" w:eastAsia="Arial" w:hAnsi="Arial"/>
          <w:sz w:val="18"/>
          <w:szCs w:val="18"/>
          <w:color w:val="auto"/>
        </w:rPr>
        <w:t>Section 5(b) of the Plan) at the time of exercise equal to the total option price; or (iii) in the discretion of the Committee, by a combination of the methods described in (i) and (ii).</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79" w:name="page80"/>
    <w:bookmarkEnd w:id="79"/>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the Plan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Subject to adjustment as provided in Section 8 hereof, there shall be subject to the Plan 10,000,000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 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23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96"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26, 2004.</w:t>
      </w:r>
    </w:p>
    <w:p>
      <w:pPr>
        <w:spacing w:after="0" w:line="118" w:lineRule="exact"/>
        <w:rPr>
          <w:rFonts w:ascii="Arial" w:cs="Arial" w:eastAsia="Arial" w:hAnsi="Arial"/>
          <w:sz w:val="16"/>
          <w:szCs w:val="16"/>
          <w:color w:val="auto"/>
        </w:rPr>
      </w:pPr>
    </w:p>
    <w:p>
      <w:pPr>
        <w:ind w:firstLine="464"/>
        <w:spacing w:after="0" w:line="253"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w:t>
      </w:r>
    </w:p>
    <w:p>
      <w:pPr>
        <w:spacing w:after="0" w:line="147" w:lineRule="exact"/>
        <w:rPr>
          <w:rFonts w:ascii="Arial" w:cs="Arial" w:eastAsia="Arial" w:hAnsi="Arial"/>
          <w:sz w:val="18"/>
          <w:szCs w:val="18"/>
          <w:color w:val="auto"/>
        </w:rPr>
      </w:pPr>
    </w:p>
    <w:p>
      <w:pPr>
        <w:ind w:right="60" w:firstLine="464"/>
        <w:spacing w:after="0" w:line="318" w:lineRule="auto"/>
        <w:tabs>
          <w:tab w:leader="none" w:pos="695" w:val="left"/>
        </w:tabs>
        <w:numPr>
          <w:ilvl w:val="1"/>
          <w:numId w:val="49"/>
        </w:numPr>
        <w:rPr>
          <w:rFonts w:ascii="Arial" w:cs="Arial" w:eastAsia="Arial" w:hAnsi="Arial"/>
          <w:sz w:val="15"/>
          <w:szCs w:val="15"/>
          <w:color w:val="auto"/>
        </w:rPr>
      </w:pPr>
      <w:r>
        <w:rPr>
          <w:rFonts w:ascii="Arial" w:cs="Arial" w:eastAsia="Arial" w:hAnsi="Arial"/>
          <w:sz w:val="15"/>
          <w:szCs w:val="15"/>
          <w:color w:val="auto"/>
        </w:rPr>
        <w:t>(i) Each Stock Option granted hereunder shall be exercisable in one or more installments (annual or other) on such date or dates as the Committee may in its sole discretion determine, and the terms of such exercise shall be set forth in the Stock Option Agreement covering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 For the avoidance of doubt, in no event shall the provisions of this Section 5(c)(i) apply to any Stock Option held by an optionee whose employment terminated due to death or disability prior to January 17, 2008.</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0" w:name="page81"/>
    <w:bookmarkEnd w:id="80"/>
    <w:p>
      <w:pPr>
        <w:ind w:right="240" w:firstLine="443"/>
        <w:spacing w:after="0" w:line="332" w:lineRule="auto"/>
        <w:tabs>
          <w:tab w:leader="none" w:pos="697"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4" w:lineRule="exact"/>
        <w:rPr>
          <w:rFonts w:ascii="Arial" w:cs="Arial" w:eastAsia="Arial" w:hAnsi="Arial"/>
          <w:sz w:val="16"/>
          <w:szCs w:val="16"/>
          <w:color w:val="auto"/>
        </w:rPr>
      </w:pPr>
    </w:p>
    <w:p>
      <w:pPr>
        <w:ind w:right="60" w:firstLine="443"/>
        <w:spacing w:after="0" w:line="268" w:lineRule="auto"/>
        <w:tabs>
          <w:tab w:leader="none" w:pos="7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any time after the granting of any such Stock Option, the Committee may accelerate the installment exercise dates (subject, however, to any applicable limitations concerning options designated “incentive stock options”).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60" w:firstLine="421"/>
        <w:spacing w:after="0" w:line="298" w:lineRule="auto"/>
        <w:tabs>
          <w:tab w:leader="none" w:pos="1167"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provided that such option may be exercised before expiration and within such three-month period only to the extent it was exercisable on the date of such termination.</w:t>
      </w:r>
    </w:p>
    <w:p>
      <w:pPr>
        <w:spacing w:after="0" w:line="31" w:lineRule="exact"/>
        <w:rPr>
          <w:rFonts w:ascii="Arial" w:cs="Arial" w:eastAsia="Arial" w:hAnsi="Arial"/>
          <w:sz w:val="16"/>
          <w:szCs w:val="16"/>
          <w:color w:val="auto"/>
        </w:rPr>
      </w:pPr>
    </w:p>
    <w:p>
      <w:pPr>
        <w:ind w:left="460" w:firstLine="421"/>
        <w:spacing w:after="0" w:line="294" w:lineRule="auto"/>
        <w:tabs>
          <w:tab w:leader="none" w:pos="1158"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be a period commencing on the date of death and ending (i) for Stock Options granted on or after October 19, 1994, sixty (60) months after the date of death or the remainder of the Option Period, whichever is less, and (ii) for all other Stock Options, twelve (12) months after the date of death or the remainder of the Option Period, whichever is less.</w:t>
      </w:r>
    </w:p>
    <w:p>
      <w:pPr>
        <w:spacing w:after="0" w:line="34" w:lineRule="exact"/>
        <w:rPr>
          <w:rFonts w:ascii="Arial" w:cs="Arial" w:eastAsia="Arial" w:hAnsi="Arial"/>
          <w:sz w:val="16"/>
          <w:szCs w:val="16"/>
          <w:color w:val="auto"/>
        </w:rPr>
      </w:pPr>
    </w:p>
    <w:p>
      <w:pPr>
        <w:ind w:left="460" w:firstLine="421"/>
        <w:spacing w:after="0" w:line="290" w:lineRule="auto"/>
        <w:tabs>
          <w:tab w:leader="none" w:pos="1158"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be a period commencing on the date of the optionee’s termination of employment and ending (i) for Stock Options granted on or after October 19, 1994, sixty (60) months after the date of termination of employment or the remainder of the Option Period, whichever is less, and (ii) for all other Stock Options, twelve (12) months after the date of death or the remainder of the Option Period, whichever is less.</w:t>
      </w:r>
    </w:p>
    <w:p>
      <w:pPr>
        <w:spacing w:after="0" w:line="10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700" w:top="280" w:right="339" w:bottom="1440" w:gutter="0" w:footer="0" w:header="0"/>
        </w:sectPr>
      </w:pPr>
    </w:p>
    <w:bookmarkStart w:id="81" w:name="page82"/>
    <w:bookmarkEnd w:id="81"/>
    <w:p>
      <w:pPr>
        <w:jc w:val="both"/>
        <w:ind w:left="460" w:right="140" w:firstLine="421"/>
        <w:spacing w:after="0" w:line="256" w:lineRule="auto"/>
        <w:tabs>
          <w:tab w:leader="none" w:pos="1167"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62" w:lineRule="exact"/>
        <w:rPr>
          <w:rFonts w:ascii="Arial" w:cs="Arial" w:eastAsia="Arial" w:hAnsi="Arial"/>
          <w:sz w:val="18"/>
          <w:szCs w:val="18"/>
          <w:color w:val="auto"/>
        </w:rPr>
      </w:pPr>
    </w:p>
    <w:p>
      <w:pPr>
        <w:ind w:left="460" w:firstLine="421"/>
        <w:spacing w:after="0" w:line="285" w:lineRule="auto"/>
        <w:tabs>
          <w:tab w:leader="none" w:pos="11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following termination of employment for any reason other than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5(c)(iv) apply to any Stock Option held by an optionee whose employment terminated due to death or disability prior to January 17, 2008.</w:t>
      </w:r>
    </w:p>
    <w:p>
      <w:pPr>
        <w:spacing w:after="0" w:line="51" w:lineRule="exact"/>
        <w:rPr>
          <w:sz w:val="20"/>
          <w:szCs w:val="20"/>
          <w:color w:val="auto"/>
        </w:rPr>
      </w:pPr>
    </w:p>
    <w:p>
      <w:pPr>
        <w:ind w:left="700" w:hanging="25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20" w:firstLine="421"/>
        <w:spacing w:after="0" w:line="298" w:lineRule="auto"/>
        <w:tabs>
          <w:tab w:leader="none" w:pos="1167" w:val="left"/>
        </w:tabs>
        <w:numPr>
          <w:ilvl w:val="1"/>
          <w:numId w:val="52"/>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82" w:name="page83"/>
    <w:bookmarkEnd w:id="82"/>
    <w:p>
      <w:pPr>
        <w:ind w:left="460" w:right="60" w:firstLine="421"/>
        <w:spacing w:after="0" w:line="283" w:lineRule="auto"/>
        <w:tabs>
          <w:tab w:leader="none" w:pos="1158" w:val="left"/>
        </w:tabs>
        <w:numPr>
          <w:ilvl w:val="1"/>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w:t>
      </w:r>
    </w:p>
    <w:p>
      <w:pPr>
        <w:spacing w:after="0" w:line="2" w:lineRule="exact"/>
        <w:rPr>
          <w:rFonts w:ascii="Arial" w:cs="Arial" w:eastAsia="Arial" w:hAnsi="Arial"/>
          <w:sz w:val="16"/>
          <w:szCs w:val="16"/>
          <w:color w:val="auto"/>
        </w:rPr>
      </w:pPr>
    </w:p>
    <w:p>
      <w:pPr>
        <w:ind w:left="460" w:right="40" w:firstLine="1"/>
        <w:spacing w:after="0" w:line="254" w:lineRule="auto"/>
        <w:tabs>
          <w:tab w:leader="none" w:pos="7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62" w:lineRule="exact"/>
        <w:rPr>
          <w:rFonts w:ascii="Arial" w:cs="Arial" w:eastAsia="Arial" w:hAnsi="Arial"/>
          <w:sz w:val="18"/>
          <w:szCs w:val="18"/>
          <w:color w:val="auto"/>
        </w:rPr>
      </w:pPr>
    </w:p>
    <w:p>
      <w:pPr>
        <w:jc w:val="both"/>
        <w:ind w:left="460" w:right="60" w:firstLine="421"/>
        <w:spacing w:after="0" w:line="256" w:lineRule="auto"/>
        <w:tabs>
          <w:tab w:leader="none" w:pos="11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62" w:lineRule="exact"/>
        <w:rPr>
          <w:rFonts w:ascii="Arial" w:cs="Arial" w:eastAsia="Arial" w:hAnsi="Arial"/>
          <w:sz w:val="18"/>
          <w:szCs w:val="18"/>
          <w:color w:val="auto"/>
        </w:rPr>
      </w:pPr>
    </w:p>
    <w:p>
      <w:pPr>
        <w:ind w:left="460" w:firstLine="421"/>
        <w:spacing w:after="0" w:line="289" w:lineRule="auto"/>
        <w:tabs>
          <w:tab w:leader="none" w:pos="1167" w:val="left"/>
        </w:tabs>
        <w:numPr>
          <w:ilvl w:val="1"/>
          <w:numId w:val="54"/>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5(c)(iv)(E)) within five years after termination of employment by reason of retirement, the Committee, in its discretion, may cause the optionee’s right to exercise such option to be forfeited. Such forfeiture may occur at any time after the Committee determines that the optionee has engaged in detrimental activity and prior to the actual delivery of all shares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the Committee, in its discretion, may rescind any option exercise made within the period commencing six months preceding the date of the optionee’s termination of employment by retirement and ending one year following such termination.</w:t>
      </w:r>
    </w:p>
    <w:p>
      <w:pPr>
        <w:spacing w:after="0" w:line="3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5(c)(v) apply to any Stock Option held by an optionee whose employment terminated due to death or disability prior to January 17, 2008.</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83" w:name="page84"/>
    <w:bookmarkEnd w:id="83"/>
    <w:p>
      <w:pPr>
        <w:ind w:left="460" w:right="320" w:firstLine="443"/>
        <w:spacing w:after="0" w:line="268" w:lineRule="auto"/>
        <w:tabs>
          <w:tab w:leader="none" w:pos="1196" w:val="left"/>
        </w:tabs>
        <w:numPr>
          <w:ilvl w:val="2"/>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the other provisions of this paragraph (c), in no event may a Stock Option be exercised after the expiration of ten (10) years from the date such Stock Option is granted.</w:t>
      </w:r>
    </w:p>
    <w:p>
      <w:pPr>
        <w:spacing w:after="0" w:line="131" w:lineRule="exact"/>
        <w:rPr>
          <w:rFonts w:ascii="Arial" w:cs="Arial" w:eastAsia="Arial" w:hAnsi="Arial"/>
          <w:sz w:val="18"/>
          <w:szCs w:val="18"/>
          <w:color w:val="auto"/>
        </w:rPr>
      </w:pPr>
    </w:p>
    <w:p>
      <w:pPr>
        <w:ind w:firstLine="464"/>
        <w:spacing w:after="0" w:line="298"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Committee shall designate whether a Stock Option is to be an “incentive stock option” for purposes of Section 422 of the Code.</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Stock Options granted under the Plan shall not be assignable or otherwise transferable by the recipient except by will or the laws of descent and</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23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in the discretion of the Committee, may elect to satisfy all or any portion of the United States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258"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96" w:lineRule="exact"/>
        <w:rPr>
          <w:rFonts w:ascii="Arial" w:cs="Arial" w:eastAsia="Arial" w:hAnsi="Arial"/>
          <w:sz w:val="18"/>
          <w:szCs w:val="18"/>
          <w:b w:val="1"/>
          <w:bCs w:val="1"/>
          <w:color w:val="auto"/>
        </w:rPr>
      </w:pPr>
    </w:p>
    <w:p>
      <w:pPr>
        <w:ind w:right="80" w:firstLine="464"/>
        <w:spacing w:after="0" w:line="255" w:lineRule="auto"/>
        <w:tabs>
          <w:tab w:leader="none" w:pos="6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84" w:name="page85"/>
    <w:bookmarkEnd w:id="84"/>
    <w:p>
      <w:pPr>
        <w:ind w:firstLine="464"/>
        <w:spacing w:after="0" w:line="256"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43" w:lineRule="exact"/>
        <w:rPr>
          <w:rFonts w:ascii="Arial" w:cs="Arial" w:eastAsia="Arial" w:hAnsi="Arial"/>
          <w:sz w:val="18"/>
          <w:szCs w:val="18"/>
          <w:color w:val="auto"/>
        </w:rPr>
      </w:pPr>
    </w:p>
    <w:p>
      <w:pPr>
        <w:ind w:right="60" w:firstLine="464"/>
        <w:spacing w:after="0" w:line="318" w:lineRule="auto"/>
        <w:tabs>
          <w:tab w:leader="none" w:pos="695"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18" w:lineRule="exact"/>
        <w:rPr>
          <w:rFonts w:ascii="Arial" w:cs="Arial" w:eastAsia="Arial" w:hAnsi="Arial"/>
          <w:sz w:val="15"/>
          <w:szCs w:val="15"/>
          <w:color w:val="auto"/>
        </w:rPr>
      </w:pPr>
    </w:p>
    <w:p>
      <w:pPr>
        <w:ind w:left="460" w:right="20" w:firstLine="443"/>
        <w:spacing w:after="0" w:line="268" w:lineRule="auto"/>
        <w:tabs>
          <w:tab w:leader="none" w:pos="110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57"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spacing w:after="0" w:line="131" w:lineRule="exact"/>
        <w:rPr>
          <w:rFonts w:ascii="Arial" w:cs="Arial" w:eastAsia="Arial" w:hAnsi="Arial"/>
          <w:sz w:val="18"/>
          <w:szCs w:val="18"/>
          <w:color w:val="auto"/>
        </w:rPr>
      </w:pPr>
    </w:p>
    <w:p>
      <w:pPr>
        <w:ind w:right="60" w:firstLine="464"/>
        <w:spacing w:after="0" w:line="28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5" w:name="page86"/>
    <w:bookmarkEnd w:id="85"/>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under Securities Act of 1933 and Exchange Listing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256"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Returns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25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Plan shall be effective January 26, 1994, subject to approval within twelve (12) months from the effective date by the holders of a majority of the votes cast at a meeting. For this purpose, abstentions are counted as votes against. In the event the Plan is not so approved, the Plan shall automatically terminate and be of no further force or effect. No Stock Options shall be granted pursuant to this Plan after January 25, 2004.</w:t>
      </w:r>
    </w:p>
    <w:p>
      <w:pPr>
        <w:spacing w:after="0" w:line="222"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Board of Directors may amend, alter or discontinue the Plan at any time insofar as permitted by law, but no amendment or alteration shall be made without the approval of the stockholders:</w:t>
      </w:r>
    </w:p>
    <w:p>
      <w:pPr>
        <w:spacing w:after="0" w:line="132" w:lineRule="exact"/>
        <w:rPr>
          <w:sz w:val="20"/>
          <w:szCs w:val="20"/>
          <w:color w:val="auto"/>
        </w:rPr>
      </w:pPr>
    </w:p>
    <w:p>
      <w:pPr>
        <w:ind w:right="80" w:firstLine="464"/>
        <w:spacing w:after="0" w:line="268" w:lineRule="auto"/>
        <w:tabs>
          <w:tab w:leader="none" w:pos="6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to the extent such amendment is required to be approved by stockholders to continue the exemption provided for in Rule 16b-3 (or any successor provision) under the Securities Exchange Act of 1934; or</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and to the extent such amendment requires stockholder approval under Section 422 of the Code (or any successor provision).</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248"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Notwithstanding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SUPPLEMENTARY BENEFIT PLAN</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Amended and Restated Effective January 1, 1995,</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and conformed to include amendments through January 1, 2009)</w:t>
      </w:r>
    </w:p>
    <w:p>
      <w:pPr>
        <w:sectPr>
          <w:pgSz w:w="11900" w:h="16838" w:orient="portrait"/>
          <w:cols w:equalWidth="0" w:num="1">
            <w:col w:w="10220"/>
          </w:cols>
          <w:pgMar w:left="14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BENEFIT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January 1, 1995,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conformed to include amendments through January 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3"/>
            <w:vMerge w:val="restart"/>
          </w:tcPr>
          <w:p>
            <w:pPr>
              <w:spacing w:after="0"/>
              <w:rPr>
                <w:sz w:val="20"/>
                <w:szCs w:val="20"/>
                <w:color w:val="auto"/>
              </w:rPr>
            </w:pPr>
            <w:r>
              <w:rPr>
                <w:rFonts w:ascii="Arial" w:cs="Arial" w:eastAsia="Arial" w:hAnsi="Arial"/>
                <w:sz w:val="18"/>
                <w:szCs w:val="18"/>
                <w:color w:val="auto"/>
              </w:rPr>
              <w:t>ARTICLE I  DEFINITIONS AND CONSTRUCTION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3"/>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Gender and Number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Severability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Applicable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Plan Not an Employment Contract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Source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Tax 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ARTICLE II</w:t>
            </w:r>
          </w:p>
        </w:tc>
        <w:tc>
          <w:tcPr>
            <w:tcW w:w="10080" w:type="dxa"/>
            <w:vAlign w:val="bottom"/>
          </w:tcPr>
          <w:p>
            <w:pPr>
              <w:ind w:left="20"/>
              <w:spacing w:after="0"/>
              <w:rPr>
                <w:sz w:val="20"/>
                <w:szCs w:val="20"/>
                <w:color w:val="auto"/>
              </w:rPr>
            </w:pPr>
            <w:r>
              <w:rPr>
                <w:rFonts w:ascii="Arial" w:cs="Arial" w:eastAsia="Arial" w:hAnsi="Arial"/>
                <w:sz w:val="18"/>
                <w:szCs w:val="18"/>
                <w:color w:val="auto"/>
              </w:rPr>
              <w:t>PARTICIPATION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ARTICLE III  PROGRAM A: RESTORATION OF BENEFITS REDUCED BY CODE SECTION 401(a)(17)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Purpose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Calculation of Restoration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ARTICLE IV</w:t>
            </w:r>
          </w:p>
        </w:tc>
        <w:tc>
          <w:tcPr>
            <w:tcW w:w="10080" w:type="dxa"/>
            <w:vAlign w:val="bottom"/>
          </w:tcPr>
          <w:p>
            <w:pPr>
              <w:ind w:left="80"/>
              <w:spacing w:after="0"/>
              <w:rPr>
                <w:sz w:val="20"/>
                <w:szCs w:val="20"/>
                <w:color w:val="auto"/>
              </w:rPr>
            </w:pPr>
            <w:r>
              <w:rPr>
                <w:rFonts w:ascii="Arial" w:cs="Arial" w:eastAsia="Arial" w:hAnsi="Arial"/>
                <w:sz w:val="18"/>
                <w:szCs w:val="18"/>
                <w:color w:val="auto"/>
              </w:rPr>
              <w:t>PROGRAM B: RESTORATION OF BENEFITS REDUCED BY CODE SECTION 415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Purpose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Eligibility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Calculation of Restoration Benefit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11140" w:type="dxa"/>
            <w:vAlign w:val="bottom"/>
            <w:gridSpan w:val="3"/>
          </w:tcPr>
          <w:p>
            <w:pPr>
              <w:spacing w:after="0"/>
              <w:rPr>
                <w:sz w:val="20"/>
                <w:szCs w:val="20"/>
                <w:color w:val="auto"/>
              </w:rPr>
            </w:pPr>
            <w:r>
              <w:rPr>
                <w:rFonts w:ascii="Arial" w:cs="Arial" w:eastAsia="Arial" w:hAnsi="Arial"/>
                <w:sz w:val="18"/>
                <w:szCs w:val="18"/>
                <w:color w:val="auto"/>
              </w:rPr>
              <w:t>ARTICLE V  VESTING AND FORM OF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Vesting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Defined Contribution Plan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Defined Benefit Plan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Non-Duplication of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STC Plan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ARTICLE VI</w:t>
            </w:r>
          </w:p>
        </w:tc>
        <w:tc>
          <w:tcPr>
            <w:tcW w:w="10080" w:type="dxa"/>
            <w:vAlign w:val="bottom"/>
          </w:tcPr>
          <w:p>
            <w:pPr>
              <w:ind w:left="80"/>
              <w:spacing w:after="0"/>
              <w:rPr>
                <w:sz w:val="20"/>
                <w:szCs w:val="20"/>
                <w:color w:val="auto"/>
              </w:rPr>
            </w:pPr>
            <w:r>
              <w:rPr>
                <w:rFonts w:ascii="Arial" w:cs="Arial" w:eastAsia="Arial" w:hAnsi="Arial"/>
                <w:sz w:val="18"/>
                <w:szCs w:val="18"/>
                <w:color w:val="auto"/>
              </w:rPr>
              <w:t>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Administration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Non-Alienation of Benefits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060" w:type="dxa"/>
            <w:vAlign w:val="bottom"/>
            <w:gridSpan w:val="2"/>
          </w:tcPr>
          <w:p>
            <w:pPr>
              <w:spacing w:after="0"/>
              <w:rPr>
                <w:sz w:val="20"/>
                <w:szCs w:val="20"/>
                <w:color w:val="auto"/>
              </w:rPr>
            </w:pPr>
            <w:r>
              <w:rPr>
                <w:rFonts w:ascii="Arial" w:cs="Arial" w:eastAsia="Arial" w:hAnsi="Arial"/>
                <w:sz w:val="18"/>
                <w:szCs w:val="18"/>
                <w:color w:val="auto"/>
              </w:rPr>
              <w:t>ARTICLE VII</w:t>
            </w:r>
          </w:p>
        </w:tc>
        <w:tc>
          <w:tcPr>
            <w:tcW w:w="10080" w:type="dxa"/>
            <w:vAlign w:val="bottom"/>
          </w:tcPr>
          <w:p>
            <w:pPr>
              <w:ind w:left="140"/>
              <w:spacing w:after="0"/>
              <w:rPr>
                <w:sz w:val="20"/>
                <w:szCs w:val="20"/>
                <w:color w:val="auto"/>
              </w:rPr>
            </w:pPr>
            <w:r>
              <w:rPr>
                <w:rFonts w:ascii="Arial" w:cs="Arial" w:eastAsia="Arial" w:hAnsi="Arial"/>
                <w:sz w:val="18"/>
                <w:szCs w:val="18"/>
                <w:color w:val="auto"/>
              </w:rPr>
              <w:t>MERGER, 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Merger, Consolidation or Acquisition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Amendment and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360" w:type="dxa"/>
            <w:vAlign w:val="bottom"/>
            <w:gridSpan w:val="2"/>
          </w:tcPr>
          <w:p>
            <w:pPr>
              <w:ind w:left="100"/>
              <w:spacing w:after="0"/>
              <w:rPr>
                <w:sz w:val="20"/>
                <w:szCs w:val="20"/>
                <w:color w:val="auto"/>
              </w:rPr>
            </w:pPr>
            <w:r>
              <w:rPr>
                <w:rFonts w:ascii="Arial" w:cs="Arial" w:eastAsia="Arial" w:hAnsi="Arial"/>
                <w:sz w:val="18"/>
                <w:szCs w:val="18"/>
                <w:color w:val="auto"/>
              </w:rPr>
              <w:t>Participating Affiliates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SUPPLEMENTARY BENEFIT PLAN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Amended and Restated Effective January 1, 1995,</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 conformed to include amendments through January 1, 2009)</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PREAMBLE</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Schlumberger Limited (Schlumberger N.V.), a Netherlands Antilles corporation (the “Company”), established an unfunded deferred compensation plan known as the Schlumberger Limited Supplementary Benefit Plan, effective as of January 1, 1981, and thereafter amended and restated such plan effective January 1, 1990. The amended and restated plan, as amended by the First Amendment thereto, is referred to herein as the “Prior Plan.” The purpose of the Prior Plan was to restore to eligible key employees of the Company and its participating subsidiaries and affiliated companies the amount of benefits which they are unable to receive under the Qualified Plans as a result of the Code Section 401(a)(17) Limitations, which limit the annual compensation that may be taken into account in computing benefits under the Qualified Plans, and by the Code Section 415 Limitations, which limit benefits and contributions under the Qualified Plans. Effective as of January 1, 1995, the Company hereby amends and restates the Prior Plan to (i) reflect the withdrawal of Schlumberger Technology Corporation and its subsidiaries as employers under the Prior Plan, (ii) reflect that all STC Plan Benefits (as herein defined) will be paid pursuant to the Schlumberger Technology Corporation Supplementary Benefit Plan, as established effective as of January 1, 1995, and (iii) incorporate the First Amendment to the Prior Plan (the “Plan”).</w:t>
      </w:r>
    </w:p>
    <w:p>
      <w:pPr>
        <w:spacing w:after="0" w:line="1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Program A of the Plan, set forth in Article III below, is intended to qualify for the exemptions provided under Title I of ERISA for plans that are not tax-qualified and that are maintained primarily to provide deferred compensation for a select group of management or highly compensated employees. Program B of the Plan, set forth in Article IV below, is intended to qualify for the exemptions provided under Title I of ERISA for plans that are excess benefit plans.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274" w:right="35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Schlumberger Limited hereby amends and restates the Prior Plan, effective as of January 1, 1995, to read as follows: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DEFINITIONS AND CONSTRUCTION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Definitions</w:t>
      </w:r>
      <w:r>
        <w:rPr>
          <w:rFonts w:ascii="Arial" w:cs="Arial" w:eastAsia="Arial" w:hAnsi="Arial"/>
          <w:sz w:val="15"/>
          <w:szCs w:val="15"/>
          <w:color w:val="auto"/>
        </w:rPr>
        <w:t>: Except as otherwise indicated, the terms used in this Plan shall have the same meaning as they have under the applicable Qualified Plans.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the following definitions shall apply:</w:t>
      </w:r>
    </w:p>
    <w:p>
      <w:pPr>
        <w:spacing w:after="0" w:line="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Committee</w:t>
      </w:r>
      <w:r>
        <w:rPr>
          <w:rFonts w:ascii="Arial" w:cs="Arial" w:eastAsia="Arial" w:hAnsi="Arial"/>
          <w:sz w:val="18"/>
          <w:szCs w:val="18"/>
          <w:color w:val="auto"/>
        </w:rPr>
        <w:t>” shall mean the Administrative Committee of the Schlumberger Limited Pension Plan.</w:t>
      </w:r>
    </w:p>
    <w:p>
      <w:pPr>
        <w:spacing w:after="0" w:line="90"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in which the shares owned or controlled directly or indirectly by Schlumberger Limited shall represent 50% or more of the voting power of the issued and outstanding capital stock of such corporation. In addition to the above, the term “Affiliate” shall include any corporation or other trade or business which, together with Schlumberger Limited, is “under common control” within the meaning of Code Section 414(b) or (c) as defined in Code Section 1563(a)(1) and modified by Code Section 415(h). Notwithstanding the foregoing, the term “Affiliate” shall not include Schlumberger Technology Corporation, a Texas corporation, or any subsidiary of Schlumberger Technology Corporation.</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Schlumberger Limited.</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90" w:name="page91"/>
    <w:bookmarkEnd w:id="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 Section 401(a)(17) Limitations</w:t>
      </w:r>
      <w:r>
        <w:rPr>
          <w:rFonts w:ascii="Arial" w:cs="Arial" w:eastAsia="Arial" w:hAnsi="Arial"/>
          <w:sz w:val="18"/>
          <w:szCs w:val="18"/>
          <w:color w:val="auto"/>
        </w:rPr>
        <w:t>” shall mean the limitations imposed by Code Section 401(a)(17).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 Section 415 Limitations</w:t>
      </w:r>
      <w:r>
        <w:rPr>
          <w:rFonts w:ascii="Arial" w:cs="Arial" w:eastAsia="Arial" w:hAnsi="Arial"/>
          <w:sz w:val="16"/>
          <w:szCs w:val="16"/>
          <w:color w:val="auto"/>
        </w:rPr>
        <w:t>” shall mean the limitations imposed by Code Section 415 without regard to Code Section 415(c)(1)(B).</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Schlumberger Limited (Schlumberger N.V.), a Netherlands Antilles corporation.</w:t>
      </w:r>
    </w:p>
    <w:p>
      <w:pPr>
        <w:spacing w:after="0" w:line="90"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shall mean any person who is employed by and carried on the payroll of an Employer and who meets the requirements for participation in a Qualified Defined Benefit Plan or Qualified Defined Contribution Plan maintained by an Employer.</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shall mean the Company and any Affiliate which meets the definition of an Employer in the applicable Qualified Plan.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90" w:lineRule="exact"/>
        <w:rPr>
          <w:sz w:val="20"/>
          <w:szCs w:val="20"/>
          <w:color w:val="auto"/>
        </w:rPr>
      </w:pPr>
    </w:p>
    <w:p>
      <w:pPr>
        <w:ind w:right="6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 participant in a Qualified Defined Contribution Plan or a Qualified Defined Benefit Plan of the Company or any Affiliate.</w:t>
      </w:r>
    </w:p>
    <w:p>
      <w:pPr>
        <w:spacing w:after="0" w:line="39"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the Schlumberger Limited Supplementary Benefit Plan, as amended and restated effective January 1, 1995 and set forth herein, and as amended from time to time.</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700" w:top="274" w:right="299" w:bottom="1440" w:gutter="0" w:footer="0" w:header="0"/>
        </w:sectPr>
      </w:pPr>
    </w:p>
    <w:bookmarkStart w:id="91" w:name="page92"/>
    <w:bookmarkEnd w:id="9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Prior Plan</w:t>
      </w:r>
      <w:r>
        <w:rPr>
          <w:rFonts w:ascii="Arial" w:cs="Arial" w:eastAsia="Arial" w:hAnsi="Arial"/>
          <w:sz w:val="16"/>
          <w:szCs w:val="16"/>
          <w:color w:val="auto"/>
        </w:rPr>
        <w:t>” shall mean the Schlumberger Limited Supplementary Benefit Plan, effective as of January 1, 1990, as thereafter amended.</w:t>
      </w:r>
    </w:p>
    <w:p>
      <w:pPr>
        <w:spacing w:after="0" w:line="113" w:lineRule="exact"/>
        <w:rPr>
          <w:sz w:val="20"/>
          <w:szCs w:val="20"/>
          <w:color w:val="auto"/>
        </w:rPr>
      </w:pPr>
    </w:p>
    <w:p>
      <w:pPr>
        <w:ind w:right="8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Defined Benefit Plans</w:t>
      </w:r>
      <w:r>
        <w:rPr>
          <w:rFonts w:ascii="Arial" w:cs="Arial" w:eastAsia="Arial" w:hAnsi="Arial"/>
          <w:sz w:val="18"/>
          <w:szCs w:val="18"/>
          <w:color w:val="auto"/>
        </w:rPr>
        <w:t>” shall mean the defined benefit plans of the Company and its Affiliates which are intended to meet the requirements of ERISA and of Code Sections 401(a) and 501(a).</w:t>
      </w:r>
    </w:p>
    <w:p>
      <w:pPr>
        <w:spacing w:after="0" w:line="39"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Defined Contribution Plans</w:t>
      </w:r>
      <w:r>
        <w:rPr>
          <w:rFonts w:ascii="Arial" w:cs="Arial" w:eastAsia="Arial" w:hAnsi="Arial"/>
          <w:sz w:val="18"/>
          <w:szCs w:val="18"/>
          <w:color w:val="auto"/>
        </w:rPr>
        <w:t>” shall mean the profit-sharing plans of the Company and its Affiliates which are intended to meet the requirements of ERISA and of Code Sections 401(a) and 501(a); provided, however, that the term “Qualified Defined Contribution Plan” shall only include the portion of such a profit-sharing plan that provides for discretionary employer contributions and shall not include any portion of such a profit-sharing plan that is subject to Code Section 401(k) or 401(m).</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Plans</w:t>
      </w:r>
      <w:r>
        <w:rPr>
          <w:rFonts w:ascii="Arial" w:cs="Arial" w:eastAsia="Arial" w:hAnsi="Arial"/>
          <w:sz w:val="18"/>
          <w:szCs w:val="18"/>
          <w:color w:val="auto"/>
        </w:rPr>
        <w:t>” shall mean the Qualified Defined Contribution Plans and Qualified Defined Benefit Plans.</w:t>
      </w:r>
    </w:p>
    <w:p>
      <w:pPr>
        <w:spacing w:after="0" w:line="90"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STC Plan</w:t>
      </w:r>
      <w:r>
        <w:rPr>
          <w:rFonts w:ascii="Arial" w:cs="Arial" w:eastAsia="Arial" w:hAnsi="Arial"/>
          <w:sz w:val="18"/>
          <w:szCs w:val="18"/>
          <w:color w:val="auto"/>
        </w:rPr>
        <w:t>” shall mean the Schlumberger Technology Corporation Supplementary Benefit Plan, as established effective January 1, 1995 and as thereafter amended from time to time.</w:t>
      </w:r>
    </w:p>
    <w:p>
      <w:pPr>
        <w:spacing w:after="0" w:line="39" w:lineRule="exact"/>
        <w:rPr>
          <w:sz w:val="20"/>
          <w:szCs w:val="20"/>
          <w:color w:val="auto"/>
        </w:rPr>
      </w:pPr>
    </w:p>
    <w:p>
      <w:pPr>
        <w:ind w:right="20" w:firstLine="438"/>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STC Plan Benefit</w:t>
      </w:r>
      <w:r>
        <w:rPr>
          <w:rFonts w:ascii="Arial" w:cs="Arial" w:eastAsia="Arial" w:hAnsi="Arial"/>
          <w:sz w:val="15"/>
          <w:szCs w:val="15"/>
          <w:color w:val="auto"/>
        </w:rPr>
        <w:t>” shall mean any benefit accrued pursuant to Section 3.3 or 4.3 of the Prior Plan and unpaid as of January 1, 1995, to the extent calculated with reference to any Qualified Plan thereunder sponsored or contributed to by Schlumberger Technology Corporation or any subsidiary thereof.</w:t>
      </w:r>
    </w:p>
    <w:p>
      <w:pPr>
        <w:spacing w:after="0" w:line="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92" w:name="page93"/>
    <w:bookmarkEnd w:id="9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indicated by the context, any masculine pronoun when used in the Plan shall refer to either male or female Participants, and the definition of any term in the singular shall also include the plural.</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the Plan shall be held invalid or illegal for any reason, any illegality or invalidity shall not affect the remaining parts of the Plan, but the Plan shall be construed and enforced as if the illegal or invalid provision had never been inserted, and the Company shall have the privilege and opportunity to correct and remedy questions of illegality or invalidity by amendment as provided in the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shall be governed and construed in accordance with the laws of the State of New York.</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Plan Not an Employment Contract</w:t>
      </w:r>
      <w:r>
        <w:rPr>
          <w:rFonts w:ascii="Arial" w:cs="Arial" w:eastAsia="Arial" w:hAnsi="Arial"/>
          <w:sz w:val="18"/>
          <w:szCs w:val="18"/>
          <w:color w:val="auto"/>
        </w:rPr>
        <w:t>: The Plan is not an employment contract. The receipt of benefits under the Plan does not give to any person the right to be continued in employment by the Company or an Affiliate, and all Employees remain subject to change of salary, transfer, change of job, discipline, layoff, discharge (with or without cause), or any other change of employment status.</w:t>
      </w:r>
    </w:p>
    <w:p>
      <w:pPr>
        <w:spacing w:after="0" w:line="140"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Source of Payment</w:t>
      </w:r>
      <w:r>
        <w:rPr>
          <w:rFonts w:ascii="Arial" w:cs="Arial" w:eastAsia="Arial" w:hAnsi="Arial"/>
          <w:sz w:val="16"/>
          <w:szCs w:val="16"/>
          <w:color w:val="auto"/>
        </w:rPr>
        <w:t>: The benefits described in this Plan are 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3" w:name="page94"/>
    <w:bookmarkEnd w:id="9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Employer may withhold from a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PARTICIPATION</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Participant entitled to benefits under the Prior Plan shall receive such benefits, together with any benefits accrued hereunder from and after January 1, 1995, pursuant to the provisions of this Plan. Notwithstanding the foregoing, no Participant shall receive STC Plan Benefits hereunder from and after January 1, 1995, but such benefits shall instead be treated as provided in Section 5.5. An Employee who becomes eligible for participation in Program A of this Plan (as described in Section 3.2) from and after January 1, 1995 shall become a Participant in Program A of this Plan if, as of or after such date, the benefits he would otherwise receive as a result of his participation in one or more of the Qualified Plans are reduced as a result of the Code Section 401(a)(17) Limitations. An Employee who becomes eligible for participation in Program B of this Plan (as described in Section 4.2) from and after January 1, 1995 shall become a Participant in Program B of this Plan if, as of or after such date, the benefits he would otherwise receive as a result of his participation in one or more of the Qualified Plans are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94" w:name="page95"/>
    <w:bookmarkEnd w:id="9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reduced as a result of the Code Section 415 Limitations. An Employee who becomes eligible for participation in both Program A and B of this Plan from and after January 1, 1995 and whose Qualified Plan benefits have been reduced by both the Code Section 401(a)(17) Limitations and the Code Section 415 Limitations shall participate in both Program A and B; provided, however, that nothing in this Plan shall entitle him to receive an amount that exceeds the total benefits that would have been his due under the Qualified Plans in the absence of the Code Section 401(a)(17) Limitations and the Code Section 415 Limitations.</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b w:val="1"/>
          <w:bCs w:val="1"/>
          <w:u w:val="single" w:color="auto"/>
          <w:color w:val="auto"/>
        </w:rPr>
        <w:t>PROGRAM A: RESTORATION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BENEFITS REDUCED BY CODE SECTION 401(a)(17)</w:t>
      </w:r>
    </w:p>
    <w:p>
      <w:pPr>
        <w:spacing w:after="0" w:line="165"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Purpose</w:t>
      </w:r>
      <w:r>
        <w:rPr>
          <w:rFonts w:ascii="Arial" w:cs="Arial" w:eastAsia="Arial" w:hAnsi="Arial"/>
          <w:sz w:val="18"/>
          <w:szCs w:val="18"/>
          <w:color w:val="auto"/>
        </w:rPr>
        <w:t>: Code Section 401(a)(17) limits the amount of compensation 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Eligibility</w:t>
      </w:r>
      <w:r>
        <w:rPr>
          <w:rFonts w:ascii="Arial" w:cs="Arial" w:eastAsia="Arial" w:hAnsi="Arial"/>
          <w:sz w:val="16"/>
          <w:szCs w:val="16"/>
          <w:color w:val="auto"/>
        </w:rPr>
        <w:t>: In order to participate in Program A of this Plan, an individual must (a) be a Participant in one of the Qualified Plans and (b) have experienced a reduction in the benefits he would have received from the Qualified Plan in which he is a Participant as a result of the Code Section 401(a)(17)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1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Calculation of Restoration Benefit</w:t>
      </w:r>
      <w:r>
        <w:rPr>
          <w:rFonts w:ascii="Arial" w:cs="Arial" w:eastAsia="Arial" w:hAnsi="Arial"/>
          <w:sz w:val="16"/>
          <w:szCs w:val="16"/>
          <w:color w:val="auto"/>
        </w:rPr>
        <w:t>: The amount of restoration benefits payable to a Participant in Program A of this Plan with reference to each Qualified Defined Benefit Plan under which the Participant may claim benefits will be calculated in the manner described in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95" w:name="page96"/>
    <w:bookmarkEnd w:id="9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Subsection (a). The amount of benefits payable to a Participant in Program A of this Plan with reference to each Qualified Defined Contribution Plan under which the Participant may claim benefits will be calculated in the manner described in Subsection (b).</w:t>
      </w:r>
    </w:p>
    <w:p>
      <w:pPr>
        <w:spacing w:after="0" w:line="51" w:lineRule="exact"/>
        <w:rPr>
          <w:sz w:val="20"/>
          <w:szCs w:val="20"/>
          <w:color w:val="auto"/>
        </w:rPr>
      </w:pPr>
    </w:p>
    <w:p>
      <w:pPr>
        <w:ind w:left="460" w:firstLine="443"/>
        <w:spacing w:after="0" w:line="289" w:lineRule="auto"/>
        <w:tabs>
          <w:tab w:leader="none" w:pos="113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Restoration of Amounts Under Qualified Defined Benefit Plans</w:t>
      </w:r>
      <w:r>
        <w:rPr>
          <w:rFonts w:ascii="Arial" w:cs="Arial" w:eastAsia="Arial" w:hAnsi="Arial"/>
          <w:sz w:val="16"/>
          <w:szCs w:val="16"/>
          <w:color w:val="auto"/>
        </w:rPr>
        <w:t>: When a Participant’s defined benefit commences under a Qualified Defined Benefit Plan, the Company will calculate a benefit in an amount equal to the excess of (i) over (ii), where (i) is equal to the amount of the defined benefit which would have been payable under the Qualified Defined Benefit Plan but for the Code Section 401(a)(17) Limitations and (ii) is equal to the amount of the benefit actually payable under the Qualified Defined Benefit Plan, which excess is hereinafter referred to as the “Defined Benefit Restoration Benefit.” The Company shall pay a Defined Benefit Restoration Benefit to the Participant or to such other person or persons as may be eligible for a survivor’s benefit under the applicable Qualified Defined Benefit Plan, at such times and in such manner as the benefit is payable pursuant to the terms of the Qualified Defined Benefit Plan; provided, however, that such a Defined Benefit Restoration Benefit shall only be paid to or in respect of a Participant who terminates Active Service after attaining age 50.</w:t>
      </w:r>
    </w:p>
    <w:p>
      <w:pPr>
        <w:spacing w:after="0" w:line="37" w:lineRule="exact"/>
        <w:rPr>
          <w:rFonts w:ascii="Arial" w:cs="Arial" w:eastAsia="Arial" w:hAnsi="Arial"/>
          <w:sz w:val="16"/>
          <w:szCs w:val="16"/>
          <w:color w:val="auto"/>
        </w:rPr>
      </w:pPr>
    </w:p>
    <w:p>
      <w:pPr>
        <w:ind w:left="460" w:right="60" w:firstLine="443"/>
        <w:spacing w:after="0" w:line="294" w:lineRule="auto"/>
        <w:tabs>
          <w:tab w:leader="none" w:pos="114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Restoration of Amounts Under Qualified Defined Contribution Plans</w:t>
      </w:r>
      <w:r>
        <w:rPr>
          <w:rFonts w:ascii="Arial" w:cs="Arial" w:eastAsia="Arial" w:hAnsi="Arial"/>
          <w:sz w:val="16"/>
          <w:szCs w:val="16"/>
          <w:color w:val="auto"/>
        </w:rPr>
        <w:t>: A benefit, hereinafter referred to as the “Defined Contribution Restoration Benefit,” shall be provided to each Participant in Program A whose discretionary Employer profit-sharing contribution under a Qualified Defined Contribution Plan was reduced as a result of the Code Section 401(a)(17) Limitations. The Defined Contribution Plan Restoration Benefit shall be equal to the excess, if any, of (i) over (ii) where (i) is equal to the amount of the discretionary Employer profit-sharing contribution the Employer would have made to the Qualified Defined Contribution Plan for a Plan Year on behalf of the Participant, based on the Participant’s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6" w:name="page97"/>
    <w:bookmarkEnd w:id="9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for that Plan Year without regard to the Code Section 401(a)(17) Limitations, and (ii) is equal to the amount of the discretionary Employer profit-sharing contribution that the Employer actually paid into the Qualified Defined Contribution Plan on behalf of the Participant for such Plan Year, after application of the Code Section 401(a)(17) Limitations.</w:t>
      </w:r>
    </w:p>
    <w:p>
      <w:pPr>
        <w:spacing w:after="0" w:line="59"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provided, however, that any dividend or interest amounts credited with respect to the Schlumberger Common Stock Fund which are deemed to be credited to a Participant’s benefit under the Plan shall be characterized instead as if such dividend or interest amounts are invested in the General Fund. In addition, each Participant who is deemed to have an amount invested in the Schlumberger Common Stock Fund with respect to Prior Plan benefits accrued as of March 31, 1991, shall be deemed to have been credited with the equivalent number of whole shares of common stock of Schlumberger Limited as could have been purchased on March 31, 1991 based on the amount of the Participant’s Defined Contribution Restoration Benefit which was deemed to be invested in the Schlumberger Common Stock Fund on March 31, 1991 and the closing price of the common stock of Schlumberger Limited as listed on the New York Stock Exchange Composite Transactions Quotations on March 31, 1991. The number of shares of Schlumberger Limited common stock which are deemed to be held in such a Participant’s account under the Plan shall be frozen effective as of April 1, 1991 and no additional shares shall be credited to such account. Any investment election made pursuant to the Qualified Defined Contribution Plan shall also apply to the Defined Contribution Restoration Benefit and shall be effective at the same time that such</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97" w:name="page98"/>
    <w:bookmarkEnd w:id="97"/>
    <w:p>
      <w:pPr>
        <w:ind w:left="460" w:right="2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is applicable to the Participant’s Account under the Qualified Defined Contribution Plan. The Administrative Committee shall develop such procedures as it 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Defined Contribution Restoration Benefit shall become payable as provided in Section 5.2 hereof.</w:t>
      </w:r>
    </w:p>
    <w:p>
      <w:pPr>
        <w:spacing w:after="0" w:line="19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4340"/>
        <w:spacing w:after="0"/>
        <w:rPr>
          <w:sz w:val="20"/>
          <w:szCs w:val="20"/>
          <w:color w:val="auto"/>
        </w:rPr>
      </w:pPr>
      <w:r>
        <w:rPr>
          <w:rFonts w:ascii="Arial" w:cs="Arial" w:eastAsia="Arial" w:hAnsi="Arial"/>
          <w:sz w:val="18"/>
          <w:szCs w:val="18"/>
          <w:b w:val="1"/>
          <w:bCs w:val="1"/>
          <w:u w:val="single" w:color="auto"/>
          <w:color w:val="auto"/>
        </w:rPr>
        <w:t>PROGRAM B: RESTORATION OF</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BENEFITS REDUCED BY CODE SECTION 415</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Purpose</w:t>
      </w:r>
      <w:r>
        <w:rPr>
          <w:rFonts w:ascii="Arial" w:cs="Arial" w:eastAsia="Arial" w:hAnsi="Arial"/>
          <w:sz w:val="18"/>
          <w:szCs w:val="18"/>
          <w:color w:val="auto"/>
        </w:rPr>
        <w:t>: Code Section 415 limits the amount of benefits available under a defined benefit plan and the amount of contributions permissible under a defined contribution plan. The purpose of Program B is to restore to Participants any Qualified Plan benefits that have been reduced as a result of the Code Section 415 Limitations.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Eligibility</w:t>
      </w:r>
      <w:r>
        <w:rPr>
          <w:rFonts w:ascii="Arial" w:cs="Arial" w:eastAsia="Arial" w:hAnsi="Arial"/>
          <w:sz w:val="18"/>
          <w:szCs w:val="18"/>
          <w:color w:val="auto"/>
        </w:rPr>
        <w:t>: An employee is eligible to participate in Program B of 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4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Calculation of Restoration Benefit</w:t>
      </w:r>
      <w:r>
        <w:rPr>
          <w:rFonts w:ascii="Arial" w:cs="Arial" w:eastAsia="Arial" w:hAnsi="Arial"/>
          <w:sz w:val="18"/>
          <w:szCs w:val="18"/>
          <w:color w:val="auto"/>
        </w:rPr>
        <w:t>: The amount of restoration benefits payable to a Participant in Program B of this Plan with reference to each Qualified Defined Benefit Plan under which the Participant may claim benefits will be calculated in the manner described in Subsection (a). The amount of benefits payable to a Participant in Program B of this Plan with reference to each Qualified Defined Contribution Plan under which the Participant may claim benefits will be calculated in the manner described in Subsection (b).</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80" w:right="319" w:bottom="1440" w:gutter="0" w:footer="0" w:header="0"/>
        </w:sectPr>
      </w:pPr>
    </w:p>
    <w:bookmarkStart w:id="98" w:name="page99"/>
    <w:bookmarkEnd w:id="98"/>
    <w:p>
      <w:pPr>
        <w:ind w:right="40" w:firstLine="443"/>
        <w:spacing w:after="0" w:line="289" w:lineRule="auto"/>
        <w:tabs>
          <w:tab w:leader="none" w:pos="67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Restoration of Amounts Under Qualified Defined Benefit Plans</w:t>
      </w:r>
      <w:r>
        <w:rPr>
          <w:rFonts w:ascii="Arial" w:cs="Arial" w:eastAsia="Arial" w:hAnsi="Arial"/>
          <w:sz w:val="16"/>
          <w:szCs w:val="16"/>
          <w:color w:val="auto"/>
        </w:rPr>
        <w:t>: When a Participant retires under a Qualified Defined Benefit Plan after attaining age 50, the Company will calculate a benefit equal to the excess of (i) over (ii), where (i) is equal to the amount of the defined benefit that would have been payable under the Qualified Defined Benefit Plan without regard to the Code Section 415 Limitations and (ii) is equal to the amount of benefit actually payable under the Qualified Defined Benefit Plan, which excess is hereinafter referred to as the “Section 415 Defined Benefit Restoration Benefit.” The Company shall pay a Section 415 Defined Benefit Restoration Benefit to the Participant or to such person or persons as may be eligible for a survivor’s benefit under the applicable Qualified Defined Benefit Plan, at such times and such manner as the benefit is payable pursuant to the terms of the Qualified Defined Benefit Plan; provided, however, that such Section 415 Defined Benefit Restoration Benefit shall only be paid to or in respect of a Participant who terminates Active Service after attaining age 50.</w:t>
      </w:r>
    </w:p>
    <w:p>
      <w:pPr>
        <w:spacing w:after="0" w:line="37" w:lineRule="exact"/>
        <w:rPr>
          <w:rFonts w:ascii="Arial" w:cs="Arial" w:eastAsia="Arial" w:hAnsi="Arial"/>
          <w:sz w:val="16"/>
          <w:szCs w:val="16"/>
          <w:color w:val="auto"/>
        </w:rPr>
      </w:pPr>
    </w:p>
    <w:p>
      <w:pPr>
        <w:ind w:firstLine="443"/>
        <w:spacing w:after="0" w:line="284" w:lineRule="auto"/>
        <w:tabs>
          <w:tab w:leader="none" w:pos="687"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Restoration of Amounts Under Qualified Defined Contribution Plans</w:t>
      </w:r>
      <w:r>
        <w:rPr>
          <w:rFonts w:ascii="Arial" w:cs="Arial" w:eastAsia="Arial" w:hAnsi="Arial"/>
          <w:sz w:val="16"/>
          <w:szCs w:val="16"/>
          <w:color w:val="auto"/>
        </w:rPr>
        <w:t>: A benefit, hereinafter referred to as the “Section 415 Defined Contribution Restoration Benefit,” will be payable to Participants in Program B whose Qualified Defined Contribution Plan benefits were reduced as a result of the Code Section 415 Limitations. The Section 415 Defined Contribution Restoration Benefit shall be payable in an amount equal to the excess of (i) over (ii), where</w:t>
      </w:r>
    </w:p>
    <w:p>
      <w:pPr>
        <w:spacing w:after="0" w:line="1" w:lineRule="exact"/>
        <w:rPr>
          <w:rFonts w:ascii="Arial" w:cs="Arial" w:eastAsia="Arial" w:hAnsi="Arial"/>
          <w:sz w:val="16"/>
          <w:szCs w:val="16"/>
          <w:color w:val="auto"/>
        </w:rPr>
      </w:pPr>
    </w:p>
    <w:p>
      <w:pPr>
        <w:ind w:left="220" w:hanging="216"/>
        <w:spacing w:after="0"/>
        <w:tabs>
          <w:tab w:leader="none" w:pos="2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is equal to the amount of the benefit which would have been payable under the Qualified Defined Contribution Plan without regard to the Code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415 Limitations and (ii) is equal to the amount of the benefit actually payable under the Qualified Defined Contribution Plan.</w:t>
      </w:r>
    </w:p>
    <w:p>
      <w:pPr>
        <w:spacing w:after="0" w:line="15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99" w:name="page100"/>
    <w:bookmarkEnd w:id="99"/>
    <w:p>
      <w:pPr>
        <w:ind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provided, however, that any dividend or interest amounts credited with respect to the Schlumberger Common Stock Fund which are deemed to be credited to a Participant’s benefit under the Plan shall be characterized instead as if such dividend or interest amounts are invested in the General Fund. In addition, each Participant who is deemed to have an amount invested in the Schlumberger Common Stock Fund with respect to Prior Plan benefits accrued as of March 31, 1991, shall be deemed to have been credited with the equivalent number of whole shares of common stock of Schlumberger Limited as could have been purchased on March 31, 1991 based on the amount of the Participant’s Section 415 Defined Contribution Restoration Benefit which was deemed to be invested in the Schlumberger Common Stock Fund on March 31, 1991 and the closing price of the common stock of Schlumberger Limited as listed on the New York Stock Exchange Composite Transactions Quotations on March 31, 1991. The number of shares of Schlumberger Limited common stock which are deemed to be held in such a Participant’s account under the Plan shall be frozen effective as of April 1, 1991 and no additional shares shall be credited to such account.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700" w:top="280" w:right="319" w:bottom="1440" w:gutter="0" w:footer="0" w:header="0"/>
        </w:sectPr>
      </w:pPr>
    </w:p>
    <w:bookmarkStart w:id="100" w:name="page101"/>
    <w:bookmarkEnd w:id="100"/>
    <w:p>
      <w:pPr>
        <w:ind w:left="460" w:right="2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w:t>
      </w:r>
    </w:p>
    <w:p>
      <w:pPr>
        <w:ind w:left="460" w:right="560" w:firstLine="4"/>
        <w:spacing w:after="0" w:line="323" w:lineRule="auto"/>
        <w:tabs>
          <w:tab w:leader="none" w:pos="70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Participant’s termination of employment for any reason or (2) the termination of the Qualified Defined Contribution Plan under which the Participant is receiving benefits. The Section 415 Defined Contribution Restoration Benefit shall become payable as provided in Section 5.2 hereof.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VESTING AND FORM OF PAYMENT</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Vesting</w:t>
      </w:r>
      <w:r>
        <w:rPr>
          <w:rFonts w:ascii="Arial" w:cs="Arial" w:eastAsia="Arial" w:hAnsi="Arial"/>
          <w:sz w:val="16"/>
          <w:szCs w:val="16"/>
          <w:color w:val="auto"/>
        </w:rPr>
        <w:t>: A Participant shall become vested in the benefits payable under Sections 3.3 and 4.3 hereof at the same time that he becomes vested under the applicable Qualified Plan; provided, however, that in order to become vested in the Defined Benefit Restoration Benefit and the Section 415 Defined Benefit Restoration Benefit, the Participant must attain age 50 before he terminates Active Service. Notwithstanding the foregoing, a Participant (and his survivor or Beneficiary) shall have no right to a benefit under this Plan if the Administrative Committee determines that the Participant engaged in a dishonest act injurious to the finances or reputation 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a party or by which he is bound.</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Defined Contribution Plan Benefits</w:t>
      </w:r>
      <w:r>
        <w:rPr>
          <w:rFonts w:ascii="Arial" w:cs="Arial" w:eastAsia="Arial" w:hAnsi="Arial"/>
          <w:sz w:val="18"/>
          <w:szCs w:val="18"/>
          <w:color w:val="auto"/>
        </w:rPr>
        <w:t>: The Defined Contribution Restoration Benefit and the Section 415 Defined Contribution Restoration Benefit (the “Defined Contribution Benefits”) shall be payable in the form of a lump sum. Such lump-sum payment shall be made as soon as practicable following the end of the Plan Year in which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01" w:name="page102"/>
    <w:bookmarkEnd w:id="101"/>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termination of Active Service occurs.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 Benefits which are paid as a result of the death of the Participant shall be paid in a lump sum as soon as practicable following the end of the Plan Year in which the Participant’s death occurs.</w:t>
      </w:r>
    </w:p>
    <w:p>
      <w:pPr>
        <w:spacing w:after="0" w:line="62" w:lineRule="exact"/>
        <w:rPr>
          <w:sz w:val="20"/>
          <w:szCs w:val="20"/>
          <w:color w:val="auto"/>
        </w:rPr>
      </w:pPr>
    </w:p>
    <w:p>
      <w:pPr>
        <w:ind w:left="460" w:firstLine="438"/>
        <w:spacing w:after="0" w:line="287" w:lineRule="auto"/>
        <w:rPr>
          <w:sz w:val="20"/>
          <w:szCs w:val="20"/>
          <w:color w:val="auto"/>
        </w:rPr>
      </w:pPr>
      <w:r>
        <w:rPr>
          <w:rFonts w:ascii="Arial" w:cs="Arial" w:eastAsia="Arial" w:hAnsi="Arial"/>
          <w:sz w:val="16"/>
          <w:szCs w:val="16"/>
          <w:color w:val="auto"/>
        </w:rPr>
        <w:t>Notwithstanding the above, a Participant or Beneficiary may request that the lump-sum payment be made as soon as practicable following the end of the Plan Quarter in which the Participant’s termination of Active Service occurs (hereinafter referred to as an “Early Distribution”). Any such request for an Early Distribution under this Plan may only be made if the Participant or Beneficiary has first elected an Early Distribution under the Qualified Defined Contribution Plan and, thereby, has agreed to forfeit all discretionary Employer profit-sharing contributions and reallocated forfeitures under the Qualified Defined Contribution Plan for the Plan Year in which the Participant’s termination of Active Service occurs. A request for an Early Distribution under this Plan must be submitted to the Administrative Committee prior to the end of the Plan Quarter in which the Participant terminates Active Service. An Early Distribution is subject to the unanimous approval of the Administrative Committee. When considering a request for an Early Distribution under this Plan, the Administrative Committee will review all relevant factors, including but not limited to, a review of (i) the impact of the proposed Early Distribution on the liquidity of the Company, (ii) the business conditions prevailing at the time of the proposed Early Distribution, and (iii) the Participant’s compliance with the terms of the Patent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02" w:name="page103"/>
    <w:bookmarkEnd w:id="102"/>
    <w:p>
      <w:pPr>
        <w:ind w:left="46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Confidential Information Agreement between the Participant and the Company or the applicable Affiliate. If the Administrative Committee does not approve the request for an Early Distribution, the lump-sum payment will be made after the end of the Plan Year in which the Participant’s termination of Active Service occurs. If the Administrative Committee approves the request of a Participant or Beneficiary for an Early Distribution, the Participant or Beneficiary will forfeit all Qualified Defined Contribution Plan benefits for the entire Plan Year in which the Participant’s termination of Active Service occurs. In the case of the death of a Participant, if there is more than one designated Beneficiary, all Beneficiaries must request the Early Distribution and such request must be approved by the Administrative Committee, otherwise payment will be made after the end of the Plan Year in which the Participant’s death occurs.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Defined Benefit Plan Benefits</w:t>
      </w:r>
      <w:r>
        <w:rPr>
          <w:rFonts w:ascii="Arial" w:cs="Arial" w:eastAsia="Arial" w:hAnsi="Arial"/>
          <w:sz w:val="16"/>
          <w:szCs w:val="16"/>
          <w:color w:val="auto"/>
        </w:rPr>
        <w:t>: The Defined Benefit Restoration Benefit and the Section 415 Defined Benefit Restoration Benefit (the “Defined Benefits”) shall be paid in the same manner and shall commence on the same date that benefits commence under the applicable Qualified Defined Benefit Plan. In the event of the death of a Participant either (i) prior to commencement of his Defined Benefits or (ii) after commencement of such benefits, but prior to final satisfaction of all such amounts under this Plan, Defined Benefits shall be paid to an eligible survivor only if a death benefit is also payable to such survivor under the terms of the applicable Qualified Defined Benefit Plan (including payment under any optional form of payment elected by the Participant under such plan). If a Qualified Joint and Survivor Annuity is payable upon the Participant’s death under the applicable Qualified Defined Benefit Plan, then any Defined Benefits payable under this Plan as a result of the Participant’s death shall also be paid in the form of a Qualified Joint and Survivor Annuity. Notwithstanding the above, the Administrative Committee, in its discretion, may determine that certain small monthly amounts of Defined Benefits shall be paid on a quarterly or annual basis, rather than on a monthly basis.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03" w:name="page104"/>
    <w:bookmarkEnd w:id="103"/>
    <w:p>
      <w:pPr>
        <w:ind w:right="6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5.4 </w:t>
      </w:r>
      <w:r>
        <w:rPr>
          <w:rFonts w:ascii="Arial" w:cs="Arial" w:eastAsia="Arial" w:hAnsi="Arial"/>
          <w:sz w:val="18"/>
          <w:szCs w:val="18"/>
          <w:u w:val="single" w:color="auto"/>
          <w:color w:val="auto"/>
        </w:rPr>
        <w:t>Non-Duplication of Benefits</w:t>
      </w:r>
      <w:r>
        <w:rPr>
          <w:rFonts w:ascii="Arial" w:cs="Arial" w:eastAsia="Arial" w:hAnsi="Arial"/>
          <w:sz w:val="18"/>
          <w:szCs w:val="18"/>
          <w:color w:val="auto"/>
        </w:rPr>
        <w:t>: The purpose of this Plan is to restore certain benefits which would otherwise be lost under the Qualified Plans. The benefits payable under this Plan shall be coordinated to ensure that benefit reductions attributable to the Code Section 401(a)(17) Limitations and the Code Section 415 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STC Plan Benefits</w:t>
      </w:r>
      <w:r>
        <w:rPr>
          <w:rFonts w:ascii="Arial" w:cs="Arial" w:eastAsia="Arial" w:hAnsi="Arial"/>
          <w:sz w:val="16"/>
          <w:szCs w:val="16"/>
          <w:color w:val="auto"/>
        </w:rPr>
        <w:t>: Notwithstanding any provisions of this Plan or the Prior Plan to the contrary, all STC Plan Benefits otherwise payable pursuant thereto shall not be so paid, but shall be payable instead pursuant to the STC Plan. To the extent that any STC Plan Benefits are paid pursuant to this Plan, such benefits shall be deemed for all purposes to have been paid pursuant to the terms of the STC Plan. Notwithstanding any provision herein to the contrary, this Plan shall be administered to prevent duplication of any benefits paid under the STC Plan.</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construed and interpreted by the Administrative Committee. The determinations by the Administrative Committee as to any 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80" w:right="319" w:bottom="1440" w:gutter="0" w:footer="0" w:header="0"/>
        </w:sectPr>
      </w:pPr>
    </w:p>
    <w:bookmarkStart w:id="104" w:name="page105"/>
    <w:bookmarkEnd w:id="104"/>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Beneficiaries and survivors, the Company, its stockholders and Employees, and the Employers. A member of the Administrative Committee who is also a Participant in the Plan must abstain from voting on any matter relating specifically to his own benefits under the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members of the Administrative Committee and its 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judgement in any such action, suit, or proceeding. The foregoing provisions shall not be applicable to any person if the loss, cost, liability or expense is due to such person’s gross negligence or willful misconduct.</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Non-Alienation of Benefits</w:t>
      </w:r>
      <w:r>
        <w:rPr>
          <w:rFonts w:ascii="Arial" w:cs="Arial" w:eastAsia="Arial" w:hAnsi="Arial"/>
          <w:sz w:val="16"/>
          <w:szCs w:val="16"/>
          <w:color w:val="auto"/>
        </w:rPr>
        <w:t>: Except by mutual agreement between the Company and the Participant, any benefit payable under this Plan shall not be subject in any manner to 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to such benefit, nor shall it be subject to attachment or legal process for or against such person.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MERGER, AMENDMENT AND TERMINATION</w:t>
      </w:r>
    </w:p>
    <w:p>
      <w:pPr>
        <w:spacing w:after="0" w:line="177" w:lineRule="exact"/>
        <w:rPr>
          <w:sz w:val="20"/>
          <w:szCs w:val="20"/>
          <w:color w:val="auto"/>
        </w:rPr>
      </w:pPr>
    </w:p>
    <w:p>
      <w:pPr>
        <w:ind w:right="40" w:firstLine="464"/>
        <w:spacing w:after="0" w:line="298" w:lineRule="auto"/>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Merger, Consolidation or Acquisition</w:t>
      </w:r>
      <w:r>
        <w:rPr>
          <w:rFonts w:ascii="Arial" w:cs="Arial" w:eastAsia="Arial" w:hAnsi="Arial"/>
          <w:sz w:val="16"/>
          <w:szCs w:val="16"/>
          <w:color w:val="auto"/>
        </w:rPr>
        <w:t>: In the event of a merger, 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of Directors may amend, modify, or terminate the Plan in whole or in part at any time. In the event of a termination of the Plan pursuant to this Section, unpaid vested benefits shall continue to be an obligation of the Company or other applicable Employer and shall be paid as scheduled.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Participating Affiliates</w:t>
      </w:r>
      <w:r>
        <w:rPr>
          <w:rFonts w:ascii="Arial" w:cs="Arial" w:eastAsia="Arial" w:hAnsi="Arial"/>
          <w:sz w:val="18"/>
          <w:szCs w:val="18"/>
          <w:color w:val="auto"/>
        </w:rPr>
        <w:t>: Any Affiliate that meets the definition of a Participating Affiliate or an Employer under a Qualified Plan and that has any Employees whose benefits under such Qualified Plan are affected by the Code Section 401(a)(17) Limitations or the Code Section 415 Limitations shall be deemed to have adopted this Plan for the benefit of such eligible Employees. Such Affiliate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06" w:name="page107"/>
    <w:bookmarkEnd w:id="10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executed by its duly authorized officers in a number of copies, each of which shall be deemed an original but all of which shall constitute one and the same instrument, this ___ day of _______________, 1996, but effective as of the first day of January, 1995.</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SCHLUMBERGER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2540</wp:posOffset>
            </wp:positionV>
            <wp:extent cx="275272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242570</wp:posOffset>
            </wp:positionV>
            <wp:extent cx="281305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RESTORATION SAVINGS PLAN</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Established Effective June 1, 1995,</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and conformed to include amendments through January 1, 2009)</w:t>
      </w:r>
    </w:p>
    <w:p>
      <w:pPr>
        <w:sectPr>
          <w:pgSz w:w="11900" w:h="16838" w:orient="portrait"/>
          <w:cols w:equalWidth="0" w:num="1">
            <w:col w:w="10220"/>
          </w:cols>
          <w:pgMar w:left="14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RESTORATION SAVINGS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Established Effective June 1, 1995,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conformed to include amendments through January 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ARTICLE I</w:t>
            </w:r>
          </w:p>
        </w:tc>
        <w:tc>
          <w:tcPr>
            <w:tcW w:w="716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II</w:t>
            </w:r>
          </w:p>
        </w:tc>
        <w:tc>
          <w:tcPr>
            <w:tcW w:w="7160" w:type="dxa"/>
            <w:vAlign w:val="bottom"/>
          </w:tcPr>
          <w:p>
            <w:pPr>
              <w:ind w:left="260"/>
              <w:spacing w:after="0"/>
              <w:rPr>
                <w:sz w:val="20"/>
                <w:szCs w:val="20"/>
                <w:color w:val="auto"/>
              </w:rPr>
            </w:pPr>
            <w:r>
              <w:rPr>
                <w:rFonts w:ascii="Arial" w:cs="Arial" w:eastAsia="Arial" w:hAnsi="Arial"/>
                <w:sz w:val="18"/>
                <w:szCs w:val="18"/>
                <w:color w:val="auto"/>
              </w:rPr>
              <w:t>ELIGIBILITY</w:t>
            </w:r>
          </w:p>
        </w:tc>
        <w:tc>
          <w:tcPr>
            <w:tcW w:w="2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III</w:t>
            </w:r>
          </w:p>
        </w:tc>
        <w:tc>
          <w:tcPr>
            <w:tcW w:w="7160" w:type="dxa"/>
            <w:vAlign w:val="bottom"/>
          </w:tcPr>
          <w:p>
            <w:pPr>
              <w:ind w:left="260"/>
              <w:spacing w:after="0"/>
              <w:rPr>
                <w:sz w:val="20"/>
                <w:szCs w:val="20"/>
                <w:color w:val="auto"/>
              </w:rPr>
            </w:pPr>
            <w:r>
              <w:rPr>
                <w:rFonts w:ascii="Arial" w:cs="Arial" w:eastAsia="Arial" w:hAnsi="Arial"/>
                <w:sz w:val="18"/>
                <w:szCs w:val="18"/>
                <w:color w:val="auto"/>
              </w:rPr>
              <w:t>PARTICIPATION</w:t>
            </w:r>
          </w:p>
        </w:tc>
        <w:tc>
          <w:tcPr>
            <w:tcW w:w="2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IV</w:t>
            </w:r>
          </w:p>
        </w:tc>
        <w:tc>
          <w:tcPr>
            <w:tcW w:w="7160" w:type="dxa"/>
            <w:vAlign w:val="bottom"/>
          </w:tcPr>
          <w:p>
            <w:pPr>
              <w:ind w:left="260"/>
              <w:spacing w:after="0"/>
              <w:rPr>
                <w:sz w:val="20"/>
                <w:szCs w:val="20"/>
                <w:color w:val="auto"/>
              </w:rPr>
            </w:pPr>
            <w:r>
              <w:rPr>
                <w:rFonts w:ascii="Arial" w:cs="Arial" w:eastAsia="Arial" w:hAnsi="Arial"/>
                <w:sz w:val="18"/>
                <w:szCs w:val="18"/>
                <w:color w:val="auto"/>
              </w:rPr>
              <w:t>CONTRIBUTIONS</w:t>
            </w:r>
          </w:p>
        </w:tc>
        <w:tc>
          <w:tcPr>
            <w:tcW w:w="2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w:t>
            </w:r>
          </w:p>
        </w:tc>
        <w:tc>
          <w:tcPr>
            <w:tcW w:w="7160" w:type="dxa"/>
            <w:vAlign w:val="bottom"/>
          </w:tcPr>
          <w:p>
            <w:pPr>
              <w:ind w:left="260"/>
              <w:spacing w:after="0"/>
              <w:rPr>
                <w:sz w:val="20"/>
                <w:szCs w:val="20"/>
                <w:color w:val="auto"/>
              </w:rPr>
            </w:pPr>
            <w:r>
              <w:rPr>
                <w:rFonts w:ascii="Arial" w:cs="Arial" w:eastAsia="Arial" w:hAnsi="Arial"/>
                <w:sz w:val="18"/>
                <w:szCs w:val="18"/>
                <w:color w:val="auto"/>
              </w:rPr>
              <w:t>ALLOCATION OF CONTRIBUTIONS AND INTEREST</w:t>
            </w:r>
          </w:p>
        </w:tc>
        <w:tc>
          <w:tcPr>
            <w:tcW w:w="2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VI</w:t>
            </w:r>
          </w:p>
        </w:tc>
        <w:tc>
          <w:tcPr>
            <w:tcW w:w="7160" w:type="dxa"/>
            <w:vAlign w:val="bottom"/>
          </w:tcPr>
          <w:p>
            <w:pPr>
              <w:ind w:left="260"/>
              <w:spacing w:after="0"/>
              <w:rPr>
                <w:sz w:val="20"/>
                <w:szCs w:val="20"/>
                <w:color w:val="auto"/>
              </w:rPr>
            </w:pPr>
            <w:r>
              <w:rPr>
                <w:rFonts w:ascii="Arial" w:cs="Arial" w:eastAsia="Arial" w:hAnsi="Arial"/>
                <w:sz w:val="18"/>
                <w:szCs w:val="18"/>
                <w:color w:val="auto"/>
              </w:rPr>
              <w:t>VESTING</w:t>
            </w:r>
          </w:p>
        </w:tc>
        <w:tc>
          <w:tcPr>
            <w:tcW w:w="2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VII</w:t>
            </w:r>
          </w:p>
        </w:tc>
        <w:tc>
          <w:tcPr>
            <w:tcW w:w="7160" w:type="dxa"/>
            <w:vAlign w:val="bottom"/>
          </w:tcPr>
          <w:p>
            <w:pPr>
              <w:ind w:left="260"/>
              <w:spacing w:after="0"/>
              <w:rPr>
                <w:sz w:val="20"/>
                <w:szCs w:val="20"/>
                <w:color w:val="auto"/>
              </w:rPr>
            </w:pPr>
            <w:r>
              <w:rPr>
                <w:rFonts w:ascii="Arial" w:cs="Arial" w:eastAsia="Arial" w:hAnsi="Arial"/>
                <w:sz w:val="18"/>
                <w:szCs w:val="18"/>
                <w:color w:val="auto"/>
              </w:rPr>
              <w:t>FORM AND TIMING OF PAYMENT</w:t>
            </w:r>
          </w:p>
        </w:tc>
        <w:tc>
          <w:tcPr>
            <w:tcW w:w="2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VIII</w:t>
            </w:r>
          </w:p>
        </w:tc>
        <w:tc>
          <w:tcPr>
            <w:tcW w:w="7160" w:type="dxa"/>
            <w:vAlign w:val="bottom"/>
          </w:tcPr>
          <w:p>
            <w:pPr>
              <w:ind w:left="260"/>
              <w:spacing w:after="0"/>
              <w:rPr>
                <w:sz w:val="20"/>
                <w:szCs w:val="20"/>
                <w:color w:val="auto"/>
              </w:rPr>
            </w:pPr>
            <w:r>
              <w:rPr>
                <w:rFonts w:ascii="Arial" w:cs="Arial" w:eastAsia="Arial" w:hAnsi="Arial"/>
                <w:sz w:val="18"/>
                <w:szCs w:val="18"/>
                <w:color w:val="auto"/>
              </w:rPr>
              <w:t>MERGER, AMENDMENT AND TERMINATION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IX</w:t>
            </w:r>
          </w:p>
        </w:tc>
        <w:tc>
          <w:tcPr>
            <w:tcW w:w="7160" w:type="dxa"/>
            <w:vAlign w:val="bottom"/>
          </w:tcPr>
          <w:p>
            <w:pPr>
              <w:ind w:left="260"/>
              <w:spacing w:after="0"/>
              <w:rPr>
                <w:sz w:val="20"/>
                <w:szCs w:val="20"/>
                <w:color w:val="auto"/>
              </w:rPr>
            </w:pPr>
            <w:r>
              <w:rPr>
                <w:rFonts w:ascii="Arial" w:cs="Arial" w:eastAsia="Arial" w:hAnsi="Arial"/>
                <w:sz w:val="18"/>
                <w:szCs w:val="18"/>
                <w:color w:val="auto"/>
              </w:rPr>
              <w:t>ADMINISTRATION</w:t>
            </w:r>
          </w:p>
        </w:tc>
        <w:tc>
          <w:tcPr>
            <w:tcW w:w="2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1320" w:type="dxa"/>
            <w:vAlign w:val="bottom"/>
          </w:tcPr>
          <w:p>
            <w:pPr>
              <w:spacing w:after="0"/>
              <w:rPr>
                <w:sz w:val="20"/>
                <w:szCs w:val="20"/>
                <w:color w:val="auto"/>
              </w:rPr>
            </w:pPr>
            <w:r>
              <w:rPr>
                <w:rFonts w:ascii="Arial" w:cs="Arial" w:eastAsia="Arial" w:hAnsi="Arial"/>
                <w:sz w:val="18"/>
                <w:szCs w:val="18"/>
                <w:color w:val="auto"/>
              </w:rPr>
              <w:t>ARTICLE X</w:t>
            </w:r>
          </w:p>
        </w:tc>
        <w:tc>
          <w:tcPr>
            <w:tcW w:w="7160" w:type="dxa"/>
            <w:vAlign w:val="bottom"/>
          </w:tcPr>
          <w:p>
            <w:pPr>
              <w:ind w:left="260"/>
              <w:spacing w:after="0"/>
              <w:rPr>
                <w:sz w:val="20"/>
                <w:szCs w:val="20"/>
                <w:color w:val="auto"/>
              </w:rPr>
            </w:pPr>
            <w:r>
              <w:rPr>
                <w:rFonts w:ascii="Arial" w:cs="Arial" w:eastAsia="Arial" w:hAnsi="Arial"/>
                <w:sz w:val="18"/>
                <w:szCs w:val="18"/>
                <w:color w:val="auto"/>
              </w:rPr>
              <w:t>MISCELLANEOUS</w:t>
            </w:r>
          </w:p>
        </w:tc>
        <w:tc>
          <w:tcPr>
            <w:tcW w:w="294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74" w:right="239" w:bottom="1440" w:gutter="0" w:footer="0" w:header="0"/>
        </w:sectPr>
      </w:pPr>
    </w:p>
    <w:bookmarkStart w:id="109" w:name="page110"/>
    <w:bookmarkEnd w:id="10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w:t>
      </w:r>
    </w:p>
    <w:p>
      <w:pPr>
        <w:spacing w:after="0" w:line="17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Section 1.1 “Account” </w:t>
      </w:r>
      <w:r>
        <w:rPr>
          <w:rFonts w:ascii="Arial" w:cs="Arial" w:eastAsia="Arial" w:hAnsi="Arial"/>
          <w:sz w:val="18"/>
          <w:szCs w:val="18"/>
          <w:color w:val="auto"/>
        </w:rPr>
        <w:t>shall mean the account maintained on behalf of each Participant or Former Participant which reflects the Participant’s or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Elective Deferrals, Matching Contributions, if any, and Interest.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 “Administrative Committee” </w:t>
      </w:r>
      <w:r>
        <w:rPr>
          <w:rFonts w:ascii="Arial" w:cs="Arial" w:eastAsia="Arial" w:hAnsi="Arial"/>
          <w:sz w:val="18"/>
          <w:szCs w:val="18"/>
          <w:color w:val="auto"/>
        </w:rPr>
        <w:t>shall mean the Administrative Committee of the Schlumberger Limited Pension Plan.</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Section 1.3 “Affiliate” </w:t>
      </w:r>
      <w:r>
        <w:rPr>
          <w:rFonts w:ascii="Arial" w:cs="Arial" w:eastAsia="Arial" w:hAnsi="Arial"/>
          <w:sz w:val="18"/>
          <w:szCs w:val="18"/>
          <w:color w:val="auto"/>
        </w:rPr>
        <w:t>shall mean any corporation in which the shares owned or controlled directly or indirectly by Schlumberger Limited shall represent eighty</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(80%) or more of the voting power of the issued and outstanding capital stock of such corporation. Affiliate shall also include any corporation or other trade or business which, together with Schlumberger Limited, is “under common control” as determined in accordance with Section 414(b) or (c) of the Code, as may be modified by Section 415(h) of the Code.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1.4 “Base Compensation” </w:t>
      </w:r>
      <w:r>
        <w:rPr>
          <w:rFonts w:ascii="Arial" w:cs="Arial" w:eastAsia="Arial" w:hAnsi="Arial"/>
          <w:sz w:val="18"/>
          <w:szCs w:val="18"/>
          <w:color w:val="auto"/>
        </w:rPr>
        <w:t>shall mean Compensation, excluding any bonus or incentive payment.</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Section 1.5 “Beneficiary” </w:t>
      </w:r>
      <w:r>
        <w:rPr>
          <w:rFonts w:ascii="Arial" w:cs="Arial" w:eastAsia="Arial" w:hAnsi="Arial"/>
          <w:sz w:val="18"/>
          <w:szCs w:val="18"/>
          <w:color w:val="auto"/>
        </w:rPr>
        <w:t>shall mean the individual designated by a Participant or Former Participant in accordance with Section 3.3 who is entitled to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in the event of a Participant’s or Former Participant’s death.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“Board of Directors” </w:t>
      </w:r>
      <w:r>
        <w:rPr>
          <w:rFonts w:ascii="Arial" w:cs="Arial" w:eastAsia="Arial" w:hAnsi="Arial"/>
          <w:sz w:val="18"/>
          <w:szCs w:val="18"/>
          <w:color w:val="auto"/>
        </w:rPr>
        <w:t>shall mean the Board of Directors of Schlumberger Limited.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1.7 “Code” </w:t>
      </w:r>
      <w:r>
        <w:rPr>
          <w:rFonts w:ascii="Arial" w:cs="Arial" w:eastAsia="Arial" w:hAnsi="Arial"/>
          <w:sz w:val="18"/>
          <w:szCs w:val="18"/>
          <w:color w:val="auto"/>
        </w:rPr>
        <w:t>shall mean the Internal Revenue Code of 1986, as may be amended.</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Section 1.8 “Compensation” </w:t>
      </w:r>
      <w:r>
        <w:rPr>
          <w:rFonts w:ascii="Arial" w:cs="Arial" w:eastAsia="Arial" w:hAnsi="Arial"/>
          <w:sz w:val="18"/>
          <w:szCs w:val="18"/>
          <w:color w:val="auto"/>
        </w:rPr>
        <w:t>shall mean the aggregate amount of compensation paid by the Employer or an Affiliate to an Employee during a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normal salary, wages, overtime compensation, commissions, bonuses and salary deferral amounts under Section 401(k) of the Code, if any, and excluding:</w:t>
      </w:r>
    </w:p>
    <w:p>
      <w:pPr>
        <w:spacing w:after="0" w:line="57" w:lineRule="exact"/>
        <w:rPr>
          <w:sz w:val="20"/>
          <w:szCs w:val="20"/>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compensation for employment during any period in which an individual is not an Employee;</w:t>
      </w:r>
    </w:p>
    <w:p>
      <w:pPr>
        <w:spacing w:after="0" w:line="90" w:lineRule="exact"/>
        <w:rPr>
          <w:rFonts w:ascii="Arial" w:cs="Arial" w:eastAsia="Arial" w:hAnsi="Arial"/>
          <w:sz w:val="18"/>
          <w:szCs w:val="18"/>
          <w:color w:val="auto"/>
        </w:rPr>
      </w:pPr>
    </w:p>
    <w:p>
      <w:pPr>
        <w:ind w:left="460" w:right="680" w:firstLine="443"/>
        <w:spacing w:after="0" w:line="332"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special payment of compensation, including but not limited to, income arising pursuant to the exercise of a stock option, field meal allowance, early retirement payments, severance payments, pay in lieu of vacation, tuition reimbursement, moving allowances;</w:t>
      </w:r>
    </w:p>
    <w:p>
      <w:pPr>
        <w:spacing w:after="0" w:line="4" w:lineRule="exact"/>
        <w:rPr>
          <w:rFonts w:ascii="Arial" w:cs="Arial" w:eastAsia="Arial" w:hAnsi="Arial"/>
          <w:sz w:val="16"/>
          <w:szCs w:val="16"/>
          <w:color w:val="auto"/>
        </w:rPr>
      </w:pPr>
    </w:p>
    <w:p>
      <w:pPr>
        <w:ind w:left="460" w:right="36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payment by the Employer on behalf of the Participant to this or any other qualified or non-qualified pension, profit sharing, savings or other employee benefit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“Effective Date” </w:t>
      </w:r>
      <w:r>
        <w:rPr>
          <w:rFonts w:ascii="Arial" w:cs="Arial" w:eastAsia="Arial" w:hAnsi="Arial"/>
          <w:sz w:val="18"/>
          <w:szCs w:val="18"/>
          <w:color w:val="auto"/>
        </w:rPr>
        <w:t>shall mean June 1, 1995, the effective date of the Plan.</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10" w:name="page111"/>
    <w:bookmarkEnd w:id="110"/>
    <w:p>
      <w:pPr>
        <w:ind w:right="2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 “Elective Deferrals” </w:t>
      </w:r>
      <w:r>
        <w:rPr>
          <w:rFonts w:ascii="Arial" w:cs="Arial" w:eastAsia="Arial" w:hAnsi="Arial"/>
          <w:sz w:val="18"/>
          <w:szCs w:val="18"/>
          <w:color w:val="auto"/>
        </w:rPr>
        <w:t>shall mean the amount of Excess Compensation an Eligible Employee elects to defer in accordance with Section 4.1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2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Section 1.11 “Eligible Employee” </w:t>
      </w:r>
      <w:r>
        <w:rPr>
          <w:rFonts w:ascii="Arial" w:cs="Arial" w:eastAsia="Arial" w:hAnsi="Arial"/>
          <w:sz w:val="18"/>
          <w:szCs w:val="18"/>
          <w:color w:val="auto"/>
        </w:rPr>
        <w:t>shall mean an Employee who is on a U.S. based payroll or is seconded by an Employer to a foreign country and is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of Schlumberger Resources,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1.12 “Employee” </w:t>
      </w:r>
      <w:r>
        <w:rPr>
          <w:rFonts w:ascii="Arial" w:cs="Arial" w:eastAsia="Arial" w:hAnsi="Arial"/>
          <w:sz w:val="18"/>
          <w:szCs w:val="18"/>
          <w:color w:val="auto"/>
        </w:rPr>
        <w:t>shall mean an employee of the Employer who is employed by and carried on the payroll of the Employer.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Section 1.13 “Employer” </w:t>
      </w:r>
      <w:r>
        <w:rPr>
          <w:rFonts w:ascii="Arial" w:cs="Arial" w:eastAsia="Arial" w:hAnsi="Arial"/>
          <w:sz w:val="16"/>
          <w:szCs w:val="16"/>
          <w:color w:val="auto"/>
        </w:rPr>
        <w:t>shall mean Schlumberger Limited and any Affiliate who has adopted the Plan for the benefit of its Eligible Employees.</w:t>
      </w:r>
    </w:p>
    <w:p>
      <w:pPr>
        <w:spacing w:after="0" w:line="19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Section 1.14 “Enrollment Period” </w:t>
      </w:r>
      <w:r>
        <w:rPr>
          <w:rFonts w:ascii="Arial" w:cs="Arial" w:eastAsia="Arial" w:hAnsi="Arial"/>
          <w:sz w:val="18"/>
          <w:szCs w:val="18"/>
          <w:color w:val="auto"/>
        </w:rPr>
        <w:t>shall mean the 31 day period beginning May 1, 1995. Effective after June 1, 1995, Enrollment Period means the 30 day</w:t>
      </w:r>
      <w:r>
        <w:rPr>
          <w:rFonts w:ascii="Arial" w:cs="Arial" w:eastAsia="Arial" w:hAnsi="Arial"/>
          <w:sz w:val="18"/>
          <w:szCs w:val="18"/>
          <w:b w:val="1"/>
          <w:bCs w:val="1"/>
          <w:color w:val="auto"/>
        </w:rPr>
        <w:t xml:space="preserve"> </w:t>
      </w:r>
      <w:r>
        <w:rPr>
          <w:rFonts w:ascii="Arial" w:cs="Arial" w:eastAsia="Arial" w:hAnsi="Arial"/>
          <w:sz w:val="18"/>
          <w:szCs w:val="18"/>
          <w:color w:val="auto"/>
        </w:rPr>
        <w:t>period beginning November 1, 1995 and each November 1 thereafter.</w:t>
      </w:r>
    </w:p>
    <w:p>
      <w:pPr>
        <w:spacing w:after="0" w:line="12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Section 1.15 “Excess Compensation” </w:t>
      </w:r>
      <w:r>
        <w:rPr>
          <w:rFonts w:ascii="Arial" w:cs="Arial" w:eastAsia="Arial" w:hAnsi="Arial"/>
          <w:sz w:val="18"/>
          <w:szCs w:val="18"/>
          <w:color w:val="auto"/>
        </w:rPr>
        <w:t>shall mean the amount of Compensation paid to an Employee during a calendar year in excess of $150,000,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amount may be adjusted in accordance with Section 401(a)(17)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Section 1.16 “Former Participant” </w:t>
      </w:r>
      <w:r>
        <w:rPr>
          <w:rFonts w:ascii="Arial" w:cs="Arial" w:eastAsia="Arial" w:hAnsi="Arial"/>
          <w:sz w:val="15"/>
          <w:szCs w:val="15"/>
          <w:color w:val="auto"/>
        </w:rPr>
        <w:t>means an Employee of the Employer or an Affiliate who was a Participant and continues to have an Account under the Plan.</w:t>
      </w:r>
    </w:p>
    <w:p>
      <w:pPr>
        <w:spacing w:after="0" w:line="20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Section 1.17 “Interest” </w:t>
      </w:r>
      <w:r>
        <w:rPr>
          <w:rFonts w:ascii="Arial" w:cs="Arial" w:eastAsia="Arial" w:hAnsi="Arial"/>
          <w:sz w:val="18"/>
          <w:szCs w:val="18"/>
          <w:color w:val="auto"/>
        </w:rPr>
        <w:t>shall mean the amount of interest allocated to a Participant’s Account. Such amount shall mirror the interest earnings of the Fixed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Fund under the Schlumberger Master Profit Sharing Trust.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1.18 “Matching Contribution” </w:t>
      </w:r>
      <w:r>
        <w:rPr>
          <w:rFonts w:ascii="Arial" w:cs="Arial" w:eastAsia="Arial" w:hAnsi="Arial"/>
          <w:sz w:val="18"/>
          <w:szCs w:val="18"/>
          <w:color w:val="auto"/>
        </w:rPr>
        <w:t>shall mean the amount contributed by the Employer in accordance with Section 4.4.</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 xml:space="preserve">Section 1.19 “Participant” </w:t>
      </w:r>
      <w:r>
        <w:rPr>
          <w:rFonts w:ascii="Arial" w:cs="Arial" w:eastAsia="Arial" w:hAnsi="Arial"/>
          <w:sz w:val="18"/>
          <w:szCs w:val="18"/>
          <w:color w:val="auto"/>
        </w:rPr>
        <w:t>shall mean an Eligible Employee who meets the eligibility requirements of Section 2.2 and has commenced, but not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in accordance with the provisions of Article III of the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1.20 “Plan” </w:t>
      </w:r>
      <w:r>
        <w:rPr>
          <w:rFonts w:ascii="Arial" w:cs="Arial" w:eastAsia="Arial" w:hAnsi="Arial"/>
          <w:sz w:val="18"/>
          <w:szCs w:val="18"/>
          <w:color w:val="auto"/>
        </w:rPr>
        <w:t>shall mean the Schlumberger Limited Restoration Savings Plan as set forth herein and as may be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1.21 “Plan Year” </w:t>
      </w:r>
      <w:r>
        <w:rPr>
          <w:rFonts w:ascii="Arial" w:cs="Arial" w:eastAsia="Arial" w:hAnsi="Arial"/>
          <w:sz w:val="18"/>
          <w:szCs w:val="18"/>
          <w:color w:val="auto"/>
        </w:rPr>
        <w:t>shall mean June 1, 1995 through December 31, 1995 and each calendar year thereafter.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1.22 “Trust” </w:t>
      </w:r>
      <w:r>
        <w:rPr>
          <w:rFonts w:ascii="Arial" w:cs="Arial" w:eastAsia="Arial" w:hAnsi="Arial"/>
          <w:sz w:val="18"/>
          <w:szCs w:val="18"/>
          <w:color w:val="auto"/>
        </w:rPr>
        <w:t>shall mean the Schlumberger Executive Deferred Compensation Trust, a grantor trust.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1.23 “Vested” </w:t>
      </w:r>
      <w:r>
        <w:rPr>
          <w:rFonts w:ascii="Arial" w:cs="Arial" w:eastAsia="Arial" w:hAnsi="Arial"/>
          <w:sz w:val="18"/>
          <w:szCs w:val="18"/>
          <w:color w:val="auto"/>
        </w:rPr>
        <w:t>shall mean non-forfeitable.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11" w:name="page112"/>
    <w:bookmarkEnd w:id="11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context of the document clearly provides otherwise, all masculine pronouns when used in the Plan shall be deemed to include the feminine gender and any feminine pronouns shall be deemed to include the masculine gender.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Employer Determination</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Each year, prior to the Enrollment Period, the Employer shall determine those Eligible Employees who may participate in the Plan during the subsequent Plan Year. Such determination shall be made in accordance with the requirements set forth in Section 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Eligibility Requirements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Eligible Employee may participate in the Plan if such Eligible Employee is projected to have Excess Compensation in the subsequent Plan Year. In determining whether an Eligible Employee is projected to have Excess Compensation, the Employer shall look to the Eligible Employee’s Base Compensation for the then current calendar year and the maximum projected bonus potential payable in the first quarter of the subsequent Plan Year based on the Employee’s current grade and salary level. If the sum of the Eligible Employee’s Base Compensation and the maximum projected bonus potential exceeds the limitation set forth in Section 401(a)(17) of the Code, the Employee is eligible to participate in the Plan during the subsequent Plan Year.</w:t>
      </w:r>
    </w:p>
    <w:p>
      <w:pPr>
        <w:spacing w:after="0" w:line="1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Plan is intended to qualify for the exemptions provided under Title I of the Employee Retirement Income Security Act of 1974 for plans that are not tax-qualified and that are maintained primarily to provide deferred compensation for a select group of management or highly compensated employees.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Commencement of Participation</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each Enrollment Period, an Eligible Employee who meets the requirements of Section 2.2 may elect to participate in the Plan by completing the necessary deferral election forms. Such forms shall be provided to each Eligible Employee during the Enrollment Period by the Personnel Department of Schlumberger Limited.</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order to become effective, an Eligible Employee’s deferral election must be filed with such employee’s Personnel Department on or before the last day of the Enrollment Period. Any election filed after the Enrollment Period shall not become effective.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An Eligible Employee who elects to participate within an Enrollment Period shall become a Participant on the first day of the next following Plan Year.</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3.2 Cessation of Participation</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 Participant shall cease to be a Participant as of the earliest of: (i) the date on which the Plan terminates; (ii) the date on which the Participant is no longer an Eligible Employee; (iii) the first day of any Plan Year in which the Participant fails to meet the eligibility requirements of Section 2.2; or (iv) the first day of any Plan Year in which the Participant does not elect to participate or fails to enroll within the applicable Enrollment Period.</w:t>
      </w:r>
    </w:p>
    <w:p>
      <w:pPr>
        <w:spacing w:after="0" w:line="10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 Participant who ceases to be a Participant in accordance with (ii), (iii) or (iv) of the preceding paragraph shall become a Former Participant if such Participant retains an Account under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Beneficiary Designation</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Subject to the requirements of this Section 3.3, a Participant or Former Participant may designate, in writing, a Beneficiary who is entitled to receive the benefits hereunder in the event of the Participant’s or Former Participant’s death.</w:t>
      </w:r>
    </w:p>
    <w:p>
      <w:pPr>
        <w:spacing w:after="0" w:line="132"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The Beneficiary of a Participant or Former Participant who is married is automatically the Participant’s or Former Participant’s spouse. A married Participant or Former Participant may designate a Beneficiary other than the spouse only if such spouse consents, in writing, to such designation. In order to be effective, such spousal consent must (i) acknowledge the effect of waiving the benefit such spouse is otherwise entitled to receive; (ii) consent to the designated Beneficiary;</w:t>
      </w:r>
    </w:p>
    <w:p>
      <w:pPr>
        <w:spacing w:after="0" w:line="1" w:lineRule="exact"/>
        <w:rPr>
          <w:sz w:val="20"/>
          <w:szCs w:val="20"/>
          <w:color w:val="auto"/>
        </w:rPr>
      </w:pPr>
    </w:p>
    <w:p>
      <w:pPr>
        <w:ind w:right="20" w:firstLine="8"/>
        <w:spacing w:after="0" w:line="261" w:lineRule="auto"/>
        <w:tabs>
          <w:tab w:leader="none" w:pos="3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acknowledge that the Beneficiary designation is not valid unless the spouse agrees to such designation and (iv) be witnessed by a notary public or authorized Plan representative.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Participant or Former Participant who is not married may designate any individual or person as Beneficiary.</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Beneficiary designation shall only become effective upon receipt by the Personnel Department of the Employer. Any Beneficiary designation filed with the Employer shall supersede any prior designation on file upon receipt by the Employer.</w:t>
      </w:r>
    </w:p>
    <w:p>
      <w:pPr>
        <w:spacing w:after="0" w:line="13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the absence of any Beneficiary designation, payments upon the death of the Participant or Former Participant shall be made to the first named Beneficiary or class of Beneficiaries, of the following successive Beneficiaries who survive the Participant or Former Participant: (1) the surviving spouse, if any; (ii) one share to each child of the Participant or Former Participant, whether or not the child is then living, except that the share of a deceased child of the Participant or Former Participant shall be divided, per stirpes, among the then living descendants of such deceased child; (iii) father and mother, equally, or to the survivor;</w:t>
      </w:r>
    </w:p>
    <w:p>
      <w:pPr>
        <w:spacing w:after="0" w:line="3" w:lineRule="exact"/>
        <w:rPr>
          <w:sz w:val="20"/>
          <w:szCs w:val="20"/>
          <w:color w:val="auto"/>
        </w:rPr>
      </w:pPr>
    </w:p>
    <w:p>
      <w:pPr>
        <w:ind w:right="80" w:firstLine="8"/>
        <w:spacing w:after="0" w:line="261" w:lineRule="auto"/>
        <w:tabs>
          <w:tab w:leader="none" w:pos="2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surviving brothers and sisters, equally; (v) a duly appointed executor or administrator of the Participant’s or Former Participant’s estate. For purposes of this paragraph, “child” “children” or “descendants” shall include legally adopted children.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Elective Deferral Amounts</w:t>
      </w:r>
    </w:p>
    <w:p>
      <w:pPr>
        <w:spacing w:after="0" w:line="1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Except as provided in Section 4.2, an Eligible Employee may irrevocably elect to defer, in any whole percentage, an amount from 1% to 15% of such Eligible Employee’s Excess Compensation.</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Participant’s Elective Deferral shall go into effect as of the first payroll period in which such Participant receives Excess Compensation and shall remain in effect throughout the Plan Year. A Participant may change an Elective Deferral only as provided in Section 4.3.</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Elective Deferrals shall be paid to the Trust as soon as practicable following the payroll period in which such amount would have been payable to the Participant in cash, but for such Participant’s election to defer.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Special Rule for Short Plan Year</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Notwithstanding the provisions of Section 4.1, in the event a Participant’s Compensation from January 1, 1995 through May 31, 1995 exceeds the limitation of Section 401(a)(17) as of the Effective Date, such Participant may elect to defer up to 15% of Excess Compensation during the initial Plan Year, provided that such amount does not exceed 10% of the Participant’s Excess Compensation on an annualized basis for such Plan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Changing Elective Deferrals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Participant may increase an Elective Deferral only during the Enrollment Period.</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Participant may decrease or cease an Elective Deferral as of the first day of any calendar quarter by filing written notice of such change with such Participant’s Employer. Such change shall only become effective if written notice is received at least 30 days prior to the first day of the calendar quarter in which such change is to occur and the Participant’s service giving rise to such Excess Compensation has not yet occurred.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Matching Contributions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Each Year following the close of the Plan Year, the Employer shall determine the Matching Contribution.</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Matching Contribution shall be equal to 50% of the first 6% of each Participant’s Elective Deferrals made during the preceding Plan Year, provided that the Participant continues to be employed by the Employer or an Affiliate on the last day of such Plan Year. Notwithstanding the preceding sentence, in any Plan Year in which the Employer is not profitable, as determined in the sole discretion of the Employer, such Matching Contribution shall be zero.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14" w:name="page115"/>
    <w:bookmarkEnd w:id="11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Matching Contributions shall be paid to the Trust by the Employer as soon as practicable following the determination of such amount on behalf of all Participants who are eligible to receive a Matching Contribution for the Plan Year. Matching Contributions shall be allocated to a Participant’s account in accordance with Section 5.2.</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 OF CONTRIBUTIONS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Allocation of Elective Deferrals</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each calendar quarter, the Employer shall allocate the Elective Deferrals made during such quarter to a Participant’s Account. Such amount shall be credited with Interest as of the last day of the calendar quarter following the calendar quarter in which the Elective Deferral was made. Interest shall be allocated in accordance with Section 5.3.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Allocation of Matching Contributions</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the end of each Plan Year, the Employer shall allocate the Matching Contribution, if any, among the Accounts of Participants or Former Participants who made Elective Deferrals during the Plan Year, provided that the Participant or Former Participant continues to be an Employee of the Employer or an Affiliate on the last day of the Plan Year.</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Matching Contributions shall be credited with Interest for the year in which such contribution was actually made, as if such amount had been paid to the Trust on the first day of such year. Interest shall be allocated in accordance with Section 5.3.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Allocation of Interest</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Interest shall be allocated to a Participant’s or Former Participant’s Account as of the last day of each calendar quarter. Such amount shall be allocated based on the amount then standing in such Account.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Vesting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provisions of Section 6.2, a Participant, or Former Participant shall have a Vested right to benefits in accordance with this Section 6.1:</w:t>
      </w:r>
    </w:p>
    <w:p>
      <w:pPr>
        <w:spacing w:after="0" w:line="113" w:lineRule="exact"/>
        <w:rPr>
          <w:sz w:val="20"/>
          <w:szCs w:val="20"/>
          <w:color w:val="auto"/>
        </w:rPr>
      </w:pPr>
    </w:p>
    <w:p>
      <w:pPr>
        <w:ind w:left="5680" w:right="1640" w:hanging="4777"/>
        <w:spacing w:after="0" w:line="440" w:lineRule="auto"/>
        <w:tabs>
          <w:tab w:leader="none" w:pos="1151"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Participant or Former Participant shall be 100% Vested in their Elective Deferrals, plus any Interest thereon, at all times. 7</w:t>
      </w:r>
    </w:p>
    <w:p>
      <w:pPr>
        <w:sectPr>
          <w:pgSz w:w="11900" w:h="16838" w:orient="portrait"/>
          <w:cols w:equalWidth="0" w:num="1">
            <w:col w:w="11400"/>
          </w:cols>
          <w:pgMar w:left="240" w:top="280" w:right="259" w:bottom="1440" w:gutter="0" w:footer="0" w:header="0"/>
        </w:sectPr>
      </w:pPr>
    </w:p>
    <w:bookmarkStart w:id="115" w:name="page116"/>
    <w:bookmarkEnd w:id="115"/>
    <w:p>
      <w:pPr>
        <w:ind w:left="460" w:right="30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Participant or Former Participant shall have a Vested right to Matching Contributions allocated to such Participant’s or Former Participant’s Account, plus any Interest thereon, in accordance with the following schedule:</w:t>
      </w:r>
    </w:p>
    <w:p>
      <w:pPr>
        <w:spacing w:after="0" w:line="156"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61"/>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89"/>
              </w:rPr>
              <w:t>Completed Years of Service</w:t>
            </w:r>
          </w:p>
        </w:tc>
        <w:tc>
          <w:tcPr>
            <w:tcW w:w="208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Less than 3 years</w:t>
            </w:r>
          </w:p>
        </w:tc>
        <w:tc>
          <w:tcPr>
            <w:tcW w:w="2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3 but less than 4</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33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4 but less than 5</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 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5 or more</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shall include any period of “Active Service” as such term is defined under the Schlumberger Limited Savings and Profit Sharing Plan.</w:t>
      </w:r>
    </w:p>
    <w:p>
      <w:pPr>
        <w:spacing w:after="0" w:line="113" w:lineRule="exact"/>
        <w:rPr>
          <w:sz w:val="20"/>
          <w:szCs w:val="20"/>
          <w:color w:val="auto"/>
        </w:rPr>
      </w:pPr>
    </w:p>
    <w:p>
      <w:pPr>
        <w:ind w:left="460" w:right="220" w:firstLine="443"/>
        <w:spacing w:after="0" w:line="268" w:lineRule="auto"/>
        <w:tabs>
          <w:tab w:leader="none" w:pos="1137"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Notwithstanding the provisions of (b) above, a Participant or Former Participant shall become 100% Vested in the event of death, attainment of age 60, termination of the Plan or a “change in control”.</w:t>
      </w:r>
    </w:p>
    <w:p>
      <w:pPr>
        <w:spacing w:after="0" w:line="51"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For purposes of this paragraph (c), a “change in control” shall mean a change in the ownership or control of the Employer such that any one person, or more than one person acting as a group, acquires or holds stock representing more than 50 percent of the total fair market value or total voting power of the stock of the Employer.</w:t>
      </w:r>
    </w:p>
    <w:p>
      <w:pPr>
        <w:spacing w:after="0" w:line="59"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For purposes of the preceding paragraph, persons will not be considered to be “acting as a group” merely because they happen to purchase or own stock of the Employer at the same time, or as a result of the same public offering. However, persons will be considered to be “acting as a group” if they are owners of an entity that enters into a merger, consolidation, purchase or acquisition of stock, or other similar business transaction with the Employer.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Violation of Confidential Agreements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provisions of Section 6.1, a Participant or Former Participant shall forfeit any Vested right to such Participant’s or Former Participant’s Account in the event it is determined by the Administrative Committee that such Participant or Former Participant has engaged in a dishonest act injurious to the finances or reputation of the Employer or any of its Affiliates or that such Participant or Former Participant has violated a Patent and Confidential Information Agreement between such individual and the Employer or any of its Affiliates or any other confidential arrangement involving the Employer or any of its Affiliates to which such individual is a party or by which such individual is bound.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Right to Account in the Event of Bankruptcy</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Notwithstanding anything to the contrary contained herein, in the event the Employer is determined to be insolvent or is subject to a pending proceeding as a debtor under the United States Bankruptcy Code, a Vested Participant or Vested Former Participant shall have the same standing as any other general creditor of the Employer and shall be entitled to recover any benefits then standing in such Participant’s or Former Participant’s Vested Account only to the extent such amount is made available to such individual in accordance with the bankruptcy proceedings as determined by the federal courts. the Employer will be considered “insolvent” for purposes of the Plan if the Employer is unable to pay its debts as they become due.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AND TIMING OF PAYMENT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Form of Payment</w:t>
      </w:r>
    </w:p>
    <w:p>
      <w:pPr>
        <w:spacing w:after="0" w:line="1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Payment of a Participant’s or Former Participant’s Account shall be made in a single lump sum cash payment. No other forms of payment are available under the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Timing of Benefit Payment</w:t>
      </w:r>
    </w:p>
    <w:p>
      <w:pPr>
        <w:spacing w:after="0" w:line="1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 Participant or Former Participant (or, if applicable, the Beneficiary of such Participant or Former Participant) shall receive a distribution of the Vested portion of his Account in the event such Participant or Former Participant dies, retires, separates from service for any reason or becomes disabled. Payment shall be made as soon as practicable following the close of the calendar quarter immediately following a Participant’s or Former Participant’s death, retirement, separation from service or disability, whichever occurs first, subject to the requirement of (a) and (b) below.</w:t>
      </w:r>
    </w:p>
    <w:p>
      <w:pPr>
        <w:spacing w:after="0" w:line="32" w:lineRule="exact"/>
        <w:rPr>
          <w:sz w:val="20"/>
          <w:szCs w:val="20"/>
          <w:color w:val="auto"/>
        </w:rPr>
      </w:pPr>
    </w:p>
    <w:p>
      <w:pPr>
        <w:ind w:left="460" w:right="80" w:firstLine="443"/>
        <w:spacing w:after="0" w:line="298"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purposes of determining whether a Participant or Former Participant has separated from service, a Participant or Former Participant who continues to be paid from the payroll of the Employer, as a result of a continuing contractual agreement to provide services to the Employer or an Affiliate for a specified period of time, shall not be deemed to have separated from service until the termination of such period or, if earlier, until such Participant or Former Participant commences to receive benefit payments under a qualified defined benefit plan sponsored by the Employer or an Affiliate.</w:t>
      </w:r>
    </w:p>
    <w:p>
      <w:pPr>
        <w:spacing w:after="0" w:line="31" w:lineRule="exact"/>
        <w:rPr>
          <w:rFonts w:ascii="Arial" w:cs="Arial" w:eastAsia="Arial" w:hAnsi="Arial"/>
          <w:sz w:val="16"/>
          <w:szCs w:val="16"/>
          <w:color w:val="auto"/>
        </w:rPr>
      </w:pPr>
    </w:p>
    <w:p>
      <w:pPr>
        <w:ind w:left="460" w:right="120" w:firstLine="443"/>
        <w:spacing w:after="0" w:line="256"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to a Participant or Former Participant as a result of disability shall be made in the calendar quarter immediately following the date such individual ceases to be covered under the Employer’s, or, if applicable, an Affiliate’s, salary continuance program. Salary continuance shall include those programs sponsored by the Employer or an Affiliate that provide for the continuation of salary during a period of short-term disability in which the Employee continues to be carried on the Employer’s or Affiliate’s payroll.</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payment shall be made from the Plan to a Participant or Former Participant while such Participant or Former Participant is actively employed by the Employer or an Affiliate.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Participant or Former Participant shall have no right to defer payment of benefits to a date later than the date provided in this Section 7.2.</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AMENDMENT AND TERMINATION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Merger, Consolidation or Acquisition</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of a merger, consolidation or acquisition where the Employer is not the surviving corporation, the Plan shall terminate with respect to such Employer and no further Elective Deferrals shall be made to the Plan by any Participant or other Eligible Employee of such Employer. Any amount then standing in a Vested Account shall be paid as soon as practicable following such merger, consolidation or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Amendment and Termination</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Board of Directors may amend, modify or terminate the Plan in whole or in part at any time. In the event the Plan is terminated, any unpaid Vested Accounts shall immediately become due and payable and shall be distributed as soon as practicable following termination of the Plan, but in no event later than the last day of the calendar year in which such termination occurs.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Administration</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Plan shall be administered, construed and interpreted by the Administrative Committee. Any determination made by the Administrative Committee, including any determination as to eligibility, the amount of benefits or the interpretation of any Plan provision, shall be conclusive and binding on all persons, including a Participant, a Former Participant, a Beneficiary, the Employer, an Affiliate or an Employee. A member of the Administrative Committee who is also a Participant or Former Participant in the Plan must abstain from voting on any matter relating specifically to such Participant’s or Former Participant’s own Account under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Plan may be paid by the Trust unless otherwise paid by the Employer.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Indemnification</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members of the Administrative Committee, or any agent appointed by said Committee, shall be indemnified and held harmless by the Employer against and from any and all losses, cost, liability, or expense that may be imposed upon or reasonably incurred by such persons in connection with or resulting from any claim, action, suit or proceeding to which any such person may be party by their reason to act or not act under the Plan and against and from any and all amounts paid by such persons in settlement (with the Employer’s written approval) or paid by such persons in satisfaction of a judgment in any such action, suit or proceeding. The provisions of this Section 9.3 shall not apply to any person if such loss, cost, liability or expense is due to such person’s gross negligence or willful misconduct.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Non-Alienation of Benefits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 as provided in Section 6.3, or by mutual agreement between the Employer and any Participant or Former Participant, benefits payable under the Plan shall not be subject, in any manner, to anticipation, alienation, sale, transfer, assignment, pledge, encumbrance or charge,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18" w:name="page119"/>
    <w:bookmarkEnd w:id="118"/>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voluntary or involuntary, by operation of law or otherwise, and any attempt at such shall be void; and further provided, that any such benefit shall not in any way be subject to the debts, contract, liabilities, engagements or torts of the person who shall be entitled to such benefit, nor shall it be subject to attachment or legal process for or against such person.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governed and construed in accordance with the laws of the State of New York.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Plan not an Employment Contract</w:t>
      </w:r>
    </w:p>
    <w:p>
      <w:pPr>
        <w:spacing w:after="0" w:line="1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Plan is not, nor shall it be construed to be, an employment contract between the Employer or an Affiliate and an Employee. The receipt of benefits hereunder does not give any person the right to be continued in the employ of the Employer or an Affiliate, and all Employees remain subject to change of salary, transfer, change of job, discipline, layoff, discharge (with or without cause) or any other change of employment status.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Source of Payment</w:t>
      </w:r>
    </w:p>
    <w:p>
      <w:pPr>
        <w:spacing w:after="0" w:line="17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benefits payable under the Plan are an obligation and liability of the applicable Employer. Amounts paid under the Plan shall be paid in cash from the Trust, but only to the extent the amount then standing in the Trust and allocated to a Participant’s or Former Participant’s Account has been paid to the Trust. Amounts not paid from the Trust shall be paid from the general assets of the applicable Employer.</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 Participant, Former Participant or Beneficiary shall have any right, title or interest whatever in or to any investment reserves, accounts, funds or assets that the Employer may purchase, establish or accumulate to aid in providing the benefits described under the Plan. Nothing contained in the Plan, and no action taken pursuant to its provisions, shall create or be construed to create a fiduciary relationship of any kind between the Employer or an Affiliate and a Participant, Former Participant or Beneficiary.</w:t>
      </w:r>
    </w:p>
    <w:p>
      <w:pPr>
        <w:spacing w:after="0" w:line="143" w:lineRule="exact"/>
        <w:rPr>
          <w:sz w:val="20"/>
          <w:szCs w:val="20"/>
          <w:color w:val="auto"/>
        </w:rPr>
      </w:pPr>
    </w:p>
    <w:p>
      <w:pPr>
        <w:ind w:right="1940"/>
        <w:spacing w:after="0" w:line="438" w:lineRule="auto"/>
        <w:rPr>
          <w:sz w:val="20"/>
          <w:szCs w:val="20"/>
          <w:color w:val="auto"/>
        </w:rPr>
      </w:pPr>
      <w:r>
        <w:rPr>
          <w:rFonts w:ascii="Arial" w:cs="Arial" w:eastAsia="Arial" w:hAnsi="Arial"/>
          <w:sz w:val="18"/>
          <w:szCs w:val="18"/>
          <w:color w:val="auto"/>
        </w:rPr>
        <w:t xml:space="preserve">A Participant, Former Participant or Beneficiary shall not acquire any interest under the Plan greater than that of an unsecured creditor. </w:t>
      </w:r>
      <w:r>
        <w:rPr>
          <w:rFonts w:ascii="Arial" w:cs="Arial" w:eastAsia="Arial" w:hAnsi="Arial"/>
          <w:sz w:val="18"/>
          <w:szCs w:val="18"/>
          <w:b w:val="1"/>
          <w:bCs w:val="1"/>
          <w:color w:val="auto"/>
        </w:rPr>
        <w:t>Section 10.4 Tax Withholding</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Employer shall withhold from any payment any federal, 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10.5 Severability</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event any provision of the Plan shall be held invalid or illegal, either in whole or in part, for any reason, then any such provision shall be construed and enforced as if such provisions had never been included in the Plan and the Employer shall have the right to correct or remedy any such provision by amendment to the Plan.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Employer has caused this instrument to be executed by its duly authorized officers in multiple copies, each of which shall be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4"/>
          </w:tcPr>
          <w:p>
            <w:pPr>
              <w:spacing w:after="0"/>
              <w:rPr>
                <w:sz w:val="20"/>
                <w:szCs w:val="20"/>
                <w:color w:val="auto"/>
              </w:rPr>
            </w:pPr>
            <w:r>
              <w:rPr>
                <w:rFonts w:ascii="Arial" w:cs="Arial" w:eastAsia="Arial" w:hAnsi="Arial"/>
                <w:sz w:val="18"/>
                <w:szCs w:val="18"/>
                <w:color w:val="auto"/>
                <w:w w:val="90"/>
              </w:rPr>
              <w:t>deemed an origin but all of which shall constitute one and the same instrument, this   day of</w:t>
            </w:r>
          </w:p>
        </w:tc>
        <w:tc>
          <w:tcPr>
            <w:tcW w:w="520" w:type="dxa"/>
            <w:vAlign w:val="bottom"/>
          </w:tcPr>
          <w:p>
            <w:pPr>
              <w:spacing w:after="0"/>
              <w:rPr>
                <w:sz w:val="17"/>
                <w:szCs w:val="17"/>
                <w:color w:val="auto"/>
              </w:rPr>
            </w:pPr>
          </w:p>
        </w:tc>
        <w:tc>
          <w:tcPr>
            <w:tcW w:w="4280" w:type="dxa"/>
            <w:vAlign w:val="bottom"/>
            <w:gridSpan w:val="2"/>
          </w:tcPr>
          <w:p>
            <w:pPr>
              <w:ind w:left="180"/>
              <w:spacing w:after="0"/>
              <w:rPr>
                <w:sz w:val="20"/>
                <w:szCs w:val="20"/>
                <w:color w:val="auto"/>
              </w:rPr>
            </w:pPr>
            <w:r>
              <w:rPr>
                <w:rFonts w:ascii="Arial" w:cs="Arial" w:eastAsia="Arial" w:hAnsi="Arial"/>
                <w:sz w:val="18"/>
                <w:szCs w:val="18"/>
                <w:color w:val="auto"/>
                <w:w w:val="97"/>
              </w:rPr>
              <w:t>, 1996, but effective as of the first day of June, 1995.</w:t>
            </w:r>
          </w:p>
        </w:tc>
      </w:tr>
      <w:tr>
        <w:trPr>
          <w:trHeight w:val="20"/>
        </w:trPr>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37"/>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0" w:type="dxa"/>
            <w:vAlign w:val="bottom"/>
            <w:gridSpan w:val="3"/>
          </w:tcPr>
          <w:p>
            <w:pPr>
              <w:ind w:left="240"/>
              <w:spacing w:after="0"/>
              <w:rPr>
                <w:sz w:val="20"/>
                <w:szCs w:val="20"/>
                <w:color w:val="auto"/>
              </w:rPr>
            </w:pPr>
            <w:r>
              <w:rPr>
                <w:rFonts w:ascii="Arial" w:cs="Arial" w:eastAsia="Arial" w:hAnsi="Arial"/>
                <w:sz w:val="18"/>
                <w:szCs w:val="18"/>
                <w:b w:val="1"/>
                <w:bCs w:val="1"/>
                <w:color w:val="auto"/>
              </w:rPr>
              <w:t>SCHLUMBERGER LIMITED</w:t>
            </w:r>
          </w:p>
        </w:tc>
      </w:tr>
      <w:tr>
        <w:trPr>
          <w:trHeight w:val="421"/>
        </w:trPr>
        <w:tc>
          <w:tcPr>
            <w:tcW w:w="4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0" w:type="dxa"/>
            <w:vAlign w:val="bottom"/>
            <w:gridSpan w:val="3"/>
          </w:tcPr>
          <w:p>
            <w:pPr>
              <w:ind w:left="240"/>
              <w:spacing w:after="0"/>
              <w:rPr>
                <w:sz w:val="20"/>
                <w:szCs w:val="20"/>
                <w:color w:val="auto"/>
              </w:rPr>
            </w:pPr>
            <w:r>
              <w:rPr>
                <w:rFonts w:ascii="Arial" w:cs="Arial" w:eastAsia="Arial" w:hAnsi="Arial"/>
                <w:sz w:val="18"/>
                <w:szCs w:val="18"/>
                <w:b w:val="1"/>
                <w:bCs w:val="1"/>
                <w:color w:val="auto"/>
              </w:rPr>
              <w:t>By</w:t>
            </w:r>
          </w:p>
        </w:tc>
      </w:tr>
      <w:tr>
        <w:trPr>
          <w:trHeight w:val="410"/>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ATTEST</w:t>
            </w: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r>
      <w:tr>
        <w:trPr>
          <w:trHeight w:val="461"/>
        </w:trPr>
        <w:tc>
          <w:tcPr>
            <w:tcW w:w="45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24"/>
        </w:trPr>
        <w:tc>
          <w:tcPr>
            <w:tcW w:w="6620" w:type="dxa"/>
            <w:vAlign w:val="bottom"/>
            <w:gridSpan w:val="4"/>
          </w:tcPr>
          <w:p>
            <w:pPr>
              <w:spacing w:after="0"/>
              <w:rPr>
                <w:sz w:val="20"/>
                <w:szCs w:val="20"/>
                <w:color w:val="auto"/>
              </w:rPr>
            </w:pPr>
            <w:r>
              <w:rPr>
                <w:rFonts w:ascii="Arial" w:cs="Arial" w:eastAsia="Arial" w:hAnsi="Arial"/>
                <w:sz w:val="18"/>
                <w:szCs w:val="18"/>
                <w:b w:val="1"/>
                <w:bCs w:val="1"/>
                <w:color w:val="auto"/>
              </w:rPr>
              <w:t>[SEAL]</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65"/>
        </w:trPr>
        <w:tc>
          <w:tcPr>
            <w:tcW w:w="59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1998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January 21, 1998,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conformed to include amendments through January 1, 2009)</w:t>
      </w:r>
    </w:p>
    <w:p>
      <w:pPr>
        <w:spacing w:after="0" w:line="199"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25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right="100" w:firstLine="464"/>
        <w:spacing w:after="0" w:line="291" w:lineRule="auto"/>
        <w:tabs>
          <w:tab w:leader="none" w:pos="6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120"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1,000,000 shares during the life of the Plan, and whether such Stock Option shall be designated an “incentive stock option” or a “non-qualified stock option.”</w:t>
      </w:r>
    </w:p>
    <w:p>
      <w:pPr>
        <w:spacing w:after="0" w:line="120" w:lineRule="exact"/>
        <w:rPr>
          <w:rFonts w:ascii="Arial" w:cs="Arial" w:eastAsia="Arial" w:hAnsi="Arial"/>
          <w:sz w:val="16"/>
          <w:szCs w:val="16"/>
          <w:color w:val="auto"/>
        </w:rPr>
      </w:pPr>
    </w:p>
    <w:p>
      <w:pPr>
        <w:ind w:right="580" w:firstLine="464"/>
        <w:spacing w:after="0" w:line="268"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ectPr>
          <w:pgSz w:w="11900" w:h="16838" w:orient="portrait"/>
          <w:cols w:equalWidth="0" w:num="1">
            <w:col w:w="11420"/>
          </w:cols>
          <w:pgMar w:left="240" w:top="125" w:right="239" w:bottom="1440" w:gutter="0" w:footer="0" w:header="0"/>
        </w:sectPr>
      </w:pPr>
    </w:p>
    <w:bookmarkStart w:id="121" w:name="page122"/>
    <w:bookmarkEnd w:id="121"/>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Stock Options</w:t>
      </w:r>
    </w:p>
    <w:p>
      <w:pPr>
        <w:spacing w:after="0" w:line="96" w:lineRule="exact"/>
        <w:rPr>
          <w:rFonts w:ascii="Arial" w:cs="Arial" w:eastAsia="Arial" w:hAnsi="Arial"/>
          <w:sz w:val="18"/>
          <w:szCs w:val="18"/>
          <w:b w:val="1"/>
          <w:bCs w:val="1"/>
          <w:color w:val="auto"/>
        </w:rPr>
      </w:pPr>
    </w:p>
    <w:p>
      <w:pPr>
        <w:ind w:right="60" w:firstLine="464"/>
        <w:spacing w:after="0" w:line="253"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47" w:lineRule="exact"/>
        <w:rPr>
          <w:rFonts w:ascii="Arial" w:cs="Arial" w:eastAsia="Arial" w:hAnsi="Arial"/>
          <w:sz w:val="18"/>
          <w:szCs w:val="18"/>
          <w:color w:val="auto"/>
        </w:rPr>
      </w:pPr>
    </w:p>
    <w:p>
      <w:pPr>
        <w:ind w:right="20" w:firstLine="464"/>
        <w:spacing w:after="0" w:line="290" w:lineRule="auto"/>
        <w:tabs>
          <w:tab w:leader="none" w:pos="705"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Except in the case of death or disability (as described in Section 5(c)(iv)(B) or 5(c)(v)(B)),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 For the avoidance of doubt, in no event shall the provisions of the preceding sentence apply to any Stock Option held by an optionee whose employment terminated due to death or disability prior to January 17, 2008.</w:t>
      </w:r>
    </w:p>
    <w:p>
      <w:pPr>
        <w:spacing w:after="0" w:line="118" w:lineRule="exact"/>
        <w:rPr>
          <w:rFonts w:ascii="Arial" w:cs="Arial" w:eastAsia="Arial" w:hAnsi="Arial"/>
          <w:sz w:val="16"/>
          <w:szCs w:val="16"/>
          <w:color w:val="auto"/>
        </w:rPr>
      </w:pPr>
    </w:p>
    <w:p>
      <w:pPr>
        <w:jc w:val="both"/>
        <w:ind w:right="200" w:firstLine="464"/>
        <w:spacing w:after="0" w:line="259" w:lineRule="auto"/>
        <w:tabs>
          <w:tab w:leader="none" w:pos="6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purchase price of the shares as to which a Stock Option is exercised shall be paid in full at the time of the exercise subject to such rules, procedures and restrictions as the Committee may prescribe from time to time: (i) 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adjustment as provided in Section 8 hereof, there shall be subject to the Plan 12,000,000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2" w:name="page123"/>
    <w:bookmarkEnd w:id="12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256"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96"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21, 2008.</w:t>
      </w:r>
    </w:p>
    <w:p>
      <w:pPr>
        <w:spacing w:after="0" w:line="118" w:lineRule="exact"/>
        <w:rPr>
          <w:rFonts w:ascii="Arial" w:cs="Arial" w:eastAsia="Arial" w:hAnsi="Arial"/>
          <w:sz w:val="16"/>
          <w:szCs w:val="16"/>
          <w:color w:val="auto"/>
        </w:rPr>
      </w:pPr>
    </w:p>
    <w:p>
      <w:pPr>
        <w:ind w:right="60" w:firstLine="464"/>
        <w:spacing w:after="0" w:line="289" w:lineRule="auto"/>
        <w:tabs>
          <w:tab w:leader="none" w:pos="705"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118" w:lineRule="exact"/>
        <w:rPr>
          <w:rFonts w:ascii="Arial" w:cs="Arial" w:eastAsia="Arial" w:hAnsi="Arial"/>
          <w:sz w:val="16"/>
          <w:szCs w:val="16"/>
          <w:color w:val="auto"/>
        </w:rPr>
      </w:pPr>
    </w:p>
    <w:p>
      <w:pPr>
        <w:ind w:firstLine="464"/>
        <w:spacing w:after="0" w:line="294" w:lineRule="auto"/>
        <w:tabs>
          <w:tab w:leader="none" w:pos="695" w:val="left"/>
        </w:tabs>
        <w:numPr>
          <w:ilvl w:val="1"/>
          <w:numId w:val="82"/>
        </w:numPr>
        <w:rPr>
          <w:rFonts w:ascii="Arial" w:cs="Arial" w:eastAsia="Arial" w:hAnsi="Arial"/>
          <w:sz w:val="16"/>
          <w:szCs w:val="16"/>
          <w:color w:val="auto"/>
        </w:rPr>
      </w:pPr>
      <w:r>
        <w:rPr>
          <w:rFonts w:ascii="Arial" w:cs="Arial" w:eastAsia="Arial" w:hAnsi="Arial"/>
          <w:sz w:val="16"/>
          <w:szCs w:val="16"/>
          <w:color w:val="auto"/>
        </w:rPr>
        <w:t>(i) Subject to the requirements of Section 3(b), each Stock Option granted hereunder shall be exercisable in one or more installments (annual or other) on such date or dates as the Committee may in its sole discretion determine and communicate to the optionee in communicating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 For the avoidance of doubt, in no event shall the provisions of this Section 5(c)(i) apply to any Stock Option held by an optionee whose employment terminated due to death or disability prior to January 17, 2008.</w:t>
      </w:r>
    </w:p>
    <w:p>
      <w:pPr>
        <w:spacing w:after="0" w:line="34" w:lineRule="exact"/>
        <w:rPr>
          <w:rFonts w:ascii="Arial" w:cs="Arial" w:eastAsia="Arial" w:hAnsi="Arial"/>
          <w:sz w:val="16"/>
          <w:szCs w:val="16"/>
          <w:color w:val="auto"/>
        </w:rPr>
      </w:pPr>
    </w:p>
    <w:p>
      <w:pPr>
        <w:ind w:left="460" w:right="300" w:firstLine="443"/>
        <w:spacing w:after="0" w:line="332" w:lineRule="auto"/>
        <w:tabs>
          <w:tab w:leader="none" w:pos="1157" w:val="left"/>
        </w:tabs>
        <w:numPr>
          <w:ilvl w:val="2"/>
          <w:numId w:val="82"/>
        </w:numPr>
        <w:rPr>
          <w:rFonts w:ascii="Arial" w:cs="Arial" w:eastAsia="Arial" w:hAnsi="Arial"/>
          <w:sz w:val="16"/>
          <w:szCs w:val="16"/>
          <w:color w:val="auto"/>
        </w:rPr>
      </w:pPr>
      <w:r>
        <w:rPr>
          <w:rFonts w:ascii="Arial" w:cs="Arial" w:eastAsia="Arial" w:hAnsi="Arial"/>
          <w:sz w:val="16"/>
          <w:szCs w:val="16"/>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3" w:name="page124"/>
    <w:bookmarkEnd w:id="123"/>
    <w:p>
      <w:pPr>
        <w:ind w:firstLine="443"/>
        <w:spacing w:after="0" w:line="268" w:lineRule="auto"/>
        <w:tabs>
          <w:tab w:leader="none" w:pos="745"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after the granting of any such Stock Option, the Committee may accelerate the installment exercise dates (subject, however, to any applicable limitations concerning options designated “incentive stock options”).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Termination of Employment and Subsequent Events.</w:t>
      </w:r>
    </w:p>
    <w:p>
      <w:pPr>
        <w:spacing w:after="0" w:line="90" w:lineRule="exact"/>
        <w:rPr>
          <w:rFonts w:ascii="Arial" w:cs="Arial" w:eastAsia="Arial" w:hAnsi="Arial"/>
          <w:sz w:val="18"/>
          <w:szCs w:val="18"/>
          <w:color w:val="auto"/>
        </w:rPr>
      </w:pPr>
    </w:p>
    <w:p>
      <w:pPr>
        <w:ind w:left="460" w:right="40" w:firstLine="421"/>
        <w:spacing w:after="0" w:line="298" w:lineRule="auto"/>
        <w:tabs>
          <w:tab w:leader="none" w:pos="1167"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31" w:lineRule="exact"/>
        <w:rPr>
          <w:rFonts w:ascii="Arial" w:cs="Arial" w:eastAsia="Arial" w:hAnsi="Arial"/>
          <w:sz w:val="16"/>
          <w:szCs w:val="16"/>
          <w:color w:val="auto"/>
        </w:rPr>
      </w:pPr>
    </w:p>
    <w:p>
      <w:pPr>
        <w:ind w:left="460" w:firstLine="421"/>
        <w:spacing w:after="0" w:line="256" w:lineRule="auto"/>
        <w:tabs>
          <w:tab w:leader="none" w:pos="11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62" w:lineRule="exact"/>
        <w:rPr>
          <w:rFonts w:ascii="Arial" w:cs="Arial" w:eastAsia="Arial" w:hAnsi="Arial"/>
          <w:sz w:val="18"/>
          <w:szCs w:val="18"/>
          <w:color w:val="auto"/>
        </w:rPr>
      </w:pPr>
    </w:p>
    <w:p>
      <w:pPr>
        <w:ind w:left="460" w:right="20" w:firstLine="421"/>
        <w:spacing w:after="0" w:line="294" w:lineRule="auto"/>
        <w:tabs>
          <w:tab w:leader="none" w:pos="1158" w:val="left"/>
        </w:tabs>
        <w:numPr>
          <w:ilvl w:val="1"/>
          <w:numId w:val="83"/>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commence on the date of the optionee’s termination of employment and shall end sixty (60) months thereafter or the remainder of the Option Period whichever is less.</w:t>
      </w:r>
    </w:p>
    <w:p>
      <w:pPr>
        <w:spacing w:after="0" w:line="34" w:lineRule="exact"/>
        <w:rPr>
          <w:rFonts w:ascii="Arial" w:cs="Arial" w:eastAsia="Arial" w:hAnsi="Arial"/>
          <w:sz w:val="16"/>
          <w:szCs w:val="16"/>
          <w:color w:val="auto"/>
        </w:rPr>
      </w:pPr>
    </w:p>
    <w:p>
      <w:pPr>
        <w:jc w:val="both"/>
        <w:ind w:left="460" w:firstLine="421"/>
        <w:spacing w:after="0" w:line="256" w:lineRule="auto"/>
        <w:tabs>
          <w:tab w:leader="none" w:pos="1167"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62" w:lineRule="exact"/>
        <w:rPr>
          <w:rFonts w:ascii="Arial" w:cs="Arial" w:eastAsia="Arial" w:hAnsi="Arial"/>
          <w:sz w:val="18"/>
          <w:szCs w:val="18"/>
          <w:color w:val="auto"/>
        </w:rPr>
      </w:pPr>
    </w:p>
    <w:p>
      <w:pPr>
        <w:ind w:left="460" w:firstLine="421"/>
        <w:spacing w:after="0" w:line="259" w:lineRule="auto"/>
        <w:tabs>
          <w:tab w:leader="none" w:pos="1148" w:val="left"/>
        </w:tabs>
        <w:numPr>
          <w:ilvl w:val="1"/>
          <w:numId w:val="83"/>
        </w:numPr>
        <w:rPr>
          <w:rFonts w:ascii="Arial" w:cs="Arial" w:eastAsia="Arial" w:hAnsi="Arial"/>
          <w:sz w:val="18"/>
          <w:szCs w:val="18"/>
          <w:color w:val="auto"/>
        </w:rPr>
      </w:pPr>
      <w:r>
        <w:rPr>
          <w:rFonts w:ascii="Arial" w:cs="Arial" w:eastAsia="Arial" w:hAnsi="Arial"/>
          <w:sz w:val="18"/>
          <w:szCs w:val="18"/>
          <w:color w:val="auto"/>
        </w:rPr>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w:t>
      </w:r>
    </w:p>
    <w:p>
      <w:pPr>
        <w:spacing w:after="0" w:line="1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00" w:top="280" w:right="399" w:bottom="1440" w:gutter="0" w:footer="0" w:header="0"/>
        </w:sectPr>
      </w:pPr>
    </w:p>
    <w:bookmarkStart w:id="124" w:name="page125"/>
    <w:bookmarkEnd w:id="12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5(c)(iv) apply to any Stock Option held by an optionee whose employment terminated due to death or disability prior to January 17, 2008.</w:t>
      </w:r>
    </w:p>
    <w:p>
      <w:pPr>
        <w:spacing w:after="0" w:line="51" w:lineRule="exact"/>
        <w:rPr>
          <w:sz w:val="20"/>
          <w:szCs w:val="20"/>
          <w:color w:val="auto"/>
        </w:rPr>
      </w:pPr>
    </w:p>
    <w:p>
      <w:pPr>
        <w:ind w:left="700" w:hanging="257"/>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Retirement, Disability and Subsequent Events.</w:t>
      </w:r>
    </w:p>
    <w:p>
      <w:pPr>
        <w:spacing w:after="0" w:line="90" w:lineRule="exact"/>
        <w:rPr>
          <w:rFonts w:ascii="Arial" w:cs="Arial" w:eastAsia="Arial" w:hAnsi="Arial"/>
          <w:sz w:val="18"/>
          <w:szCs w:val="18"/>
          <w:color w:val="auto"/>
        </w:rPr>
      </w:pPr>
    </w:p>
    <w:p>
      <w:pPr>
        <w:jc w:val="both"/>
        <w:ind w:left="460" w:firstLine="421"/>
        <w:spacing w:after="0" w:line="298" w:lineRule="auto"/>
        <w:tabs>
          <w:tab w:leader="none" w:pos="1167"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(within the meaning of any prevailing pension plan in which such optionee is a participant),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w:t>
      </w:r>
    </w:p>
    <w:p>
      <w:pPr>
        <w:spacing w:after="0" w:line="31" w:lineRule="exact"/>
        <w:rPr>
          <w:rFonts w:ascii="Arial" w:cs="Arial" w:eastAsia="Arial" w:hAnsi="Arial"/>
          <w:sz w:val="16"/>
          <w:szCs w:val="16"/>
          <w:color w:val="auto"/>
        </w:rPr>
      </w:pPr>
    </w:p>
    <w:p>
      <w:pPr>
        <w:ind w:left="460" w:right="20" w:firstLine="421"/>
        <w:spacing w:after="0" w:line="298" w:lineRule="auto"/>
        <w:tabs>
          <w:tab w:leader="none" w:pos="1158"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25" w:name="page126"/>
    <w:bookmarkEnd w:id="125"/>
    <w:p>
      <w:pPr>
        <w:ind w:left="88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62" w:lineRule="exact"/>
        <w:rPr>
          <w:sz w:val="20"/>
          <w:szCs w:val="20"/>
          <w:color w:val="auto"/>
        </w:rPr>
      </w:pPr>
    </w:p>
    <w:p>
      <w:pPr>
        <w:jc w:val="both"/>
        <w:ind w:left="880" w:right="40" w:firstLine="421"/>
        <w:spacing w:after="0" w:line="256" w:lineRule="auto"/>
        <w:tabs>
          <w:tab w:leader="none" w:pos="157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62" w:lineRule="exact"/>
        <w:rPr>
          <w:rFonts w:ascii="Arial" w:cs="Arial" w:eastAsia="Arial" w:hAnsi="Arial"/>
          <w:sz w:val="18"/>
          <w:szCs w:val="18"/>
          <w:color w:val="auto"/>
        </w:rPr>
      </w:pPr>
    </w:p>
    <w:p>
      <w:pPr>
        <w:ind w:left="880" w:right="140" w:firstLine="421"/>
        <w:spacing w:after="0" w:line="288" w:lineRule="auto"/>
        <w:tabs>
          <w:tab w:leader="none" w:pos="1587" w:val="left"/>
        </w:tabs>
        <w:numPr>
          <w:ilvl w:val="0"/>
          <w:numId w:val="85"/>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5(c)(iv)(E))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39" w:lineRule="exact"/>
        <w:rPr>
          <w:sz w:val="20"/>
          <w:szCs w:val="20"/>
          <w:color w:val="auto"/>
        </w:rPr>
      </w:pPr>
    </w:p>
    <w:p>
      <w:pPr>
        <w:ind w:left="420" w:right="460"/>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5(c)(v) apply to any Stock Option held by an optionee whose employment terminated due to death or disability prior to January 17, 2008.</w:t>
      </w:r>
    </w:p>
    <w:p>
      <w:pPr>
        <w:spacing w:after="0" w:line="51" w:lineRule="exact"/>
        <w:rPr>
          <w:sz w:val="20"/>
          <w:szCs w:val="20"/>
          <w:color w:val="auto"/>
        </w:rPr>
      </w:pPr>
    </w:p>
    <w:p>
      <w:pPr>
        <w:ind w:left="420" w:right="320" w:firstLine="443"/>
        <w:spacing w:after="0" w:line="268" w:lineRule="auto"/>
        <w:tabs>
          <w:tab w:leader="none" w:pos="1156"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the other provisions of this paragraph (c), in no event may a Stock Option be exercised after the expiration of ten (10) years from the date such Stock Option is granted.</w:t>
      </w:r>
    </w:p>
    <w:p>
      <w:pPr>
        <w:spacing w:after="0" w:line="131" w:lineRule="exact"/>
        <w:rPr>
          <w:rFonts w:ascii="Arial" w:cs="Arial" w:eastAsia="Arial" w:hAnsi="Arial"/>
          <w:sz w:val="18"/>
          <w:szCs w:val="18"/>
          <w:color w:val="auto"/>
        </w:rPr>
      </w:pPr>
    </w:p>
    <w:p>
      <w:pPr>
        <w:ind w:left="-40" w:firstLine="464"/>
        <w:spacing w:after="0" w:line="298" w:lineRule="auto"/>
        <w:tabs>
          <w:tab w:leader="none" w:pos="6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The Committee shall designate whether a Stock Option is to be an “incentive stock option” for purposes of Section 422 of the Code.</w:t>
      </w:r>
    </w:p>
    <w:p>
      <w:pPr>
        <w:spacing w:after="0" w:line="286"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Stock Options granted under the Plan shall not be assignable or otherwise transferable by the recipient except by will or the laws of descent and</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232"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258"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96" w:lineRule="exact"/>
        <w:rPr>
          <w:rFonts w:ascii="Arial" w:cs="Arial" w:eastAsia="Arial" w:hAnsi="Arial"/>
          <w:sz w:val="18"/>
          <w:szCs w:val="18"/>
          <w:b w:val="1"/>
          <w:bCs w:val="1"/>
          <w:color w:val="auto"/>
        </w:rPr>
      </w:pPr>
    </w:p>
    <w:p>
      <w:pPr>
        <w:ind w:right="100" w:firstLine="464"/>
        <w:spacing w:after="0" w:line="255" w:lineRule="auto"/>
        <w:tabs>
          <w:tab w:leader="none" w:pos="6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142" w:lineRule="exact"/>
        <w:rPr>
          <w:rFonts w:ascii="Arial" w:cs="Arial" w:eastAsia="Arial" w:hAnsi="Arial"/>
          <w:sz w:val="18"/>
          <w:szCs w:val="18"/>
          <w:color w:val="auto"/>
        </w:rPr>
      </w:pPr>
    </w:p>
    <w:p>
      <w:pPr>
        <w:ind w:firstLine="464"/>
        <w:spacing w:after="0" w:line="256" w:lineRule="auto"/>
        <w:tabs>
          <w:tab w:leader="none" w:pos="705"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43" w:lineRule="exact"/>
        <w:rPr>
          <w:rFonts w:ascii="Arial" w:cs="Arial" w:eastAsia="Arial" w:hAnsi="Arial"/>
          <w:sz w:val="18"/>
          <w:szCs w:val="18"/>
          <w:color w:val="auto"/>
        </w:rPr>
      </w:pPr>
    </w:p>
    <w:p>
      <w:pPr>
        <w:ind w:right="220" w:firstLine="464"/>
        <w:spacing w:after="0" w:line="268" w:lineRule="auto"/>
        <w:tabs>
          <w:tab w:leader="none" w:pos="6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Shares with respect to which Stock Options may be granted hereunder are shares of the Common Stock of the Company as presently constituted, but if, and whenever, prior to the delivery by the Company or a subsidiary of all of the Shares which are subject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7" w:name="page128"/>
    <w:bookmarkEnd w:id="127"/>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62" w:lineRule="exact"/>
        <w:rPr>
          <w:sz w:val="20"/>
          <w:szCs w:val="20"/>
          <w:color w:val="auto"/>
        </w:rPr>
      </w:pPr>
    </w:p>
    <w:p>
      <w:pPr>
        <w:ind w:left="460" w:right="20" w:firstLine="443"/>
        <w:spacing w:after="0" w:line="268" w:lineRule="auto"/>
        <w:tabs>
          <w:tab w:leader="none" w:pos="1108" w:val="left"/>
        </w:tabs>
        <w:numPr>
          <w:ilvl w:val="2"/>
          <w:numId w:val="9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57" w:val="left"/>
        </w:tabs>
        <w:numPr>
          <w:ilvl w:val="2"/>
          <w:numId w:val="91"/>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spacing w:after="0" w:line="131" w:lineRule="exact"/>
        <w:rPr>
          <w:rFonts w:ascii="Arial" w:cs="Arial" w:eastAsia="Arial" w:hAnsi="Arial"/>
          <w:sz w:val="18"/>
          <w:szCs w:val="18"/>
          <w:color w:val="auto"/>
        </w:rPr>
      </w:pPr>
    </w:p>
    <w:p>
      <w:pPr>
        <w:ind w:right="60" w:firstLine="464"/>
        <w:spacing w:after="0" w:line="286" w:lineRule="auto"/>
        <w:tabs>
          <w:tab w:leader="none" w:pos="705"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242" w:lineRule="exact"/>
        <w:rPr>
          <w:rFonts w:ascii="Arial" w:cs="Arial" w:eastAsia="Arial" w:hAnsi="Arial"/>
          <w:sz w:val="16"/>
          <w:szCs w:val="16"/>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It is intended that the Stock Options and Shares covered by the Plan will be registered under the Securities Act of 1933, as amended. At the time any Shares are issued or transferred to satisfy the exercise of a Stock Option granted under the Plan, such Shares will have been listed (or listed subject to notice of issuance) on the New York Stock Exchange.</w:t>
      </w:r>
    </w:p>
    <w:p>
      <w:pPr>
        <w:spacing w:after="0" w:line="25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Returns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28" w:name="page129"/>
    <w:bookmarkEnd w:id="128"/>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Term</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Plan shall be effective January 21, 1998,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January 21, 2008.</w:t>
      </w:r>
    </w:p>
    <w:p>
      <w:pPr>
        <w:spacing w:after="0" w:line="256"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Board of Directors may amend, alter or discontinue the Plan at any time insofar as permitted by law, but no amendment or alteration shall be made without the approval of the stockholders:</w:t>
      </w:r>
    </w:p>
    <w:p>
      <w:pPr>
        <w:spacing w:after="0" w:line="132" w:lineRule="exact"/>
        <w:rPr>
          <w:sz w:val="20"/>
          <w:szCs w:val="20"/>
          <w:color w:val="auto"/>
        </w:rPr>
      </w:pPr>
    </w:p>
    <w:p>
      <w:pPr>
        <w:ind w:right="60" w:firstLine="464"/>
        <w:spacing w:after="0" w:line="259"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and to the extent such amendment requires stockholder approval under Section 422 of the Code (or any successor provision).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24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Established Effective February 16,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conformed to include amendments through January 1, 2009)</w:t>
      </w:r>
    </w:p>
    <w:p>
      <w:pPr>
        <w:spacing w:after="0" w:line="199"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Stock Option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stimulate the active interest of such persons in the development and financial success of the Company.</w:t>
      </w:r>
    </w:p>
    <w:p>
      <w:pPr>
        <w:spacing w:after="0" w:line="259"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rFonts w:ascii="Arial" w:cs="Arial" w:eastAsia="Arial" w:hAnsi="Arial"/>
          <w:sz w:val="18"/>
          <w:szCs w:val="18"/>
          <w:b w:val="1"/>
          <w:bCs w:val="1"/>
          <w:color w:val="auto"/>
        </w:rPr>
      </w:pPr>
    </w:p>
    <w:p>
      <w:pPr>
        <w:ind w:right="100" w:firstLine="464"/>
        <w:spacing w:after="0" w:line="291" w:lineRule="auto"/>
        <w:tabs>
          <w:tab w:leader="none" w:pos="69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Board of Directors shall appoint and maintain a Compensation Committee (the “Committee”) which shall consist of at least three (3) members of the Board of Directors, none of whom is an officer or employee of the Company, who shall serve at the pleasure of the Board. The Committee may from time to time grant incentive stock options and non-qualified stock options (“Stock Options”) under the Plan to the persons described in Section 3 hereof. No member of such Committee shall be eligible to receive Stock Options under this Plan during his or her tenure on the Committee. Members of the Committee shall be subject to any additional restrictions necessary to satisfy the definition of “Non-Employee Director” as set forth in Rule 16b-3 under the United States Securities Exchange Act of 1934 (the “Act”) as it may be amended from time to time.</w:t>
      </w:r>
    </w:p>
    <w:p>
      <w:pPr>
        <w:spacing w:after="0" w:line="120" w:lineRule="exact"/>
        <w:rPr>
          <w:rFonts w:ascii="Arial" w:cs="Arial" w:eastAsia="Arial" w:hAnsi="Arial"/>
          <w:sz w:val="16"/>
          <w:szCs w:val="16"/>
          <w:color w:val="auto"/>
        </w:rPr>
      </w:pPr>
    </w:p>
    <w:p>
      <w:pPr>
        <w:ind w:right="20" w:firstLine="464"/>
        <w:spacing w:after="0" w:line="291" w:lineRule="auto"/>
        <w:tabs>
          <w:tab w:leader="none" w:pos="70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Committee shall have full power and authority to interpret the provisions of the Plan and supervise its administration. All decisions and selections made by the Committee pursuant to the provisions of the Plan shall be made by a majority of its members. Any decision reduced to writing and signed by a majority of the members shall be fully effective as if adopted by a majority at a meeting duly held. Subject to the provisions of the Plan, the Committee shall have full and final authority to determine the persons to whom Stock Options hereunder shall be granted, the number of shares to be covered by each Stock Option except that no optionee may be granted options for more than 500,000 shares during the life of the Plan, and whether such Stock Option shall be designated an “incentive stock option” or a “non-qualified stock option.”</w:t>
      </w:r>
    </w:p>
    <w:p>
      <w:pPr>
        <w:spacing w:after="0" w:line="120" w:lineRule="exact"/>
        <w:rPr>
          <w:rFonts w:ascii="Arial" w:cs="Arial" w:eastAsia="Arial" w:hAnsi="Arial"/>
          <w:sz w:val="16"/>
          <w:szCs w:val="16"/>
          <w:color w:val="auto"/>
        </w:rPr>
      </w:pPr>
    </w:p>
    <w:p>
      <w:pPr>
        <w:ind w:right="580" w:firstLine="464"/>
        <w:spacing w:after="0" w:line="268" w:lineRule="auto"/>
        <w:tabs>
          <w:tab w:leader="none" w:pos="69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member of the Committee shall be liable for anything done or omitted to be done by him or by her or any other member of the Committee in connection with the Plan, except for his or her own willful misconduct or as expressly provided by statute.</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0" w:name="page131"/>
    <w:bookmarkEnd w:id="130"/>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Stock Options</w:t>
      </w:r>
    </w:p>
    <w:p>
      <w:pPr>
        <w:spacing w:after="0" w:line="96" w:lineRule="exact"/>
        <w:rPr>
          <w:rFonts w:ascii="Arial" w:cs="Arial" w:eastAsia="Arial" w:hAnsi="Arial"/>
          <w:sz w:val="18"/>
          <w:szCs w:val="18"/>
          <w:b w:val="1"/>
          <w:bCs w:val="1"/>
          <w:color w:val="auto"/>
        </w:rPr>
      </w:pPr>
    </w:p>
    <w:p>
      <w:pPr>
        <w:ind w:right="60" w:firstLine="464"/>
        <w:spacing w:after="0" w:line="253" w:lineRule="auto"/>
        <w:tabs>
          <w:tab w:leader="none" w:pos="6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persons eligible for participation in the Plan as recipients of Stock Options shall include only employees of the Company or its 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Stock Options at the Committee’s discretion including simultaneous grants of different forms of Stock Options.</w:t>
      </w:r>
    </w:p>
    <w:p>
      <w:pPr>
        <w:spacing w:after="0" w:line="147" w:lineRule="exact"/>
        <w:rPr>
          <w:rFonts w:ascii="Arial" w:cs="Arial" w:eastAsia="Arial" w:hAnsi="Arial"/>
          <w:sz w:val="18"/>
          <w:szCs w:val="18"/>
          <w:color w:val="auto"/>
        </w:rPr>
      </w:pPr>
    </w:p>
    <w:p>
      <w:pPr>
        <w:ind w:right="60" w:firstLine="464"/>
        <w:spacing w:after="0" w:line="290" w:lineRule="auto"/>
        <w:tabs>
          <w:tab w:leader="none" w:pos="70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Committee in granting Stock Options hereunder shall have discretion to determine the terms and conditions upon which such Stock Options may be exercisable. Each grant of a Stock Option shall be confirmed by an Agreement consistent with this Plan which shall be executed by the Company and by the person to whom such Stock Option is granted. Except in the case of death or disability (as described in Section 5(c)(iv)(B) or 5(c)(v)(B)),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 For the avoidance of doubt, in no event shall the provisions of this preceding sentence apply to any Stock Option held by an optionee whose employment terminated due to death or disability prior to January 17, 2008.</w:t>
      </w:r>
    </w:p>
    <w:p>
      <w:pPr>
        <w:spacing w:after="0" w:line="118" w:lineRule="exact"/>
        <w:rPr>
          <w:rFonts w:ascii="Arial" w:cs="Arial" w:eastAsia="Arial" w:hAnsi="Arial"/>
          <w:sz w:val="16"/>
          <w:szCs w:val="16"/>
          <w:color w:val="auto"/>
        </w:rPr>
      </w:pPr>
    </w:p>
    <w:p>
      <w:pPr>
        <w:jc w:val="both"/>
        <w:ind w:right="200" w:firstLine="464"/>
        <w:spacing w:after="0" w:line="259" w:lineRule="auto"/>
        <w:tabs>
          <w:tab w:leader="none" w:pos="6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For purposes of this Plan, employment with the Company shall include employment with any subsidiary of the Company, and Stock Options granted under this Plan shall not be affected by an employee’s transfer of employment from the Company to a subsidiary, from a subsidiary to the Company or between subsidiaries.</w:t>
      </w:r>
    </w:p>
    <w:p>
      <w:pPr>
        <w:spacing w:after="0" w:line="140" w:lineRule="exact"/>
        <w:rPr>
          <w:rFonts w:ascii="Arial" w:cs="Arial" w:eastAsia="Arial" w:hAnsi="Arial"/>
          <w:sz w:val="18"/>
          <w:szCs w:val="18"/>
          <w:color w:val="auto"/>
        </w:rPr>
      </w:pPr>
    </w:p>
    <w:p>
      <w:pPr>
        <w:jc w:val="both"/>
        <w:ind w:firstLine="464"/>
        <w:spacing w:after="0" w:line="256" w:lineRule="auto"/>
        <w:tabs>
          <w:tab w:leader="none" w:pos="70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purchase price of the shares as to which a Stock Option is exercised shall be paid in full at the time of the exercise subject to such rules, procedures and restrictions as the Committee may prescribe from time to time: (i) in cash or by certified check; (ii) by the delivery of shares of Schlumberger Common Stock with a fair market value (as determined according to Section 5(b) of the Plan) at the time of exercise equal to the total option price; or (iii) by a combination of the methods described in (i) and (ii).</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adjustment as provided in Section 8 hereof, there shall be subject to the Plan 9,000,000 shares of Common Stock, par value $0.01 per share, of the Company (the “Shares”). The Shares subject to the Plan shall consist of authorized and unissued shares or previously issued shares reacquired and held by the Company or any subsidiary. Should any Stock Option expire or be terminated prior to its exercise in full and prior to the termination of the Plan, the Shares theretofore subject to such Stock Option shall be available for further grants under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1" w:name="page132"/>
    <w:bookmarkEnd w:id="131"/>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Until termination of the Plan, the Company and/or one or more subsidiaries shall at all times make available a sufficient number of Shares to meet the requirements of the Plan. After termination of the Plan, the number of Shares reserved for purposes of the Plan from time to time shall be only such number of Shares as are issuable under then outstanding Stock Options.</w:t>
      </w:r>
    </w:p>
    <w:p>
      <w:pPr>
        <w:spacing w:after="0" w:line="25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96" w:lineRule="exact"/>
        <w:rPr>
          <w:rFonts w:ascii="Arial" w:cs="Arial" w:eastAsia="Arial" w:hAnsi="Arial"/>
          <w:sz w:val="18"/>
          <w:szCs w:val="18"/>
          <w:b w:val="1"/>
          <w:bCs w:val="1"/>
          <w:color w:val="auto"/>
        </w:rPr>
      </w:pPr>
    </w:p>
    <w:p>
      <w:pPr>
        <w:ind w:firstLine="464"/>
        <w:spacing w:after="0" w:line="290"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Stock Options granted under this Plan which are designated as “incentive stock options” may be granted with respect to any number of Shares, subject to the limitation that the aggregate fair market value of such Shares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 No Stock Options shall be granted pursuant to the Plan after January 17, 2011.</w:t>
      </w:r>
    </w:p>
    <w:p>
      <w:pPr>
        <w:spacing w:after="0" w:line="118" w:lineRule="exact"/>
        <w:rPr>
          <w:rFonts w:ascii="Arial" w:cs="Arial" w:eastAsia="Arial" w:hAnsi="Arial"/>
          <w:sz w:val="16"/>
          <w:szCs w:val="16"/>
          <w:color w:val="auto"/>
        </w:rPr>
      </w:pPr>
    </w:p>
    <w:p>
      <w:pPr>
        <w:ind w:right="60" w:firstLine="464"/>
        <w:spacing w:after="0" w:line="289"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purchase price of each Share subject to a Stock Option shall be determined by the Committee prior to granting a Stock Option. The Committee shall set the purchase price for each Share at either the fair market value (the “Fair Market Value”) of each Share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were traded shall be the Fair Market value.</w:t>
      </w:r>
    </w:p>
    <w:p>
      <w:pPr>
        <w:spacing w:after="0" w:line="118" w:lineRule="exact"/>
        <w:rPr>
          <w:rFonts w:ascii="Arial" w:cs="Arial" w:eastAsia="Arial" w:hAnsi="Arial"/>
          <w:sz w:val="16"/>
          <w:szCs w:val="16"/>
          <w:color w:val="auto"/>
        </w:rPr>
      </w:pPr>
    </w:p>
    <w:p>
      <w:pPr>
        <w:ind w:firstLine="464"/>
        <w:spacing w:after="0" w:line="294" w:lineRule="auto"/>
        <w:tabs>
          <w:tab w:leader="none" w:pos="69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 Subject to the requirements of Section 3(b), each Stock Option granted hereunder shall be exercisable in one or more installments (annual or other) on such date or dates as the Committee may in its sole discretion determine and communicate to the optionee in communicating the grant of the option, provided that no Stock Option may be exercised after the expiration of ten (10) years from the date such option is granted (the maximum term established by the Committee with respect to a particular Stock Option is hereinafter referred to as the “Option Period”). For the avoidance of doubt, in no event shall the provisions of this Section 5(c)(i) apply to any Stock Option held by an optionee whose employment terminated due to death or disability prior to January 17, 2008.</w:t>
      </w:r>
    </w:p>
    <w:p>
      <w:pPr>
        <w:spacing w:after="0" w:line="34" w:lineRule="exact"/>
        <w:rPr>
          <w:rFonts w:ascii="Arial" w:cs="Arial" w:eastAsia="Arial" w:hAnsi="Arial"/>
          <w:sz w:val="16"/>
          <w:szCs w:val="16"/>
          <w:color w:val="auto"/>
        </w:rPr>
      </w:pPr>
    </w:p>
    <w:p>
      <w:pPr>
        <w:ind w:left="460" w:right="300" w:firstLine="443"/>
        <w:spacing w:after="0" w:line="332" w:lineRule="auto"/>
        <w:tabs>
          <w:tab w:leader="none" w:pos="1157" w:val="left"/>
        </w:tabs>
        <w:numPr>
          <w:ilvl w:val="2"/>
          <w:numId w:val="102"/>
        </w:numPr>
        <w:rPr>
          <w:rFonts w:ascii="Arial" w:cs="Arial" w:eastAsia="Arial" w:hAnsi="Arial"/>
          <w:sz w:val="16"/>
          <w:szCs w:val="16"/>
          <w:color w:val="auto"/>
        </w:rPr>
      </w:pPr>
      <w:r>
        <w:rPr>
          <w:rFonts w:ascii="Arial" w:cs="Arial" w:eastAsia="Arial" w:hAnsi="Arial"/>
          <w:sz w:val="16"/>
          <w:szCs w:val="16"/>
          <w:color w:val="auto"/>
        </w:rPr>
        <w:t>Except as provided in paragraph (e) below, the right to purchase Shares shall be cumulative so that when the right to purchase any Shares has accrued such Shares or any part thereof may be purchased at any time thereafter until the expiration or termination of the Stock Option.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32" w:name="page133"/>
    <w:bookmarkEnd w:id="132"/>
    <w:p>
      <w:pPr>
        <w:ind w:firstLine="443"/>
        <w:spacing w:after="0" w:line="268" w:lineRule="auto"/>
        <w:tabs>
          <w:tab w:leader="none" w:pos="7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any time after the granting of any such Stock Option, the Committee may accelerate the installment exercise dates (subject, however, to any applicable limitations concerning options designated “incentive stock options”).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21"/>
        <w:spacing w:after="0" w:line="298" w:lineRule="auto"/>
        <w:tabs>
          <w:tab w:leader="none" w:pos="116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31" w:lineRule="exact"/>
        <w:rPr>
          <w:rFonts w:ascii="Arial" w:cs="Arial" w:eastAsia="Arial" w:hAnsi="Arial"/>
          <w:sz w:val="16"/>
          <w:szCs w:val="16"/>
          <w:color w:val="auto"/>
        </w:rPr>
      </w:pPr>
    </w:p>
    <w:p>
      <w:pPr>
        <w:ind w:left="460" w:firstLine="421"/>
        <w:spacing w:after="0" w:line="256" w:lineRule="auto"/>
        <w:tabs>
          <w:tab w:leader="none" w:pos="115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62" w:lineRule="exact"/>
        <w:rPr>
          <w:rFonts w:ascii="Arial" w:cs="Arial" w:eastAsia="Arial" w:hAnsi="Arial"/>
          <w:sz w:val="18"/>
          <w:szCs w:val="18"/>
          <w:color w:val="auto"/>
        </w:rPr>
      </w:pPr>
    </w:p>
    <w:p>
      <w:pPr>
        <w:ind w:left="460" w:right="20" w:firstLine="421"/>
        <w:spacing w:after="0" w:line="294" w:lineRule="auto"/>
        <w:tabs>
          <w:tab w:leader="none" w:pos="115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5(c)(iv)(C), the Post-Death Exercise Period shall commence on the date of the optionee’s termination of employment and shall end sixty (60) months thereafter or the remainder of the Option Period whichever is less.</w:t>
      </w:r>
    </w:p>
    <w:p>
      <w:pPr>
        <w:spacing w:after="0" w:line="34" w:lineRule="exact"/>
        <w:rPr>
          <w:rFonts w:ascii="Arial" w:cs="Arial" w:eastAsia="Arial" w:hAnsi="Arial"/>
          <w:sz w:val="16"/>
          <w:szCs w:val="16"/>
          <w:color w:val="auto"/>
        </w:rPr>
      </w:pPr>
    </w:p>
    <w:p>
      <w:pPr>
        <w:jc w:val="both"/>
        <w:ind w:left="460" w:firstLine="421"/>
        <w:spacing w:after="0" w:line="256" w:lineRule="auto"/>
        <w:tabs>
          <w:tab w:leader="none" w:pos="116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62" w:lineRule="exact"/>
        <w:rPr>
          <w:rFonts w:ascii="Arial" w:cs="Arial" w:eastAsia="Arial" w:hAnsi="Arial"/>
          <w:sz w:val="18"/>
          <w:szCs w:val="18"/>
          <w:color w:val="auto"/>
        </w:rPr>
      </w:pPr>
    </w:p>
    <w:p>
      <w:pPr>
        <w:ind w:left="460" w:firstLine="421"/>
        <w:spacing w:after="0" w:line="259" w:lineRule="auto"/>
        <w:tabs>
          <w:tab w:leader="none" w:pos="114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w:t>
      </w:r>
    </w:p>
    <w:p>
      <w:pPr>
        <w:spacing w:after="0" w:line="1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700" w:top="280" w:right="399" w:bottom="1440" w:gutter="0" w:footer="0" w:header="0"/>
        </w:sectPr>
      </w:pPr>
    </w:p>
    <w:bookmarkStart w:id="133" w:name="page134"/>
    <w:bookmarkEnd w:id="133"/>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0" w:lineRule="exact"/>
        <w:rPr>
          <w:sz w:val="20"/>
          <w:szCs w:val="20"/>
          <w:color w:val="auto"/>
        </w:rPr>
      </w:pPr>
    </w:p>
    <w:p>
      <w:pPr>
        <w:ind w:right="860" w:firstLine="438"/>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5(c)(iv) apply to any Stock Option held by an optionee whose employment terminated due to death or disability prior to January 17, 2008.</w:t>
      </w:r>
    </w:p>
    <w:p>
      <w:pPr>
        <w:spacing w:after="0" w:line="51" w:lineRule="exact"/>
        <w:rPr>
          <w:sz w:val="20"/>
          <w:szCs w:val="20"/>
          <w:color w:val="auto"/>
        </w:rPr>
      </w:pPr>
    </w:p>
    <w:p>
      <w:pPr>
        <w:ind w:left="700" w:hanging="257"/>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20" w:firstLine="421"/>
        <w:spacing w:after="0" w:line="294" w:lineRule="auto"/>
        <w:tabs>
          <w:tab w:leader="none" w:pos="1167"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5(c)(v), “retirement” shall mean termination of the optionee’s employment with the Company and all affiliates at or after (i) age 55 or (ii) age 50 and completion of at least 10 years of service with the Company and all affiliates.</w:t>
      </w:r>
    </w:p>
    <w:p>
      <w:pPr>
        <w:spacing w:after="0" w:line="34" w:lineRule="exact"/>
        <w:rPr>
          <w:rFonts w:ascii="Arial" w:cs="Arial" w:eastAsia="Arial" w:hAnsi="Arial"/>
          <w:sz w:val="16"/>
          <w:szCs w:val="16"/>
          <w:color w:val="auto"/>
        </w:rPr>
      </w:pPr>
    </w:p>
    <w:p>
      <w:pPr>
        <w:ind w:left="460" w:right="20" w:firstLine="421"/>
        <w:spacing w:after="0" w:line="306" w:lineRule="auto"/>
        <w:tabs>
          <w:tab w:leader="none" w:pos="115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80" w:right="279" w:bottom="1440" w:gutter="0" w:footer="0" w:header="0"/>
        </w:sectPr>
      </w:pPr>
    </w:p>
    <w:bookmarkStart w:id="134" w:name="page135"/>
    <w:bookmarkEnd w:id="134"/>
    <w:p>
      <w:pPr>
        <w:ind w:left="880"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5(c)(v),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35" w:lineRule="exact"/>
        <w:rPr>
          <w:sz w:val="20"/>
          <w:szCs w:val="20"/>
          <w:color w:val="auto"/>
        </w:rPr>
      </w:pPr>
    </w:p>
    <w:p>
      <w:pPr>
        <w:jc w:val="both"/>
        <w:ind w:left="880" w:right="40" w:firstLine="421"/>
        <w:spacing w:after="0" w:line="256" w:lineRule="auto"/>
        <w:tabs>
          <w:tab w:leader="none" w:pos="157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62" w:lineRule="exact"/>
        <w:rPr>
          <w:rFonts w:ascii="Arial" w:cs="Arial" w:eastAsia="Arial" w:hAnsi="Arial"/>
          <w:sz w:val="18"/>
          <w:szCs w:val="18"/>
          <w:color w:val="auto"/>
        </w:rPr>
      </w:pPr>
    </w:p>
    <w:p>
      <w:pPr>
        <w:ind w:left="880" w:right="140" w:firstLine="421"/>
        <w:spacing w:after="0" w:line="288" w:lineRule="auto"/>
        <w:tabs>
          <w:tab w:leader="none" w:pos="158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5(c)(iv)(E))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39" w:lineRule="exact"/>
        <w:rPr>
          <w:sz w:val="20"/>
          <w:szCs w:val="20"/>
          <w:color w:val="auto"/>
        </w:rPr>
      </w:pPr>
    </w:p>
    <w:p>
      <w:pPr>
        <w:ind w:left="420" w:right="20" w:firstLine="438"/>
        <w:spacing w:after="0" w:line="268" w:lineRule="auto"/>
        <w:rPr>
          <w:sz w:val="20"/>
          <w:szCs w:val="20"/>
          <w:color w:val="auto"/>
        </w:rPr>
      </w:pPr>
      <w:r>
        <w:rPr>
          <w:rFonts w:ascii="Arial" w:cs="Arial" w:eastAsia="Arial" w:hAnsi="Arial"/>
          <w:sz w:val="18"/>
          <w:szCs w:val="18"/>
          <w:color w:val="auto"/>
        </w:rPr>
        <w:t>For the avoidance of doubt, in no event shall the provisions of this Section 5(c)(v) apply to any Stock Option held by an optionee whose employment terminated due to death or disability prior to January 17, 2008.</w:t>
      </w:r>
    </w:p>
    <w:p>
      <w:pPr>
        <w:spacing w:after="0" w:line="51" w:lineRule="exact"/>
        <w:rPr>
          <w:sz w:val="20"/>
          <w:szCs w:val="20"/>
          <w:color w:val="auto"/>
        </w:rPr>
      </w:pPr>
    </w:p>
    <w:p>
      <w:pPr>
        <w:ind w:left="420" w:right="320" w:firstLine="443"/>
        <w:spacing w:after="0" w:line="268" w:lineRule="auto"/>
        <w:tabs>
          <w:tab w:leader="none" w:pos="1156"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Notwithstanding the other provisions of this paragraph (c), in no event may a Stock Option be exercised after the expiration of ten (10) years from the date such Stock Option is granted.</w:t>
      </w:r>
    </w:p>
    <w:p>
      <w:pPr>
        <w:spacing w:after="0" w:line="131" w:lineRule="exact"/>
        <w:rPr>
          <w:rFonts w:ascii="Arial" w:cs="Arial" w:eastAsia="Arial" w:hAnsi="Arial"/>
          <w:sz w:val="18"/>
          <w:szCs w:val="18"/>
          <w:color w:val="auto"/>
        </w:rPr>
      </w:pPr>
    </w:p>
    <w:p>
      <w:pPr>
        <w:ind w:left="-40" w:firstLine="464"/>
        <w:spacing w:after="0" w:line="298" w:lineRule="auto"/>
        <w:tabs>
          <w:tab w:leader="none" w:pos="66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the time of the grant of a Stock Option, the Committee may determine that the Shares covered by such option shall be restricted as to transferability. If so restricted, such Shares shall not be sold, transferred or disposed of in any manner, and such Shares shall not be pledged or otherwise hypothecated until the restriction expires by its terms. The circumstances under which any such restriction shall expire shall be determined by the Committee and shall be set forth in the Stock Option Agreement covering the grant of the option to purchase such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135" w:name="page136"/>
    <w:bookmarkEnd w:id="1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The Committee shall designate whether a Stock Option is to be an “incentive stock option” for purposes of Section 422 of the Code.</w:t>
      </w:r>
    </w:p>
    <w:p>
      <w:pPr>
        <w:spacing w:after="0" w:line="286"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of Stock Options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Stock Options granted under the Plan shall not be assignable or otherwise transferable by the recipient except by will or the laws of descent and</w:t>
      </w:r>
    </w:p>
    <w:p>
      <w:pPr>
        <w:spacing w:after="0" w:line="38"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distribution. Otherwise, Stock Options granted under this Plan shall be exercisable during the lifetime of the recipient (except as otherwise provided in the Plan or the applicable Agreement for Stock Options other than “incentive stock options”) only by the recipient for his or her individual account, and no purported assignment or transfer of such Stock Options thereunder, whether voluntary or involuntary, by operation of law or otherwise, shall vest in the purported assignee or transferee any interest or right therein whatsoever but immediately upon any such purported assignment or transfer, or any attempt to make the same, such Stock Options thereunder shall terminate and become of no further effect.</w:t>
      </w:r>
    </w:p>
    <w:p>
      <w:pPr>
        <w:spacing w:after="0" w:line="23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Stock Options granted under the Plan. An optionee, subject to such rules as the Committee may prescribe from time to time, may elect to satisfy all or any portion of the tax required to be withheld by the Company in connection with the exercise of such option by electing to have the Company withhold a number of shares having a Fair Market Value on the date of exercise equal to or less than the amount required to be withheld. An optionee’s election pursuant to the preceding sentence must be made on or before the date of exercise and must be irrevocable.</w:t>
      </w:r>
    </w:p>
    <w:p>
      <w:pPr>
        <w:spacing w:after="0" w:line="25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96" w:lineRule="exact"/>
        <w:rPr>
          <w:rFonts w:ascii="Arial" w:cs="Arial" w:eastAsia="Arial" w:hAnsi="Arial"/>
          <w:sz w:val="18"/>
          <w:szCs w:val="18"/>
          <w:b w:val="1"/>
          <w:bCs w:val="1"/>
          <w:color w:val="auto"/>
        </w:rPr>
      </w:pPr>
    </w:p>
    <w:p>
      <w:pPr>
        <w:ind w:right="100" w:firstLine="464"/>
        <w:spacing w:after="0" w:line="255" w:lineRule="auto"/>
        <w:tabs>
          <w:tab w:leader="none" w:pos="69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existence of this Plan and Stock Options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or the rights thereof, or the dissolution or liquidation of the Company, or any sale or transfer of all or any part of its assets or business, or any other corporate act or proceeding, whether of a similar character or otherwise.</w:t>
      </w:r>
    </w:p>
    <w:p>
      <w:pPr>
        <w:spacing w:after="0" w:line="142" w:lineRule="exact"/>
        <w:rPr>
          <w:rFonts w:ascii="Arial" w:cs="Arial" w:eastAsia="Arial" w:hAnsi="Arial"/>
          <w:sz w:val="18"/>
          <w:szCs w:val="18"/>
          <w:color w:val="auto"/>
        </w:rPr>
      </w:pPr>
    </w:p>
    <w:p>
      <w:pPr>
        <w:ind w:firstLine="464"/>
        <w:spacing w:after="0" w:line="256" w:lineRule="auto"/>
        <w:tabs>
          <w:tab w:leader="none" w:pos="7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subject to Stock Options granted hereunder.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6" w:name="page137"/>
    <w:bookmarkEnd w:id="136"/>
    <w:p>
      <w:pPr>
        <w:ind w:right="60" w:firstLine="464"/>
        <w:spacing w:after="0" w:line="318" w:lineRule="auto"/>
        <w:tabs>
          <w:tab w:leader="none" w:pos="695" w:val="left"/>
        </w:tabs>
        <w:numPr>
          <w:ilvl w:val="1"/>
          <w:numId w:val="1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Shares with respect to which Stock Options may be granted hereunder are shares of the Common Stock of the Company as presently constituted, but if, and whenever, prior to the delivery by the Company or a subsidiary of all of the Shares which are subject to the Stock Options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 in money, services or property, the number of Shares subject to the Plan shall be proportionately adjusted and the number of Shares with respect to which Stock Options granted hereunder may thereafter be exercised shall:</w:t>
      </w:r>
    </w:p>
    <w:p>
      <w:pPr>
        <w:spacing w:after="0" w:line="18" w:lineRule="exact"/>
        <w:rPr>
          <w:rFonts w:ascii="Arial" w:cs="Arial" w:eastAsia="Arial" w:hAnsi="Arial"/>
          <w:sz w:val="15"/>
          <w:szCs w:val="15"/>
          <w:color w:val="auto"/>
        </w:rPr>
      </w:pPr>
    </w:p>
    <w:p>
      <w:pPr>
        <w:ind w:left="460" w:right="20" w:firstLine="443"/>
        <w:spacing w:after="0" w:line="268" w:lineRule="auto"/>
        <w:tabs>
          <w:tab w:leader="none" w:pos="1108"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shall be proportionately reduced; and</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57" w:val="left"/>
        </w:tabs>
        <w:numPr>
          <w:ilvl w:val="2"/>
          <w:numId w:val="111"/>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shall be proportionately increased.</w:t>
      </w:r>
    </w:p>
    <w:p>
      <w:pPr>
        <w:spacing w:after="0" w:line="131" w:lineRule="exact"/>
        <w:rPr>
          <w:rFonts w:ascii="Arial" w:cs="Arial" w:eastAsia="Arial" w:hAnsi="Arial"/>
          <w:sz w:val="18"/>
          <w:szCs w:val="18"/>
          <w:color w:val="auto"/>
        </w:rPr>
      </w:pPr>
    </w:p>
    <w:p>
      <w:pPr>
        <w:ind w:right="60" w:firstLine="464"/>
        <w:spacing w:after="0" w:line="286" w:lineRule="auto"/>
        <w:tabs>
          <w:tab w:leader="none" w:pos="70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 thereafter, upon any exercise of Stock Options granted hereunder, the recipient shall, at no additional cost (other than the option price, if any) be entitled to receive (subject to any required action by stockholders) in lieu of the number of Shares as to which such Stock Options shall then be exercisable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as to which such Stock Options shall be exercisable. Upon any reorganization, merger or consolidation where the Company is not the surviving corporation or upon liquidation or dissolution of the Company, all outstanding Stock Options shall, unless provisions are made in connection with such reorganization, merger or consolidation for the assumption of such Stock Options, be canceled by the Company as of the effective date of any such reorganization, merger or consolidation, or of any dissolution or liquidation of the Company, by giving notice to each holder thereof or his or her personal representative of its intention to do so and by permitting the exercise during the thirty-day period next preceding such effective date of all Stock Options which are outstanding as of such date, whether or not otherwise exercisable.</w:t>
      </w:r>
    </w:p>
    <w:p>
      <w:pPr>
        <w:spacing w:after="0" w:line="242"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It is intended that the Stock Options and Shares covered by the Plan will be registered under the Securities Act of 1933, as amended. At the time any Shares</w:t>
      </w:r>
    </w:p>
    <w:p>
      <w:pPr>
        <w:spacing w:after="0" w:line="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are issued or transferred to satisfy the exercise of a Stock Option granted under the Plan, such Shares will have been listed (or listed subject to notice of issuance) on the New York Stock Exchange.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7" w:name="page138"/>
    <w:bookmarkEnd w:id="137"/>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Reports and Returns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appropriate officers of the Company shall cause to be filed any reports, returns or other information regarding the Stock Options granted hereunder or any Shares issued pursuant to the exercise thereof or a payment made hereunder, as may be required by Section 13 or 15(d) of the Securities Exchange Act of 1934, as amended, or any other applicable statute, rule or regulation.</w:t>
      </w:r>
    </w:p>
    <w:p>
      <w:pPr>
        <w:spacing w:after="0" w:line="256"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Plan shall be effective February 16, 2001, subject to approval within twelve (12) months from the effective date by the holders of a majority of the votes cast at a meeting. In the event the Plan is not so approved, the Plan shall automatically terminate and be of no further force or effect. No Stock Options shall be granted pursuant to this Plan after February 16, 2011.</w:t>
      </w:r>
    </w:p>
    <w:p>
      <w:pPr>
        <w:spacing w:after="0" w:line="25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Board of Directors may amend, alter or discontinue the Plan at any time insofar as permitted by law, but no amendment or alteration shall be made without the approval of the stockholders:</w:t>
      </w:r>
    </w:p>
    <w:p>
      <w:pPr>
        <w:spacing w:after="0" w:line="132" w:lineRule="exact"/>
        <w:rPr>
          <w:sz w:val="20"/>
          <w:szCs w:val="20"/>
          <w:color w:val="auto"/>
        </w:rPr>
      </w:pPr>
    </w:p>
    <w:p>
      <w:pPr>
        <w:ind w:right="60" w:firstLine="464"/>
        <w:spacing w:after="0" w:line="259"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except as contemplated by Section 8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and to the extent such amendment requires stockholder approval under Section 422 of the Code (or any successor provision).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248"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Notwithstanding any of the provisions hereof or of any Stock Option granted hereunder, the obligation of the Company or any subsidiary to sell and deliver Shares under such Stock Option or to make cash payments in respect thereto shall be subject to all applicable laws, rules and regulations and to such approvals by any governmental agencies or national securities exchanges as may be required, and the recipient shall agree that he will not exercise or convert any option granted hereunder, and that the Company or any subsidiary will not be obligated to issue any Shares or make any payments under any such option if the exercise thereof or if the issuance of such Shares or if the payment made shall constitute a violation by the recipient or the Company or any subsidiary of any provision of any applicable law or regulation of any governmental authority.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10.6</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SCHLUMBERGER 2005 STOCK INCENTIVE PLAN</w:t>
      </w:r>
    </w:p>
    <w:p>
      <w:pPr>
        <w:spacing w:after="0" w:line="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Amended and Restated Effective January 19,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conformed to include amendments through January 1, 2009)</w:t>
      </w:r>
    </w:p>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Purpose of the Plan</w:t>
      </w:r>
    </w:p>
    <w:p>
      <w:pPr>
        <w:spacing w:after="0" w:line="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300" w:hanging="292"/>
        <w:spacing w:after="0"/>
        <w:tabs>
          <w:tab w:leader="none" w:pos="3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1" w:lineRule="exact"/>
        <w:rPr>
          <w:rFonts w:ascii="Arial" w:cs="Arial" w:eastAsia="Arial" w:hAnsi="Arial"/>
          <w:sz w:val="18"/>
          <w:szCs w:val="18"/>
          <w:b w:val="1"/>
          <w:bCs w:val="1"/>
          <w:color w:val="auto"/>
        </w:rPr>
      </w:pPr>
    </w:p>
    <w:p>
      <w:pPr>
        <w:ind w:right="280" w:firstLine="236"/>
        <w:spacing w:after="0" w:line="281" w:lineRule="auto"/>
        <w:tabs>
          <w:tab w:leader="none" w:pos="467"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2" w:lineRule="exact"/>
        <w:rPr>
          <w:rFonts w:ascii="Arial" w:cs="Arial" w:eastAsia="Arial" w:hAnsi="Arial"/>
          <w:sz w:val="16"/>
          <w:szCs w:val="16"/>
          <w:color w:val="auto"/>
        </w:rPr>
      </w:pPr>
    </w:p>
    <w:p>
      <w:pPr>
        <w:ind w:right="20" w:firstLine="236"/>
        <w:spacing w:after="0" w:line="281" w:lineRule="auto"/>
        <w:tabs>
          <w:tab w:leader="none" w:pos="477"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 Any decision reduced to writing and signed by a majority of the members shall be fully effective as if adopted by a majority at a meeting duly held. The Committee may from time to time grant incentive stock options and non-qualified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options for more than 1,500,000 shares of common stock (after giving effect to the 2-for-1 stock split (“stock split”) announced by the Company on January 19, 2006) during the life of the Plan, whether each Stock Option shall be designated an “incentive stock option” or a “non-qualified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8" w:lineRule="exact"/>
        <w:rPr>
          <w:rFonts w:ascii="Arial" w:cs="Arial" w:eastAsia="Arial" w:hAnsi="Arial"/>
          <w:sz w:val="16"/>
          <w:szCs w:val="16"/>
          <w:color w:val="auto"/>
        </w:rPr>
      </w:pPr>
    </w:p>
    <w:p>
      <w:pPr>
        <w:ind w:right="180" w:firstLine="236"/>
        <w:spacing w:after="0" w:line="261" w:lineRule="auto"/>
        <w:tabs>
          <w:tab w:leader="none" w:pos="467"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Committee Liability</w:t>
      </w:r>
      <w:r>
        <w:rPr>
          <w:rFonts w:ascii="Arial" w:cs="Arial" w:eastAsia="Arial" w:hAnsi="Arial"/>
          <w:sz w:val="18"/>
          <w:szCs w:val="18"/>
          <w:color w:val="auto"/>
        </w:rPr>
        <w:t>. No member of the Committee shall be liable for anything done or omitted to be done by him or by her or any other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connection with the Plan, except for his or her own willful misconduct or as expressly provided by statute.</w:t>
      </w:r>
    </w:p>
    <w:p>
      <w:pPr>
        <w:spacing w:after="0" w:line="118" w:lineRule="exact"/>
        <w:rPr>
          <w:rFonts w:ascii="Arial" w:cs="Arial" w:eastAsia="Arial" w:hAnsi="Arial"/>
          <w:sz w:val="18"/>
          <w:szCs w:val="18"/>
          <w:color w:val="auto"/>
        </w:rPr>
      </w:pPr>
    </w:p>
    <w:p>
      <w:pPr>
        <w:ind w:left="320" w:hanging="312"/>
        <w:spacing w:after="0"/>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Grants of Awards</w:t>
      </w:r>
    </w:p>
    <w:p>
      <w:pPr>
        <w:spacing w:after="0" w:line="21" w:lineRule="exact"/>
        <w:rPr>
          <w:rFonts w:ascii="Arial" w:cs="Arial" w:eastAsia="Arial" w:hAnsi="Arial"/>
          <w:sz w:val="18"/>
          <w:szCs w:val="18"/>
          <w:b w:val="1"/>
          <w:bCs w:val="1"/>
          <w:color w:val="auto"/>
        </w:rPr>
      </w:pPr>
    </w:p>
    <w:p>
      <w:pPr>
        <w:ind w:right="40" w:firstLine="236"/>
        <w:spacing w:after="0" w:line="281" w:lineRule="auto"/>
        <w:tabs>
          <w:tab w:leader="none" w:pos="467"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spacing w:after="0" w:line="4" w:lineRule="exact"/>
        <w:rPr>
          <w:rFonts w:ascii="Arial" w:cs="Arial" w:eastAsia="Arial" w:hAnsi="Arial"/>
          <w:sz w:val="16"/>
          <w:szCs w:val="16"/>
          <w:color w:val="auto"/>
        </w:rPr>
      </w:pPr>
    </w:p>
    <w:p>
      <w:pPr>
        <w:ind w:right="220" w:firstLine="236"/>
        <w:spacing w:after="0" w:line="323" w:lineRule="auto"/>
        <w:tabs>
          <w:tab w:leader="none" w:pos="477" w:val="left"/>
        </w:tabs>
        <w:numPr>
          <w:ilvl w:val="1"/>
          <w:numId w:val="118"/>
        </w:numPr>
        <w:rPr>
          <w:rFonts w:ascii="Arial" w:cs="Arial" w:eastAsia="Arial" w:hAnsi="Arial"/>
          <w:sz w:val="16"/>
          <w:szCs w:val="16"/>
          <w:color w:val="auto"/>
        </w:rPr>
      </w:pPr>
      <w:r>
        <w:rPr>
          <w:rFonts w:ascii="Arial" w:cs="Arial" w:eastAsia="Arial" w:hAnsi="Arial"/>
          <w:sz w:val="16"/>
          <w:szCs w:val="16"/>
          <w:i w:val="1"/>
          <w:iCs w:val="1"/>
          <w:color w:val="auto"/>
        </w:rPr>
        <w:t>Discretion in and Documentation of Awards</w:t>
      </w:r>
      <w:r>
        <w:rPr>
          <w:rFonts w:ascii="Arial" w:cs="Arial" w:eastAsia="Arial" w:hAnsi="Arial"/>
          <w:sz w:val="16"/>
          <w:szCs w:val="16"/>
          <w:color w:val="auto"/>
        </w:rPr>
        <w:t>. The Committee in granting Awards hereunder shall have discretion to determine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upon which such Awards may vest and become exercisable, subject to and as further described in Section 5 and 6 of this Plan. Each grant of an Award shall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9" w:name="page140"/>
    <w:bookmarkEnd w:id="139"/>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communicated, in the form and manner decided by the Committee, to the person to whom such Award is granted. In addition, the Committee may require that the grant be confirmed by an agreement, and may require that the optionee execute such agreement.</w:t>
      </w:r>
    </w:p>
    <w:p>
      <w:pPr>
        <w:ind w:left="480" w:hanging="244"/>
        <w:spacing w:after="0"/>
        <w:tabs>
          <w:tab w:leader="none" w:pos="480"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2"/>
          <w:numId w:val="119"/>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jc w:val="both"/>
        <w:ind w:right="720" w:firstLine="236"/>
        <w:spacing w:after="0" w:line="250" w:lineRule="auto"/>
        <w:tabs>
          <w:tab w:leader="none" w:pos="477"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Employment for Plan Purposes</w:t>
      </w:r>
      <w:r>
        <w:rPr>
          <w:rFonts w:ascii="Arial" w:cs="Arial" w:eastAsia="Arial" w:hAnsi="Arial"/>
          <w:sz w:val="18"/>
          <w:szCs w:val="18"/>
          <w:color w:val="auto"/>
        </w:rPr>
        <w:t>. For purposes of this Plan, employment with the Company shall include employment with any subsidiary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20" w:firstLine="236"/>
        <w:spacing w:after="0" w:line="295" w:lineRule="auto"/>
        <w:tabs>
          <w:tab w:leader="none" w:pos="467" w:val="left"/>
        </w:tabs>
        <w:numPr>
          <w:ilvl w:val="1"/>
          <w:numId w:val="119"/>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320" w:hanging="312"/>
        <w:spacing w:after="0"/>
        <w:tabs>
          <w:tab w:leader="none" w:pos="3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Subject to adjustment as provided in Section 8 hereof, there shall be subject to the Plan 18,000,000 shares of common stock (after giving effect to the stock split), par value $0.01 per share, of the Company (“Common Stock”). All of the shares of Common Stock authorized for issuance may be issued pursuant to Stock Options. No more than 3,000,000 shares of Common Stock (after to giving effect to the stock split)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spacing w:after="0" w:line="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320" w:hanging="312"/>
        <w:spacing w:after="0"/>
        <w:tabs>
          <w:tab w:leader="none" w:pos="32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Terms of Stock Options</w:t>
      </w:r>
    </w:p>
    <w:p>
      <w:pPr>
        <w:spacing w:after="0" w:line="21" w:lineRule="exact"/>
        <w:rPr>
          <w:rFonts w:ascii="Arial" w:cs="Arial" w:eastAsia="Arial" w:hAnsi="Arial"/>
          <w:sz w:val="18"/>
          <w:szCs w:val="18"/>
          <w:b w:val="1"/>
          <w:bCs w:val="1"/>
          <w:color w:val="auto"/>
        </w:rPr>
      </w:pPr>
    </w:p>
    <w:p>
      <w:pPr>
        <w:ind w:right="100" w:firstLine="236"/>
        <w:spacing w:after="0" w:line="254" w:lineRule="auto"/>
        <w:tabs>
          <w:tab w:leader="none" w:pos="467"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The Committee may designate a Stock Option as an “incentive stock option” for purposes of Section 422 of the Code,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that is not so designated shall not be an incentive stock option. Stock Options granted under this Plan which are designated as “incentive stock options” may be granted with respect to any number of shares of Common Stock, up to the full number of shares of Common Stock subject to the Plan, provided that the aggregate Fair Market Value of such shares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0" w:name="page141"/>
    <w:bookmarkEnd w:id="14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2" w:lineRule="exact"/>
        <w:rPr>
          <w:sz w:val="20"/>
          <w:szCs w:val="20"/>
          <w:color w:val="auto"/>
        </w:rPr>
      </w:pPr>
    </w:p>
    <w:p>
      <w:pPr>
        <w:ind w:firstLine="236"/>
        <w:spacing w:after="0" w:line="281" w:lineRule="auto"/>
        <w:tabs>
          <w:tab w:leader="none" w:pos="477"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Purchase Price; Fair Market Value</w:t>
      </w:r>
      <w:r>
        <w:rPr>
          <w:rFonts w:ascii="Arial" w:cs="Arial" w:eastAsia="Arial" w:hAnsi="Arial"/>
          <w:sz w:val="16"/>
          <w:szCs w:val="16"/>
          <w:color w:val="auto"/>
        </w:rPr>
        <w:t>. The purchase price of each share of Common Stock subject to a Stock Option shall be determined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and no Stock Option may be granted in substitution for an outstanding Stock Option with a purchase price lower than the purchase price of an outstanding Stock Option.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6" w:lineRule="exact"/>
        <w:rPr>
          <w:rFonts w:ascii="Arial" w:cs="Arial" w:eastAsia="Arial" w:hAnsi="Arial"/>
          <w:sz w:val="16"/>
          <w:szCs w:val="16"/>
          <w:color w:val="auto"/>
        </w:rPr>
      </w:pPr>
    </w:p>
    <w:p>
      <w:pPr>
        <w:ind w:firstLine="236"/>
        <w:spacing w:after="0" w:line="281" w:lineRule="auto"/>
        <w:tabs>
          <w:tab w:leader="none" w:pos="467"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1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Exercise Schedule. </w:t>
      </w:r>
      <w:r>
        <w:rPr>
          <w:rFonts w:ascii="Arial" w:cs="Arial" w:eastAsia="Arial" w:hAnsi="Arial"/>
          <w:sz w:val="18"/>
          <w:szCs w:val="18"/>
          <w:color w:val="auto"/>
        </w:rPr>
        <w:t>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i w:val="1"/>
          <w:iCs w:val="1"/>
          <w:color w:val="auto"/>
        </w:rPr>
      </w:pPr>
    </w:p>
    <w:p>
      <w:pPr>
        <w:ind w:left="240" w:right="280" w:firstLine="223"/>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(A) No Stock Option may be exercised after the expiration of ten (10) years from the date such option is granted (the maximum term established by the Committee with respect to a particular Stock Option is hereinafter referred to as the “Option Period”).</w:t>
      </w:r>
    </w:p>
    <w:p>
      <w:pPr>
        <w:ind w:left="240" w:right="20" w:firstLine="223"/>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(B) 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 w:lineRule="exact"/>
        <w:rPr>
          <w:rFonts w:ascii="Arial" w:cs="Arial" w:eastAsia="Arial" w:hAnsi="Arial"/>
          <w:sz w:val="18"/>
          <w:szCs w:val="18"/>
          <w:i w:val="1"/>
          <w:iCs w:val="1"/>
          <w:color w:val="auto"/>
        </w:rPr>
      </w:pPr>
    </w:p>
    <w:p>
      <w:pPr>
        <w:ind w:left="240" w:right="66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For the avoidance of doubt, in no event shall the provisions of this Section 5(d)(i) apply to any Stock Option held by an optionee whose employment terminated due to death or disability prior to January 17, 2008.</w:t>
      </w:r>
    </w:p>
    <w:p>
      <w:pPr>
        <w:ind w:left="240" w:right="120" w:firstLine="220"/>
        <w:spacing w:after="0" w:line="250" w:lineRule="auto"/>
        <w:tabs>
          <w:tab w:leader="none" w:pos="722"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Reload. </w:t>
      </w:r>
      <w:r>
        <w:rPr>
          <w:rFonts w:ascii="Arial" w:cs="Arial" w:eastAsia="Arial" w:hAnsi="Arial"/>
          <w:sz w:val="18"/>
          <w:szCs w:val="18"/>
          <w:color w:val="auto"/>
        </w:rPr>
        <w:t>No Stock Option may include provisions that “reload” the option upon exercise.</w:t>
      </w:r>
    </w:p>
    <w:p>
      <w:pPr>
        <w:spacing w:after="0" w:line="9" w:lineRule="exact"/>
        <w:rPr>
          <w:rFonts w:ascii="Arial" w:cs="Arial" w:eastAsia="Arial" w:hAnsi="Arial"/>
          <w:sz w:val="18"/>
          <w:szCs w:val="18"/>
          <w:color w:val="auto"/>
        </w:rPr>
      </w:pPr>
    </w:p>
    <w:p>
      <w:pPr>
        <w:ind w:left="760" w:hanging="296"/>
        <w:spacing w:after="0"/>
        <w:tabs>
          <w:tab w:leader="none" w:pos="760" w:val="left"/>
        </w:tabs>
        <w:numPr>
          <w:ilvl w:val="1"/>
          <w:numId w:val="122"/>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p>
    <w:p>
      <w:pPr>
        <w:spacing w:after="0" w:line="9" w:lineRule="exact"/>
        <w:rPr>
          <w:sz w:val="20"/>
          <w:szCs w:val="20"/>
          <w:color w:val="auto"/>
        </w:rPr>
      </w:pPr>
    </w:p>
    <w:p>
      <w:pPr>
        <w:ind w:left="240" w:right="40" w:firstLine="220"/>
        <w:spacing w:after="0" w:line="250" w:lineRule="auto"/>
        <w:tabs>
          <w:tab w:leader="none" w:pos="75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1" w:lineRule="exact"/>
        <w:rPr>
          <w:rFonts w:ascii="Arial" w:cs="Arial" w:eastAsia="Arial" w:hAnsi="Arial"/>
          <w:sz w:val="18"/>
          <w:szCs w:val="18"/>
          <w:color w:val="auto"/>
        </w:rPr>
      </w:pPr>
    </w:p>
    <w:p>
      <w:pPr>
        <w:ind w:left="240" w:right="20" w:firstLine="220"/>
        <w:spacing w:after="0" w:line="250" w:lineRule="auto"/>
        <w:tabs>
          <w:tab w:leader="none" w:pos="74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 w:lineRule="exact"/>
        <w:rPr>
          <w:rFonts w:ascii="Arial" w:cs="Arial" w:eastAsia="Arial" w:hAnsi="Arial"/>
          <w:sz w:val="18"/>
          <w:szCs w:val="18"/>
          <w:color w:val="auto"/>
        </w:rPr>
      </w:pPr>
    </w:p>
    <w:p>
      <w:pPr>
        <w:ind w:left="240" w:firstLine="220"/>
        <w:spacing w:after="0" w:line="292" w:lineRule="auto"/>
        <w:tabs>
          <w:tab w:leader="none" w:pos="741"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 the event an optionee dies after termination of employment but prior to the exercise in full of any Stock Option which was exercisable on the date of such termination, such option may be exercised before expiration of its term by the person or persons entitled thereto under the optionee’s will or the laws of descent and distribution during the Post-Death Exercise Period to the extent exercisable by the optionee at the date of death. For purposes of this Section 5(d) (iv)(C), the Post-Death Exercise Period shall commence on the date of the optionee’s termination of employment and shall end sixty (60) months thereafter or the remainder of the Option Period whichever is less.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41" w:name="page142"/>
    <w:bookmarkEnd w:id="141"/>
    <w:p>
      <w:pPr>
        <w:ind w:left="4" w:firstLine="220"/>
        <w:spacing w:after="0" w:line="282" w:lineRule="auto"/>
        <w:tabs>
          <w:tab w:leader="none" w:pos="515" w:val="left"/>
        </w:tabs>
        <w:numPr>
          <w:ilvl w:val="1"/>
          <w:numId w:val="1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 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 (1) 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4" w:lineRule="exact"/>
        <w:rPr>
          <w:rFonts w:ascii="Arial" w:cs="Arial" w:eastAsia="Arial" w:hAnsi="Arial"/>
          <w:sz w:val="16"/>
          <w:szCs w:val="16"/>
          <w:color w:val="auto"/>
        </w:rPr>
      </w:pPr>
    </w:p>
    <w:p>
      <w:pPr>
        <w:ind w:left="4" w:right="400" w:firstLine="223"/>
        <w:spacing w:after="0" w:line="250" w:lineRule="auto"/>
        <w:rPr>
          <w:rFonts w:ascii="Arial" w:cs="Arial" w:eastAsia="Arial" w:hAnsi="Arial"/>
          <w:sz w:val="16"/>
          <w:szCs w:val="16"/>
          <w:color w:val="auto"/>
        </w:rPr>
      </w:pPr>
      <w:r>
        <w:rPr>
          <w:rFonts w:ascii="Arial" w:cs="Arial" w:eastAsia="Arial" w:hAnsi="Arial"/>
          <w:sz w:val="18"/>
          <w:szCs w:val="18"/>
          <w:color w:val="auto"/>
        </w:rPr>
        <w:t>For the avoidance of doubt, in no event shall the provisions of this Section 5(d)(iv) apply to any Stock Option held by an optionee whose employment terminated due to death or disability prior to January 17, 2008.</w:t>
      </w:r>
    </w:p>
    <w:p>
      <w:pPr>
        <w:ind w:left="244" w:hanging="244"/>
        <w:spacing w:after="0"/>
        <w:tabs>
          <w:tab w:leader="none" w:pos="244"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p>
    <w:p>
      <w:pPr>
        <w:spacing w:after="0" w:line="9" w:lineRule="exact"/>
        <w:rPr>
          <w:rFonts w:ascii="Arial" w:cs="Arial" w:eastAsia="Arial" w:hAnsi="Arial"/>
          <w:sz w:val="18"/>
          <w:szCs w:val="18"/>
          <w:color w:val="auto"/>
        </w:rPr>
      </w:pPr>
    </w:p>
    <w:p>
      <w:pPr>
        <w:ind w:left="4" w:firstLine="220"/>
        <w:spacing w:after="0" w:line="281" w:lineRule="auto"/>
        <w:tabs>
          <w:tab w:leader="none" w:pos="51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3" w:lineRule="exact"/>
        <w:rPr>
          <w:rFonts w:ascii="Arial" w:cs="Arial" w:eastAsia="Arial" w:hAnsi="Arial"/>
          <w:sz w:val="16"/>
          <w:szCs w:val="16"/>
          <w:color w:val="auto"/>
        </w:rPr>
      </w:pPr>
    </w:p>
    <w:p>
      <w:pPr>
        <w:ind w:left="4" w:right="260" w:firstLine="220"/>
        <w:spacing w:after="0" w:line="281" w:lineRule="auto"/>
        <w:tabs>
          <w:tab w:leader="none" w:pos="50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disability, such Stock Option shall automatically become fully vested and exercisable. Such optionee may exercise the outstanding Stock Option at any time during (1) in the case of Stock Options intended to be incentive stock options within the meaning of Section 422 of the Code and granted prior to January 17, 2008, the period of three (3) months after such termination or the remainder of the Option Period, whichever is less, or (2) in the case of all other Stock Options, the period of sixty (60) months after such termination or the remainder of the Option Period, whichever is less (the “Disability Exercise Period”). For purposes of this Section 5(d)(v),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4" w:lineRule="exact"/>
        <w:rPr>
          <w:rFonts w:ascii="Arial" w:cs="Arial" w:eastAsia="Arial" w:hAnsi="Arial"/>
          <w:sz w:val="16"/>
          <w:szCs w:val="16"/>
          <w:color w:val="auto"/>
        </w:rPr>
      </w:pPr>
    </w:p>
    <w:p>
      <w:pPr>
        <w:ind w:left="4" w:right="60" w:firstLine="220"/>
        <w:spacing w:after="0" w:line="281" w:lineRule="auto"/>
        <w:tabs>
          <w:tab w:leader="none" w:pos="50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 w:lineRule="exact"/>
        <w:rPr>
          <w:rFonts w:ascii="Arial" w:cs="Arial" w:eastAsia="Arial" w:hAnsi="Arial"/>
          <w:sz w:val="16"/>
          <w:szCs w:val="16"/>
          <w:color w:val="auto"/>
        </w:rPr>
      </w:pPr>
    </w:p>
    <w:p>
      <w:pPr>
        <w:ind w:left="4" w:right="80" w:firstLine="220"/>
        <w:spacing w:after="0" w:line="281" w:lineRule="auto"/>
        <w:tabs>
          <w:tab w:leader="none" w:pos="51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5(d)(iv)(D))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or disability and ending one year following such termination.</w:t>
      </w:r>
    </w:p>
    <w:p>
      <w:pPr>
        <w:spacing w:after="0" w:line="5" w:lineRule="exact"/>
        <w:rPr>
          <w:rFonts w:ascii="Arial" w:cs="Arial" w:eastAsia="Arial" w:hAnsi="Arial"/>
          <w:sz w:val="16"/>
          <w:szCs w:val="16"/>
          <w:color w:val="auto"/>
        </w:rPr>
      </w:pPr>
    </w:p>
    <w:p>
      <w:pPr>
        <w:ind w:left="4" w:right="440" w:firstLine="223"/>
        <w:spacing w:after="0" w:line="261" w:lineRule="auto"/>
        <w:rPr>
          <w:rFonts w:ascii="Arial" w:cs="Arial" w:eastAsia="Arial" w:hAnsi="Arial"/>
          <w:sz w:val="16"/>
          <w:szCs w:val="16"/>
          <w:color w:val="auto"/>
        </w:rPr>
      </w:pPr>
      <w:r>
        <w:rPr>
          <w:rFonts w:ascii="Arial" w:cs="Arial" w:eastAsia="Arial" w:hAnsi="Arial"/>
          <w:sz w:val="18"/>
          <w:szCs w:val="18"/>
          <w:color w:val="auto"/>
        </w:rPr>
        <w:t>For the avoidance of doubt, in no event shall the provisions of this Section 5(d)(v) apply to any Stock Option held by an optionee whose employment terminated due to death or disability prior to January 17, 2008.</w:t>
      </w:r>
    </w:p>
    <w:p>
      <w:pPr>
        <w:spacing w:after="0" w:line="12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4"/>
          </w:cols>
          <w:pgMar w:left="476" w:top="280" w:right="259" w:bottom="1440" w:gutter="0" w:footer="0" w:header="0"/>
        </w:sectPr>
      </w:pPr>
    </w:p>
    <w:bookmarkStart w:id="142" w:name="page143"/>
    <w:bookmarkEnd w:id="142"/>
    <w:p>
      <w:pPr>
        <w:spacing w:after="0"/>
        <w:tabs>
          <w:tab w:leader="none" w:pos="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w:t>
      </w:r>
      <w:r>
        <w:rPr>
          <w:sz w:val="20"/>
          <w:szCs w:val="20"/>
          <w:color w:val="auto"/>
        </w:rPr>
        <w:tab/>
      </w:r>
      <w:r>
        <w:rPr>
          <w:rFonts w:ascii="Arial" w:cs="Arial" w:eastAsia="Arial" w:hAnsi="Arial"/>
          <w:sz w:val="15"/>
          <w:szCs w:val="15"/>
          <w:b w:val="1"/>
          <w:bCs w:val="1"/>
          <w:color w:val="auto"/>
        </w:rPr>
        <w:t>Stock Awards</w:t>
      </w:r>
    </w:p>
    <w:p>
      <w:pPr>
        <w:spacing w:after="0" w:line="21"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(the vesting, lapse, or termination of which may be no more rapid in combination than pro rata over three years),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282" w:lineRule="auto"/>
        <w:tabs>
          <w:tab w:leader="none" w:pos="477" w:val="left"/>
        </w:tabs>
        <w:numPr>
          <w:ilvl w:val="0"/>
          <w:numId w:val="126"/>
        </w:numPr>
        <w:rPr>
          <w:rFonts w:ascii="Arial" w:cs="Arial" w:eastAsia="Arial" w:hAnsi="Arial"/>
          <w:sz w:val="15"/>
          <w:szCs w:val="15"/>
          <w:color w:val="auto"/>
        </w:rPr>
      </w:pPr>
      <w:r>
        <w:rPr>
          <w:rFonts w:ascii="Arial" w:cs="Arial" w:eastAsia="Arial" w:hAnsi="Arial"/>
          <w:sz w:val="15"/>
          <w:szCs w:val="15"/>
          <w:i w:val="1"/>
          <w:iCs w:val="1"/>
          <w:color w:val="auto"/>
        </w:rPr>
        <w:t>Qualified Performance Awards</w:t>
      </w:r>
      <w:r>
        <w:rPr>
          <w:rFonts w:ascii="Arial" w:cs="Arial" w:eastAsia="Arial" w:hAnsi="Arial"/>
          <w:sz w:val="15"/>
          <w:szCs w:val="15"/>
          <w:color w:val="auto"/>
        </w:rPr>
        <w:t>. Performance Awards granted to participants under the Plan that are intended to qualify as qualified performance 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 or the Company as a whole, and if so desired by the Committee, by comparison with a peer group of companies. A performance goal may include one or more of the following: revenue measures;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3"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before interest, taxes, depreciation, amortization, and charges and credits;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overhead cost and general and administrative expense); Margins; Proceeds from divestitures; Total market value; and Corporate values measures (including ethics compliance, environmental, and safety).</w:t>
      </w:r>
    </w:p>
    <w:p>
      <w:pPr>
        <w:spacing w:after="0" w:line="23"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43" w:name="page144"/>
    <w:bookmarkEnd w:id="143"/>
    <w:p>
      <w:pPr>
        <w:spacing w:after="0"/>
        <w:tabs>
          <w:tab w:leader="none" w:pos="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w:t>
      </w:r>
      <w:r>
        <w:rPr>
          <w:sz w:val="20"/>
          <w:szCs w:val="20"/>
          <w:color w:val="auto"/>
        </w:rPr>
        <w:tab/>
      </w:r>
      <w:r>
        <w:rPr>
          <w:rFonts w:ascii="Arial" w:cs="Arial" w:eastAsia="Arial" w:hAnsi="Arial"/>
          <w:sz w:val="15"/>
          <w:szCs w:val="15"/>
          <w:b w:val="1"/>
          <w:bCs w:val="1"/>
          <w:color w:val="auto"/>
        </w:rPr>
        <w:t>Assignability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4"/>
          <w:szCs w:val="14"/>
          <w:b w:val="1"/>
          <w:bCs w:val="1"/>
          <w:color w:val="auto"/>
        </w:rPr>
        <w:t>Taxes</w:t>
      </w:r>
    </w:p>
    <w:p>
      <w:pPr>
        <w:spacing w:after="0" w:line="2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9" w:lineRule="exact"/>
        <w:rPr>
          <w:sz w:val="20"/>
          <w:szCs w:val="20"/>
          <w:color w:val="auto"/>
        </w:rPr>
      </w:pPr>
    </w:p>
    <w:p>
      <w:pPr>
        <w:ind w:left="320" w:hanging="312"/>
        <w:spacing w:after="0"/>
        <w:tabs>
          <w:tab w:leader="none" w:pos="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Reorganizations and Recapitalizations of the Company</w:t>
      </w:r>
    </w:p>
    <w:p>
      <w:pPr>
        <w:spacing w:after="0" w:line="21" w:lineRule="exact"/>
        <w:rPr>
          <w:rFonts w:ascii="Arial" w:cs="Arial" w:eastAsia="Arial" w:hAnsi="Arial"/>
          <w:sz w:val="18"/>
          <w:szCs w:val="18"/>
          <w:b w:val="1"/>
          <w:bCs w:val="1"/>
          <w:color w:val="auto"/>
        </w:rPr>
      </w:pPr>
    </w:p>
    <w:p>
      <w:pPr>
        <w:ind w:right="280" w:firstLine="236"/>
        <w:spacing w:after="0" w:line="250" w:lineRule="auto"/>
        <w:tabs>
          <w:tab w:leader="none" w:pos="46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2" w:lineRule="exact"/>
        <w:rPr>
          <w:rFonts w:ascii="Arial" w:cs="Arial" w:eastAsia="Arial" w:hAnsi="Arial"/>
          <w:sz w:val="18"/>
          <w:szCs w:val="18"/>
          <w:color w:val="auto"/>
        </w:rPr>
      </w:pPr>
    </w:p>
    <w:p>
      <w:pPr>
        <w:jc w:val="both"/>
        <w:ind w:right="20" w:firstLine="236"/>
        <w:spacing w:after="0" w:line="250" w:lineRule="auto"/>
        <w:tabs>
          <w:tab w:leader="none" w:pos="47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200" w:firstLine="236"/>
        <w:spacing w:after="0" w:line="281" w:lineRule="auto"/>
        <w:tabs>
          <w:tab w:leader="none" w:pos="46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300" w:firstLine="220"/>
        <w:spacing w:after="0" w:line="250" w:lineRule="auto"/>
        <w:tabs>
          <w:tab w:leader="none" w:pos="673"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60" w:firstLine="220"/>
        <w:spacing w:after="0" w:line="250" w:lineRule="auto"/>
        <w:tabs>
          <w:tab w:leader="none" w:pos="72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right="60" w:firstLine="236"/>
        <w:spacing w:after="0" w:line="254" w:lineRule="auto"/>
        <w:tabs>
          <w:tab w:leader="none" w:pos="47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the Company merges with one or more corporations, or consolidates with one or more corporations and the Company shall be the surviving corporation, 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4" w:name="page145"/>
    <w:bookmarkEnd w:id="144"/>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4" w:lineRule="exact"/>
        <w:rPr>
          <w:sz w:val="20"/>
          <w:szCs w:val="20"/>
          <w:color w:val="auto"/>
        </w:rPr>
      </w:pPr>
    </w:p>
    <w:p>
      <w:pPr>
        <w:ind w:right="220" w:firstLine="236"/>
        <w:spacing w:after="0" w:line="261" w:lineRule="auto"/>
        <w:tabs>
          <w:tab w:leader="none" w:pos="46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400" w:hanging="392"/>
        <w:spacing w:after="0"/>
        <w:tabs>
          <w:tab w:leader="none" w:pos="4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under Securities Act of 1933 and Exchange Listing</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5" w:lineRule="exact"/>
        <w:rPr>
          <w:sz w:val="20"/>
          <w:szCs w:val="20"/>
          <w:color w:val="auto"/>
        </w:rPr>
      </w:pPr>
    </w:p>
    <w:p>
      <w:pPr>
        <w:ind w:left="400" w:hanging="392"/>
        <w:spacing w:after="0"/>
        <w:tabs>
          <w:tab w:leader="none" w:pos="4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w:t>
      </w:r>
    </w:p>
    <w:p>
      <w:pPr>
        <w:spacing w:after="0" w:line="2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Plan shall be effective January 20, 2005 and amended and restated as of January 19, 2006. No Awards shall be granted pursuant to this Plan after January 20, 2015.</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Amendment or Termination</w:t>
      </w:r>
    </w:p>
    <w:p>
      <w:pPr>
        <w:spacing w:after="0" w:line="2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spacing w:after="0" w:line="1" w:lineRule="exact"/>
        <w:rPr>
          <w:sz w:val="20"/>
          <w:szCs w:val="20"/>
          <w:color w:val="auto"/>
        </w:rPr>
      </w:pPr>
    </w:p>
    <w:p>
      <w:pPr>
        <w:ind w:right="40" w:firstLine="236"/>
        <w:spacing w:after="0" w:line="250" w:lineRule="auto"/>
        <w:tabs>
          <w:tab w:leader="none" w:pos="46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right="220" w:firstLine="236"/>
        <w:spacing w:after="0" w:line="281" w:lineRule="auto"/>
        <w:tabs>
          <w:tab w:leader="none" w:pos="47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rFonts w:ascii="Arial" w:cs="Arial" w:eastAsia="Arial" w:hAnsi="Arial"/>
          <w:sz w:val="16"/>
          <w:szCs w:val="16"/>
          <w:color w:val="auto"/>
        </w:rPr>
      </w:pPr>
    </w:p>
    <w:p>
      <w:pPr>
        <w:ind w:right="80" w:firstLine="228"/>
        <w:spacing w:after="0" w:line="261" w:lineRule="auto"/>
        <w:rPr>
          <w:rFonts w:ascii="Arial" w:cs="Arial" w:eastAsia="Arial" w:hAnsi="Arial"/>
          <w:sz w:val="16"/>
          <w:szCs w:val="16"/>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rFonts w:ascii="Arial" w:cs="Arial" w:eastAsia="Arial" w:hAnsi="Arial"/>
          <w:sz w:val="16"/>
          <w:szCs w:val="16"/>
          <w:color w:val="auto"/>
        </w:rPr>
      </w:pPr>
    </w:p>
    <w:p>
      <w:pPr>
        <w:ind w:left="400" w:hanging="392"/>
        <w:spacing w:after="0"/>
        <w:tabs>
          <w:tab w:leader="none" w:pos="4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Regulations</w:t>
      </w:r>
    </w:p>
    <w:p>
      <w:pPr>
        <w:spacing w:after="0" w:line="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Non-United States Participants</w:t>
      </w:r>
    </w:p>
    <w:p>
      <w:pPr>
        <w:spacing w:after="0" w:line="2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Effective April 19, 2007,</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conformed to include amendments through January 1,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 April 2004 annual meeting. Effective April 19, 2007, the Plan is hereby amended and restated to allow non-employee Directors to defer the payment of part or all of his or her Cash Compensation.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“Cash Compensation” means the total cash compensation which is paid to Eligible Directors for services rendered including any annual retainer fees and any annual fees related to committee membership or services as a committee chair.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means Schlumberger Limited, a Netherlands Antilles corporation.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“Deferred Compensation Account” means the bookkeeping account maintained for each Participant to record certain amounts deferred by the Participant in accordance with Article IV hereof.</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“Money Market Equivalents” means a phantom investment benchmark that is used to measure the return credited to a Participant’s Deferred Compensation Account. To the extent Money Market Equivalents are elected,</w:t>
      </w:r>
    </w:p>
    <w:p>
      <w:pPr>
        <w:sectPr>
          <w:pgSz w:w="11900" w:h="16838" w:orient="portrait"/>
          <w:cols w:equalWidth="0" w:num="1">
            <w:col w:w="11420"/>
          </w:cols>
          <w:pgMar w:left="240" w:top="125" w:right="239" w:bottom="1440" w:gutter="0" w:footer="0" w:header="0"/>
        </w:sectPr>
      </w:pPr>
    </w:p>
    <w:bookmarkStart w:id="146" w:name="page147"/>
    <w:bookmarkEnd w:id="14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equivalents will be credited to the 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Award” means an award of shares of Common Stock, restricted Common Stock or restricted Stock Units pursuant to Article III.</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“S&amp;P 500 Index” means a phantom investment benchmark that is used to measure the return credited to a Participant’s Deferred Compensation Account. To the extent S&amp;P 500 Equivalents are elected, the earnings (or loss) equivalents will be credited (or debited) to the Participant’s Deferred Compensation Account as of the last day of each calendar quarter based upon the balance in the account as of the last day of the quarter and the returns realized by the Standard &amp; Poor’s 500 Index for the quarter.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 OF THE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Committee</w:t>
      </w:r>
      <w:r>
        <w:rPr>
          <w:rFonts w:ascii="Arial" w:cs="Arial" w:eastAsia="Arial" w:hAnsi="Arial"/>
          <w:sz w:val="18"/>
          <w:szCs w:val="18"/>
          <w:color w:val="auto"/>
        </w:rPr>
        <w:t>. This Plan shall be administered by the Committee.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Committee’s Powers</w:t>
      </w:r>
      <w:r>
        <w:rPr>
          <w:rFonts w:ascii="Arial" w:cs="Arial" w:eastAsia="Arial" w:hAnsi="Arial"/>
          <w:sz w:val="16"/>
          <w:szCs w:val="16"/>
          <w:color w:val="auto"/>
        </w:rPr>
        <w:t>. Subject to the provisions hereof, the Committee shall have full and exclusive power and authority to administer this Plan and to take 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 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or Cash Compensation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this Plan shall lie within its sole and absolute discretion and shall be final, conclusive and binding on all parties concerned.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Committee Liability</w:t>
      </w:r>
      <w:r>
        <w:rPr>
          <w:rFonts w:ascii="Arial" w:cs="Arial" w:eastAsia="Arial" w:hAnsi="Arial"/>
          <w:sz w:val="16"/>
          <w:szCs w:val="16"/>
          <w:color w:val="auto"/>
        </w:rPr>
        <w:t>. No member of the Committee or officer of the Company to whom the Committee has delegated authority in accordance with the 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107" w:lineRule="exact"/>
        <w:rPr>
          <w:sz w:val="20"/>
          <w:szCs w:val="20"/>
          <w:color w:val="auto"/>
        </w:rPr>
      </w:pPr>
    </w:p>
    <w:p>
      <w:pPr>
        <w:jc w:val="both"/>
        <w:ind w:right="160" w:firstLine="456"/>
        <w:spacing w:after="0" w:line="33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 this Plan (other than its granting authority described in Article III) pursuant to such conditions or limitations as the Committee may establish.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6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shall be available for Stock Awards during the term of this Plan an aggregate of 300,000 shares of Common Stock (as adjusted to reflect the 2-for-1 stock split effected in 2007 (the “Stock Split”)). Shares of Common Stock will be made available from either the Company’s authorized but unissued shares or treasury shares that have been issued but reacquired by the Company.</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Annual Grants</w:t>
      </w:r>
      <w:r>
        <w:rPr>
          <w:rFonts w:ascii="Arial" w:cs="Arial" w:eastAsia="Arial" w:hAnsi="Arial"/>
          <w:sz w:val="16"/>
          <w:szCs w:val="16"/>
          <w:color w:val="auto"/>
        </w:rPr>
        <w:t>. On each Annual Director Award Date all Eligible Directors shall be granted a Stock Award with respect to a number of shares of Common Stock in the form of a number of shares of Common Stock, restricted Common Stock or restricted Stock Units, with the form and amount of such Stock Awards to be determined by the Committee; provided however that (1) each such annual Stock Award may not exceed 4,000 shares of Common Stock (as adjusted for the Stock Split), restricted Common Stock or restricted Stock Units, and (2) no more than 60,000 shares of Common Stock (as adjusted for the Stock Split), restricted Common Stock or restricted Stock Units may be awarded in any calendar year. The Stock Award shall be subject to such terms, conditions and restrictions (including vesting) as the Committee may determine in its discretion in connection with such award.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Deferral Election</w:t>
      </w:r>
      <w:r>
        <w:rPr>
          <w:rFonts w:ascii="Arial" w:cs="Arial" w:eastAsia="Arial" w:hAnsi="Arial"/>
          <w:sz w:val="18"/>
          <w:szCs w:val="18"/>
          <w:color w:val="auto"/>
        </w:rPr>
        <w:t>. A Director, at the discretion of the Committee, may irrevocably elect to defer the receipt of all or part of a Stock Award and/or Cash Compensation by submitting a Deferral Election in the manner specified by the Committee. The Deferral Election (i) shall specify the number of shares of Common Stock the receipt of which the Participant elects to defer and/or the amount or percentage of Cash Compensation, (ii) shall designate the period of deferral among the choices provided in Section 5.1, and (iii) may not be revoked or modified.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Timing of Elections</w:t>
      </w:r>
      <w:r>
        <w:rPr>
          <w:rFonts w:ascii="Arial" w:cs="Arial" w:eastAsia="Arial" w:hAnsi="Arial"/>
          <w:sz w:val="16"/>
          <w:szCs w:val="16"/>
          <w:color w:val="auto"/>
        </w:rPr>
        <w:t>. For annual grants of Stock Awards pursuant to Section 3.2, Deferral Elections must be made (i) for Stock Awards, no later than the last day of the calendar year preceding the Annual Director Award Date and (ii) for Cash Compensation, no later than the last day of the calendar year immediately preceding the calendar year in which such payments would have otherwise been paid. Effective beginning in 2008, Deferral Elections may be completed by newly appointed Eligible Directors no later than the date that is 30 days after the date such individual first becomes an Eligible Director; provided that such Deferral Election may apply solely to Stock Awards or Cash Compensation related to services to be performed subsequent to such Deferral Election. The Committee shall be authorized to adopt such other rules and limitations as it shall determine are necessary or appropriate with respect to the timing of elections to defer Stock Awards or Cash Compensation under the Plan.</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Establishment of Accounts</w:t>
      </w:r>
      <w:r>
        <w:rPr>
          <w:rFonts w:ascii="Arial" w:cs="Arial" w:eastAsia="Arial" w:hAnsi="Arial"/>
          <w:sz w:val="16"/>
          <w:szCs w:val="16"/>
          <w:color w:val="auto"/>
        </w:rPr>
        <w:t>. The Company shall also set up an appropriate record (hereinafter called the “Deferred Compensation Account”) which will from time to time reflect the name of each Participant and (i) the number of restricted Stock Units and, if applicable, dividend equivalents credited to such Participant pursuant to Section 4.4 and (ii) the Cash Compensation deferred pursuant to Section 4.1 plus earnings or losses credited thereon monthly.</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Crediting of Deferred Stock Awards or Restricted Stock Unit Awards</w:t>
      </w:r>
      <w:r>
        <w:rPr>
          <w:rFonts w:ascii="Arial" w:cs="Arial" w:eastAsia="Arial" w:hAnsi="Arial"/>
          <w:sz w:val="18"/>
          <w:szCs w:val="18"/>
          <w:color w:val="auto"/>
        </w:rPr>
        <w:t>. Any Stock Awards deferred pursuant to a Deferral Election as described in Section 4.1 shall be credited to the Participant’s Deferred Compensation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Deferred Compensation Account as of such date. No interest will be credited to a Participant’s Deferred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48" w:name="page149"/>
    <w:bookmarkEnd w:id="148"/>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with respect to any restricted Stock Units.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71" w:lineRule="exact"/>
        <w:rPr>
          <w:sz w:val="20"/>
          <w:szCs w:val="20"/>
          <w:color w:val="auto"/>
        </w:rPr>
      </w:pPr>
    </w:p>
    <w:p>
      <w:pPr>
        <w:ind w:left="460" w:firstLine="443"/>
        <w:spacing w:after="0" w:line="291" w:lineRule="auto"/>
        <w:tabs>
          <w:tab w:leader="none" w:pos="113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Exercise of Corporate Powers</w:t>
      </w:r>
      <w:r>
        <w:rPr>
          <w:rFonts w:ascii="Arial" w:cs="Arial" w:eastAsia="Arial" w:hAnsi="Arial"/>
          <w:sz w:val="16"/>
          <w:szCs w:val="16"/>
          <w:color w:val="auto"/>
        </w:rPr>
        <w:t>. The existence of this Plan and any outstanding restricted Stock Units credited hereunder shall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39" w:lineRule="exact"/>
        <w:rPr>
          <w:rFonts w:ascii="Arial" w:cs="Arial" w:eastAsia="Arial" w:hAnsi="Arial"/>
          <w:sz w:val="16"/>
          <w:szCs w:val="16"/>
          <w:color w:val="auto"/>
        </w:rPr>
      </w:pPr>
    </w:p>
    <w:p>
      <w:pPr>
        <w:ind w:left="460" w:right="20" w:firstLine="443"/>
        <w:spacing w:after="0" w:line="286" w:lineRule="auto"/>
        <w:tabs>
          <w:tab w:leader="none" w:pos="114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21"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u w:val="single" w:color="auto"/>
          <w:color w:val="auto"/>
        </w:rPr>
        <w:t>Deferred Cash Compensation</w:t>
      </w:r>
      <w:r>
        <w:rPr>
          <w:rFonts w:ascii="Arial" w:cs="Arial" w:eastAsia="Arial" w:hAnsi="Arial"/>
          <w:sz w:val="15"/>
          <w:szCs w:val="15"/>
          <w:color w:val="auto"/>
        </w:rPr>
        <w:t>. Each Participant shall be entitled to direct the manner in which his or her deferred Cash Compensation will be deemed to be invested for the period of deferral and in accordance with such rules, regulations and procedures as the Committee may establish from time to time. Notwithstanding anything to the contrary herein, earnings and losses based on a Participant’s investment elections shall begin to accrue as of the date such Participant’s deferred Cash Compensation amounts are credited to his or her Deferred Compensation Account and shall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shall (1) have a purchase price equal to the fair market value (as defined below) of each share of Common Stock on the date the investment is deemed to have occurred, and (2) be credited with dividend equivalents representing cash dividends payable with respect to the Common Stock, if any. For purposes of the Plan, the “fair market value “of Common Stock shall be deemed to equal the closing sales price per share of the Common Stock in the New York Stock Exchange Composite Transactions Quotations, as reported for that date, or if there shall have been no such reported prices for that date, the reported closing sales price on the last preceding date on which a composite sale or sales were effected on one or more of the exchanges on which the shares of Common Stock were traded shall be the fair market value.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 OR CASH</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Period of Deferral</w:t>
      </w:r>
      <w:r>
        <w:rPr>
          <w:rFonts w:ascii="Arial" w:cs="Arial" w:eastAsia="Arial" w:hAnsi="Arial"/>
          <w:sz w:val="16"/>
          <w:szCs w:val="16"/>
          <w:color w:val="auto"/>
        </w:rPr>
        <w:t>. With respect to (a) Stock Awards and/or Cash Compensation deferred pursuant to Section 4.1, a Participant may elect that delivery of deferred Stock Awards and/or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Delivery of Deferred Stock Awards and Deferred Cash Compensation</w:t>
      </w:r>
      <w:r>
        <w:rPr>
          <w:rFonts w:ascii="Arial" w:cs="Arial" w:eastAsia="Arial" w:hAnsi="Arial"/>
          <w:sz w:val="16"/>
          <w:szCs w:val="16"/>
          <w:color w:val="auto"/>
        </w:rPr>
        <w:t>. As of the Determination Date, the aggregate number of restricted Stock Units and, if applicable, dividend equivalents credited to a Participant’s Deferred Compensation Account as of such Determination Date shall be calculated. A Participant shall receive delivery of a number of shares of Common Stock equal to the aggregate number of restricted Stock Units and a cash payments equal to the amount of the aggregate dividend equivalents representing cash dividends payable with respect to the Company’s Common Stock, if any. As of the Determination Date, a Participant’s Cash Compensation deemed to be invested in Money Market Equivalents or S&amp;P 500 Equivalents, plus any amounts credited to Participant’s Deferred Compensation Account pursuant to Section 4.6 herein, shall be payable in the form of a cash lump sum. As of the Determination Date, a Participant’s Cash Compensation deemed to be invested in shares of the Company’s Common Stock shall be payable in the form of shares of the Company’s Common Stock plus a cash payments equal to the amount of the aggregate dividend equivalents.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and funds deliverable pursuant to the Plan, any remaining shares and funds credited to Participant’s Deferred Compensation Account shall be delivered to the Participant’s estate within 60 days following the Company’s notification of the Participant’s death.</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Delivery to Incompetents</w:t>
      </w:r>
      <w:r>
        <w:rPr>
          <w:rFonts w:ascii="Arial" w:cs="Arial" w:eastAsia="Arial" w:hAnsi="Arial"/>
          <w:sz w:val="16"/>
          <w:szCs w:val="16"/>
          <w:color w:val="auto"/>
        </w:rPr>
        <w:t>. To the extent allowed under applicable law, should the Participant become incompetent, the Company shall be authorized to deliver shares and funds credited to Participant’s Deferred Compensation Account and deliverable pursuant to the Plan to a guardian or legal representative of such incompetent, or directly to such incompetent, whichever manner the Committee shall determine in its sole discretion.</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Unfunded Plan</w:t>
      </w:r>
      <w:r>
        <w:rPr>
          <w:rFonts w:ascii="Arial" w:cs="Arial" w:eastAsia="Arial" w:hAnsi="Arial"/>
          <w:sz w:val="16"/>
          <w:szCs w:val="16"/>
          <w:color w:val="auto"/>
        </w:rPr>
        <w:t>. Nothing contained herein shall be deemed to create a trust of any kind or create any fiduciary relationship. This Plan shall be unfunded. To 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nor the Committee shall be required to give any security or bond for the performance of any obligation that may be created by this Plan.</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shall not be specifically set aside or otherwise segregated, but will be combined with corporate assets. Title to such amounts will remain with the Company and the Company’s only obligation will be to make timely delivery to Participants in accordance with the Plan.</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 balance of Deferred Compensation Account as of a recent date designated by the Committee.</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Assignability</w:t>
      </w:r>
      <w:r>
        <w:rPr>
          <w:rFonts w:ascii="Arial" w:cs="Arial" w:eastAsia="Arial" w:hAnsi="Arial"/>
          <w:sz w:val="18"/>
          <w:szCs w:val="18"/>
          <w:color w:val="auto"/>
        </w:rPr>
        <w:t>. Except as provided in Section 5.3, no right to receive delivery of shares hereunder shall be transferable or 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this Plan in violation of this Section 6.4 shall be null and void.</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 Modification, Suspension or Termination</w:t>
      </w:r>
      <w:r>
        <w:rPr>
          <w:rFonts w:ascii="Arial" w:cs="Arial" w:eastAsia="Arial" w:hAnsi="Arial"/>
          <w:sz w:val="18"/>
          <w:szCs w:val="18"/>
          <w:color w:val="auto"/>
        </w:rPr>
        <w:t>. The Board may amend, modify, suspend or terminate this Plan for the purpose of meeting or 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Deferred Compensation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147" w:lineRule="exact"/>
        <w:rPr>
          <w:sz w:val="20"/>
          <w:szCs w:val="20"/>
          <w:color w:val="auto"/>
        </w:rPr>
      </w:pPr>
    </w:p>
    <w:p>
      <w:pPr>
        <w:jc w:val="both"/>
        <w:ind w:right="720" w:firstLine="456"/>
        <w:spacing w:after="0" w:line="370"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Plan and all determinations made and actions taken pursuant hereto, to the extent not otherwise governed by mandatory provisions of the Code or the securities laws of the United States, shall be governed by and construed in accordance with the laws of the State of Texas.</w:t>
      </w:r>
    </w:p>
    <w:p>
      <w:pPr>
        <w:spacing w:after="0" w:line="6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Tax and Social Insurance</w:t>
      </w:r>
      <w:r>
        <w:rPr>
          <w:rFonts w:ascii="Arial" w:cs="Arial" w:eastAsia="Arial" w:hAnsi="Arial"/>
          <w:sz w:val="18"/>
          <w:szCs w:val="18"/>
          <w:color w:val="auto"/>
        </w:rPr>
        <w:t>. Participants are responsible for any and all tax or social insurance due on Stock Awards or restricted Stock Units under this 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Code Section 409A</w:t>
      </w:r>
      <w:r>
        <w:rPr>
          <w:rFonts w:ascii="Arial" w:cs="Arial" w:eastAsia="Arial" w:hAnsi="Arial"/>
          <w:sz w:val="16"/>
          <w:szCs w:val="16"/>
          <w:color w:val="auto"/>
        </w:rPr>
        <w:t>. To the extent applicable, this Plan is intended to comply with the provisions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this Plan in the least restrictive manner necessary to comply with such requirements and without resulting in any diminution in the value of payments or benefits to the Participants. No action taken to comply with Section 409A shall be deemed to adversely affect the Participant’s rights under this Plan.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10.8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SCHLUMBERGER 2008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(As Established Effective January 17,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and conformed to include amendments through January 1,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 Purpose of the Plan</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Stock Incentive Plan (the “Plan”) is intended as an incentive to key employees of Schlumberger Limited (the “Company”) and its subsidiaries. Its purposes are to retain employees with a high degree of training, experience and ability, to attract new employees whose services are considered unusually valuable, to encourage the sense of proprietorship of such persons and to promote the active interest of such persons in the development and financial success of the Company.</w:t>
      </w:r>
    </w:p>
    <w:p>
      <w:pPr>
        <w:spacing w:after="0" w:line="124" w:lineRule="exact"/>
        <w:rPr>
          <w:sz w:val="20"/>
          <w:szCs w:val="20"/>
          <w:color w:val="auto"/>
        </w:rPr>
      </w:pPr>
    </w:p>
    <w:p>
      <w:pPr>
        <w:ind w:left="180" w:hanging="172"/>
        <w:spacing w:after="0"/>
        <w:tabs>
          <w:tab w:leader="none" w:pos="180" w:val="left"/>
        </w:tabs>
        <w:numPr>
          <w:ilvl w:val="0"/>
          <w:numId w:val="134"/>
        </w:numPr>
        <w:rPr>
          <w:rFonts w:ascii="Arial" w:cs="Arial" w:eastAsia="Arial" w:hAnsi="Arial"/>
          <w:sz w:val="18"/>
          <w:szCs w:val="18"/>
          <w:b w:val="1"/>
          <w:bCs w:val="1"/>
          <w:color w:val="344274"/>
        </w:rPr>
      </w:pPr>
      <w:r>
        <w:rPr>
          <w:rFonts w:ascii="Arial" w:cs="Arial" w:eastAsia="Arial" w:hAnsi="Arial"/>
          <w:sz w:val="18"/>
          <w:szCs w:val="18"/>
          <w:b w:val="1"/>
          <w:bCs w:val="1"/>
          <w:color w:val="344274"/>
        </w:rPr>
        <w:t>Administration of the Plan</w:t>
      </w:r>
    </w:p>
    <w:p>
      <w:pPr>
        <w:spacing w:after="0" w:line="82" w:lineRule="exact"/>
        <w:rPr>
          <w:rFonts w:ascii="Arial" w:cs="Arial" w:eastAsia="Arial" w:hAnsi="Arial"/>
          <w:sz w:val="18"/>
          <w:szCs w:val="18"/>
          <w:b w:val="1"/>
          <w:bCs w:val="1"/>
          <w:color w:val="344274"/>
        </w:rPr>
      </w:pPr>
    </w:p>
    <w:p>
      <w:pPr>
        <w:ind w:right="40" w:firstLine="236"/>
        <w:spacing w:after="0" w:line="284" w:lineRule="auto"/>
        <w:tabs>
          <w:tab w:leader="none" w:pos="467"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Board of Directors shall appoint and maintain a Compensation Committee (the “Committee”) which shall consist of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three (3) members of the Board of Directors, none of whom is an officer or employee of the Company, who shall serve at the pleasure of the Board. No member of such Committee shall be eligible to receive Awards under this Plan during his or her tenure on the Committee.</w:t>
      </w:r>
    </w:p>
    <w:p>
      <w:pPr>
        <w:spacing w:after="0" w:line="1" w:lineRule="exact"/>
        <w:rPr>
          <w:rFonts w:ascii="Arial" w:cs="Arial" w:eastAsia="Arial" w:hAnsi="Arial"/>
          <w:sz w:val="16"/>
          <w:szCs w:val="16"/>
          <w:color w:val="auto"/>
        </w:rPr>
      </w:pPr>
    </w:p>
    <w:p>
      <w:pPr>
        <w:ind w:right="40" w:firstLine="236"/>
        <w:spacing w:after="0" w:line="281" w:lineRule="auto"/>
        <w:tabs>
          <w:tab w:leader="none" w:pos="477"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The Committee shall have full power and authority to interpret the provisions of the Plan and supervise its administration.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and selections made by the Committee pursuant to the provisions of the Plan shall be made by a majority of its members; provided, however, that the Committee may delegate its authority to grant awards hereunder to the chairperson of the Committee or any other member of the Committee to act in his or her absence, subject to such terms, conditions and limitations as the Committee may prescribe in its discretion. Any decision reduced to writing and signed by a majority of the members shall be fully effective as if adopted by a majority at a meeting duly held. The Committee may from time to time grant incentive stock options and non qualified stock options (“Stock Options”) and restricted stock and restricted stock units (“Stock Awards”) under the Plan to the persons described in Section 3 hereof. Subject to the provisions of the Plan, the Committee shall have full and final authority to determine the persons to whom Stock Options and Stock Awards (collectively referred to as “Awards”) hereunder shall be granted, the number of shares to be covered by each Award except that no participant may be granted Stock Options or Stock Awards more than 750,000 shares of common stock during the life of the Plan, whether each Stock Option shall be designated an “incentive stock option” or a “non qualified stock option,” and all other terms of each Award consistent with the provisions of this Plan. If the exercise period of an outstanding Stock Option is continued following a holder’s termination of employment as provided in Section 5, and the holder engages in “detrimental activity” as described in Section 5, the Committee shall have the authority in its discretion to cause such option to be forfeited and certain option exercises thereunder to be rescinded as provided for in Section 5.</w:t>
      </w:r>
    </w:p>
    <w:p>
      <w:pPr>
        <w:spacing w:after="0" w:line="8" w:lineRule="exact"/>
        <w:rPr>
          <w:rFonts w:ascii="Arial" w:cs="Arial" w:eastAsia="Arial" w:hAnsi="Arial"/>
          <w:sz w:val="16"/>
          <w:szCs w:val="16"/>
          <w:color w:val="auto"/>
        </w:rPr>
      </w:pPr>
    </w:p>
    <w:p>
      <w:pPr>
        <w:ind w:right="320" w:firstLine="236"/>
        <w:spacing w:after="0" w:line="323" w:lineRule="auto"/>
        <w:tabs>
          <w:tab w:leader="none" w:pos="467"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Committee Liability</w:t>
      </w:r>
      <w:r>
        <w:rPr>
          <w:rFonts w:ascii="Arial" w:cs="Arial" w:eastAsia="Arial" w:hAnsi="Arial"/>
          <w:sz w:val="16"/>
          <w:szCs w:val="16"/>
          <w:color w:val="auto"/>
        </w:rPr>
        <w:t>. No member of the Committee shall be liable for anything done or omitted to be done by him or by her or any other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in connection with the Plan, except for his or her own willful misconduct or as expressly provided by statute.</w:t>
      </w:r>
    </w:p>
    <w:p>
      <w:pPr>
        <w:spacing w:after="0" w:line="73" w:lineRule="exact"/>
        <w:rPr>
          <w:rFonts w:ascii="Arial" w:cs="Arial" w:eastAsia="Arial" w:hAnsi="Arial"/>
          <w:sz w:val="16"/>
          <w:szCs w:val="16"/>
          <w:color w:val="auto"/>
        </w:rPr>
      </w:pPr>
    </w:p>
    <w:p>
      <w:pPr>
        <w:ind w:left="180" w:hanging="172"/>
        <w:spacing w:after="0"/>
        <w:tabs>
          <w:tab w:leader="none" w:pos="180" w:val="left"/>
        </w:tabs>
        <w:numPr>
          <w:ilvl w:val="0"/>
          <w:numId w:val="134"/>
        </w:numPr>
        <w:rPr>
          <w:rFonts w:ascii="Arial" w:cs="Arial" w:eastAsia="Arial" w:hAnsi="Arial"/>
          <w:sz w:val="18"/>
          <w:szCs w:val="18"/>
          <w:b w:val="1"/>
          <w:bCs w:val="1"/>
          <w:color w:val="344274"/>
        </w:rPr>
      </w:pPr>
      <w:r>
        <w:rPr>
          <w:rFonts w:ascii="Arial" w:cs="Arial" w:eastAsia="Arial" w:hAnsi="Arial"/>
          <w:sz w:val="18"/>
          <w:szCs w:val="18"/>
          <w:b w:val="1"/>
          <w:bCs w:val="1"/>
          <w:color w:val="344274"/>
        </w:rPr>
        <w:t>Grants of Awards</w:t>
      </w:r>
    </w:p>
    <w:p>
      <w:pPr>
        <w:spacing w:after="0" w:line="82" w:lineRule="exact"/>
        <w:rPr>
          <w:rFonts w:ascii="Arial" w:cs="Arial" w:eastAsia="Arial" w:hAnsi="Arial"/>
          <w:sz w:val="18"/>
          <w:szCs w:val="18"/>
          <w:b w:val="1"/>
          <w:bCs w:val="1"/>
          <w:color w:val="344274"/>
        </w:rPr>
      </w:pPr>
    </w:p>
    <w:p>
      <w:pPr>
        <w:ind w:right="40" w:firstLine="236"/>
        <w:spacing w:after="0" w:line="283" w:lineRule="auto"/>
        <w:tabs>
          <w:tab w:leader="none" w:pos="467"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Eligibility for Awards</w:t>
      </w:r>
      <w:r>
        <w:rPr>
          <w:rFonts w:ascii="Arial" w:cs="Arial" w:eastAsia="Arial" w:hAnsi="Arial"/>
          <w:sz w:val="16"/>
          <w:szCs w:val="16"/>
          <w:color w:val="auto"/>
        </w:rPr>
        <w:t>. The persons eligible for participation in the Plan as recipients of Awards shall include only employees of the Company or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corporations as defined in Section 424(f) of the Internal Revenue Code of 1986 as amended from time to time (the “Code”), and hereinafter referred to as “subsidiaries,” who are executive, administrative, professional or technical personnel who have responsibilities affecting the management, direction, development and financial success of the Company or its subsidiaries.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 An employee may receive more than one grant of Awards at the Committee’s discretion including simultaneous grants of different forms of Awards.</w:t>
      </w:r>
    </w:p>
    <w:p>
      <w:pPr>
        <w:ind w:right="280" w:firstLine="236"/>
        <w:spacing w:after="0" w:line="361" w:lineRule="auto"/>
        <w:tabs>
          <w:tab w:leader="none" w:pos="477" w:val="left"/>
        </w:tabs>
        <w:numPr>
          <w:ilvl w:val="1"/>
          <w:numId w:val="134"/>
        </w:numPr>
        <w:rPr>
          <w:rFonts w:ascii="Arial" w:cs="Arial" w:eastAsia="Arial" w:hAnsi="Arial"/>
          <w:sz w:val="15"/>
          <w:szCs w:val="15"/>
          <w:color w:val="auto"/>
        </w:rPr>
      </w:pPr>
      <w:r>
        <w:rPr>
          <w:rFonts w:ascii="Arial" w:cs="Arial" w:eastAsia="Arial" w:hAnsi="Arial"/>
          <w:sz w:val="15"/>
          <w:szCs w:val="15"/>
          <w:i w:val="1"/>
          <w:iCs w:val="1"/>
          <w:color w:val="auto"/>
        </w:rPr>
        <w:t>Discretion in and Documentation of Awards</w:t>
      </w:r>
      <w:r>
        <w:rPr>
          <w:rFonts w:ascii="Arial" w:cs="Arial" w:eastAsia="Arial" w:hAnsi="Arial"/>
          <w:sz w:val="15"/>
          <w:szCs w:val="15"/>
          <w:color w:val="auto"/>
        </w:rPr>
        <w:t>. The Committee in granting Awards hereunder shall have discretion to determine the terms and conditions</w:t>
      </w:r>
      <w:r>
        <w:rPr>
          <w:rFonts w:ascii="Arial" w:cs="Arial" w:eastAsia="Arial" w:hAnsi="Arial"/>
          <w:sz w:val="15"/>
          <w:szCs w:val="15"/>
          <w:i w:val="1"/>
          <w:iCs w:val="1"/>
          <w:color w:val="auto"/>
        </w:rPr>
        <w:t xml:space="preserve"> </w:t>
      </w:r>
      <w:r>
        <w:rPr>
          <w:rFonts w:ascii="Arial" w:cs="Arial" w:eastAsia="Arial" w:hAnsi="Arial"/>
          <w:sz w:val="15"/>
          <w:szCs w:val="15"/>
          <w:color w:val="auto"/>
        </w:rPr>
        <w:t>upon which such Awards may vest and become exercisable, subject to and as further described in Section 5 and 6 of this Plan. Each grant of an Award shall be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2" w:name="page153"/>
    <w:bookmarkEnd w:id="152"/>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communicated, in the form and manner decided by the Committee, to the person to whom such Award is granted. In addition, the Committee may require that the grant be confirmed by an agreement, and may require that the optionee execute such agreement.</w:t>
      </w:r>
    </w:p>
    <w:p>
      <w:pPr>
        <w:ind w:left="700" w:hanging="236"/>
        <w:spacing w:after="0"/>
        <w:tabs>
          <w:tab w:leader="none" w:pos="700" w:val="left"/>
        </w:tabs>
        <w:numPr>
          <w:ilvl w:val="3"/>
          <w:numId w:val="135"/>
        </w:numPr>
        <w:rPr>
          <w:rFonts w:ascii="Arial" w:cs="Arial" w:eastAsia="Arial" w:hAnsi="Arial"/>
          <w:sz w:val="18"/>
          <w:szCs w:val="18"/>
          <w:color w:val="auto"/>
        </w:rPr>
      </w:pPr>
      <w:r>
        <w:rPr>
          <w:rFonts w:ascii="Arial" w:cs="Arial" w:eastAsia="Arial" w:hAnsi="Arial"/>
          <w:sz w:val="18"/>
          <w:szCs w:val="18"/>
          <w:i w:val="1"/>
          <w:iCs w:val="1"/>
          <w:color w:val="auto"/>
        </w:rPr>
        <w:t>Form of Awards</w:t>
      </w:r>
      <w:r>
        <w:rPr>
          <w:rFonts w:ascii="Arial" w:cs="Arial" w:eastAsia="Arial" w:hAnsi="Arial"/>
          <w:sz w:val="18"/>
          <w:szCs w:val="18"/>
          <w:color w:val="auto"/>
        </w:rPr>
        <w:t>. Awards may be granted in the following forms:</w:t>
      </w:r>
    </w:p>
    <w:p>
      <w:pPr>
        <w:spacing w:after="0" w:line="9" w:lineRule="exact"/>
        <w:rPr>
          <w:rFonts w:ascii="Arial" w:cs="Arial" w:eastAsia="Arial" w:hAnsi="Arial"/>
          <w:sz w:val="18"/>
          <w:szCs w:val="18"/>
          <w:color w:val="auto"/>
        </w:rPr>
      </w:pPr>
    </w:p>
    <w:p>
      <w:pPr>
        <w:ind w:left="660" w:hanging="200"/>
        <w:spacing w:after="0"/>
        <w:tabs>
          <w:tab w:leader="none" w:pos="66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a Stock Option, in accordance with Section 5, or</w:t>
      </w:r>
    </w:p>
    <w:p>
      <w:pPr>
        <w:spacing w:after="0" w:line="9" w:lineRule="exact"/>
        <w:rPr>
          <w:rFonts w:ascii="Arial" w:cs="Arial" w:eastAsia="Arial" w:hAnsi="Arial"/>
          <w:sz w:val="18"/>
          <w:szCs w:val="18"/>
          <w:color w:val="auto"/>
        </w:rPr>
      </w:pPr>
    </w:p>
    <w:p>
      <w:pPr>
        <w:ind w:left="720" w:hanging="260"/>
        <w:spacing w:after="0"/>
        <w:tabs>
          <w:tab w:leader="none" w:pos="720" w:val="left"/>
        </w:tabs>
        <w:numPr>
          <w:ilvl w:val="3"/>
          <w:numId w:val="137"/>
        </w:numPr>
        <w:rPr>
          <w:rFonts w:ascii="Arial" w:cs="Arial" w:eastAsia="Arial" w:hAnsi="Arial"/>
          <w:sz w:val="18"/>
          <w:szCs w:val="18"/>
          <w:color w:val="auto"/>
        </w:rPr>
      </w:pPr>
      <w:r>
        <w:rPr>
          <w:rFonts w:ascii="Arial" w:cs="Arial" w:eastAsia="Arial" w:hAnsi="Arial"/>
          <w:sz w:val="18"/>
          <w:szCs w:val="18"/>
          <w:color w:val="auto"/>
        </w:rPr>
        <w:t>a Stock Award in accordance with Section 6, or</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3"/>
          <w:numId w:val="138"/>
        </w:numPr>
        <w:rPr>
          <w:rFonts w:ascii="Arial" w:cs="Arial" w:eastAsia="Arial" w:hAnsi="Arial"/>
          <w:sz w:val="18"/>
          <w:szCs w:val="18"/>
          <w:color w:val="auto"/>
        </w:rPr>
      </w:pPr>
      <w:r>
        <w:rPr>
          <w:rFonts w:ascii="Arial" w:cs="Arial" w:eastAsia="Arial" w:hAnsi="Arial"/>
          <w:sz w:val="18"/>
          <w:szCs w:val="18"/>
          <w:color w:val="auto"/>
        </w:rPr>
        <w:t>a combination of the foregoing.</w:t>
      </w:r>
    </w:p>
    <w:p>
      <w:pPr>
        <w:spacing w:after="0" w:line="9" w:lineRule="exact"/>
        <w:rPr>
          <w:rFonts w:ascii="Arial" w:cs="Arial" w:eastAsia="Arial" w:hAnsi="Arial"/>
          <w:sz w:val="18"/>
          <w:szCs w:val="18"/>
          <w:color w:val="auto"/>
        </w:rPr>
      </w:pPr>
    </w:p>
    <w:p>
      <w:pPr>
        <w:ind w:right="100" w:firstLine="236"/>
        <w:spacing w:after="0" w:line="250" w:lineRule="auto"/>
        <w:tabs>
          <w:tab w:leader="none" w:pos="477"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 xml:space="preserve">Employment for Plan Purposes. </w:t>
      </w:r>
      <w:r>
        <w:rPr>
          <w:rFonts w:ascii="Arial" w:cs="Arial" w:eastAsia="Arial" w:hAnsi="Arial"/>
          <w:sz w:val="18"/>
          <w:szCs w:val="18"/>
          <w:color w:val="auto"/>
        </w:rPr>
        <w:t>For purposes of this Plan, employment with the Company shall include employment with any subsidiary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Awards granted under this Plan shall not be affected by an employee’s transfer of employment from the Company to a subsidiary, from a subsidiary to the Company or between subsidiaries.</w:t>
      </w:r>
    </w:p>
    <w:p>
      <w:pPr>
        <w:spacing w:after="0" w:line="1" w:lineRule="exact"/>
        <w:rPr>
          <w:rFonts w:ascii="Arial" w:cs="Arial" w:eastAsia="Arial" w:hAnsi="Arial"/>
          <w:sz w:val="18"/>
          <w:szCs w:val="18"/>
          <w:color w:val="auto"/>
        </w:rPr>
      </w:pPr>
    </w:p>
    <w:p>
      <w:pPr>
        <w:ind w:right="140" w:firstLine="236"/>
        <w:spacing w:after="0" w:line="295" w:lineRule="auto"/>
        <w:tabs>
          <w:tab w:leader="none" w:pos="467" w:val="left"/>
        </w:tabs>
        <w:numPr>
          <w:ilvl w:val="1"/>
          <w:numId w:val="139"/>
        </w:numPr>
        <w:rPr>
          <w:rFonts w:ascii="Arial" w:cs="Arial" w:eastAsia="Arial" w:hAnsi="Arial"/>
          <w:sz w:val="16"/>
          <w:szCs w:val="16"/>
          <w:color w:val="auto"/>
        </w:rPr>
      </w:pPr>
      <w:r>
        <w:rPr>
          <w:rFonts w:ascii="Arial" w:cs="Arial" w:eastAsia="Arial" w:hAnsi="Arial"/>
          <w:sz w:val="16"/>
          <w:szCs w:val="16"/>
          <w:i w:val="1"/>
          <w:iCs w:val="1"/>
          <w:color w:val="auto"/>
        </w:rPr>
        <w:t>Payment of Purchase Price for Stock Options</w:t>
      </w:r>
      <w:r>
        <w:rPr>
          <w:rFonts w:ascii="Arial" w:cs="Arial" w:eastAsia="Arial" w:hAnsi="Arial"/>
          <w:sz w:val="16"/>
          <w:szCs w:val="16"/>
          <w:color w:val="auto"/>
        </w:rPr>
        <w:t>. The purchase price of the shares of Common Stock as to which a Stock Option is exercised shall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full at the time of the exercise subject to such rules, procedures and restrictions as the Committee may prescribe from time to time: (i) in cash or by certified check; (ii) by the tender or delivery of shares of Schlumberger common stock with a Fair Market Value (as determined according to Section 5(b) of the Plan) at the time of exercise equal to the total option price; or (iii) by a combination of the methods described in (i) and (ii).</w:t>
      </w:r>
    </w:p>
    <w:p>
      <w:pPr>
        <w:spacing w:after="0" w:line="95" w:lineRule="exact"/>
        <w:rPr>
          <w:rFonts w:ascii="Arial" w:cs="Arial" w:eastAsia="Arial" w:hAnsi="Arial"/>
          <w:sz w:val="16"/>
          <w:szCs w:val="16"/>
          <w:color w:val="auto"/>
        </w:rPr>
      </w:pPr>
    </w:p>
    <w:p>
      <w:pPr>
        <w:ind w:left="180" w:hanging="172"/>
        <w:spacing w:after="0"/>
        <w:tabs>
          <w:tab w:leader="none" w:pos="180" w:val="left"/>
        </w:tabs>
        <w:numPr>
          <w:ilvl w:val="0"/>
          <w:numId w:val="140"/>
        </w:numPr>
        <w:rPr>
          <w:rFonts w:ascii="Arial" w:cs="Arial" w:eastAsia="Arial" w:hAnsi="Arial"/>
          <w:sz w:val="18"/>
          <w:szCs w:val="18"/>
          <w:b w:val="1"/>
          <w:bCs w:val="1"/>
          <w:color w:val="344274"/>
        </w:rPr>
      </w:pPr>
      <w:r>
        <w:rPr>
          <w:rFonts w:ascii="Arial" w:cs="Arial" w:eastAsia="Arial" w:hAnsi="Arial"/>
          <w:sz w:val="18"/>
          <w:szCs w:val="18"/>
          <w:b w:val="1"/>
          <w:bCs w:val="1"/>
          <w:color w:val="344274"/>
        </w:rPr>
        <w:t>Shares of Common Stock Subject to the Plan</w:t>
      </w:r>
    </w:p>
    <w:p>
      <w:pPr>
        <w:spacing w:after="0" w:line="8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Subject to adjustment as provided in Section 8 hereof, there shall be subject to the Plan 10,000,000 shares of common stock, par value $0.01 per share, of the Company (“Common Stock”). All of the shares of Common Stock authorized for issuance may be issued pursuant to Stock Options, including “incentive stock options” for purposes of Section 422 of the Code. No more than 1,500,000 shares of Common Stock of the shares authorized shall be available for the Stock Awards. The shares of Common Stock subject to the Plan shall consist of authorized and unissued shares or previously issued shares reacquired and held by the Company or any subsidiary. Until termination of the Plan, the Company and/or one or more subsidiaries shall at all times make available a sufficient number of shares of Common Stock to meet the requirements of the Plan. After termination of the Plan, the number of shares of Common Stock reserved for purposes of the Plan from time to time shall be only such number of shares of Common Stock as are issuable under then outstanding Awards.</w:t>
      </w:r>
    </w:p>
    <w:p>
      <w:pPr>
        <w:ind w:firstLine="228"/>
        <w:spacing w:after="0" w:line="286" w:lineRule="auto"/>
        <w:rPr>
          <w:sz w:val="20"/>
          <w:szCs w:val="20"/>
          <w:color w:val="auto"/>
        </w:rPr>
      </w:pPr>
      <w:r>
        <w:rPr>
          <w:rFonts w:ascii="Arial" w:cs="Arial" w:eastAsia="Arial" w:hAnsi="Arial"/>
          <w:sz w:val="16"/>
          <w:szCs w:val="16"/>
          <w:color w:val="auto"/>
        </w:rPr>
        <w:t>The number of shares of Common Stock that are the subject of Awards under this Plan that are forfeited or terminated or expire unexercised shall not count against the aggregate plan maximum and shall again immediately become available for grants hereunder. Shares of Common Stock delivered under the Plan in settlement of an award issued or made (a) upon the assumption, substitution, conversion or replacement of outstanding awards under a plan or arrangement of an acquired entity or (b) as a post-transaction grant under such a plan or arrangement of an acquired entity shall not reduce or be counted against the maximum number of shares of Common Stock available for delivery under the Plan, to the extent that the exemption for transactions in connection with mergers and acquisitions from the shareholder approval requirements of the New York Stock Exchange for equity compensation plans applies. The Committee may from time to time adopt and observe such rules and procedures concerning the counting of shares of Common Stock against the Plan maximum as it may deem appropriate, including rules more restrictive than those set forth above to the extent necessary to satisfy the requirements of any national securities exchange on which the Common Stock is listed or any applicable regulatory requirement. The Board of Directors and the appropriate officers of the Company are authorized to take from time to time whatever actions are necessary, and to file any required documents with governmental authorities, stock exchanges and transaction reporting systems to ensure that shares of Common Stock are available for issuance pursuant to the Plan.</w:t>
      </w:r>
    </w:p>
    <w:p>
      <w:pPr>
        <w:spacing w:after="0" w:line="101" w:lineRule="exact"/>
        <w:rPr>
          <w:sz w:val="20"/>
          <w:szCs w:val="20"/>
          <w:color w:val="auto"/>
        </w:rPr>
      </w:pPr>
    </w:p>
    <w:p>
      <w:pPr>
        <w:ind w:left="180" w:hanging="172"/>
        <w:spacing w:after="0"/>
        <w:tabs>
          <w:tab w:leader="none" w:pos="180" w:val="left"/>
        </w:tabs>
        <w:numPr>
          <w:ilvl w:val="0"/>
          <w:numId w:val="141"/>
        </w:numPr>
        <w:rPr>
          <w:rFonts w:ascii="Arial" w:cs="Arial" w:eastAsia="Arial" w:hAnsi="Arial"/>
          <w:sz w:val="18"/>
          <w:szCs w:val="18"/>
          <w:b w:val="1"/>
          <w:bCs w:val="1"/>
          <w:color w:val="344274"/>
        </w:rPr>
      </w:pPr>
      <w:r>
        <w:rPr>
          <w:rFonts w:ascii="Arial" w:cs="Arial" w:eastAsia="Arial" w:hAnsi="Arial"/>
          <w:sz w:val="18"/>
          <w:szCs w:val="18"/>
          <w:b w:val="1"/>
          <w:bCs w:val="1"/>
          <w:color w:val="344274"/>
        </w:rPr>
        <w:t>Terms of Stock Options</w:t>
      </w:r>
    </w:p>
    <w:p>
      <w:pPr>
        <w:spacing w:after="0" w:line="82" w:lineRule="exact"/>
        <w:rPr>
          <w:rFonts w:ascii="Arial" w:cs="Arial" w:eastAsia="Arial" w:hAnsi="Arial"/>
          <w:sz w:val="18"/>
          <w:szCs w:val="18"/>
          <w:b w:val="1"/>
          <w:bCs w:val="1"/>
          <w:color w:val="344274"/>
        </w:rPr>
      </w:pPr>
    </w:p>
    <w:p>
      <w:pPr>
        <w:ind w:right="300" w:firstLine="236"/>
        <w:spacing w:after="0" w:line="370" w:lineRule="auto"/>
        <w:tabs>
          <w:tab w:leader="none" w:pos="467" w:val="left"/>
        </w:tabs>
        <w:numPr>
          <w:ilvl w:val="1"/>
          <w:numId w:val="141"/>
        </w:numPr>
        <w:rPr>
          <w:rFonts w:ascii="Arial" w:cs="Arial" w:eastAsia="Arial" w:hAnsi="Arial"/>
          <w:sz w:val="15"/>
          <w:szCs w:val="15"/>
          <w:color w:val="auto"/>
        </w:rPr>
      </w:pPr>
      <w:r>
        <w:rPr>
          <w:rFonts w:ascii="Arial" w:cs="Arial" w:eastAsia="Arial" w:hAnsi="Arial"/>
          <w:sz w:val="15"/>
          <w:szCs w:val="15"/>
          <w:i w:val="1"/>
          <w:iCs w:val="1"/>
          <w:color w:val="auto"/>
        </w:rPr>
        <w:t>Incentive Stock Options</w:t>
      </w:r>
      <w:r>
        <w:rPr>
          <w:rFonts w:ascii="Arial" w:cs="Arial" w:eastAsia="Arial" w:hAnsi="Arial"/>
          <w:sz w:val="15"/>
          <w:szCs w:val="15"/>
          <w:color w:val="auto"/>
        </w:rPr>
        <w:t>. The Committee may designate a Stock Option as an “incentive stock option” for purposes of Section 422 of the Code, and any</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that is not so designated shall not be an incentive stock option. Stock Options granted under this Plan which are designated as “incentive stock</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3" w:name="page154"/>
    <w:bookmarkEnd w:id="153"/>
    <w:p>
      <w:pPr>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 may be granted with respect to any number of shares of Common Stock, up to the full number of shares of Common Stock subject to the Plan, provided that the aggregate Fair Market Value of such shares of Common Stock (determined in accordance with Section 5(b) of the Plan at the time the option is granted) with respect to which such options are exercisable for the first time by an employee during any one calendar year (under all such plans of the Company and any subsidiary of the Company) shall not exceed $100,000. To the extent that the aggregate Fair Market Value of shares of Common Stock with respect to which incentive stock options (determined without regard to this subsection) are exercisable for the first time by any employee during any calendar year (under all plans of the employer corporation and its parent and subsidiary corporations) exceeds $100,000, such options shall be treated as options which are not incentive stock options.</w:t>
      </w:r>
    </w:p>
    <w:p>
      <w:pPr>
        <w:spacing w:after="0" w:line="4" w:lineRule="exact"/>
        <w:rPr>
          <w:sz w:val="20"/>
          <w:szCs w:val="20"/>
          <w:color w:val="auto"/>
        </w:rPr>
      </w:pPr>
    </w:p>
    <w:p>
      <w:pPr>
        <w:ind w:firstLine="236"/>
        <w:spacing w:after="0" w:line="300" w:lineRule="auto"/>
        <w:tabs>
          <w:tab w:leader="none" w:pos="477" w:val="left"/>
        </w:tabs>
        <w:numPr>
          <w:ilvl w:val="0"/>
          <w:numId w:val="142"/>
        </w:numPr>
        <w:rPr>
          <w:rFonts w:ascii="Arial" w:cs="Arial" w:eastAsia="Arial" w:hAnsi="Arial"/>
          <w:sz w:val="15"/>
          <w:szCs w:val="15"/>
          <w:color w:val="auto"/>
        </w:rPr>
      </w:pPr>
      <w:r>
        <w:rPr>
          <w:rFonts w:ascii="Arial" w:cs="Arial" w:eastAsia="Arial" w:hAnsi="Arial"/>
          <w:sz w:val="15"/>
          <w:szCs w:val="15"/>
          <w:i w:val="1"/>
          <w:iCs w:val="1"/>
          <w:color w:val="auto"/>
        </w:rPr>
        <w:t>Purchase Price; Fair Market Value</w:t>
      </w:r>
      <w:r>
        <w:rPr>
          <w:rFonts w:ascii="Arial" w:cs="Arial" w:eastAsia="Arial" w:hAnsi="Arial"/>
          <w:sz w:val="15"/>
          <w:szCs w:val="15"/>
          <w:color w:val="auto"/>
        </w:rPr>
        <w:t>. The purchase price of each share of Common Stock subject to a Stock Option shall be determined by the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granting a Stock Option. The Committee shall set the purchase price for each share of Common Stock at either the fair market value (the “Fair Market Value”) of each share of Common Stock on the date the Stock Option is granted, or at such other price as the Committee in its sole discretion shall determine, but not less than one hundred percent (100%) of such Fair Market Value. After it is granted, no Stock Option may be amended to decrease the purchase price, no Stock Option may be granted in substitution for an outstanding Stock Option with a purchase price lower than the purchase price of an outstanding Stock Option and no Stock Option may be otherwise repriced directly or indirectly. The Fair Market Value of a share of Common Stock on a particular date shall be deemed to be the mean between the highest and lowest composite sales price per share of the Common Stock in the New York Stock Exchange Composite Transactions Quotations, as reported for that date, or, if there shall have been no such reported prices for that date, the reported mean price on the last preceding date on which a composite sale or sales were effected on one or more of the exchanges on which the shares of Common Stock were traded shall be the Fair Market Value.</w:t>
      </w:r>
    </w:p>
    <w:p>
      <w:pPr>
        <w:spacing w:after="0" w:line="4" w:lineRule="exact"/>
        <w:rPr>
          <w:rFonts w:ascii="Arial" w:cs="Arial" w:eastAsia="Arial" w:hAnsi="Arial"/>
          <w:sz w:val="15"/>
          <w:szCs w:val="15"/>
          <w:color w:val="auto"/>
        </w:rPr>
      </w:pPr>
    </w:p>
    <w:p>
      <w:pPr>
        <w:ind w:firstLine="236"/>
        <w:spacing w:after="0" w:line="281" w:lineRule="auto"/>
        <w:tabs>
          <w:tab w:leader="none" w:pos="467"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Permitted Restriction on Transfer of Option shares of Common Stock</w:t>
      </w:r>
      <w:r>
        <w:rPr>
          <w:rFonts w:ascii="Arial" w:cs="Arial" w:eastAsia="Arial" w:hAnsi="Arial"/>
          <w:sz w:val="16"/>
          <w:szCs w:val="16"/>
          <w:color w:val="auto"/>
        </w:rPr>
        <w:t>. At the time of the grant of a Stock Option, the Committee may determine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covered by such option shall be restricted as to transferability when and if such shares of Common Stock are delivered upon exercise. If so restricted, such shares of Common Stock shall not be sold, transferred or disposed of in any manner, and such shares of Common Stock shall not be pledged or otherwise hypothecated until the restriction expires by its terms. The circumstances under which any such restriction shall expire shall be determined by the Committee and shall be communicated to the optionee in connection with the grant of the option to purchase such shares of Common Stock.</w:t>
      </w:r>
    </w:p>
    <w:p>
      <w:pPr>
        <w:spacing w:after="0" w:line="3" w:lineRule="exact"/>
        <w:rPr>
          <w:rFonts w:ascii="Arial" w:cs="Arial" w:eastAsia="Arial" w:hAnsi="Arial"/>
          <w:sz w:val="16"/>
          <w:szCs w:val="16"/>
          <w:color w:val="auto"/>
        </w:rPr>
      </w:pPr>
    </w:p>
    <w:p>
      <w:pPr>
        <w:ind w:left="480" w:hanging="244"/>
        <w:spacing w:after="0"/>
        <w:tabs>
          <w:tab w:leader="none" w:pos="48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Terms Related to Exercise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right="280" w:firstLine="220"/>
        <w:spacing w:after="0" w:line="250" w:lineRule="auto"/>
        <w:tabs>
          <w:tab w:leader="none" w:pos="673"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Exercise Schedule</w:t>
      </w:r>
      <w:r>
        <w:rPr>
          <w:rFonts w:ascii="Arial" w:cs="Arial" w:eastAsia="Arial" w:hAnsi="Arial"/>
          <w:sz w:val="18"/>
          <w:szCs w:val="18"/>
          <w:color w:val="auto"/>
        </w:rPr>
        <w:t>. Subject to the requirements of paragraphs (A) and (B) below, each Stock Option granted hereunder shall be exercisable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installments (annual or other) on such date or dates as the Committee may in its sole discretion determine and communicate to the optionee in communicating the grant of the option.</w:t>
      </w:r>
    </w:p>
    <w:p>
      <w:pPr>
        <w:spacing w:after="0" w:line="1" w:lineRule="exact"/>
        <w:rPr>
          <w:rFonts w:ascii="Arial" w:cs="Arial" w:eastAsia="Arial" w:hAnsi="Arial"/>
          <w:sz w:val="18"/>
          <w:szCs w:val="18"/>
          <w:color w:val="auto"/>
        </w:rPr>
      </w:pPr>
    </w:p>
    <w:p>
      <w:pPr>
        <w:ind w:left="460" w:right="40" w:firstLine="224"/>
        <w:spacing w:after="0" w:line="250" w:lineRule="auto"/>
        <w:tabs>
          <w:tab w:leader="none" w:pos="96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No Stock Option may be exercised after the expiration of ten (10) years from the date such option is granted (the maximum term established by the Committee with respect to a particular Stock Option is hereinafter referred to as the “Option Period”).</w:t>
      </w:r>
    </w:p>
    <w:p>
      <w:pPr>
        <w:ind w:left="460" w:right="40" w:firstLine="224"/>
        <w:spacing w:after="0" w:line="250" w:lineRule="auto"/>
        <w:tabs>
          <w:tab w:leader="none" w:pos="957" w:val="left"/>
        </w:tabs>
        <w:numPr>
          <w:ilvl w:val="2"/>
          <w:numId w:val="142"/>
        </w:numPr>
        <w:rPr>
          <w:rFonts w:ascii="Arial" w:cs="Arial" w:eastAsia="Arial" w:hAnsi="Arial"/>
          <w:sz w:val="18"/>
          <w:szCs w:val="18"/>
          <w:color w:val="auto"/>
        </w:rPr>
      </w:pPr>
      <w:r>
        <w:rPr>
          <w:rFonts w:ascii="Arial" w:cs="Arial" w:eastAsia="Arial" w:hAnsi="Arial"/>
          <w:sz w:val="18"/>
          <w:szCs w:val="18"/>
          <w:color w:val="auto"/>
        </w:rPr>
        <w:t>Except in the case of death or disability (as described in Section 5(d)(iv)(B) or 5(d)(v)(B)), no Stock Option shall vest or become exercisable with respect to any portion of the shares of Common Stock thereunder unless and until the recipient remains in the employment of the Company or a subsidiary for a period of at least one (1) year from the date of grant of the option (which provision shall not be construed to impair in any way the right of the Company or subsidiary to terminate such employment).</w:t>
      </w:r>
    </w:p>
    <w:p>
      <w:pPr>
        <w:spacing w:after="0" w:line="1" w:lineRule="exact"/>
        <w:rPr>
          <w:rFonts w:ascii="Arial" w:cs="Arial" w:eastAsia="Arial" w:hAnsi="Arial"/>
          <w:sz w:val="18"/>
          <w:szCs w:val="18"/>
          <w:color w:val="auto"/>
        </w:rPr>
      </w:pPr>
    </w:p>
    <w:p>
      <w:pPr>
        <w:ind w:left="240" w:right="120" w:firstLine="220"/>
        <w:spacing w:after="0" w:line="250" w:lineRule="auto"/>
        <w:tabs>
          <w:tab w:leader="none" w:pos="722"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Cumulative Exercise Rights</w:t>
      </w:r>
      <w:r>
        <w:rPr>
          <w:rFonts w:ascii="Arial" w:cs="Arial" w:eastAsia="Arial" w:hAnsi="Arial"/>
          <w:sz w:val="18"/>
          <w:szCs w:val="18"/>
          <w:color w:val="auto"/>
        </w:rPr>
        <w:t>. The right to purchase shares of Common Stock shall be cumulative so that when the right to purchase any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has accrued, such shares of Common Stock or any part thereof may be purchased at any time thereafter until the expiration or termination of the Stock Option.</w:t>
      </w:r>
    </w:p>
    <w:p>
      <w:pPr>
        <w:spacing w:after="0" w:line="1" w:lineRule="exact"/>
        <w:rPr>
          <w:rFonts w:ascii="Arial" w:cs="Arial" w:eastAsia="Arial" w:hAnsi="Arial"/>
          <w:sz w:val="18"/>
          <w:szCs w:val="18"/>
          <w:color w:val="auto"/>
        </w:rPr>
      </w:pPr>
    </w:p>
    <w:p>
      <w:pPr>
        <w:ind w:left="760" w:hanging="300"/>
        <w:spacing w:after="0"/>
        <w:tabs>
          <w:tab w:leader="none" w:pos="76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Reload</w:t>
      </w:r>
      <w:r>
        <w:rPr>
          <w:rFonts w:ascii="Arial" w:cs="Arial" w:eastAsia="Arial" w:hAnsi="Arial"/>
          <w:sz w:val="18"/>
          <w:szCs w:val="18"/>
          <w:color w:val="auto"/>
        </w:rPr>
        <w:t>. No Stock Option may include provisions that “reload” the option upon exercise.</w:t>
      </w:r>
    </w:p>
    <w:p>
      <w:pPr>
        <w:spacing w:after="0" w:line="9" w:lineRule="exact"/>
        <w:rPr>
          <w:rFonts w:ascii="Arial" w:cs="Arial" w:eastAsia="Arial" w:hAnsi="Arial"/>
          <w:sz w:val="18"/>
          <w:szCs w:val="18"/>
          <w:color w:val="auto"/>
        </w:rPr>
      </w:pPr>
    </w:p>
    <w:p>
      <w:pPr>
        <w:ind w:left="760" w:hanging="300"/>
        <w:spacing w:after="0"/>
        <w:tabs>
          <w:tab w:leader="none" w:pos="76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Termination of Employment and Subsequent Events</w:t>
      </w:r>
      <w:r>
        <w:rPr>
          <w:rFonts w:ascii="Arial" w:cs="Arial" w:eastAsia="Arial" w:hAnsi="Arial"/>
          <w:sz w:val="18"/>
          <w:szCs w:val="18"/>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54" w:name="page155"/>
    <w:bookmarkEnd w:id="154"/>
    <w:p>
      <w:pPr>
        <w:ind w:right="240" w:firstLine="224"/>
        <w:spacing w:after="0" w:line="283" w:lineRule="auto"/>
        <w:tabs>
          <w:tab w:leader="none" w:pos="507" w:val="left"/>
        </w:tabs>
        <w:numPr>
          <w:ilvl w:val="2"/>
          <w:numId w:val="1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with the consent of the Company and provided such employment is not terminated for cause (of which the Committee shall be the sole judge), the Committee may permit such Stock Option to be exercised by such optionee at any time during the period of three (3) months after such termination or the remainder of the Option Period whichever is less, provided that such option may be exercised only to the extent it was exercisable on the date of such termination.</w:t>
      </w:r>
    </w:p>
    <w:p>
      <w:pPr>
        <w:spacing w:after="0" w:line="2" w:lineRule="exact"/>
        <w:rPr>
          <w:rFonts w:ascii="Arial" w:cs="Arial" w:eastAsia="Arial" w:hAnsi="Arial"/>
          <w:sz w:val="16"/>
          <w:szCs w:val="16"/>
          <w:color w:val="auto"/>
        </w:rPr>
      </w:pPr>
    </w:p>
    <w:p>
      <w:pPr>
        <w:jc w:val="both"/>
        <w:ind w:right="80" w:firstLine="224"/>
        <w:spacing w:after="0" w:line="250" w:lineRule="auto"/>
        <w:tabs>
          <w:tab w:leader="none" w:pos="49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In the event an optionee dies while in the employ of the Company, any outstanding Stock Option shall automatically become fully vested and exercisable by the person or persons entitled thereto under the optionee’s will or the laws of descent and distribution during the “Post-Death Exercise Period.” The Post-Death Exercise Period shall commence on the date of the optionee’s death and shall end sixty (60) months thereafter or the remainder of the Option Period whichever is less.</w:t>
      </w:r>
    </w:p>
    <w:p>
      <w:pPr>
        <w:spacing w:after="0" w:line="1" w:lineRule="exact"/>
        <w:rPr>
          <w:rFonts w:ascii="Arial" w:cs="Arial" w:eastAsia="Arial" w:hAnsi="Arial"/>
          <w:sz w:val="18"/>
          <w:szCs w:val="18"/>
          <w:color w:val="auto"/>
        </w:rPr>
      </w:pPr>
    </w:p>
    <w:p>
      <w:pPr>
        <w:ind w:right="40" w:firstLine="224"/>
        <w:spacing w:after="0" w:line="250" w:lineRule="auto"/>
        <w:tabs>
          <w:tab w:leader="none" w:pos="49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In the event an optionee dies after termination of employment but prior to the exercise in full of any Stock Option which was exercisable on the date of such termination, such option may be exercised by the person or persons entitled thereto under the optionee’s will or the laws of descent and distribution during the Post-Death Exercise Period but only to the extent exercisable by the optionee at the date of death. For purposes of this Section 5(d)(iv)(C), the Post-Death Exercise Period shall commence on the date of the optionee’s termination of employment and shall end sixty (60) months thereafter or the remainder of the Option Period whichever is less.</w:t>
      </w:r>
    </w:p>
    <w:p>
      <w:pPr>
        <w:spacing w:after="0" w:line="2" w:lineRule="exact"/>
        <w:rPr>
          <w:rFonts w:ascii="Arial" w:cs="Arial" w:eastAsia="Arial" w:hAnsi="Arial"/>
          <w:sz w:val="18"/>
          <w:szCs w:val="18"/>
          <w:color w:val="auto"/>
        </w:rPr>
      </w:pPr>
    </w:p>
    <w:p>
      <w:pPr>
        <w:jc w:val="both"/>
        <w:ind w:right="100" w:firstLine="224"/>
        <w:spacing w:after="0" w:line="250" w:lineRule="auto"/>
        <w:tabs>
          <w:tab w:leader="none" w:pos="507" w:val="left"/>
        </w:tabs>
        <w:numPr>
          <w:ilvl w:val="2"/>
          <w:numId w:val="143"/>
        </w:numPr>
        <w:rPr>
          <w:rFonts w:ascii="Arial" w:cs="Arial" w:eastAsia="Arial" w:hAnsi="Arial"/>
          <w:sz w:val="18"/>
          <w:szCs w:val="18"/>
          <w:color w:val="auto"/>
        </w:rPr>
      </w:pPr>
      <w:r>
        <w:rPr>
          <w:rFonts w:ascii="Arial" w:cs="Arial" w:eastAsia="Arial" w:hAnsi="Arial"/>
          <w:sz w:val="18"/>
          <w:szCs w:val="18"/>
          <w:color w:val="auto"/>
        </w:rPr>
        <w:t>If the optionee’s employment with the Company is terminated without the consent of the Company for any reason other than the death of the optionee, or if the optionee’s employment with the Company is terminated for cause, his or her rights under any then outstanding Stock Option shall terminate immediately. The Committee shall be the sole judge of whether the optionee’s employment is terminated without the consent of the Company or for cause.</w:t>
      </w:r>
    </w:p>
    <w:p>
      <w:pPr>
        <w:spacing w:after="0" w:line="1" w:lineRule="exact"/>
        <w:rPr>
          <w:rFonts w:ascii="Arial" w:cs="Arial" w:eastAsia="Arial" w:hAnsi="Arial"/>
          <w:sz w:val="18"/>
          <w:szCs w:val="18"/>
          <w:color w:val="auto"/>
        </w:rPr>
      </w:pPr>
    </w:p>
    <w:p>
      <w:pPr>
        <w:ind w:right="40" w:firstLine="224"/>
        <w:spacing w:after="0" w:line="281" w:lineRule="auto"/>
        <w:tabs>
          <w:tab w:leader="none" w:pos="488" w:val="left"/>
        </w:tabs>
        <w:numPr>
          <w:ilvl w:val="2"/>
          <w:numId w:val="143"/>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hereinafter defined) within one year after termination of employment for any reason other than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one year following termination of employment for any reason other than retirement or disability (which are addressed below in Section 5(d)(v)(D)), the Committee, in its discretion, may rescind any option exercise made within the period commencing six months preceding the date of the optionee’s termination of employment and ending three months following such termination. For purposes of this Section 5, “detrimental activity” means activity that is determined by the Committee in its sole and absolute discretion to be detrimental to the interests of the Company or any of its subsidiaries, including but not limited to situations where such optionee:</w:t>
      </w:r>
    </w:p>
    <w:p>
      <w:pPr>
        <w:spacing w:after="0" w:line="6" w:lineRule="exact"/>
        <w:rPr>
          <w:rFonts w:ascii="Arial" w:cs="Arial" w:eastAsia="Arial" w:hAnsi="Arial"/>
          <w:sz w:val="16"/>
          <w:szCs w:val="16"/>
          <w:color w:val="auto"/>
        </w:rPr>
      </w:pPr>
    </w:p>
    <w:p>
      <w:pPr>
        <w:ind w:right="140" w:firstLine="4"/>
        <w:spacing w:after="0" w:line="250" w:lineRule="auto"/>
        <w:tabs>
          <w:tab w:leader="none" w:pos="24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divulges trade secrets of the Company, proprietary data or other confidential information relating to the Company or to the business of the Company and any subsidiaries, (2) enters into employment with a competitor under circumstances suggesting that such optionee will be using unique or special knowledge gained as a Company employee to compete with the Company, (3) uses information obtained during the course of his or her prior employment for his or her own purposes, such as for the solicitation of business, (4) is determined to have engaged (whether or not prior to termination) in either gross misconduct or criminal activity harmful to the Company, or (5) takes any action that harms the business interests, reputation, or goodwill of the Company and/or its subsidiaries.</w:t>
      </w:r>
    </w:p>
    <w:p>
      <w:pPr>
        <w:spacing w:after="0" w:line="2" w:lineRule="exact"/>
        <w:rPr>
          <w:rFonts w:ascii="Arial" w:cs="Arial" w:eastAsia="Arial" w:hAnsi="Arial"/>
          <w:sz w:val="18"/>
          <w:szCs w:val="18"/>
          <w:color w:val="auto"/>
        </w:rPr>
      </w:pPr>
    </w:p>
    <w:p>
      <w:pPr>
        <w:ind w:left="240" w:hanging="240"/>
        <w:spacing w:after="0"/>
        <w:tabs>
          <w:tab w:leader="none" w:pos="24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Retirement, Disability and Subsequent Events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firstLine="224"/>
        <w:spacing w:after="0" w:line="292" w:lineRule="auto"/>
        <w:tabs>
          <w:tab w:leader="none" w:pos="507"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the optionee’s employment with the Company is terminated due to retirement, such Stock Option shall be exercisable by such optionee at any time during the period of sixty (60) months after such termination or the remainder of the Option Period, whichever is less (the “Retirement Exercise Period”), provided that such option may be exercised after such termination and before expiration only to the extent that it is exercisable on the date of such termination. For purposes of this Section 5(d)(v), “retirement” shall mean termination of the optionee’s employment with the Company and all affiliates at or after (i) age 55 or (ii) age 50 and completion of at least 10 years of service with the Company and all affiliates.</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55" w:name="page156"/>
    <w:bookmarkEnd w:id="155"/>
    <w:p>
      <w:pPr>
        <w:ind w:left="460" w:right="80" w:firstLine="224"/>
        <w:spacing w:after="0" w:line="283" w:lineRule="auto"/>
        <w:tabs>
          <w:tab w:leader="none" w:pos="957" w:val="left"/>
        </w:tabs>
        <w:numPr>
          <w:ilvl w:val="1"/>
          <w:numId w:val="1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optionee’s employment with the Company is terminated due to disability, such Stock Option shall automatically become fully vested and exercisable. Such optionee may exercise the outstanding Stock Option at any time during the period of sixty (60) months after such termination or the remainder of the Option Period, whichever is less (the “Disability Exercise Period”). For purposes of this Section 5(d)(v), “disability” shall mean such disability (whether through physical or mental impairment) which totally and permanently incapacitates the Optionee from any gainful employment in any field which the Optionee is suited by education, training, or experience, as determined by the Committee in its sole and absolute discretion.</w:t>
      </w:r>
    </w:p>
    <w:p>
      <w:pPr>
        <w:spacing w:after="0" w:line="2" w:lineRule="exact"/>
        <w:rPr>
          <w:rFonts w:ascii="Arial" w:cs="Arial" w:eastAsia="Arial" w:hAnsi="Arial"/>
          <w:sz w:val="16"/>
          <w:szCs w:val="16"/>
          <w:color w:val="auto"/>
        </w:rPr>
      </w:pPr>
    </w:p>
    <w:p>
      <w:pPr>
        <w:jc w:val="both"/>
        <w:ind w:left="460" w:right="240" w:firstLine="224"/>
        <w:spacing w:after="0" w:line="281" w:lineRule="auto"/>
        <w:tabs>
          <w:tab w:leader="none" w:pos="95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In the event an optionee dies during the Retirement Exercise Period or the Disability Exercise Period, such Stock Option may be exercised by the person or persons entitled thereto under the optionee’s will or the laws of descent and distribution to the extent exercisable by the optionee at the date of death and to the extent the term of the Option Period has not expired within such Retirement Exercise Period or Disability Exercise Period.</w:t>
      </w:r>
    </w:p>
    <w:p>
      <w:pPr>
        <w:spacing w:after="0" w:line="2" w:lineRule="exact"/>
        <w:rPr>
          <w:rFonts w:ascii="Arial" w:cs="Arial" w:eastAsia="Arial" w:hAnsi="Arial"/>
          <w:sz w:val="16"/>
          <w:szCs w:val="16"/>
          <w:color w:val="auto"/>
        </w:rPr>
      </w:pPr>
    </w:p>
    <w:p>
      <w:pPr>
        <w:ind w:left="460" w:firstLine="224"/>
        <w:spacing w:after="0" w:line="287" w:lineRule="auto"/>
        <w:tabs>
          <w:tab w:leader="none" w:pos="96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Notwithstanding the foregoing, if the optionee engages in “detrimental activity” (as defined in Section 5(d)(iv)(E)) within five years after termination of employment by reason of retirement or disability, the Committee, in its discretion, may cause the optionee’s right to exercise such option to be forfeited. Such forfeiture may occur at any time after the Committee determines that the optionee has engaged in detrimental activity and prior to the actual delivery of all shares of Common Stock subject to the option pursuant to the exercise of such option. If an allegation of detrimental activity by an optionee is made to the Committee, the Committee, in its discretion, may suspend the exercisability of the optionee’s options for up to two months to permit the investigation of such allegation. In addition, if the optionee engages in detrimental activity within five years following termination of employment by reason of retirement or disability, the Committee, in its discretion, may rescind any option exercise made within the period commencing six months preceding the date of the optionee’s termination of employment by retirement and ending one year following such termination.</w:t>
      </w:r>
    </w:p>
    <w:p>
      <w:pPr>
        <w:spacing w:after="0" w:line="104" w:lineRule="exact"/>
        <w:rPr>
          <w:rFonts w:ascii="Arial" w:cs="Arial" w:eastAsia="Arial" w:hAnsi="Arial"/>
          <w:sz w:val="16"/>
          <w:szCs w:val="16"/>
          <w:color w:val="auto"/>
        </w:rPr>
      </w:pPr>
    </w:p>
    <w:p>
      <w:pPr>
        <w:ind w:left="180" w:hanging="172"/>
        <w:spacing w:after="0"/>
        <w:tabs>
          <w:tab w:leader="none" w:pos="180" w:val="left"/>
        </w:tabs>
        <w:numPr>
          <w:ilvl w:val="0"/>
          <w:numId w:val="147"/>
        </w:numPr>
        <w:rPr>
          <w:rFonts w:ascii="Arial" w:cs="Arial" w:eastAsia="Arial" w:hAnsi="Arial"/>
          <w:sz w:val="18"/>
          <w:szCs w:val="18"/>
          <w:b w:val="1"/>
          <w:bCs w:val="1"/>
          <w:color w:val="344274"/>
        </w:rPr>
      </w:pPr>
      <w:r>
        <w:rPr>
          <w:rFonts w:ascii="Arial" w:cs="Arial" w:eastAsia="Arial" w:hAnsi="Arial"/>
          <w:sz w:val="18"/>
          <w:szCs w:val="18"/>
          <w:b w:val="1"/>
          <w:bCs w:val="1"/>
          <w:color w:val="344274"/>
        </w:rPr>
        <w:t>Stock Awards</w:t>
      </w:r>
    </w:p>
    <w:p>
      <w:pPr>
        <w:spacing w:after="0" w:line="83"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An Award may be in the form of a Stock Award. The terms, conditions and limitations applicable to any Stock Awards granted pursuant to this Plan shall be determined by the Committee, subject to the limitations provided herein. Each Stock Award shall be subject to a vesting schedule, restriction period or holding period, or any combination thereof, totaling at least three years from the date of the Stock Award, provided that the Committee may provide for earlier vesting, lapse of restriction or end of holding period upon a termination of employment by reason of death or disability.</w:t>
      </w:r>
    </w:p>
    <w:p>
      <w:pPr>
        <w:spacing w:after="0" w:line="3"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Any Stock Award granted to a person who is an executive officer of the Company at the time of grant shall be performance-based and not eligible for vesting based solely on the passage of time.</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Without limiting the type or number of Stock Awards that may be made under the other provisions of this Plan, a Stock Award may be in the form of a performance award. The terms, conditions and limitations applicable to any performance awards granted to participants pursuant to this Plan shall be determined by the Committee, subject to the limitations set forth below. The Committee shall set performance goals in its discretion which, depending on the extent to which they are met, will determine the amount of performance awards that will be paid out to the participant.</w:t>
      </w:r>
    </w:p>
    <w:p>
      <w:pPr>
        <w:spacing w:after="0" w:line="3" w:lineRule="exact"/>
        <w:rPr>
          <w:sz w:val="20"/>
          <w:szCs w:val="20"/>
          <w:color w:val="auto"/>
        </w:rPr>
      </w:pPr>
    </w:p>
    <w:p>
      <w:pPr>
        <w:ind w:right="380" w:firstLine="236"/>
        <w:spacing w:after="0" w:line="250" w:lineRule="auto"/>
        <w:tabs>
          <w:tab w:leader="none" w:pos="467"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Nonqualified Performance Awards</w:t>
      </w:r>
      <w:r>
        <w:rPr>
          <w:rFonts w:ascii="Arial" w:cs="Arial" w:eastAsia="Arial" w:hAnsi="Arial"/>
          <w:sz w:val="18"/>
          <w:szCs w:val="18"/>
          <w:color w:val="auto"/>
        </w:rPr>
        <w:t>. Performance Awards granted to participants that are not intended to qualify as qualified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based on achievement of such goals and be subject to such terms, conditions, and restrictions as the Committee or its delegate shall determine.</w:t>
      </w:r>
    </w:p>
    <w:p>
      <w:pPr>
        <w:spacing w:after="0" w:line="1" w:lineRule="exact"/>
        <w:rPr>
          <w:rFonts w:ascii="Arial" w:cs="Arial" w:eastAsia="Arial" w:hAnsi="Arial"/>
          <w:sz w:val="18"/>
          <w:szCs w:val="18"/>
          <w:color w:val="auto"/>
        </w:rPr>
      </w:pPr>
    </w:p>
    <w:p>
      <w:pPr>
        <w:ind w:firstLine="236"/>
        <w:spacing w:after="0" w:line="252" w:lineRule="auto"/>
        <w:tabs>
          <w:tab w:leader="none" w:pos="477"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Qualified Performance Awards</w:t>
      </w:r>
      <w:r>
        <w:rPr>
          <w:rFonts w:ascii="Arial" w:cs="Arial" w:eastAsia="Arial" w:hAnsi="Arial"/>
          <w:sz w:val="18"/>
          <w:szCs w:val="18"/>
          <w:color w:val="auto"/>
        </w:rPr>
        <w:t>. Performance Awards granted to participants under the Plan that are intended to qualify as qualified performance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Section 162(m) of the Code shall be paid, vested, or otherwise deliverable solely on account of the attainment of one or more pre-established, objective performance goals established by the Committee prior to the earlier to occur of (i) 90 days after the commencement of the period of service to which the performance goal relates and (ii) the lapse of 25% of the period of service (as scheduled in good faith at the time the goal is established), and in any event while the outcome is substantially uncertain. A performance goal is objective if a third party having knowledge of the relevant facts could determine whether the goal is met. Such a performance goal may be based on one or more business criteria that apply to the participant, one or more business units, divisions or sectors of the Company,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56" w:name="page157"/>
    <w:bookmarkEnd w:id="156"/>
    <w:p>
      <w:pPr>
        <w:ind w:right="8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Company as a whole, and if so desired by the Committee, by comparison with a peer group of companies. A performance goal may include one or more of the following: Increased revenue; Net income measures (including but not limited to income after capital costs and income before or after taxes); Stock price measures (including but not limited to growth measures and total shareholder return); Market share; Earnings per share (actual or targeted growth); Earnings</w:t>
      </w:r>
    </w:p>
    <w:p>
      <w:pPr>
        <w:spacing w:after="0" w:line="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before interest, taxes, depreciation, and amortization (“EBITDA”); Economic value added (“EVA</w:t>
      </w:r>
      <w:r>
        <w:rPr>
          <w:rFonts w:ascii="Arial" w:cs="Arial" w:eastAsia="Arial" w:hAnsi="Arial"/>
          <w:sz w:val="36"/>
          <w:szCs w:val="36"/>
          <w:color w:val="auto"/>
          <w:vertAlign w:val="superscript"/>
        </w:rPr>
        <w:t>®</w:t>
      </w:r>
      <w:r>
        <w:rPr>
          <w:rFonts w:ascii="Arial" w:cs="Arial" w:eastAsia="Arial" w:hAnsi="Arial"/>
          <w:sz w:val="18"/>
          <w:szCs w:val="18"/>
          <w:color w:val="auto"/>
        </w:rPr>
        <w:t>”); Cash flow measures (including but not limited to net cash flow and net cash flow before financing activities); Return measures (including but not limited to return on equity, return on average assets, return on capital, risk-adjusted return on capital, return on investors’ capital and return on average equity); Operating measures (including operating income, funds from operations, cash from operations, after-tax operating income and sales volumes); Expense measures (including but not limited to finding and development costs, overhead cost and general and administrative expense); Margins; Proceeds from dispositions; Total market value; and Corporate values measures (including ethics compliance, environmental, and safety).</w:t>
      </w:r>
    </w:p>
    <w:p>
      <w:pPr>
        <w:spacing w:after="0" w:line="23"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In interpreting Plan provisions applicable to qualified performance Awards, it is the intent of the Plan to conform with the standards of Section 162(m) of the Code and Treasury Regulation §1.162-27(e)(2)(i), as to grants to those participants whose compensation is, or is likely to be, subject to Section 162(m) of the Code, and the Committee in establishing such goals and interpreting the Plan shall be guided by such provisions. Prior to the payment of any compensation based on the achievement of performance goals for qualified performance Awards, the Committee must certify in writing that applicable performance goals and any of the material terms thereof were, in fact, satisfied. Subject to the foregoing provisions, the terms, conditions, and limitations applicable to any qualified performance Awards made pursuant to this Plan shall be determined by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7. Assignability</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Awards granted under the Plan shall not be assignable or otherwise transferable by the recipient except by will or the laws of descent and distribution. Otherwise, Awards granted under this Plan shall be exercisable during the lifetime of the recipient, to the extent applicable, (except as otherwise provided in the Plan or in the documentation of the grant for Awards other than “incentive stock options”) only by the recipient for his or her individual account, and no purported assignment or transfer of such Awards thereunder, whether voluntary or involuntary, by operation of law or otherwise, shall vest in the purported assignee or transferee any interest or right therein whatsoever but immediately upon any such purported assignment or transfer, or any attempt to make the same, such Awards thereunder shall terminate and become of no further effect.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8. Taxes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Committee may make such provisions and rules as it may deem appropriate for the withholding of taxes in connection with any Awards granted under the Plan. A participant, subject to such rules as the Committee may prescribe from time to time, may elect to satisfy all or any portion of the tax required to be withheld by the Company by transfer to the Company of shares of Common Stock theretofore and by the holder of the Award with respect to which withholding is required. If shares of Common Stock are used to satisfy tax withholding, such shares of Common Stock shall be valued based on the Fair Market Value when the tax withholding is required to be made. An optionee’s election pursuant to this section must be made on or before the date of exercise or vesting and must be irrevocable.</w:t>
      </w:r>
    </w:p>
    <w:p>
      <w:pPr>
        <w:spacing w:after="0" w:line="125" w:lineRule="exact"/>
        <w:rPr>
          <w:sz w:val="20"/>
          <w:szCs w:val="20"/>
          <w:color w:val="auto"/>
        </w:rPr>
      </w:pPr>
    </w:p>
    <w:p>
      <w:pPr>
        <w:ind w:left="180" w:hanging="172"/>
        <w:spacing w:after="0"/>
        <w:tabs>
          <w:tab w:leader="none" w:pos="180" w:val="left"/>
        </w:tabs>
        <w:numPr>
          <w:ilvl w:val="0"/>
          <w:numId w:val="149"/>
        </w:numPr>
        <w:rPr>
          <w:rFonts w:ascii="Arial" w:cs="Arial" w:eastAsia="Arial" w:hAnsi="Arial"/>
          <w:sz w:val="18"/>
          <w:szCs w:val="18"/>
          <w:b w:val="1"/>
          <w:bCs w:val="1"/>
          <w:color w:val="344274"/>
        </w:rPr>
      </w:pPr>
      <w:r>
        <w:rPr>
          <w:rFonts w:ascii="Arial" w:cs="Arial" w:eastAsia="Arial" w:hAnsi="Arial"/>
          <w:sz w:val="18"/>
          <w:szCs w:val="18"/>
          <w:b w:val="1"/>
          <w:bCs w:val="1"/>
          <w:color w:val="344274"/>
        </w:rPr>
        <w:t>Reorganizations and Recapitalizations of the Company</w:t>
      </w:r>
    </w:p>
    <w:p>
      <w:pPr>
        <w:spacing w:after="0" w:line="82" w:lineRule="exact"/>
        <w:rPr>
          <w:rFonts w:ascii="Arial" w:cs="Arial" w:eastAsia="Arial" w:hAnsi="Arial"/>
          <w:sz w:val="18"/>
          <w:szCs w:val="18"/>
          <w:b w:val="1"/>
          <w:bCs w:val="1"/>
          <w:color w:val="344274"/>
        </w:rPr>
      </w:pPr>
    </w:p>
    <w:p>
      <w:pPr>
        <w:ind w:right="440" w:firstLine="236"/>
        <w:spacing w:after="0" w:line="332" w:lineRule="auto"/>
        <w:tabs>
          <w:tab w:leader="none" w:pos="46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existence of this Plan and Awards granted hereunder shall not affect in any way the right or power of the Company or its stockholders to make or authorize any or all adjustments, recapitalizations, reorganizations or other changes in the Company’s capital structure or its business, or any merger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7" w:name="page158"/>
    <w:bookmarkEnd w:id="157"/>
    <w:p>
      <w:pPr>
        <w:ind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jc w:val="both"/>
        <w:ind w:firstLine="236"/>
        <w:spacing w:after="0" w:line="250" w:lineRule="auto"/>
        <w:tabs>
          <w:tab w:leader="none" w:pos="47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shall not affect, and no adjustment by reason thereof shall be made with respect to, the number of shares of Common Stock subject to Awards granted hereunder.</w:t>
      </w:r>
    </w:p>
    <w:p>
      <w:pPr>
        <w:spacing w:after="0" w:line="1" w:lineRule="exact"/>
        <w:rPr>
          <w:rFonts w:ascii="Arial" w:cs="Arial" w:eastAsia="Arial" w:hAnsi="Arial"/>
          <w:sz w:val="18"/>
          <w:szCs w:val="18"/>
          <w:color w:val="auto"/>
        </w:rPr>
      </w:pPr>
    </w:p>
    <w:p>
      <w:pPr>
        <w:ind w:right="180" w:firstLine="464"/>
        <w:spacing w:after="0" w:line="281" w:lineRule="auto"/>
        <w:tabs>
          <w:tab w:leader="none" w:pos="695" w:val="left"/>
        </w:tabs>
        <w:numPr>
          <w:ilvl w:val="2"/>
          <w:numId w:val="150"/>
        </w:numPr>
        <w:rPr>
          <w:rFonts w:ascii="Arial" w:cs="Arial" w:eastAsia="Arial" w:hAnsi="Arial"/>
          <w:sz w:val="16"/>
          <w:szCs w:val="16"/>
          <w:color w:val="auto"/>
        </w:rPr>
      </w:pPr>
      <w:r>
        <w:rPr>
          <w:rFonts w:ascii="Arial" w:cs="Arial" w:eastAsia="Arial" w:hAnsi="Arial"/>
          <w:sz w:val="16"/>
          <w:szCs w:val="16"/>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shall be proportionately adjusted and the number of shares of Common Stock with respect to which outstanding Awards or other property subject to an outstanding Award granted hereunder shall:</w:t>
      </w:r>
    </w:p>
    <w:p>
      <w:pPr>
        <w:spacing w:after="0" w:line="4" w:lineRule="exact"/>
        <w:rPr>
          <w:rFonts w:ascii="Arial" w:cs="Arial" w:eastAsia="Arial" w:hAnsi="Arial"/>
          <w:sz w:val="16"/>
          <w:szCs w:val="16"/>
          <w:color w:val="auto"/>
        </w:rPr>
      </w:pPr>
    </w:p>
    <w:p>
      <w:pPr>
        <w:ind w:left="240" w:right="280" w:firstLine="220"/>
        <w:spacing w:after="0" w:line="250" w:lineRule="auto"/>
        <w:tabs>
          <w:tab w:leader="none" w:pos="673" w:val="left"/>
        </w:tabs>
        <w:numPr>
          <w:ilvl w:val="2"/>
          <w:numId w:val="151"/>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shall be proportionately reduced; and</w:t>
      </w:r>
    </w:p>
    <w:p>
      <w:pPr>
        <w:ind w:left="240" w:right="340" w:firstLine="220"/>
        <w:spacing w:after="0" w:line="250" w:lineRule="auto"/>
        <w:tabs>
          <w:tab w:leader="none" w:pos="722" w:val="left"/>
        </w:tabs>
        <w:numPr>
          <w:ilvl w:val="2"/>
          <w:numId w:val="152"/>
        </w:numPr>
        <w:rPr>
          <w:rFonts w:ascii="Arial" w:cs="Arial" w:eastAsia="Arial" w:hAnsi="Arial"/>
          <w:sz w:val="18"/>
          <w:szCs w:val="18"/>
          <w:color w:val="auto"/>
        </w:rPr>
      </w:pPr>
      <w:r>
        <w:rPr>
          <w:rFonts w:ascii="Arial" w:cs="Arial" w:eastAsia="Arial" w:hAnsi="Arial"/>
          <w:sz w:val="18"/>
          <w:szCs w:val="18"/>
          <w:color w:val="auto"/>
        </w:rPr>
        <w:t>in the event of a reduction in the number of outstanding shares, be proportionately reduced, and the cash consideration (if any) payable per share of Common Stock shall be proportionately increased.</w:t>
      </w:r>
    </w:p>
    <w:p>
      <w:pPr>
        <w:ind w:left="480" w:hanging="244"/>
        <w:spacing w:after="0"/>
        <w:tabs>
          <w:tab w:leader="none" w:pos="48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If the Company merges with one or more corporations, or consolidates with one or more corporations and the Company shall be the surviving corporation,</w:t>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thereafter, upon any exercise of Awards granted hereunder, the recipient shall, at no additional cost (other than the option price, if any) be entitled to receive (subject to any required action by stockholders) in lieu of the number of shares of Common Stock as to which such Awards shall then be exercisable or vested the number and class of shares of stock or other securities to which the recipient would have been entitled pursuant to the terms of the agreement of merger or consolidation, if immediately prior to such merger or consolidation the recipient had been the holder of record of the number of shares of Common Stock of the Company equal to the number of shares of Common Stock as to which such Awards shall be exercisable or vested. Upon any reorganization, merger or consolidation where the Company is not the surviving corporation or upon liquidation or dissolution of the Company, unless provisions are made in connection with such reorganization, merger or consolidation for the assumption of such Awards, all outstanding Awards shall be fully exercisable and vested by the Company and all holders given notice to permit exercise for 30 days prior to cancellation of the Awards as of the effective date of any such reorganization, merger or consolidation, or of any dissolution or liquidation of the Company.</w:t>
      </w:r>
    </w:p>
    <w:p>
      <w:pPr>
        <w:spacing w:after="0" w:line="6" w:lineRule="exact"/>
        <w:rPr>
          <w:sz w:val="20"/>
          <w:szCs w:val="20"/>
          <w:color w:val="auto"/>
        </w:rPr>
      </w:pPr>
    </w:p>
    <w:p>
      <w:pPr>
        <w:ind w:right="220" w:firstLine="236"/>
        <w:spacing w:after="0" w:line="261" w:lineRule="auto"/>
        <w:tabs>
          <w:tab w:leader="none" w:pos="46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Committee shall have the authority to determine whether this Section 9 applies to any transaction or event and to determine any adjustment or other action that it deems appropriate under this Section 9.</w:t>
      </w:r>
    </w:p>
    <w:p>
      <w:pPr>
        <w:spacing w:after="0" w:line="118" w:lineRule="exact"/>
        <w:rPr>
          <w:rFonts w:ascii="Arial" w:cs="Arial" w:eastAsia="Arial" w:hAnsi="Arial"/>
          <w:sz w:val="18"/>
          <w:szCs w:val="18"/>
          <w:color w:val="auto"/>
        </w:rPr>
      </w:pPr>
    </w:p>
    <w:p>
      <w:pPr>
        <w:ind w:left="280" w:hanging="272"/>
        <w:spacing w:after="0"/>
        <w:tabs>
          <w:tab w:leader="none" w:pos="280" w:val="left"/>
        </w:tabs>
        <w:numPr>
          <w:ilvl w:val="0"/>
          <w:numId w:val="155"/>
        </w:numPr>
        <w:rPr>
          <w:rFonts w:ascii="Arial" w:cs="Arial" w:eastAsia="Arial" w:hAnsi="Arial"/>
          <w:sz w:val="18"/>
          <w:szCs w:val="18"/>
          <w:b w:val="1"/>
          <w:bCs w:val="1"/>
          <w:color w:val="344274"/>
        </w:rPr>
      </w:pPr>
      <w:r>
        <w:rPr>
          <w:rFonts w:ascii="Arial" w:cs="Arial" w:eastAsia="Arial" w:hAnsi="Arial"/>
          <w:sz w:val="18"/>
          <w:szCs w:val="18"/>
          <w:b w:val="1"/>
          <w:bCs w:val="1"/>
          <w:color w:val="344274"/>
        </w:rPr>
        <w:t>Registration under Securities Act of 1933 and Exchange Listing</w:t>
      </w:r>
    </w:p>
    <w:p>
      <w:pPr>
        <w:spacing w:after="0" w:line="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is intended that the Awards and shares of Common Stock covered by the Plan will be registered under the Securities Act of 1933, as amended. At the time any shares of Common Stock are issued or transferred pursuant to an Award, such shares of Common Stock will have been listed (or listed subject to notice of issuance) on the New York Stock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11. Plan Term</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Plan shall be effective January 17, 2008, subject to stockholder approval at the next annual meeting of stockholders. No Awards shall be granted pursuant to this Plan after January 17, 2018.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 Amendment or Termination</w:t>
      </w:r>
    </w:p>
    <w:p>
      <w:pPr>
        <w:spacing w:after="0" w:line="8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Board of Directors may amend, alter, suspend or discontinue the Plan at any time insofar as permitted by law, but no amendment or alteration shall be made without the approval of the stockholders:</w:t>
      </w:r>
    </w:p>
    <w:p>
      <w:pPr>
        <w:jc w:val="both"/>
        <w:ind w:left="240" w:right="40" w:firstLine="220"/>
        <w:spacing w:after="0" w:line="250" w:lineRule="auto"/>
        <w:tabs>
          <w:tab w:leader="none" w:pos="70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except as contemplated by Section 9 of the Plan, the amendment would permit the decrease of the purchase price of a Stock Option after the grant of the Stock Option or grant to the holder of an outstanding Stock Option, a new Stock Option with a lower purchase price in exchange for the outstanding Stock Option; or</w:t>
      </w:r>
    </w:p>
    <w:p>
      <w:pPr>
        <w:spacing w:after="0" w:line="1" w:lineRule="exact"/>
        <w:rPr>
          <w:rFonts w:ascii="Arial" w:cs="Arial" w:eastAsia="Arial" w:hAnsi="Arial"/>
          <w:sz w:val="18"/>
          <w:szCs w:val="18"/>
          <w:color w:val="auto"/>
        </w:rPr>
      </w:pPr>
    </w:p>
    <w:p>
      <w:pPr>
        <w:ind w:left="240" w:firstLine="220"/>
        <w:spacing w:after="0" w:line="281" w:lineRule="auto"/>
        <w:tabs>
          <w:tab w:leader="none" w:pos="71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if the amendment or alteration would constitute a material revision to the Plan requiring stockholder approval under applicable legal requirements or the applicable requirements of the New York Stock Exchange or such other securities exchange on which the Company’s Common Stock is listed.</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 amendment of the Plan shall alter or impair any of the rights or obligations of any person, without his or her consent, under any option or right theretofore granted under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13. Government Regulations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 of the provisions hereof or of any Award granted hereunder, the obligation of the Company or any subsidiary to sell and deliver shares of Common Stock under such Award to make cash payments in respect thereto shall be subject to all applicable laws, rules and regulations and to such approvals by any governmental agencies or national securities exchanges as may be required, and the recipient shall not exercise or convert any Award granted hereunder, and the Company or any subsidiary will not be obligated to issue any shares of Common Stock or make any payments under any such Award if the exercise thereof or if the issuance of such shares of Common Stock or if the payment made shall constitute a violation by the recipient or the Company or any subsidiary of any provision of any applicable law or regulation of any governmental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14. Non-United States Participants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Committee may grant awards to persons outside the United States under such terms and conditions as may, in the judgment of the Committee, be necessary or advisable to comply with the laws of the applicable foreign jurisdictions and, to that end, may establish sub-plans, modified option exercise procedures and other terms and procedures. Notwithstanding the above, the Committee may not take any actions hereunder, and no Awards shall be granted, that would violate the Exchange Act, the Code, any securities law, any governing statute, or any other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Listed below are the significant first tier subsidiaries of the Registrant, along with the total number of active subsidiaries directly or indirectly owned by each as of January 1, 2009.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tbl>
      <w:tblPr>
        <w:tblLayout w:type="fixed"/>
        <w:tblInd w:w="0" w:type="dxa"/>
        <w:tblCellMar>
          <w:top w:w="0" w:type="dxa"/>
          <w:left w:w="0" w:type="dxa"/>
          <w:bottom w:w="0" w:type="dxa"/>
          <w:right w:w="0" w:type="dxa"/>
        </w:tblCellMar>
      </w:tblPr>
      <w:tr>
        <w:trPr>
          <w:trHeight w:val="156"/>
        </w:trPr>
        <w:tc>
          <w:tcPr>
            <w:tcW w:w="7040" w:type="dxa"/>
            <w:vAlign w:val="bottom"/>
          </w:tcPr>
          <w:p>
            <w:pPr>
              <w:spacing w:after="0"/>
              <w:rPr>
                <w:sz w:val="13"/>
                <w:szCs w:val="13"/>
                <w:color w:val="auto"/>
              </w:rPr>
            </w:pPr>
          </w:p>
        </w:tc>
        <w:tc>
          <w:tcPr>
            <w:tcW w:w="3560" w:type="dxa"/>
            <w:vAlign w:val="bottom"/>
          </w:tcPr>
          <w:p>
            <w:pPr>
              <w:jc w:val="right"/>
              <w:ind w:right="356"/>
              <w:spacing w:after="0" w:line="156" w:lineRule="exact"/>
              <w:rPr>
                <w:sz w:val="20"/>
                <w:szCs w:val="20"/>
                <w:color w:val="auto"/>
              </w:rPr>
            </w:pPr>
            <w:r>
              <w:rPr>
                <w:rFonts w:ascii="Arial" w:cs="Arial" w:eastAsia="Arial" w:hAnsi="Arial"/>
                <w:sz w:val="14"/>
                <w:szCs w:val="14"/>
                <w:b w:val="1"/>
                <w:bCs w:val="1"/>
                <w:color w:val="auto"/>
              </w:rPr>
              <w:t>U.S.</w:t>
            </w:r>
          </w:p>
        </w:tc>
        <w:tc>
          <w:tcPr>
            <w:tcW w:w="800" w:type="dxa"/>
            <w:vAlign w:val="bottom"/>
          </w:tcPr>
          <w:p>
            <w:pPr>
              <w:jc w:val="right"/>
              <w:ind w:right="56"/>
              <w:spacing w:after="0" w:line="156" w:lineRule="exact"/>
              <w:rPr>
                <w:sz w:val="20"/>
                <w:szCs w:val="20"/>
                <w:color w:val="auto"/>
              </w:rPr>
            </w:pPr>
            <w:r>
              <w:rPr>
                <w:rFonts w:ascii="Arial" w:cs="Arial" w:eastAsia="Arial" w:hAnsi="Arial"/>
                <w:sz w:val="14"/>
                <w:szCs w:val="14"/>
                <w:b w:val="1"/>
                <w:bCs w:val="1"/>
                <w:color w:val="auto"/>
              </w:rPr>
              <w:t>Non-</w:t>
            </w: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00" w:type="dxa"/>
            <w:vAlign w:val="bottom"/>
          </w:tcPr>
          <w:p>
            <w:pPr>
              <w:jc w:val="right"/>
              <w:ind w:right="96"/>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317"/>
        </w:trPr>
        <w:tc>
          <w:tcPr>
            <w:tcW w:w="704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3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55(a)</w:t>
            </w:r>
            <w:r>
              <w:rPr>
                <w:rFonts w:ascii="Arial" w:cs="Arial" w:eastAsia="Arial" w:hAnsi="Arial"/>
                <w:sz w:val="22"/>
                <w:szCs w:val="22"/>
                <w:color w:val="auto"/>
                <w:vertAlign w:val="subscript"/>
              </w:rPr>
              <w:t>1</w:t>
            </w:r>
          </w:p>
        </w:tc>
        <w:tc>
          <w:tcPr>
            <w:tcW w:w="0" w:type="dxa"/>
            <w:vAlign w:val="bottom"/>
          </w:tcPr>
          <w:p>
            <w:pPr>
              <w:spacing w:after="0"/>
              <w:rPr>
                <w:sz w:val="1"/>
                <w:szCs w:val="1"/>
                <w:color w:val="auto"/>
              </w:rPr>
            </w:pPr>
          </w:p>
        </w:tc>
      </w:tr>
      <w:tr>
        <w:trPr>
          <w:trHeight w:val="202"/>
        </w:trPr>
        <w:tc>
          <w:tcPr>
            <w:tcW w:w="7040" w:type="dxa"/>
            <w:vAlign w:val="bottom"/>
          </w:tcPr>
          <w:p>
            <w:pPr>
              <w:spacing w:after="0"/>
              <w:rPr>
                <w:sz w:val="17"/>
                <w:szCs w:val="17"/>
                <w:color w:val="auto"/>
              </w:rPr>
            </w:pPr>
          </w:p>
        </w:tc>
        <w:tc>
          <w:tcPr>
            <w:tcW w:w="3560" w:type="dxa"/>
            <w:vAlign w:val="bottom"/>
            <w:vMerge w:val="restart"/>
          </w:tcPr>
          <w:p>
            <w:pPr>
              <w:jc w:val="right"/>
              <w:ind w:right="456"/>
              <w:spacing w:after="0"/>
              <w:rPr>
                <w:sz w:val="20"/>
                <w:szCs w:val="20"/>
                <w:color w:val="auto"/>
              </w:rPr>
            </w:pPr>
            <w:r>
              <w:rPr>
                <w:rFonts w:ascii="Arial" w:cs="Arial" w:eastAsia="Arial" w:hAnsi="Arial"/>
                <w:sz w:val="18"/>
                <w:szCs w:val="18"/>
                <w:color w:val="auto"/>
              </w:rPr>
              <w:t>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21(b)</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4"/>
        </w:trPr>
        <w:tc>
          <w:tcPr>
            <w:tcW w:w="704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4(c)</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Schlumberger Canada Limited, Ontario (c)</w:t>
            </w: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Schlumberger SA, France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Services Petroliers Schlumberger, France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Schlumberger Norge AS (c)</w:t>
            </w: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7040" w:type="dxa"/>
            <w:vAlign w:val="bottom"/>
          </w:tcPr>
          <w:p>
            <w:pPr>
              <w:spacing w:after="0"/>
              <w:rPr>
                <w:sz w:val="20"/>
                <w:szCs w:val="20"/>
                <w:color w:val="auto"/>
              </w:rPr>
            </w:pPr>
            <w:r>
              <w:rPr>
                <w:rFonts w:ascii="Arial" w:cs="Arial" w:eastAsia="Arial" w:hAnsi="Arial"/>
                <w:sz w:val="18"/>
                <w:szCs w:val="18"/>
                <w:color w:val="auto"/>
              </w:rPr>
              <w:t>Schlumberger Antilles N.V., Netherlands Antilles (a)</w:t>
            </w:r>
          </w:p>
        </w:tc>
        <w:tc>
          <w:tcPr>
            <w:tcW w:w="35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2(a)</w:t>
            </w:r>
          </w:p>
        </w:tc>
        <w:tc>
          <w:tcPr>
            <w:tcW w:w="0" w:type="dxa"/>
            <w:vAlign w:val="bottom"/>
          </w:tcPr>
          <w:p>
            <w:pPr>
              <w:spacing w:after="0"/>
              <w:rPr>
                <w:sz w:val="1"/>
                <w:szCs w:val="1"/>
                <w:color w:val="auto"/>
              </w:rPr>
            </w:pPr>
          </w:p>
        </w:tc>
      </w:tr>
      <w:tr>
        <w:trPr>
          <w:trHeight w:val="332"/>
        </w:trPr>
        <w:tc>
          <w:tcPr>
            <w:tcW w:w="7040" w:type="dxa"/>
            <w:vAlign w:val="bottom"/>
          </w:tcPr>
          <w:p>
            <w:pPr>
              <w:spacing w:after="0"/>
              <w:rPr>
                <w:sz w:val="20"/>
                <w:szCs w:val="20"/>
                <w:color w:val="auto"/>
              </w:rPr>
            </w:pPr>
            <w:r>
              <w:rPr>
                <w:rFonts w:ascii="Arial" w:cs="Arial" w:eastAsia="Arial" w:hAnsi="Arial"/>
                <w:sz w:val="18"/>
                <w:szCs w:val="18"/>
                <w:color w:val="auto"/>
              </w:rPr>
              <w:t>Schlumberger Oilfield Holdings Limited, BVI (c)</w:t>
            </w:r>
          </w:p>
        </w:tc>
        <w:tc>
          <w:tcPr>
            <w:tcW w:w="3560" w:type="dxa"/>
            <w:vAlign w:val="bottom"/>
          </w:tcPr>
          <w:p>
            <w:pPr>
              <w:jc w:val="right"/>
              <w:ind w:right="276"/>
              <w:spacing w:after="0"/>
              <w:rPr>
                <w:sz w:val="20"/>
                <w:szCs w:val="20"/>
                <w:color w:val="auto"/>
              </w:rPr>
            </w:pPr>
            <w:r>
              <w:rPr>
                <w:rFonts w:ascii="Arial" w:cs="Arial" w:eastAsia="Arial" w:hAnsi="Arial"/>
                <w:sz w:val="18"/>
                <w:szCs w:val="18"/>
                <w:color w:val="auto"/>
              </w:rPr>
              <w:t>1(a)</w:t>
            </w:r>
          </w:p>
        </w:tc>
        <w:tc>
          <w:tcPr>
            <w:tcW w:w="800" w:type="dxa"/>
            <w:vAlign w:val="bottom"/>
          </w:tcPr>
          <w:p>
            <w:pPr>
              <w:jc w:val="right"/>
              <w:spacing w:after="0"/>
              <w:rPr>
                <w:sz w:val="20"/>
                <w:szCs w:val="20"/>
                <w:color w:val="auto"/>
              </w:rPr>
            </w:pPr>
            <w:r>
              <w:rPr>
                <w:rFonts w:ascii="Arial" w:cs="Arial" w:eastAsia="Arial" w:hAnsi="Arial"/>
                <w:sz w:val="18"/>
                <w:szCs w:val="18"/>
                <w:color w:val="auto"/>
              </w:rPr>
              <w:t>135(a)</w:t>
            </w:r>
            <w:r>
              <w:rPr>
                <w:rFonts w:ascii="Arial" w:cs="Arial" w:eastAsia="Arial" w:hAnsi="Arial"/>
                <w:sz w:val="22"/>
                <w:szCs w:val="22"/>
                <w:color w:val="auto"/>
                <w:vertAlign w:val="subscript"/>
              </w:rPr>
              <w:t>3</w:t>
            </w:r>
          </w:p>
        </w:tc>
        <w:tc>
          <w:tcPr>
            <w:tcW w:w="0" w:type="dxa"/>
            <w:vAlign w:val="bottom"/>
          </w:tcPr>
          <w:p>
            <w:pPr>
              <w:spacing w:after="0"/>
              <w:rPr>
                <w:sz w:val="1"/>
                <w:szCs w:val="1"/>
                <w:color w:val="auto"/>
              </w:rPr>
            </w:pPr>
          </w:p>
        </w:tc>
      </w:tr>
      <w:tr>
        <w:trPr>
          <w:trHeight w:val="202"/>
        </w:trPr>
        <w:tc>
          <w:tcPr>
            <w:tcW w:w="70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27(b)</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2"/>
        </w:trPr>
        <w:tc>
          <w:tcPr>
            <w:tcW w:w="70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8(c)</w:t>
            </w:r>
          </w:p>
        </w:tc>
        <w:tc>
          <w:tcPr>
            <w:tcW w:w="0" w:type="dxa"/>
            <w:vAlign w:val="bottom"/>
          </w:tcPr>
          <w:p>
            <w:pPr>
              <w:spacing w:after="0"/>
              <w:rPr>
                <w:sz w:val="1"/>
                <w:szCs w:val="1"/>
                <w:color w:val="auto"/>
              </w:rPr>
            </w:pPr>
          </w:p>
        </w:tc>
      </w:tr>
      <w:tr>
        <w:trPr>
          <w:trHeight w:val="223"/>
        </w:trPr>
        <w:tc>
          <w:tcPr>
            <w:tcW w:w="7040" w:type="dxa"/>
            <w:vAlign w:val="bottom"/>
          </w:tcPr>
          <w:p>
            <w:pPr>
              <w:ind w:left="440"/>
              <w:spacing w:after="0"/>
              <w:rPr>
                <w:sz w:val="20"/>
                <w:szCs w:val="20"/>
                <w:color w:val="auto"/>
              </w:rPr>
            </w:pPr>
            <w:r>
              <w:rPr>
                <w:rFonts w:ascii="Arial" w:cs="Arial" w:eastAsia="Arial" w:hAnsi="Arial"/>
                <w:sz w:val="18"/>
                <w:szCs w:val="18"/>
                <w:color w:val="auto"/>
              </w:rPr>
              <w:t>Schlumberger Holdings Limited, BVI (a)</w:t>
            </w: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Dowell Schlumberger Corporation, BVI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Middle East S.A., Panama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Offshore Services Limited, BVI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Overseas, S.A., Panama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Seaco, Inc., Panama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Surenco, S.A., Panama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Schlumberger Plc, UK (c)</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Schlumberger Oilfield UK Plc, UK (a)</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660"/>
              <w:spacing w:after="0"/>
              <w:rPr>
                <w:sz w:val="20"/>
                <w:szCs w:val="20"/>
                <w:color w:val="auto"/>
              </w:rPr>
            </w:pPr>
            <w:r>
              <w:rPr>
                <w:rFonts w:ascii="Arial" w:cs="Arial" w:eastAsia="Arial" w:hAnsi="Arial"/>
                <w:sz w:val="18"/>
                <w:szCs w:val="18"/>
                <w:color w:val="auto"/>
              </w:rPr>
              <w:t>WesternGeco Limited, UK (b)</w:t>
            </w:r>
          </w:p>
        </w:tc>
        <w:tc>
          <w:tcPr>
            <w:tcW w:w="3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WesternGeco Seismic Holdings Limited, BVI (b)</w:t>
            </w: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04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3560" w:type="dxa"/>
            <w:vAlign w:val="bottom"/>
          </w:tcPr>
          <w:p>
            <w:pPr>
              <w:jc w:val="right"/>
              <w:ind w:right="236"/>
              <w:spacing w:after="0"/>
              <w:rPr>
                <w:sz w:val="20"/>
                <w:szCs w:val="20"/>
                <w:color w:val="auto"/>
              </w:rPr>
            </w:pPr>
            <w:r>
              <w:rPr>
                <w:rFonts w:ascii="Arial" w:cs="Arial" w:eastAsia="Arial" w:hAnsi="Arial"/>
                <w:sz w:val="18"/>
                <w:szCs w:val="18"/>
                <w:color w:val="auto"/>
              </w:rPr>
              <w:t>7(a)</w:t>
            </w:r>
            <w:r>
              <w:rPr>
                <w:rFonts w:ascii="Arial" w:cs="Arial" w:eastAsia="Arial" w:hAnsi="Arial"/>
                <w:sz w:val="11"/>
                <w:szCs w:val="11"/>
                <w:color w:val="auto"/>
              </w:rPr>
              <w:t>5</w:t>
            </w:r>
          </w:p>
        </w:tc>
        <w:tc>
          <w:tcPr>
            <w:tcW w:w="800" w:type="dxa"/>
            <w:vAlign w:val="bottom"/>
          </w:tcPr>
          <w:p>
            <w:pPr>
              <w:jc w:val="right"/>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3560" w:type="dxa"/>
            <w:vAlign w:val="bottom"/>
          </w:tcPr>
          <w:p>
            <w:pPr>
              <w:jc w:val="right"/>
              <w:ind w:right="276"/>
              <w:spacing w:after="0"/>
              <w:rPr>
                <w:sz w:val="20"/>
                <w:szCs w:val="20"/>
                <w:color w:val="auto"/>
              </w:rPr>
            </w:pPr>
            <w:r>
              <w:rPr>
                <w:rFonts w:ascii="Arial" w:cs="Arial" w:eastAsia="Arial" w:hAnsi="Arial"/>
                <w:sz w:val="18"/>
                <w:szCs w:val="18"/>
                <w:color w:val="auto"/>
              </w:rPr>
              <w:t>3(b)</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tcPr>
          <w:p>
            <w:pPr>
              <w:spacing w:after="0"/>
              <w:rPr>
                <w:sz w:val="19"/>
                <w:szCs w:val="19"/>
                <w:color w:val="auto"/>
              </w:rPr>
            </w:pPr>
          </w:p>
        </w:tc>
        <w:tc>
          <w:tcPr>
            <w:tcW w:w="3560" w:type="dxa"/>
            <w:vAlign w:val="bottom"/>
          </w:tcPr>
          <w:p>
            <w:pPr>
              <w:jc w:val="right"/>
              <w:ind w:right="276"/>
              <w:spacing w:after="0"/>
              <w:rPr>
                <w:sz w:val="20"/>
                <w:szCs w:val="20"/>
                <w:color w:val="auto"/>
              </w:rPr>
            </w:pPr>
            <w:r>
              <w:rPr>
                <w:rFonts w:ascii="Arial" w:cs="Arial" w:eastAsia="Arial" w:hAnsi="Arial"/>
                <w:sz w:val="18"/>
                <w:szCs w:val="18"/>
                <w:color w:val="auto"/>
              </w:rPr>
              <w:t>4(c)</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440"/>
              <w:spacing w:after="0"/>
              <w:rPr>
                <w:sz w:val="20"/>
                <w:szCs w:val="20"/>
                <w:color w:val="auto"/>
              </w:rPr>
            </w:pPr>
            <w:r>
              <w:rPr>
                <w:rFonts w:ascii="Arial" w:cs="Arial" w:eastAsia="Arial" w:hAnsi="Arial"/>
                <w:sz w:val="18"/>
                <w:szCs w:val="18"/>
                <w:color w:val="auto"/>
              </w:rPr>
              <w:t>WesternGeco L.L.C., Delaware (b)</w:t>
            </w:r>
          </w:p>
        </w:tc>
        <w:tc>
          <w:tcPr>
            <w:tcW w:w="3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33" w:lineRule="exact"/>
        <w:rPr>
          <w:sz w:val="20"/>
          <w:szCs w:val="20"/>
          <w:color w:val="auto"/>
        </w:rPr>
      </w:pPr>
    </w:p>
    <w:p>
      <w:pPr>
        <w:ind w:left="340" w:hanging="332"/>
        <w:spacing w:after="0"/>
        <w:tabs>
          <w:tab w:leader="none" w:pos="340" w:val="left"/>
        </w:tabs>
        <w:numPr>
          <w:ilvl w:val="0"/>
          <w:numId w:val="157"/>
        </w:numPr>
        <w:rPr>
          <w:rFonts w:ascii="Arial" w:cs="Arial" w:eastAsia="Arial" w:hAnsi="Arial"/>
          <w:sz w:val="11"/>
          <w:szCs w:val="11"/>
          <w:color w:val="auto"/>
        </w:rPr>
      </w:pPr>
      <w:r>
        <w:rPr>
          <w:rFonts w:ascii="Arial" w:cs="Arial" w:eastAsia="Arial" w:hAnsi="Arial"/>
          <w:sz w:val="14"/>
          <w:szCs w:val="14"/>
          <w:color w:val="auto"/>
        </w:rPr>
        <w:t>Includes eight majority-owned subsidiaries and one 50%-owned subsidiary.</w:t>
      </w:r>
    </w:p>
    <w:p>
      <w:pPr>
        <w:spacing w:after="0" w:line="211" w:lineRule="auto"/>
        <w:rPr>
          <w:rFonts w:ascii="Arial" w:cs="Arial" w:eastAsia="Arial" w:hAnsi="Arial"/>
          <w:sz w:val="11"/>
          <w:szCs w:val="11"/>
          <w:color w:val="auto"/>
        </w:rPr>
      </w:pPr>
      <w:r>
        <w:rPr>
          <w:rFonts w:ascii="Arial" w:cs="Arial" w:eastAsia="Arial" w:hAnsi="Arial"/>
          <w:sz w:val="11"/>
          <w:szCs w:val="11"/>
          <w:color w:val="auto"/>
        </w:rPr>
        <w:t>2</w:t>
      </w:r>
      <w:r>
        <w:rPr>
          <w:rFonts w:ascii="Arial" w:cs="Arial" w:eastAsia="Arial" w:hAnsi="Arial"/>
          <w:sz w:val="12"/>
          <w:szCs w:val="12"/>
          <w:color w:val="auto"/>
        </w:rPr>
        <w:t>Includes one majority-owned subsidiary and one 50%-owned subsidiary.</w:t>
      </w:r>
    </w:p>
    <w:p>
      <w:pPr>
        <w:ind w:right="6840"/>
        <w:spacing w:after="0" w:line="195"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3"/>
          <w:szCs w:val="13"/>
          <w:color w:val="auto"/>
        </w:rPr>
        <w:t>Includes three majority-owned subsidiaries and three 50%-owned subsidiaries.</w:t>
      </w:r>
      <w:r>
        <w:rPr>
          <w:rFonts w:ascii="Arial" w:cs="Arial" w:eastAsia="Arial" w:hAnsi="Arial"/>
          <w:sz w:val="11"/>
          <w:szCs w:val="11"/>
          <w:color w:val="auto"/>
        </w:rPr>
        <w:t xml:space="preserve"> 4 </w:t>
      </w:r>
      <w:r>
        <w:rPr>
          <w:rFonts w:ascii="Arial" w:cs="Arial" w:eastAsia="Arial" w:hAnsi="Arial"/>
          <w:sz w:val="13"/>
          <w:szCs w:val="13"/>
          <w:color w:val="auto"/>
        </w:rPr>
        <w:t>Includes two majority-owned subsidiaries.</w:t>
      </w:r>
    </w:p>
    <w:p>
      <w:pPr>
        <w:spacing w:after="0"/>
        <w:rPr>
          <w:rFonts w:ascii="Arial" w:cs="Arial" w:eastAsia="Arial" w:hAnsi="Arial"/>
          <w:sz w:val="11"/>
          <w:szCs w:val="11"/>
          <w:color w:val="auto"/>
        </w:rPr>
      </w:pPr>
      <w:r>
        <w:rPr>
          <w:rFonts w:ascii="Arial" w:cs="Arial" w:eastAsia="Arial" w:hAnsi="Arial"/>
          <w:sz w:val="11"/>
          <w:szCs w:val="11"/>
          <w:color w:val="auto"/>
        </w:rPr>
        <w:t>5</w:t>
      </w:r>
      <w:r>
        <w:rPr>
          <w:rFonts w:ascii="Arial" w:cs="Arial" w:eastAsia="Arial" w:hAnsi="Arial"/>
          <w:sz w:val="12"/>
          <w:szCs w:val="12"/>
          <w:color w:val="auto"/>
        </w:rPr>
        <w:t>Includes one majority-owned subsidiary and one 50%-owned subsidiary.</w:t>
      </w:r>
    </w:p>
    <w:p>
      <w:pPr>
        <w:sectPr>
          <w:pgSz w:w="11900" w:h="16838" w:orient="portrait"/>
          <w:cols w:equalWidth="0" w:num="1">
            <w:col w:w="11420"/>
          </w:cols>
          <w:pgMar w:left="240" w:top="269"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33-86424; 333-62545; 333-36366; 333-36364; 333-67330; 333-104225; 333-115277; 333-124534; and 333-151920), on Form S-3 (No. 333-108730) and on Form S-4 (No. 333-97899) of Schlumberger Limited of our report dated February 11, 2009 relating to the consolidated financial statements and the effectiveness of internal control over financial reporting, which appears in this Form 10-K.</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3550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2009</w:t>
      </w:r>
    </w:p>
    <w:p>
      <w:pPr>
        <w:sectPr>
          <w:pgSz w:w="11900" w:h="16838" w:orient="portrait"/>
          <w:cols w:equalWidth="0" w:num="1">
            <w:col w:w="11420"/>
          </w:cols>
          <w:pgMar w:left="240" w:top="269"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24.1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Simon Ayat,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2008,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269" w:right="239" w:bottom="1440" w:gutter="0" w:footer="0" w:header="0"/>
        </w:sectPr>
      </w:pPr>
    </w:p>
    <w:p>
      <w:pPr>
        <w:spacing w:after="0" w:line="22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Chairman and Chief Executive Officer</w:t>
      </w:r>
    </w:p>
    <w:p>
      <w:pPr>
        <w:spacing w:after="0" w:line="25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22, 2009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80010</wp:posOffset>
            </wp:positionV>
            <wp:extent cx="321564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94615</wp:posOffset>
            </wp:positionV>
            <wp:extent cx="321564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42"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280" w:space="720"/>
            <w:col w:w="3420"/>
          </w:cols>
          <w:pgMar w:left="240" w:top="269" w:right="239" w:bottom="1440" w:gutter="0" w:footer="0" w:header="0"/>
          <w:type w:val="continuous"/>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11,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269"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Simon Ayat, certify that:</w:t>
      </w:r>
    </w:p>
    <w:p>
      <w:pPr>
        <w:spacing w:after="0" w:line="77" w:lineRule="exact"/>
        <w:rPr>
          <w:sz w:val="20"/>
          <w:szCs w:val="20"/>
          <w:color w:val="auto"/>
        </w:rPr>
      </w:pPr>
    </w:p>
    <w:p>
      <w:pPr>
        <w:ind w:left="420" w:hanging="184"/>
        <w:spacing w:after="0"/>
        <w:tabs>
          <w:tab w:leader="none" w:pos="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11,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27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2008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11,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269"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2008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February 11,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1."/>
      <w:numFmt w:val="decimal"/>
      <w:start w:val="1"/>
    </w:lvl>
  </w:abstractNum>
  <w:abstractNum w:abstractNumId="10">
    <w:nsid w:val="6EB5BD4"/>
    <w:multiLevelType w:val="hybridMultilevel"/>
    <w:lvl w:ilvl="0">
      <w:lvlJc w:val="left"/>
      <w:lvlText w:val="%1."/>
      <w:numFmt w:val="decimal"/>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1."/>
      <w:numFmt w:val="decimal"/>
      <w:start w:val="1"/>
    </w:lvl>
  </w:abstractNum>
  <w:abstractNum w:abstractNumId="19">
    <w:nsid w:val="74DE0EE3"/>
    <w:multiLevelType w:val="hybridMultilevel"/>
    <w:lvl w:ilvl="0">
      <w:lvlJc w:val="left"/>
      <w:lvlText w:val="%1."/>
      <w:numFmt w:val="decimal"/>
      <w:start w:val="2"/>
    </w:lvl>
  </w:abstractNum>
  <w:abstractNum w:abstractNumId="20">
    <w:nsid w:val="68EBC550"/>
    <w:multiLevelType w:val="hybridMultilevel"/>
    <w:lvl w:ilvl="0">
      <w:lvlJc w:val="left"/>
      <w:lvlText w:val="%1."/>
      <w:numFmt w:val="decimal"/>
      <w:start w:val="3"/>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1."/>
      <w:numFmt w:val="decimal"/>
      <w:start w:val="4"/>
    </w:lvl>
  </w:abstractNum>
  <w:abstractNum w:abstractNumId="26">
    <w:nsid w:val="CC1016F"/>
    <w:multiLevelType w:val="hybridMultilevel"/>
    <w:lvl w:ilvl="0">
      <w:lvlJc w:val="left"/>
      <w:lvlText w:val="%1."/>
      <w:numFmt w:val="decimal"/>
      <w:start w:val="5"/>
    </w:lvl>
  </w:abstractNum>
  <w:abstractNum w:abstractNumId="27">
    <w:nsid w:val="43F18422"/>
    <w:multiLevelType w:val="hybridMultilevel"/>
    <w:lvl w:ilvl="0">
      <w:lvlJc w:val="left"/>
      <w:lvlText w:val="%1."/>
      <w:numFmt w:val="decimal"/>
      <w:start w:val="6"/>
    </w:lvl>
  </w:abstractNum>
  <w:abstractNum w:abstractNumId="28">
    <w:nsid w:val="60EF0119"/>
    <w:multiLevelType w:val="hybridMultilevel"/>
    <w:lvl w:ilvl="0">
      <w:lvlJc w:val="left"/>
      <w:lvlText w:val="%1."/>
      <w:numFmt w:val="decimal"/>
      <w:start w:val="7"/>
    </w:lvl>
  </w:abstractNum>
  <w:abstractNum w:abstractNumId="29">
    <w:nsid w:val="26F324BA"/>
    <w:multiLevelType w:val="hybridMultilevel"/>
    <w:lvl w:ilvl="0">
      <w:lvlJc w:val="left"/>
      <w:lvlText w:val="%1."/>
      <w:numFmt w:val="decimal"/>
      <w:start w:val="10"/>
    </w:lvl>
  </w:abstractNum>
  <w:abstractNum w:abstractNumId="30">
    <w:nsid w:val="7F01579B"/>
    <w:multiLevelType w:val="hybridMultilevel"/>
    <w:lvl w:ilvl="0">
      <w:lvlJc w:val="left"/>
      <w:lvlText w:val="%1."/>
      <w:numFmt w:val="decimal"/>
      <w:start w:val="11"/>
    </w:lvl>
  </w:abstractNum>
  <w:abstractNum w:abstractNumId="31">
    <w:nsid w:val="49DA307D"/>
    <w:multiLevelType w:val="hybridMultilevel"/>
    <w:lvl w:ilvl="0">
      <w:lvlJc w:val="left"/>
      <w:lvlText w:val="%1."/>
      <w:numFmt w:val="decimal"/>
      <w:start w:val="12"/>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1."/>
      <w:numFmt w:val="decimal"/>
      <w:start w:val="13"/>
    </w:lvl>
  </w:abstractNum>
  <w:abstractNum w:abstractNumId="34">
    <w:nsid w:val="50801EE1"/>
    <w:multiLevelType w:val="hybridMultilevel"/>
    <w:lvl w:ilvl="0">
      <w:lvlJc w:val="left"/>
      <w:lvlText w:val="%1."/>
      <w:numFmt w:val="decimal"/>
      <w:start w:val="14"/>
    </w:lvl>
  </w:abstractNum>
  <w:abstractNum w:abstractNumId="35">
    <w:nsid w:val="488AC1A"/>
    <w:multiLevelType w:val="hybridMultilevel"/>
    <w:lvl w:ilvl="0">
      <w:lvlJc w:val="left"/>
      <w:lvlText w:val="%1."/>
      <w:numFmt w:val="decimal"/>
      <w:start w:val="15"/>
    </w:lvl>
  </w:abstractNum>
  <w:abstractNum w:abstractNumId="36">
    <w:nsid w:val="5FB8011C"/>
    <w:multiLevelType w:val="hybridMultilevel"/>
    <w:lvl w:ilvl="0">
      <w:lvlJc w:val="left"/>
      <w:lvlText w:val="%1."/>
      <w:numFmt w:val="decimal"/>
      <w:start w:val="17"/>
    </w:lvl>
  </w:abstractNum>
  <w:abstractNum w:abstractNumId="37">
    <w:nsid w:val="6AA78F7F"/>
    <w:multiLevelType w:val="hybridMultilevel"/>
    <w:lvl w:ilvl="0">
      <w:lvlJc w:val="left"/>
      <w:lvlText w:val="%1."/>
      <w:numFmt w:val="decimal"/>
      <w:start w:val="18"/>
    </w:lvl>
  </w:abstractNum>
  <w:abstractNum w:abstractNumId="38">
    <w:nsid w:val="7672BD23"/>
    <w:multiLevelType w:val="hybridMultilevel"/>
    <w:lvl w:ilvl="0">
      <w:lvlJc w:val="left"/>
      <w:lvlText w:val="%1."/>
      <w:numFmt w:val="decimal"/>
      <w:start w:val="19"/>
    </w:lvl>
  </w:abstractNum>
  <w:abstractNum w:abstractNumId="39">
    <w:nsid w:val="6FC75AF8"/>
    <w:multiLevelType w:val="hybridMultilevel"/>
    <w:lvl w:ilvl="0">
      <w:lvlJc w:val="left"/>
      <w:lvlText w:val="%1."/>
      <w:numFmt w:val="decimal"/>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1)"/>
      <w:numFmt w:val="decimal"/>
      <w:start w:val="2"/>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1."/>
      <w:numFmt w:val="decimal"/>
      <w:start w:val="1"/>
    </w:lvl>
  </w:abstractNum>
  <w:abstractNum w:abstractNumId="45">
    <w:nsid w:val="555C55B5"/>
    <w:multiLevelType w:val="hybridMultilevel"/>
    <w:lvl w:ilvl="0">
      <w:lvlJc w:val="left"/>
      <w:lvlText w:val="%1."/>
      <w:numFmt w:val="decimal"/>
      <w:start w:val="2"/>
    </w:lvl>
    <w:lvl w:ilvl="1">
      <w:lvlJc w:val="left"/>
      <w:lvlText w:val="(%2)"/>
      <w:numFmt w:val="lowerLetter"/>
      <w:start w:val="1"/>
    </w:lvl>
  </w:abstractNum>
  <w:abstractNum w:abstractNumId="46">
    <w:nsid w:val="3FA62ACA"/>
    <w:multiLevelType w:val="hybridMultilevel"/>
    <w:lvl w:ilvl="0">
      <w:lvlJc w:val="left"/>
      <w:lvlText w:val="%1."/>
      <w:numFmt w:val="decimal"/>
      <w:start w:val="3"/>
    </w:lvl>
    <w:lvl w:ilvl="1">
      <w:lvlJc w:val="left"/>
      <w:lvlText w:val="(%2)"/>
      <w:numFmt w:val="lowerLetter"/>
      <w:start w:val="1"/>
    </w:lvl>
  </w:abstractNum>
  <w:abstractNum w:abstractNumId="47">
    <w:nsid w:val="14FCE74E"/>
    <w:multiLevelType w:val="hybridMultilevel"/>
    <w:lvl w:ilvl="0">
      <w:lvlJc w:val="left"/>
      <w:lvlText w:val="%1."/>
      <w:numFmt w:val="decimal"/>
      <w:start w:val="4"/>
    </w:lvl>
  </w:abstractNum>
  <w:abstractNum w:abstractNumId="48">
    <w:nsid w:val="6A3DD3E8"/>
    <w:multiLevelType w:val="hybridMultilevel"/>
    <w:lvl w:ilvl="0">
      <w:lvlJc w:val="left"/>
      <w:lvlText w:val="%1."/>
      <w:numFmt w:val="decimal"/>
      <w:start w:val="5"/>
    </w:lvl>
    <w:lvl w:ilvl="1">
      <w:lvlJc w:val="left"/>
      <w:lvlText w:val="(%2)"/>
      <w:numFmt w:val="lowerLetter"/>
      <w:start w:val="1"/>
    </w:lvl>
  </w:abstractNum>
  <w:abstractNum w:abstractNumId="49">
    <w:nsid w:val="71C91298"/>
    <w:multiLevelType w:val="hybridMultilevel"/>
    <w:lvl w:ilvl="0">
      <w:lvlJc w:val="left"/>
      <w:lvlText w:val="(%1)"/>
      <w:numFmt w:val="lowerRoman"/>
      <w:start w:val="2"/>
    </w:lvl>
    <w:lvl w:ilvl="1">
      <w:lvlJc w:val="left"/>
      <w:lvlText w:val="(%2)"/>
      <w:numFmt w:val="upperLetter"/>
      <w:start w:val="1"/>
    </w:lvl>
  </w:abstractNum>
  <w:abstractNum w:abstractNumId="50">
    <w:nsid w:val="9DAF632"/>
    <w:multiLevelType w:val="hybridMultilevel"/>
    <w:lvl w:ilvl="0">
      <w:lvlJc w:val="left"/>
      <w:lvlText w:val="(%1)"/>
      <w:numFmt w:val="upperLetter"/>
      <w:start w:val="4"/>
    </w:lvl>
  </w:abstractNum>
  <w:abstractNum w:abstractNumId="51">
    <w:nsid w:val="53299938"/>
    <w:multiLevelType w:val="hybridMultilevel"/>
    <w:lvl w:ilvl="0">
      <w:lvlJc w:val="left"/>
      <w:lvlText w:val="(%1)"/>
      <w:numFmt w:val="lowerRoman"/>
      <w:start w:val="5"/>
    </w:lvl>
    <w:lvl w:ilvl="1">
      <w:lvlJc w:val="left"/>
      <w:lvlText w:val="(%2)"/>
      <w:numFmt w:val="upperLetter"/>
      <w:start w:val="1"/>
    </w:lvl>
  </w:abstractNum>
  <w:abstractNum w:abstractNumId="52">
    <w:nsid w:val="1FBFE8E0"/>
    <w:multiLevelType w:val="hybridMultilevel"/>
    <w:lvl w:ilvl="0">
      <w:lvlJc w:val="left"/>
      <w:lvlText w:val="%1"/>
      <w:numFmt w:val="decimal"/>
      <w:start w:val="1"/>
    </w:lvl>
    <w:lvl w:ilvl="1">
      <w:lvlJc w:val="left"/>
      <w:lvlText w:val="(%2)"/>
      <w:numFmt w:val="upperLetter"/>
      <w:start w:val="2"/>
    </w:lvl>
  </w:abstractNum>
  <w:abstractNum w:abstractNumId="53">
    <w:nsid w:val="5092CA79"/>
    <w:multiLevelType w:val="hybridMultilevel"/>
    <w:lvl w:ilvl="0">
      <w:lvlJc w:val="left"/>
      <w:lvlText w:val="(%1)"/>
      <w:numFmt w:val="decimal"/>
      <w:start w:val="60"/>
    </w:lvl>
    <w:lvl w:ilvl="1">
      <w:lvlJc w:val="left"/>
      <w:lvlText w:val="(%2)"/>
      <w:numFmt w:val="upperLetter"/>
      <w:start w:val="3"/>
    </w:lvl>
  </w:abstractNum>
  <w:abstractNum w:abstractNumId="54">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55">
    <w:nsid w:val="59ADEA3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288F1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7">
    <w:nsid w:val="2A155DBC"/>
    <w:multiLevelType w:val="hybridMultilevel"/>
    <w:lvl w:ilvl="0">
      <w:lvlJc w:val="left"/>
      <w:lvlText w:val="%1."/>
      <w:numFmt w:val="decimal"/>
      <w:start w:val="7"/>
    </w:lvl>
  </w:abstractNum>
  <w:abstractNum w:abstractNumId="58">
    <w:nsid w:val="1D9F6E5F"/>
    <w:multiLevelType w:val="hybridMultilevel"/>
    <w:lvl w:ilvl="0">
      <w:lvlJc w:val="left"/>
      <w:lvlText w:val="%1."/>
      <w:numFmt w:val="decimal"/>
      <w:start w:val="8"/>
    </w:lvl>
    <w:lvl w:ilvl="1">
      <w:lvlJc w:val="left"/>
      <w:lvlText w:val="(%2)"/>
      <w:numFmt w:val="lowerLetter"/>
      <w:start w:val="1"/>
    </w:lvl>
  </w:abstractNum>
  <w:abstractNum w:abstractNumId="59">
    <w:nsid w:val="97E1B4E"/>
    <w:multiLevelType w:val="hybridMultilevel"/>
    <w:lvl w:ilvl="0">
      <w:lvlJc w:val="left"/>
      <w:lvlText w:val="(%1)"/>
      <w:numFmt w:val="lowerLetter"/>
      <w:start w:val="2"/>
    </w:lvl>
    <w:lvl w:ilvl="1">
      <w:lvlJc w:val="left"/>
      <w:lvlText w:val="(%2)"/>
      <w:numFmt w:val="lowerRoman"/>
      <w:start w:val="1"/>
    </w:lvl>
  </w:abstractNum>
  <w:abstractNum w:abstractNumId="60">
    <w:nsid w:val="51088277"/>
    <w:multiLevelType w:val="hybridMultilevel"/>
    <w:lvl w:ilvl="0">
      <w:lvlJc w:val="left"/>
      <w:lvlText w:val="%1."/>
      <w:numFmt w:val="decimal"/>
      <w:start w:val="9"/>
    </w:lvl>
  </w:abstractNum>
  <w:abstractNum w:abstractNumId="61">
    <w:nsid w:val="1CA0C5FA"/>
    <w:multiLevelType w:val="hybridMultilevel"/>
    <w:lvl w:ilvl="0">
      <w:lvlJc w:val="left"/>
      <w:lvlText w:val="%1."/>
      <w:numFmt w:val="decimal"/>
      <w:start w:val="10"/>
    </w:lvl>
  </w:abstractNum>
  <w:abstractNum w:abstractNumId="62">
    <w:nsid w:val="53584BCB"/>
    <w:multiLevelType w:val="hybridMultilevel"/>
    <w:lvl w:ilvl="0">
      <w:lvlJc w:val="left"/>
      <w:lvlText w:val="%1."/>
      <w:numFmt w:val="decimal"/>
      <w:start w:val="11"/>
    </w:lvl>
  </w:abstractNum>
  <w:abstractNum w:abstractNumId="63">
    <w:nsid w:val="415E286C"/>
    <w:multiLevelType w:val="hybridMultilevel"/>
    <w:lvl w:ilvl="0">
      <w:lvlJc w:val="left"/>
      <w:lvlText w:val="%1."/>
      <w:numFmt w:val="decimal"/>
      <w:start w:val="12"/>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decimal"/>
      <w:start w:val="13"/>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1"/>
    </w:lvl>
    <w:lvl w:ilvl="1">
      <w:lvlJc w:val="left"/>
      <w:lvlText w:val="(%2)"/>
      <w:numFmt w:val="lowerLetter"/>
      <w:start w:val="1"/>
    </w:lvl>
  </w:abstractNum>
  <w:abstractNum w:abstractNumId="68">
    <w:nsid w:val="E7FFA2B"/>
    <w:multiLevelType w:val="hybridMultilevel"/>
    <w:lvl w:ilvl="0">
      <w:lvlJc w:val="left"/>
      <w:lvlText w:val="(%1)"/>
      <w:numFmt w:val="lowerLetter"/>
      <w:start w:val="9"/>
    </w:lvl>
    <w:lvl w:ilvl="1">
      <w:lvlJc w:val="left"/>
      <w:lvlText w:val="%2"/>
      <w:numFmt w:val="lowerLetter"/>
      <w:start w:val="1"/>
    </w:lvl>
  </w:abstractNum>
  <w:abstractNum w:abstractNumId="69">
    <w:nsid w:val="3C5991AA"/>
    <w:multiLevelType w:val="hybridMultilevel"/>
    <w:lvl w:ilvl="0">
      <w:lvlJc w:val="left"/>
      <w:lvlText w:val="(%1)"/>
      <w:numFmt w:val="decimal"/>
      <w:start w:val="1"/>
    </w:lvl>
  </w:abstractNum>
  <w:abstractNum w:abstractNumId="70">
    <w:nsid w:val="4BD8591A"/>
    <w:multiLevelType w:val="hybridMultilevel"/>
    <w:lvl w:ilvl="0">
      <w:lvlJc w:val="left"/>
      <w:lvlText w:val="%1."/>
      <w:numFmt w:val="decimal"/>
      <w:start w:val="71"/>
    </w:lvl>
  </w:abstractNum>
  <w:abstractNum w:abstractNumId="71">
    <w:nsid w:val="78DF6A55"/>
    <w:multiLevelType w:val="hybridMultilevel"/>
    <w:lvl w:ilvl="0">
      <w:lvlJc w:val="left"/>
      <w:lvlText w:val="(%1)"/>
      <w:numFmt w:val="lowerLetter"/>
      <w:start w:val="1"/>
    </w:lvl>
  </w:abstractNum>
  <w:abstractNum w:abstractNumId="72">
    <w:nsid w:val="39B7AAA2"/>
    <w:multiLevelType w:val="hybridMultilevel"/>
    <w:lvl w:ilvl="0">
      <w:lvlJc w:val="left"/>
      <w:lvlText w:val="(%1)"/>
      <w:numFmt w:val="lowerRoman"/>
      <w:start w:val="3"/>
    </w:lvl>
  </w:abstractNum>
  <w:abstractNum w:abstractNumId="73">
    <w:nsid w:val="2B0D8DBE"/>
    <w:multiLevelType w:val="hybridMultilevel"/>
    <w:lvl w:ilvl="0">
      <w:lvlJc w:val="left"/>
      <w:lvlText w:val="(%1)"/>
      <w:numFmt w:val="lowerRoman"/>
      <w:start w:val="4"/>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2"/>
    </w:lvl>
  </w:abstractNum>
  <w:abstractNum w:abstractNumId="76">
    <w:nsid w:val="69E373"/>
    <w:multiLevelType w:val="hybridMultilevel"/>
    <w:lvl w:ilvl="0">
      <w:lvlJc w:val="left"/>
      <w:lvlText w:val="(%1)"/>
      <w:numFmt w:val="lowerLetter"/>
      <w:start w:val="3"/>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decimal"/>
      <w:start w:val="1"/>
    </w:lvl>
  </w:abstractNum>
  <w:abstractNum w:abstractNumId="79">
    <w:nsid w:val="6AA7B75C"/>
    <w:multiLevelType w:val="hybridMultilevel"/>
    <w:lvl w:ilvl="0">
      <w:lvlJc w:val="left"/>
      <w:lvlText w:val="%1."/>
      <w:numFmt w:val="decimal"/>
      <w:start w:val="2"/>
    </w:lvl>
    <w:lvl w:ilvl="1">
      <w:lvlJc w:val="left"/>
      <w:lvlText w:val="(%2)"/>
      <w:numFmt w:val="lowerLetter"/>
      <w:start w:val="1"/>
    </w:lvl>
  </w:abstractNum>
  <w:abstractNum w:abstractNumId="80">
    <w:nsid w:val="1DF029D3"/>
    <w:multiLevelType w:val="hybridMultilevel"/>
    <w:lvl w:ilvl="0">
      <w:lvlJc w:val="left"/>
      <w:lvlText w:val="%1."/>
      <w:numFmt w:val="decimal"/>
      <w:start w:val="3"/>
    </w:lvl>
    <w:lvl w:ilvl="1">
      <w:lvlJc w:val="left"/>
      <w:lvlText w:val="(%2)"/>
      <w:numFmt w:val="lowerLetter"/>
      <w:start w:val="1"/>
    </w:lvl>
  </w:abstractNum>
  <w:abstractNum w:abstractNumId="81">
    <w:nsid w:val="5675FF3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82">
    <w:nsid w:val="3DD15094"/>
    <w:multiLevelType w:val="hybridMultilevel"/>
    <w:lvl w:ilvl="0">
      <w:lvlJc w:val="left"/>
      <w:lvlText w:val="(%1)"/>
      <w:numFmt w:val="lowerRoman"/>
      <w:start w:val="3"/>
    </w:lvl>
    <w:lvl w:ilvl="1">
      <w:lvlJc w:val="left"/>
      <w:lvlText w:val="(%2)"/>
      <w:numFmt w:val="upperLetter"/>
      <w:start w:val="1"/>
    </w:lvl>
  </w:abstractNum>
  <w:abstractNum w:abstractNumId="83">
    <w:nsid w:val="3DB012B3"/>
    <w:multiLevelType w:val="hybridMultilevel"/>
    <w:lvl w:ilvl="0">
      <w:lvlJc w:val="left"/>
      <w:lvlText w:val="(%1)"/>
      <w:numFmt w:val="lowerRoman"/>
      <w:start w:val="5"/>
    </w:lvl>
    <w:lvl w:ilvl="1">
      <w:lvlJc w:val="left"/>
      <w:lvlText w:val="(%2)"/>
      <w:numFmt w:val="upperLetter"/>
      <w:start w:val="1"/>
    </w:lvl>
  </w:abstractNum>
  <w:abstractNum w:abstractNumId="84">
    <w:nsid w:val="2708C9AF"/>
    <w:multiLevelType w:val="hybridMultilevel"/>
    <w:lvl w:ilvl="0">
      <w:lvlJc w:val="left"/>
      <w:lvlText w:val="(%1)"/>
      <w:numFmt w:val="upperLetter"/>
      <w:start w:val="3"/>
    </w:lvl>
  </w:abstractNum>
  <w:abstractNum w:abstractNumId="85">
    <w:nsid w:val="5B25ACE2"/>
    <w:multiLevelType w:val="hybridMultilevel"/>
    <w:lvl w:ilvl="0">
      <w:lvlJc w:val="left"/>
      <w:lvlText w:val="%1"/>
      <w:numFmt w:val="lowerLetter"/>
      <w:start w:val="1"/>
    </w:lvl>
    <w:lvl w:ilvl="1">
      <w:lvlJc w:val="left"/>
      <w:lvlText w:val="(%2)"/>
      <w:numFmt w:val="lowerRoman"/>
      <w:start w:val="6"/>
    </w:lvl>
  </w:abstractNum>
  <w:abstractNum w:abstractNumId="86">
    <w:nsid w:val="175DFCF0"/>
    <w:multiLevelType w:val="hybridMultilevel"/>
    <w:lvl w:ilvl="0">
      <w:lvlJc w:val="left"/>
      <w:lvlText w:val="(%1)"/>
      <w:numFmt w:val="lowerLetter"/>
      <w:start w:val="4"/>
    </w:lvl>
    <w:lvl w:ilvl="1">
      <w:lvlJc w:val="left"/>
      <w:lvlText w:val="%2"/>
      <w:numFmt w:val="lowerRoman"/>
      <w:start w:val="1"/>
    </w:lvl>
  </w:abstractNum>
  <w:abstractNum w:abstractNumId="87">
    <w:nsid w:val="4F97E3E4"/>
    <w:multiLevelType w:val="hybridMultilevel"/>
    <w:lvl w:ilvl="0">
      <w:lvlJc w:val="left"/>
      <w:lvlText w:val="%1."/>
      <w:numFmt w:val="decimal"/>
      <w:start w:val="6"/>
    </w:lvl>
  </w:abstractNum>
  <w:abstractNum w:abstractNumId="88">
    <w:nsid w:val="53B0A9E"/>
    <w:multiLevelType w:val="hybridMultilevel"/>
    <w:lvl w:ilvl="0">
      <w:lvlJc w:val="left"/>
      <w:lvlText w:val="%1."/>
      <w:numFmt w:val="decimal"/>
      <w:start w:val="7"/>
    </w:lvl>
  </w:abstractNum>
  <w:abstractNum w:abstractNumId="89">
    <w:nsid w:val="34FD6B4F"/>
    <w:multiLevelType w:val="hybridMultilevel"/>
    <w:lvl w:ilvl="0">
      <w:lvlJc w:val="left"/>
      <w:lvlText w:val="%1."/>
      <w:numFmt w:val="decimal"/>
      <w:start w:val="8"/>
    </w:lvl>
    <w:lvl w:ilvl="1">
      <w:lvlJc w:val="left"/>
      <w:lvlText w:val="(%2)"/>
      <w:numFmt w:val="lowerLetter"/>
      <w:start w:val="1"/>
    </w:lvl>
  </w:abstractNum>
  <w:abstractNum w:abstractNumId="90">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1">
    <w:nsid w:val="56438D1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2">
    <w:nsid w:val="519E314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3">
    <w:nsid w:val="2C6E4AFD"/>
    <w:multiLevelType w:val="hybridMultilevel"/>
    <w:lvl w:ilvl="0">
      <w:lvlJc w:val="left"/>
      <w:lvlText w:val="%1."/>
      <w:numFmt w:val="decimal"/>
      <w:start w:val="10"/>
    </w:lvl>
  </w:abstractNum>
  <w:abstractNum w:abstractNumId="94">
    <w:nsid w:val="17A1B582"/>
    <w:multiLevelType w:val="hybridMultilevel"/>
    <w:lvl w:ilvl="0">
      <w:lvlJc w:val="left"/>
      <w:lvlText w:val="%1."/>
      <w:numFmt w:val="decimal"/>
      <w:start w:val="11"/>
    </w:lvl>
  </w:abstractNum>
  <w:abstractNum w:abstractNumId="95">
    <w:nsid w:val="4DF72E4E"/>
    <w:multiLevelType w:val="hybridMultilevel"/>
    <w:lvl w:ilvl="0">
      <w:lvlJc w:val="left"/>
      <w:lvlText w:val="%1."/>
      <w:numFmt w:val="decimal"/>
      <w:start w:val="12"/>
    </w:lvl>
  </w:abstractNum>
  <w:abstractNum w:abstractNumId="96">
    <w:nsid w:val="5046B5A9"/>
    <w:multiLevelType w:val="hybridMultilevel"/>
    <w:lvl w:ilvl="0">
      <w:lvlJc w:val="left"/>
      <w:lvlText w:val="(%1)"/>
      <w:numFmt w:val="lowerLetter"/>
      <w:start w:val="1"/>
    </w:lvl>
  </w:abstractNum>
  <w:abstractNum w:abstractNumId="97">
    <w:nsid w:val="5D888A08"/>
    <w:multiLevelType w:val="hybridMultilevel"/>
    <w:lvl w:ilvl="0">
      <w:lvlJc w:val="left"/>
      <w:lvlText w:val="%1."/>
      <w:numFmt w:val="decimal"/>
      <w:start w:val="13"/>
    </w:lvl>
  </w:abstractNum>
  <w:abstractNum w:abstractNumId="98">
    <w:nsid w:val="2A082C70"/>
    <w:multiLevelType w:val="hybridMultilevel"/>
    <w:lvl w:ilvl="0">
      <w:lvlJc w:val="left"/>
      <w:lvlText w:val="%1."/>
      <w:numFmt w:val="decimal"/>
      <w:start w:val="1"/>
    </w:lvl>
  </w:abstractNum>
  <w:abstractNum w:abstractNumId="99">
    <w:nsid w:val="5EC6AFD4"/>
    <w:multiLevelType w:val="hybridMultilevel"/>
    <w:lvl w:ilvl="0">
      <w:lvlJc w:val="left"/>
      <w:lvlText w:val="%1."/>
      <w:numFmt w:val="decimal"/>
      <w:start w:val="2"/>
    </w:lvl>
    <w:lvl w:ilvl="1">
      <w:lvlJc w:val="left"/>
      <w:lvlText w:val="(%2)"/>
      <w:numFmt w:val="lowerLetter"/>
      <w:start w:val="1"/>
    </w:lvl>
  </w:abstractNum>
  <w:abstractNum w:abstractNumId="100">
    <w:nsid w:val="19E21BB2"/>
    <w:multiLevelType w:val="hybridMultilevel"/>
    <w:lvl w:ilvl="0">
      <w:lvlJc w:val="left"/>
      <w:lvlText w:val="%1."/>
      <w:numFmt w:val="decimal"/>
      <w:start w:val="3"/>
    </w:lvl>
    <w:lvl w:ilvl="1">
      <w:lvlJc w:val="left"/>
      <w:lvlText w:val="(%2)"/>
      <w:numFmt w:val="lowerLetter"/>
      <w:start w:val="1"/>
    </w:lvl>
  </w:abstractNum>
  <w:abstractNum w:abstractNumId="101">
    <w:nsid w:val="75E0858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35"/>
    </w:lvl>
  </w:abstractNum>
  <w:abstractNum w:abstractNumId="102">
    <w:nsid w:val="57A61A29"/>
    <w:multiLevelType w:val="hybridMultilevel"/>
    <w:lvl w:ilvl="0">
      <w:lvlJc w:val="left"/>
      <w:lvlText w:val="(%1)"/>
      <w:numFmt w:val="lowerRoman"/>
      <w:start w:val="3"/>
    </w:lvl>
    <w:lvl w:ilvl="1">
      <w:lvlJc w:val="left"/>
      <w:lvlText w:val="(%2)"/>
      <w:numFmt w:val="upperLetter"/>
      <w:start w:val="1"/>
    </w:lvl>
  </w:abstractNum>
  <w:abstractNum w:abstractNumId="103">
    <w:nsid w:val="5399C654"/>
    <w:multiLevelType w:val="hybridMultilevel"/>
    <w:lvl w:ilvl="0">
      <w:lvlJc w:val="left"/>
      <w:lvlText w:val="(%1)"/>
      <w:numFmt w:val="lowerRoman"/>
      <w:start w:val="5"/>
    </w:lvl>
    <w:lvl w:ilvl="1">
      <w:lvlJc w:val="left"/>
      <w:lvlText w:val="(%2)"/>
      <w:numFmt w:val="upperLetter"/>
      <w:start w:val="1"/>
    </w:lvl>
  </w:abstractNum>
  <w:abstractNum w:abstractNumId="104">
    <w:nsid w:val="20EE1348"/>
    <w:multiLevelType w:val="hybridMultilevel"/>
    <w:lvl w:ilvl="0">
      <w:lvlJc w:val="left"/>
      <w:lvlText w:val="(%1)"/>
      <w:numFmt w:val="upperLetter"/>
      <w:start w:val="3"/>
    </w:lvl>
  </w:abstractNum>
  <w:abstractNum w:abstractNumId="105">
    <w:nsid w:val="4427069A"/>
    <w:multiLevelType w:val="hybridMultilevel"/>
    <w:lvl w:ilvl="0">
      <w:lvlJc w:val="left"/>
      <w:lvlText w:val="%1"/>
      <w:numFmt w:val="lowerLetter"/>
      <w:start w:val="1"/>
    </w:lvl>
    <w:lvl w:ilvl="1">
      <w:lvlJc w:val="left"/>
      <w:lvlText w:val="(%2)"/>
      <w:numFmt w:val="lowerRoman"/>
      <w:start w:val="6"/>
    </w:lvl>
  </w:abstractNum>
  <w:abstractNum w:abstractNumId="106">
    <w:nsid w:val="B37E80A"/>
    <w:multiLevelType w:val="hybridMultilevel"/>
    <w:lvl w:ilvl="0">
      <w:lvlJc w:val="left"/>
      <w:lvlText w:val="(%1)"/>
      <w:numFmt w:val="lowerLetter"/>
      <w:start w:val="4"/>
    </w:lvl>
    <w:lvl w:ilvl="1">
      <w:lvlJc w:val="left"/>
      <w:lvlText w:val="%2"/>
      <w:numFmt w:val="lowerRoman"/>
      <w:start w:val="1"/>
    </w:lvl>
  </w:abstractNum>
  <w:abstractNum w:abstractNumId="107">
    <w:nsid w:val="2157F6BC"/>
    <w:multiLevelType w:val="hybridMultilevel"/>
    <w:lvl w:ilvl="0">
      <w:lvlJc w:val="left"/>
      <w:lvlText w:val="%1."/>
      <w:numFmt w:val="decimal"/>
      <w:start w:val="6"/>
    </w:lvl>
  </w:abstractNum>
  <w:abstractNum w:abstractNumId="108">
    <w:nsid w:val="704E1DD5"/>
    <w:multiLevelType w:val="hybridMultilevel"/>
    <w:lvl w:ilvl="0">
      <w:lvlJc w:val="left"/>
      <w:lvlText w:val="%1."/>
      <w:numFmt w:val="decimal"/>
      <w:start w:val="7"/>
    </w:lvl>
  </w:abstractNum>
  <w:abstractNum w:abstractNumId="109">
    <w:nsid w:val="57D2F10E"/>
    <w:multiLevelType w:val="hybridMultilevel"/>
    <w:lvl w:ilvl="0">
      <w:lvlJc w:val="left"/>
      <w:lvlText w:val="%1."/>
      <w:numFmt w:val="decimal"/>
      <w:start w:val="8"/>
    </w:lvl>
    <w:lvl w:ilvl="1">
      <w:lvlJc w:val="left"/>
      <w:lvlText w:val="(%2)"/>
      <w:numFmt w:val="lowerLetter"/>
      <w:start w:val="1"/>
    </w:lvl>
  </w:abstractNum>
  <w:abstractNum w:abstractNumId="110">
    <w:nsid w:val="BFFAE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1">
    <w:nsid w:val="E3E47A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2">
    <w:nsid w:val="2E48F044"/>
    <w:multiLevelType w:val="hybridMultilevel"/>
    <w:lvl w:ilvl="0">
      <w:lvlJc w:val="left"/>
      <w:lvlText w:val="%1."/>
      <w:numFmt w:val="decimal"/>
      <w:start w:val="10"/>
    </w:lvl>
  </w:abstractNum>
  <w:abstractNum w:abstractNumId="113">
    <w:nsid w:val="49D0FEAC"/>
    <w:multiLevelType w:val="hybridMultilevel"/>
    <w:lvl w:ilvl="0">
      <w:lvlJc w:val="left"/>
      <w:lvlText w:val="%1."/>
      <w:numFmt w:val="decimal"/>
      <w:start w:val="11"/>
    </w:lvl>
  </w:abstractNum>
  <w:abstractNum w:abstractNumId="114">
    <w:nsid w:val="4BEE5A5B"/>
    <w:multiLevelType w:val="hybridMultilevel"/>
    <w:lvl w:ilvl="0">
      <w:lvlJc w:val="left"/>
      <w:lvlText w:val="%1."/>
      <w:numFmt w:val="decimal"/>
      <w:start w:val="12"/>
    </w:lvl>
  </w:abstractNum>
  <w:abstractNum w:abstractNumId="115">
    <w:nsid w:val="5551B9F3"/>
    <w:multiLevelType w:val="hybridMultilevel"/>
    <w:lvl w:ilvl="0">
      <w:lvlJc w:val="left"/>
      <w:lvlText w:val="(%1)"/>
      <w:numFmt w:val="lowerLetter"/>
      <w:start w:val="1"/>
    </w:lvl>
  </w:abstractNum>
  <w:abstractNum w:abstractNumId="116">
    <w:nsid w:val="24F6AB8E"/>
    <w:multiLevelType w:val="hybridMultilevel"/>
    <w:lvl w:ilvl="0">
      <w:lvlJc w:val="left"/>
      <w:lvlText w:val="%1."/>
      <w:numFmt w:val="decimal"/>
      <w:start w:val="13"/>
    </w:lvl>
  </w:abstractNum>
  <w:abstractNum w:abstractNumId="117">
    <w:nsid w:val="634C574C"/>
    <w:multiLevelType w:val="hybridMultilevel"/>
    <w:lvl w:ilvl="0">
      <w:lvlJc w:val="left"/>
      <w:lvlText w:val="%1."/>
      <w:numFmt w:val="decimal"/>
      <w:start w:val="2"/>
    </w:lvl>
    <w:lvl w:ilvl="1">
      <w:lvlJc w:val="left"/>
      <w:lvlText w:val="(%2)"/>
      <w:numFmt w:val="lowerLetter"/>
      <w:start w:val="1"/>
    </w:lvl>
  </w:abstractNum>
  <w:abstractNum w:abstractNumId="118">
    <w:nsid w:val="24E99DD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9">
    <w:nsid w:val="2A31B62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0">
    <w:nsid w:val="1849C29B"/>
    <w:multiLevelType w:val="hybridMultilevel"/>
    <w:lvl w:ilvl="0">
      <w:lvlJc w:val="left"/>
      <w:lvlText w:val="%1."/>
      <w:numFmt w:val="decimal"/>
      <w:start w:val="5"/>
    </w:lvl>
    <w:lvl w:ilvl="1">
      <w:lvlJc w:val="left"/>
      <w:lvlText w:val="(%2)"/>
      <w:numFmt w:val="lowerLetter"/>
      <w:start w:val="1"/>
    </w:lvl>
  </w:abstractNum>
  <w:abstractNum w:abstractNumId="121">
    <w:nsid w:val="7DFF9D09"/>
    <w:multiLevelType w:val="hybridMultilevel"/>
    <w:lvl w:ilvl="0">
      <w:lvlJc w:val="left"/>
      <w:lvlText w:val="(%1)"/>
      <w:numFmt w:val="lowerLetter"/>
      <w:start w:val="2"/>
    </w:lvl>
    <w:lvl w:ilvl="1">
      <w:lvlJc w:val="left"/>
      <w:lvlText w:val="(%2)"/>
      <w:numFmt w:val="lowerRoman"/>
      <w:start w:val="1"/>
    </w:lvl>
  </w:abstractNum>
  <w:abstractNum w:abstractNumId="122">
    <w:nsid w:val="754342"/>
    <w:multiLevelType w:val="hybridMultilevel"/>
    <w:lvl w:ilvl="0">
      <w:lvlJc w:val="left"/>
      <w:lvlText w:val="(%1)"/>
      <w:numFmt w:val="upperLetter"/>
      <w:start w:val="1"/>
    </w:lvl>
  </w:abstractNum>
  <w:abstractNum w:abstractNumId="123">
    <w:nsid w:val="69E7F3E5"/>
    <w:multiLevelType w:val="hybridMultilevel"/>
    <w:lvl w:ilvl="0">
      <w:lvlJc w:val="left"/>
      <w:lvlText w:val="%1"/>
      <w:numFmt w:val="lowerRoman"/>
      <w:start w:val="1"/>
    </w:lvl>
    <w:lvl w:ilvl="1">
      <w:lvlJc w:val="left"/>
      <w:lvlText w:val="(%2)"/>
      <w:numFmt w:val="upperLetter"/>
      <w:start w:val="4"/>
    </w:lvl>
  </w:abstractNum>
  <w:abstractNum w:abstractNumId="124">
    <w:nsid w:val="2A6DE806"/>
    <w:multiLevelType w:val="hybridMultilevel"/>
    <w:lvl w:ilvl="0">
      <w:lvlJc w:val="left"/>
      <w:lvlText w:val="(%1)"/>
      <w:numFmt w:val="lowerRoman"/>
      <w:start w:val="5"/>
    </w:lvl>
    <w:lvl w:ilvl="1">
      <w:lvlJc w:val="left"/>
      <w:lvlText w:val="(%2)"/>
      <w:numFmt w:val="upperLetter"/>
      <w:start w:val="1"/>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27">
    <w:nsid w:val="7AB49DAF"/>
    <w:multiLevelType w:val="hybridMultilevel"/>
    <w:lvl w:ilvl="0">
      <w:lvlJc w:val="left"/>
      <w:lvlText w:val="%1"/>
      <w:numFmt w:val="decimal"/>
      <w:start w:val="1"/>
    </w:lvl>
    <w:lvl w:ilvl="1">
      <w:lvlJc w:val="left"/>
      <w:lvlText w:val="(%2)"/>
      <w:numFmt w:val="lowerLetter"/>
      <w:start w:val="5"/>
    </w:lvl>
  </w:abstractNum>
  <w:abstractNum w:abstractNumId="128">
    <w:nsid w:val="759F82CD"/>
    <w:multiLevelType w:val="hybridMultilevel"/>
    <w:lvl w:ilvl="0">
      <w:lvlJc w:val="left"/>
      <w:lvlText w:val="%1."/>
      <w:numFmt w:val="decimal"/>
      <w:start w:val="10"/>
    </w:lvl>
    <w:lvl w:ilvl="1">
      <w:lvlJc w:val="left"/>
      <w:lvlText w:val="%2"/>
      <w:numFmt w:val="lowerLetter"/>
      <w:start w:val="1"/>
    </w:lvl>
  </w:abstractNum>
  <w:abstractNum w:abstractNumId="129">
    <w:nsid w:val="61E74EA3"/>
    <w:multiLevelType w:val="hybridMultilevel"/>
    <w:lvl w:ilvl="0">
      <w:lvlJc w:val="left"/>
      <w:lvlText w:val="%1."/>
      <w:numFmt w:val="decimal"/>
      <w:start w:val="11"/>
    </w:lvl>
  </w:abstractNum>
  <w:abstractNum w:abstractNumId="130">
    <w:nsid w:val="597B4D84"/>
    <w:multiLevelType w:val="hybridMultilevel"/>
    <w:lvl w:ilvl="0">
      <w:lvlJc w:val="left"/>
      <w:lvlText w:val="%1"/>
      <w:numFmt w:val="decimal"/>
      <w:start w:val="1"/>
    </w:lvl>
    <w:lvl w:ilvl="1">
      <w:lvlJc w:val="left"/>
      <w:lvlText w:val="(%2)"/>
      <w:numFmt w:val="lowerLetter"/>
      <w:start w:val="1"/>
    </w:lvl>
  </w:abstractNum>
  <w:abstractNum w:abstractNumId="131">
    <w:nsid w:val="F819E7F"/>
    <w:multiLevelType w:val="hybridMultilevel"/>
    <w:lvl w:ilvl="0">
      <w:lvlJc w:val="left"/>
      <w:lvlText w:val="%1."/>
      <w:numFmt w:val="decimal"/>
      <w:start w:val="13"/>
    </w:lvl>
    <w:lvl w:ilvl="1">
      <w:lvlJc w:val="left"/>
      <w:lvlText w:val="%2"/>
      <w:numFmt w:val="lowerLetter"/>
      <w:start w:val="1"/>
    </w:lvl>
  </w:abstractNum>
  <w:abstractNum w:abstractNumId="132">
    <w:nsid w:val="57C7D42D"/>
    <w:multiLevelType w:val="hybridMultilevel"/>
    <w:lvl w:ilvl="0">
      <w:lvlJc w:val="left"/>
      <w:lvlText w:val="(%1)"/>
      <w:numFmt w:val="lowerLetter"/>
      <w:start w:val="1"/>
    </w:lvl>
  </w:abstractNum>
  <w:abstractNum w:abstractNumId="133">
    <w:nsid w:val="312167AD"/>
    <w:multiLevelType w:val="hybridMultilevel"/>
    <w:lvl w:ilvl="0">
      <w:lvlJc w:val="left"/>
      <w:lvlText w:val="%1."/>
      <w:numFmt w:val="decimal"/>
      <w:start w:val="2"/>
    </w:lvl>
    <w:lvl w:ilvl="1">
      <w:lvlJc w:val="left"/>
      <w:lvlText w:val="(%2)"/>
      <w:numFmt w:val="lowerLetter"/>
      <w:start w:val="1"/>
    </w:lvl>
  </w:abstractNum>
  <w:abstractNum w:abstractNumId="134">
    <w:nsid w:val="631B64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135">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136">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137">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138">
    <w:nsid w:val="1A0DDE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139">
    <w:nsid w:val="65968C1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40">
    <w:nsid w:val="46263DEC"/>
    <w:multiLevelType w:val="hybridMultilevel"/>
    <w:lvl w:ilvl="0">
      <w:lvlJc w:val="left"/>
      <w:lvlText w:val="%1."/>
      <w:numFmt w:val="decimal"/>
      <w:start w:val="5"/>
    </w:lvl>
    <w:lvl w:ilvl="1">
      <w:lvlJc w:val="left"/>
      <w:lvlText w:val="(%2)"/>
      <w:numFmt w:val="lowerLetter"/>
      <w:start w:val="1"/>
    </w:lvl>
  </w:abstractNum>
  <w:abstractNum w:abstractNumId="141">
    <w:nsid w:val="260D8C4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73D4D3C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43">
    <w:nsid w:val="746F2E30"/>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144">
    <w:nsid w:val="6FDE8AF6"/>
    <w:multiLevelType w:val="hybridMultilevel"/>
    <w:lvl w:ilvl="0">
      <w:lvlJc w:val="left"/>
      <w:lvlText w:val="(%1)"/>
      <w:numFmt w:val="lowerRoman"/>
      <w:start w:val="5"/>
    </w:lvl>
    <w:lvl w:ilvl="1">
      <w:lvlJc w:val="left"/>
      <w:lvlText w:val="%2"/>
      <w:numFmt w:val="decimal"/>
      <w:start w:val="1"/>
    </w:lvl>
    <w:lvl w:ilvl="2">
      <w:lvlJc w:val="left"/>
      <w:lvlText w:val="(%3)"/>
      <w:numFmt w:val="upperLetter"/>
      <w:start w:val="1"/>
    </w:lvl>
  </w:abstractNum>
  <w:abstractNum w:abstractNumId="145">
    <w:nsid w:val="3FC32E20"/>
    <w:multiLevelType w:val="hybridMultilevel"/>
    <w:lvl w:ilvl="0">
      <w:lvlJc w:val="left"/>
      <w:lvlText w:val="%1"/>
      <w:numFmt w:val="decimal"/>
      <w:start w:val="1"/>
    </w:lvl>
    <w:lvl w:ilvl="1">
      <w:lvlJc w:val="left"/>
      <w:lvlText w:val="(%2)"/>
      <w:numFmt w:val="upperLetter"/>
      <w:start w:val="2"/>
    </w:lvl>
  </w:abstractNum>
  <w:abstractNum w:abstractNumId="146">
    <w:nsid w:val="49C0E823"/>
    <w:multiLevelType w:val="hybridMultilevel"/>
    <w:lvl w:ilvl="0">
      <w:lvlJc w:val="left"/>
      <w:lvlText w:val="%1."/>
      <w:numFmt w:val="decimal"/>
      <w:start w:val="6"/>
    </w:lvl>
    <w:lvl w:ilvl="1">
      <w:lvlJc w:val="left"/>
      <w:lvlText w:val="%2"/>
      <w:numFmt w:val="upperLetter"/>
      <w:start w:val="1"/>
    </w:lvl>
  </w:abstractNum>
  <w:abstractNum w:abstractNumId="147">
    <w:nsid w:val="14D53685"/>
    <w:multiLevelType w:val="hybridMultilevel"/>
    <w:lvl w:ilvl="0">
      <w:lvlJc w:val="left"/>
      <w:lvlText w:val="(%1)"/>
      <w:numFmt w:val="lowerLetter"/>
      <w:start w:val="1"/>
    </w:lvl>
  </w:abstractNum>
  <w:abstractNum w:abstractNumId="148">
    <w:nsid w:val="230F856C"/>
    <w:multiLevelType w:val="hybridMultilevel"/>
    <w:lvl w:ilvl="0">
      <w:lvlJc w:val="left"/>
      <w:lvlText w:val="%1."/>
      <w:numFmt w:val="decimal"/>
      <w:start w:val="9"/>
    </w:lvl>
    <w:lvl w:ilvl="1">
      <w:lvlJc w:val="left"/>
      <w:lvlText w:val="(%2)"/>
      <w:numFmt w:val="lowerLetter"/>
      <w:start w:val="1"/>
    </w:lvl>
  </w:abstractNum>
  <w:abstractNum w:abstractNumId="149">
    <w:nsid w:val="6EAA85F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
    </w:lvl>
  </w:abstractNum>
  <w:abstractNum w:abstractNumId="150">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51">
    <w:nsid w:val="3B59480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152">
    <w:nsid w:val="6CAA2304"/>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153">
    <w:nsid w:val="3F7C2FF4"/>
    <w:multiLevelType w:val="hybridMultilevel"/>
    <w:lvl w:ilvl="0">
      <w:lvlJc w:val="left"/>
      <w:lvlText w:val="%1"/>
      <w:numFmt w:val="decimal"/>
      <w:start w:val="1"/>
    </w:lvl>
    <w:lvl w:ilvl="1">
      <w:lvlJc w:val="left"/>
      <w:lvlText w:val="(%2)"/>
      <w:numFmt w:val="lowerLetter"/>
      <w:start w:val="5"/>
    </w:lvl>
  </w:abstractNum>
  <w:abstractNum w:abstractNumId="154">
    <w:nsid w:val="25413BEC"/>
    <w:multiLevelType w:val="hybridMultilevel"/>
    <w:lvl w:ilvl="0">
      <w:lvlJc w:val="left"/>
      <w:lvlText w:val="%1."/>
      <w:numFmt w:val="decimal"/>
      <w:start w:val="10"/>
    </w:lvl>
    <w:lvl w:ilvl="1">
      <w:lvlJc w:val="left"/>
      <w:lvlText w:val="%2"/>
      <w:numFmt w:val="lowerLetter"/>
      <w:start w:val="1"/>
    </w:lvl>
  </w:abstractNum>
  <w:abstractNum w:abstractNumId="155">
    <w:nsid w:val="17180B0B"/>
    <w:multiLevelType w:val="hybridMultilevel"/>
    <w:lvl w:ilvl="0">
      <w:lvlJc w:val="left"/>
      <w:lvlText w:val="(%1)"/>
      <w:numFmt w:val="lowerLetter"/>
      <w:start w:val="1"/>
    </w:lvl>
  </w:abstractNum>
  <w:abstractNum w:abstractNumId="156">
    <w:nsid w:val="579328B9"/>
    <w:multiLevelType w:val="hybridMultilevel"/>
    <w:lvl w:ilvl="0">
      <w:lvlJc w:val="left"/>
      <w:lvlText w:val="1"/>
      <w:numFmt w:val="bullet"/>
      <w:start w:val="1"/>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2019-12-10T02:58:54Z</dcterms:created>
  <dcterms:modified xsi:type="dcterms:W3CDTF">2019-12-10T02:58:54Z</dcterms:modified>
</cp:coreProperties>
</file>