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As filed with the Securities and Exchange Commission on March 3, 2004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83820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92"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UNITED STATES SECURITIES AND EXCHANGE COMMISSION</w:t>
      </w:r>
    </w:p>
    <w:p>
      <w:pPr>
        <w:spacing w:after="0" w:line="15"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Washington, D.C. 20549</w:t>
      </w:r>
    </w:p>
    <w:p>
      <w:pPr>
        <w:spacing w:after="0" w:line="37"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Form 10-K</w:t>
      </w:r>
    </w:p>
    <w:p>
      <w:pPr>
        <w:spacing w:after="0" w:line="91" w:lineRule="exact"/>
        <w:rPr>
          <w:sz w:val="24"/>
          <w:szCs w:val="24"/>
          <w:color w:val="auto"/>
        </w:rPr>
      </w:pPr>
    </w:p>
    <w:p>
      <w:pPr>
        <w:ind w:left="460"/>
        <w:spacing w:after="0"/>
        <w:rPr>
          <w:sz w:val="20"/>
          <w:szCs w:val="20"/>
          <w:color w:val="auto"/>
        </w:rPr>
      </w:pPr>
      <w:r>
        <w:rPr>
          <w:rFonts w:ascii="Arial" w:cs="Arial" w:eastAsia="Arial" w:hAnsi="Arial"/>
          <w:sz w:val="18"/>
          <w:szCs w:val="18"/>
          <w:b w:val="1"/>
          <w:bCs w:val="1"/>
          <w:color w:val="auto"/>
        </w:rPr>
        <w:t>(Mark One)</w:t>
      </w:r>
    </w:p>
    <w:p>
      <w:pPr>
        <w:spacing w:after="0" w:line="77" w:lineRule="exact"/>
        <w:rPr>
          <w:sz w:val="24"/>
          <w:szCs w:val="24"/>
          <w:color w:val="auto"/>
        </w:rPr>
      </w:pPr>
    </w:p>
    <w:p>
      <w:pPr>
        <w:ind w:left="4200" w:right="1840" w:hanging="3746"/>
        <w:spacing w:after="0" w:line="329" w:lineRule="auto"/>
        <w:tabs>
          <w:tab w:leader="none" w:pos="904"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ANNUAL REPORT PURSUANT TO SECTION 13 OR 15(d) OF THE SECURITIES EXCHANGE ACT OF 1934 For fiscal year ended December 31, 2003</w:t>
      </w:r>
    </w:p>
    <w:p>
      <w:pPr>
        <w:spacing w:after="0" w:line="1"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OR</w:t>
      </w:r>
    </w:p>
    <w:p>
      <w:pPr>
        <w:spacing w:after="0" w:line="54" w:lineRule="exact"/>
        <w:rPr>
          <w:sz w:val="24"/>
          <w:szCs w:val="24"/>
          <w:color w:val="auto"/>
        </w:rPr>
      </w:pPr>
    </w:p>
    <w:p>
      <w:pPr>
        <w:ind w:left="900" w:hanging="446"/>
        <w:spacing w:after="0"/>
        <w:tabs>
          <w:tab w:leader="none" w:pos="900" w:val="left"/>
        </w:tabs>
        <w:numPr>
          <w:ilvl w:val="0"/>
          <w:numId w:val="2"/>
        </w:numPr>
        <w:rPr>
          <w:rFonts w:ascii="MS PGothic" w:cs="MS PGothic" w:eastAsia="MS PGothic" w:hAnsi="MS PGothic"/>
          <w:sz w:val="15"/>
          <w:szCs w:val="15"/>
          <w:color w:val="auto"/>
          <w:highlight w:val="black"/>
        </w:rPr>
      </w:pPr>
      <w:r>
        <w:rPr>
          <w:rFonts w:ascii="Arial" w:cs="Arial" w:eastAsia="Arial" w:hAnsi="Arial"/>
          <w:sz w:val="18"/>
          <w:szCs w:val="18"/>
          <w:b w:val="1"/>
          <w:bCs w:val="1"/>
          <w:color w:val="auto"/>
        </w:rPr>
        <w:t>TRANSITION REPORT PURSUANT TO SECTION 13 OR 15(d) OF THE SECURITIES EXCHANGE ACT OF 1934</w:t>
      </w:r>
    </w:p>
    <w:p>
      <w:pPr>
        <w:spacing w:after="0" w:line="77" w:lineRule="exact"/>
        <w:rPr>
          <w:sz w:val="24"/>
          <w:szCs w:val="24"/>
          <w:color w:val="auto"/>
        </w:rPr>
      </w:pPr>
    </w:p>
    <w:p>
      <w:pPr>
        <w:ind w:left="3540"/>
        <w:spacing w:after="0"/>
        <w:tabs>
          <w:tab w:leader="none" w:pos="68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3152140</wp:posOffset>
            </wp:positionH>
            <wp:positionV relativeFrom="paragraph">
              <wp:posOffset>177800</wp:posOffset>
            </wp:positionV>
            <wp:extent cx="95186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951865" cy="8890"/>
                    </a:xfrm>
                    <a:prstGeom prst="rect">
                      <a:avLst/>
                    </a:prstGeom>
                    <a:noFill/>
                  </pic:spPr>
                </pic:pic>
              </a:graphicData>
            </a:graphic>
          </wp:anchor>
        </w:drawing>
        <w:drawing>
          <wp:anchor simplePos="0" relativeHeight="251657728" behindDoc="1" locked="0" layoutInCell="0" allowOverlap="1">
            <wp:simplePos x="0" y="0"/>
            <wp:positionH relativeFrom="column">
              <wp:posOffset>3745230</wp:posOffset>
            </wp:positionH>
            <wp:positionV relativeFrom="paragraph">
              <wp:posOffset>-10160</wp:posOffset>
            </wp:positionV>
            <wp:extent cx="1263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63650" cy="8890"/>
                    </a:xfrm>
                    <a:prstGeom prst="rect">
                      <a:avLst/>
                    </a:prstGeom>
                    <a:noFill/>
                  </pic:spPr>
                </pic:pic>
              </a:graphicData>
            </a:graphic>
          </wp:anchor>
        </w:drawing>
      </w:r>
    </w:p>
    <w:p>
      <w:pPr>
        <w:spacing w:after="0" w:line="367"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Commission File Number 1-4601</w:t>
      </w:r>
    </w:p>
    <w:p>
      <w:pPr>
        <w:spacing w:after="0" w:line="131"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Schlumberger N.V. (Schlumberger Limited)</w:t>
      </w:r>
    </w:p>
    <w:p>
      <w:pPr>
        <w:spacing w:after="0" w:line="38"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40" w:lineRule="exact"/>
        <w:rPr>
          <w:sz w:val="24"/>
          <w:szCs w:val="24"/>
          <w:color w:val="auto"/>
        </w:rPr>
      </w:pPr>
    </w:p>
    <w:tbl>
      <w:tblPr>
        <w:tblLayout w:type="fixed"/>
        <w:tblInd w:w="1280" w:type="dxa"/>
        <w:tblCellMar>
          <w:top w:w="0" w:type="dxa"/>
          <w:left w:w="0" w:type="dxa"/>
          <w:bottom w:w="0" w:type="dxa"/>
          <w:right w:w="0" w:type="dxa"/>
        </w:tblCellMar>
      </w:tblPr>
      <w:tr>
        <w:trPr>
          <w:trHeight w:val="216"/>
        </w:trPr>
        <w:tc>
          <w:tcPr>
            <w:tcW w:w="4600" w:type="dxa"/>
            <w:vAlign w:val="bottom"/>
          </w:tcPr>
          <w:p>
            <w:pPr>
              <w:jc w:val="center"/>
              <w:ind w:right="1452"/>
              <w:spacing w:after="0"/>
              <w:rPr>
                <w:sz w:val="20"/>
                <w:szCs w:val="20"/>
                <w:color w:val="auto"/>
              </w:rPr>
            </w:pPr>
            <w:r>
              <w:rPr>
                <w:rFonts w:ascii="Arial" w:cs="Arial" w:eastAsia="Arial" w:hAnsi="Arial"/>
                <w:sz w:val="18"/>
                <w:szCs w:val="18"/>
                <w:b w:val="1"/>
                <w:bCs w:val="1"/>
                <w:color w:val="auto"/>
                <w:w w:val="88"/>
              </w:rPr>
              <w:t>Netherlands Antilles</w:t>
            </w:r>
          </w:p>
        </w:tc>
        <w:tc>
          <w:tcPr>
            <w:tcW w:w="4080" w:type="dxa"/>
            <w:vAlign w:val="bottom"/>
          </w:tcPr>
          <w:p>
            <w:pPr>
              <w:jc w:val="center"/>
              <w:ind w:left="1432"/>
              <w:spacing w:after="0"/>
              <w:rPr>
                <w:sz w:val="20"/>
                <w:szCs w:val="20"/>
                <w:color w:val="auto"/>
              </w:rPr>
            </w:pPr>
            <w:r>
              <w:rPr>
                <w:rFonts w:ascii="Arial" w:cs="Arial" w:eastAsia="Arial" w:hAnsi="Arial"/>
                <w:sz w:val="18"/>
                <w:szCs w:val="18"/>
                <w:b w:val="1"/>
                <w:bCs w:val="1"/>
                <w:color w:val="auto"/>
                <w:w w:val="87"/>
              </w:rPr>
              <w:t>52-0684746</w:t>
            </w:r>
          </w:p>
        </w:tc>
      </w:tr>
      <w:tr>
        <w:trPr>
          <w:trHeight w:val="216"/>
        </w:trPr>
        <w:tc>
          <w:tcPr>
            <w:tcW w:w="4600" w:type="dxa"/>
            <w:vAlign w:val="bottom"/>
          </w:tcPr>
          <w:p>
            <w:pPr>
              <w:jc w:val="center"/>
              <w:ind w:right="1452"/>
              <w:spacing w:after="0"/>
              <w:rPr>
                <w:sz w:val="20"/>
                <w:szCs w:val="20"/>
                <w:color w:val="auto"/>
              </w:rPr>
            </w:pPr>
            <w:r>
              <w:rPr>
                <w:rFonts w:ascii="Arial" w:cs="Arial" w:eastAsia="Arial" w:hAnsi="Arial"/>
                <w:sz w:val="18"/>
                <w:szCs w:val="18"/>
                <w:b w:val="1"/>
                <w:bCs w:val="1"/>
                <w:color w:val="auto"/>
                <w:w w:val="88"/>
              </w:rPr>
              <w:t>(State or other jurisdiction of</w:t>
            </w:r>
          </w:p>
        </w:tc>
        <w:tc>
          <w:tcPr>
            <w:tcW w:w="4080" w:type="dxa"/>
            <w:vAlign w:val="bottom"/>
          </w:tcPr>
          <w:p>
            <w:pPr>
              <w:jc w:val="center"/>
              <w:ind w:left="1432"/>
              <w:spacing w:after="0"/>
              <w:rPr>
                <w:sz w:val="20"/>
                <w:szCs w:val="20"/>
                <w:color w:val="auto"/>
              </w:rPr>
            </w:pPr>
            <w:r>
              <w:rPr>
                <w:rFonts w:ascii="Arial" w:cs="Arial" w:eastAsia="Arial" w:hAnsi="Arial"/>
                <w:sz w:val="18"/>
                <w:szCs w:val="18"/>
                <w:b w:val="1"/>
                <w:bCs w:val="1"/>
                <w:color w:val="auto"/>
                <w:w w:val="91"/>
              </w:rPr>
              <w:t>(IRS Employer Identification No.)</w:t>
            </w:r>
          </w:p>
        </w:tc>
      </w:tr>
      <w:tr>
        <w:trPr>
          <w:trHeight w:val="228"/>
        </w:trPr>
        <w:tc>
          <w:tcPr>
            <w:tcW w:w="4600" w:type="dxa"/>
            <w:vAlign w:val="bottom"/>
          </w:tcPr>
          <w:p>
            <w:pPr>
              <w:jc w:val="center"/>
              <w:ind w:right="1452"/>
              <w:spacing w:after="0"/>
              <w:rPr>
                <w:sz w:val="20"/>
                <w:szCs w:val="20"/>
                <w:color w:val="auto"/>
              </w:rPr>
            </w:pPr>
            <w:r>
              <w:rPr>
                <w:rFonts w:ascii="Arial" w:cs="Arial" w:eastAsia="Arial" w:hAnsi="Arial"/>
                <w:sz w:val="18"/>
                <w:szCs w:val="18"/>
                <w:b w:val="1"/>
                <w:bCs w:val="1"/>
                <w:color w:val="auto"/>
                <w:w w:val="89"/>
              </w:rPr>
              <w:t>incorporation or organization)</w:t>
            </w:r>
          </w:p>
        </w:tc>
        <w:tc>
          <w:tcPr>
            <w:tcW w:w="4080" w:type="dxa"/>
            <w:vAlign w:val="bottom"/>
          </w:tcPr>
          <w:p>
            <w:pPr>
              <w:spacing w:after="0"/>
              <w:rPr>
                <w:sz w:val="19"/>
                <w:szCs w:val="19"/>
                <w:color w:val="auto"/>
              </w:rPr>
            </w:pPr>
          </w:p>
        </w:tc>
      </w:tr>
      <w:tr>
        <w:trPr>
          <w:trHeight w:val="325"/>
        </w:trPr>
        <w:tc>
          <w:tcPr>
            <w:tcW w:w="4600" w:type="dxa"/>
            <w:vAlign w:val="bottom"/>
          </w:tcPr>
          <w:p>
            <w:pPr>
              <w:jc w:val="center"/>
              <w:ind w:right="1452"/>
              <w:spacing w:after="0"/>
              <w:rPr>
                <w:sz w:val="20"/>
                <w:szCs w:val="20"/>
                <w:color w:val="auto"/>
              </w:rPr>
            </w:pPr>
            <w:r>
              <w:rPr>
                <w:rFonts w:ascii="Arial" w:cs="Arial" w:eastAsia="Arial" w:hAnsi="Arial"/>
                <w:sz w:val="18"/>
                <w:szCs w:val="18"/>
                <w:b w:val="1"/>
                <w:bCs w:val="1"/>
                <w:color w:val="auto"/>
                <w:w w:val="88"/>
              </w:rPr>
              <w:t>153 East 53 Street, 57th Floor</w:t>
            </w:r>
          </w:p>
        </w:tc>
        <w:tc>
          <w:tcPr>
            <w:tcW w:w="4080" w:type="dxa"/>
            <w:vAlign w:val="bottom"/>
          </w:tcPr>
          <w:p>
            <w:pPr>
              <w:jc w:val="center"/>
              <w:ind w:left="1432"/>
              <w:spacing w:after="0"/>
              <w:rPr>
                <w:sz w:val="20"/>
                <w:szCs w:val="20"/>
                <w:color w:val="auto"/>
              </w:rPr>
            </w:pPr>
            <w:r>
              <w:rPr>
                <w:rFonts w:ascii="Arial" w:cs="Arial" w:eastAsia="Arial" w:hAnsi="Arial"/>
                <w:sz w:val="18"/>
                <w:szCs w:val="18"/>
                <w:b w:val="1"/>
                <w:bCs w:val="1"/>
                <w:color w:val="auto"/>
                <w:w w:val="87"/>
              </w:rPr>
              <w:t>10022-4624</w:t>
            </w:r>
          </w:p>
        </w:tc>
      </w:tr>
      <w:tr>
        <w:trPr>
          <w:trHeight w:val="228"/>
        </w:trPr>
        <w:tc>
          <w:tcPr>
            <w:tcW w:w="4600" w:type="dxa"/>
            <w:vAlign w:val="bottom"/>
          </w:tcPr>
          <w:p>
            <w:pPr>
              <w:jc w:val="center"/>
              <w:ind w:right="1452"/>
              <w:spacing w:after="0"/>
              <w:rPr>
                <w:sz w:val="20"/>
                <w:szCs w:val="20"/>
                <w:color w:val="auto"/>
              </w:rPr>
            </w:pPr>
            <w:r>
              <w:rPr>
                <w:rFonts w:ascii="Arial" w:cs="Arial" w:eastAsia="Arial" w:hAnsi="Arial"/>
                <w:sz w:val="18"/>
                <w:szCs w:val="18"/>
                <w:b w:val="1"/>
                <w:bCs w:val="1"/>
                <w:color w:val="auto"/>
                <w:w w:val="90"/>
              </w:rPr>
              <w:t>New York, New York, U.S.A.</w:t>
            </w:r>
          </w:p>
        </w:tc>
        <w:tc>
          <w:tcPr>
            <w:tcW w:w="4080" w:type="dxa"/>
            <w:vAlign w:val="bottom"/>
          </w:tcPr>
          <w:p>
            <w:pPr>
              <w:spacing w:after="0"/>
              <w:rPr>
                <w:sz w:val="19"/>
                <w:szCs w:val="19"/>
                <w:color w:val="auto"/>
              </w:rPr>
            </w:pPr>
          </w:p>
        </w:tc>
      </w:tr>
      <w:tr>
        <w:trPr>
          <w:trHeight w:val="325"/>
        </w:trPr>
        <w:tc>
          <w:tcPr>
            <w:tcW w:w="4600" w:type="dxa"/>
            <w:vAlign w:val="bottom"/>
          </w:tcPr>
          <w:p>
            <w:pPr>
              <w:jc w:val="center"/>
              <w:ind w:right="1452"/>
              <w:spacing w:after="0"/>
              <w:rPr>
                <w:sz w:val="20"/>
                <w:szCs w:val="20"/>
                <w:color w:val="auto"/>
              </w:rPr>
            </w:pPr>
            <w:r>
              <w:rPr>
                <w:rFonts w:ascii="Arial" w:cs="Arial" w:eastAsia="Arial" w:hAnsi="Arial"/>
                <w:sz w:val="18"/>
                <w:szCs w:val="18"/>
                <w:b w:val="1"/>
                <w:bCs w:val="1"/>
                <w:color w:val="auto"/>
                <w:w w:val="88"/>
              </w:rPr>
              <w:t>42, rue Saint-Dominique</w:t>
            </w:r>
          </w:p>
        </w:tc>
        <w:tc>
          <w:tcPr>
            <w:tcW w:w="4080" w:type="dxa"/>
            <w:vAlign w:val="bottom"/>
          </w:tcPr>
          <w:p>
            <w:pPr>
              <w:jc w:val="center"/>
              <w:ind w:left="1432"/>
              <w:spacing w:after="0"/>
              <w:rPr>
                <w:sz w:val="20"/>
                <w:szCs w:val="20"/>
                <w:color w:val="auto"/>
              </w:rPr>
            </w:pPr>
            <w:r>
              <w:rPr>
                <w:rFonts w:ascii="Arial" w:cs="Arial" w:eastAsia="Arial" w:hAnsi="Arial"/>
                <w:sz w:val="18"/>
                <w:szCs w:val="18"/>
                <w:b w:val="1"/>
                <w:bCs w:val="1"/>
                <w:color w:val="auto"/>
                <w:w w:val="87"/>
              </w:rPr>
              <w:t>75007</w:t>
            </w:r>
          </w:p>
        </w:tc>
      </w:tr>
      <w:tr>
        <w:trPr>
          <w:trHeight w:val="228"/>
        </w:trPr>
        <w:tc>
          <w:tcPr>
            <w:tcW w:w="4600" w:type="dxa"/>
            <w:vAlign w:val="bottom"/>
          </w:tcPr>
          <w:p>
            <w:pPr>
              <w:jc w:val="center"/>
              <w:ind w:right="1452"/>
              <w:spacing w:after="0"/>
              <w:rPr>
                <w:sz w:val="20"/>
                <w:szCs w:val="20"/>
                <w:color w:val="auto"/>
              </w:rPr>
            </w:pPr>
            <w:r>
              <w:rPr>
                <w:rFonts w:ascii="Arial" w:cs="Arial" w:eastAsia="Arial" w:hAnsi="Arial"/>
                <w:sz w:val="18"/>
                <w:szCs w:val="18"/>
                <w:b w:val="1"/>
                <w:bCs w:val="1"/>
                <w:color w:val="auto"/>
                <w:w w:val="90"/>
              </w:rPr>
              <w:t>Paris, France</w:t>
            </w:r>
          </w:p>
        </w:tc>
        <w:tc>
          <w:tcPr>
            <w:tcW w:w="4080" w:type="dxa"/>
            <w:vAlign w:val="bottom"/>
          </w:tcPr>
          <w:p>
            <w:pPr>
              <w:spacing w:after="0"/>
              <w:rPr>
                <w:sz w:val="19"/>
                <w:szCs w:val="19"/>
                <w:color w:val="auto"/>
              </w:rPr>
            </w:pPr>
          </w:p>
        </w:tc>
      </w:tr>
      <w:tr>
        <w:trPr>
          <w:trHeight w:val="325"/>
        </w:trPr>
        <w:tc>
          <w:tcPr>
            <w:tcW w:w="4600" w:type="dxa"/>
            <w:vAlign w:val="bottom"/>
          </w:tcPr>
          <w:p>
            <w:pPr>
              <w:jc w:val="center"/>
              <w:ind w:right="1452"/>
              <w:spacing w:after="0"/>
              <w:rPr>
                <w:sz w:val="20"/>
                <w:szCs w:val="20"/>
                <w:color w:val="auto"/>
              </w:rPr>
            </w:pPr>
            <w:r>
              <w:rPr>
                <w:rFonts w:ascii="Arial" w:cs="Arial" w:eastAsia="Arial" w:hAnsi="Arial"/>
                <w:sz w:val="18"/>
                <w:szCs w:val="18"/>
                <w:b w:val="1"/>
                <w:bCs w:val="1"/>
                <w:color w:val="auto"/>
                <w:w w:val="89"/>
              </w:rPr>
              <w:t>Parkstraat 83, The Hague,</w:t>
            </w:r>
          </w:p>
        </w:tc>
        <w:tc>
          <w:tcPr>
            <w:tcW w:w="4080" w:type="dxa"/>
            <w:vAlign w:val="bottom"/>
          </w:tcPr>
          <w:p>
            <w:pPr>
              <w:spacing w:after="0"/>
              <w:rPr>
                <w:sz w:val="24"/>
                <w:szCs w:val="24"/>
                <w:color w:val="auto"/>
              </w:rPr>
            </w:pPr>
          </w:p>
        </w:tc>
      </w:tr>
      <w:tr>
        <w:trPr>
          <w:trHeight w:val="230"/>
        </w:trPr>
        <w:tc>
          <w:tcPr>
            <w:tcW w:w="4600" w:type="dxa"/>
            <w:vAlign w:val="bottom"/>
          </w:tcPr>
          <w:p>
            <w:pPr>
              <w:jc w:val="center"/>
              <w:ind w:right="1452"/>
              <w:spacing w:after="0"/>
              <w:rPr>
                <w:sz w:val="20"/>
                <w:szCs w:val="20"/>
                <w:color w:val="auto"/>
              </w:rPr>
            </w:pPr>
            <w:r>
              <w:rPr>
                <w:rFonts w:ascii="Arial" w:cs="Arial" w:eastAsia="Arial" w:hAnsi="Arial"/>
                <w:sz w:val="18"/>
                <w:szCs w:val="18"/>
                <w:b w:val="1"/>
                <w:bCs w:val="1"/>
                <w:color w:val="auto"/>
                <w:w w:val="89"/>
              </w:rPr>
              <w:t>The Netherlands</w:t>
            </w:r>
          </w:p>
        </w:tc>
        <w:tc>
          <w:tcPr>
            <w:tcW w:w="4080" w:type="dxa"/>
            <w:vAlign w:val="bottom"/>
          </w:tcPr>
          <w:p>
            <w:pPr>
              <w:jc w:val="center"/>
              <w:ind w:left="1452"/>
              <w:spacing w:after="0"/>
              <w:rPr>
                <w:sz w:val="20"/>
                <w:szCs w:val="20"/>
                <w:color w:val="auto"/>
              </w:rPr>
            </w:pPr>
            <w:r>
              <w:rPr>
                <w:rFonts w:ascii="Arial" w:cs="Arial" w:eastAsia="Arial" w:hAnsi="Arial"/>
                <w:sz w:val="18"/>
                <w:szCs w:val="18"/>
                <w:b w:val="1"/>
                <w:bCs w:val="1"/>
                <w:color w:val="auto"/>
                <w:w w:val="89"/>
              </w:rPr>
              <w:t>2514 JG</w:t>
            </w:r>
          </w:p>
        </w:tc>
      </w:tr>
      <w:tr>
        <w:trPr>
          <w:trHeight w:val="228"/>
        </w:trPr>
        <w:tc>
          <w:tcPr>
            <w:tcW w:w="4600" w:type="dxa"/>
            <w:vAlign w:val="bottom"/>
          </w:tcPr>
          <w:p>
            <w:pPr>
              <w:jc w:val="center"/>
              <w:ind w:right="1452"/>
              <w:spacing w:after="0"/>
              <w:rPr>
                <w:sz w:val="20"/>
                <w:szCs w:val="20"/>
                <w:color w:val="auto"/>
              </w:rPr>
            </w:pPr>
            <w:r>
              <w:rPr>
                <w:rFonts w:ascii="Arial" w:cs="Arial" w:eastAsia="Arial" w:hAnsi="Arial"/>
                <w:sz w:val="18"/>
                <w:szCs w:val="18"/>
                <w:b w:val="1"/>
                <w:bCs w:val="1"/>
                <w:color w:val="auto"/>
                <w:w w:val="85"/>
              </w:rPr>
              <w:t>(Addresses of principal executive offices)</w:t>
            </w:r>
          </w:p>
        </w:tc>
        <w:tc>
          <w:tcPr>
            <w:tcW w:w="4080" w:type="dxa"/>
            <w:vAlign w:val="bottom"/>
          </w:tcPr>
          <w:p>
            <w:pPr>
              <w:jc w:val="center"/>
              <w:ind w:left="1432"/>
              <w:spacing w:after="0"/>
              <w:rPr>
                <w:sz w:val="20"/>
                <w:szCs w:val="20"/>
                <w:color w:val="auto"/>
              </w:rPr>
            </w:pPr>
            <w:r>
              <w:rPr>
                <w:rFonts w:ascii="Arial" w:cs="Arial" w:eastAsia="Arial" w:hAnsi="Arial"/>
                <w:sz w:val="18"/>
                <w:szCs w:val="18"/>
                <w:b w:val="1"/>
                <w:bCs w:val="1"/>
                <w:color w:val="auto"/>
                <w:w w:val="88"/>
              </w:rPr>
              <w:t>(Zip Codes)</w:t>
            </w:r>
          </w:p>
        </w:tc>
      </w:tr>
    </w:tbl>
    <w:p>
      <w:pPr>
        <w:spacing w:after="0" w:line="61"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Registrant’s telephone number in the United States, including area code, is:</w:t>
      </w:r>
    </w:p>
    <w:p>
      <w:pPr>
        <w:spacing w:after="0" w:line="15"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(212) 350-9400</w:t>
      </w:r>
    </w:p>
    <w:p>
      <w:pPr>
        <w:spacing w:after="0" w:line="70"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Securities registered pursuant to Section 12(b) of the Act:</w:t>
      </w:r>
    </w:p>
    <w:p>
      <w:pPr>
        <w:spacing w:after="0" w:line="72" w:lineRule="exact"/>
        <w:rPr>
          <w:sz w:val="24"/>
          <w:szCs w:val="24"/>
          <w:color w:val="auto"/>
        </w:rPr>
      </w:pPr>
    </w:p>
    <w:tbl>
      <w:tblPr>
        <w:tblLayout w:type="fixed"/>
        <w:tblInd w:w="1340" w:type="dxa"/>
        <w:tblCellMar>
          <w:top w:w="0" w:type="dxa"/>
          <w:left w:w="0" w:type="dxa"/>
          <w:bottom w:w="0" w:type="dxa"/>
          <w:right w:w="0" w:type="dxa"/>
        </w:tblCellMar>
      </w:tblPr>
      <w:tr>
        <w:trPr>
          <w:trHeight w:val="174"/>
        </w:trPr>
        <w:tc>
          <w:tcPr>
            <w:tcW w:w="780" w:type="dxa"/>
            <w:vAlign w:val="bottom"/>
          </w:tcPr>
          <w:p>
            <w:pPr>
              <w:spacing w:after="0"/>
              <w:rPr>
                <w:sz w:val="15"/>
                <w:szCs w:val="15"/>
                <w:color w:val="auto"/>
              </w:rPr>
            </w:pPr>
          </w:p>
        </w:tc>
        <w:tc>
          <w:tcPr>
            <w:tcW w:w="4400" w:type="dxa"/>
            <w:vAlign w:val="bottom"/>
            <w:gridSpan w:val="2"/>
          </w:tcPr>
          <w:p>
            <w:pPr>
              <w:jc w:val="center"/>
              <w:ind w:right="3020"/>
              <w:spacing w:after="0"/>
              <w:rPr>
                <w:sz w:val="20"/>
                <w:szCs w:val="20"/>
                <w:color w:val="auto"/>
              </w:rPr>
            </w:pPr>
            <w:r>
              <w:rPr>
                <w:rFonts w:ascii="Arial" w:cs="Arial" w:eastAsia="Arial" w:hAnsi="Arial"/>
                <w:sz w:val="14"/>
                <w:szCs w:val="14"/>
                <w:b w:val="1"/>
                <w:bCs w:val="1"/>
                <w:color w:val="auto"/>
                <w:w w:val="84"/>
              </w:rPr>
              <w:t>Title of each class</w:t>
            </w:r>
          </w:p>
        </w:tc>
        <w:tc>
          <w:tcPr>
            <w:tcW w:w="3380" w:type="dxa"/>
            <w:vAlign w:val="bottom"/>
          </w:tcPr>
          <w:p>
            <w:pPr>
              <w:spacing w:after="0"/>
              <w:rPr>
                <w:sz w:val="20"/>
                <w:szCs w:val="20"/>
                <w:color w:val="auto"/>
              </w:rPr>
            </w:pPr>
            <w:r>
              <w:rPr>
                <w:rFonts w:ascii="Arial" w:cs="Arial" w:eastAsia="Arial" w:hAnsi="Arial"/>
                <w:sz w:val="14"/>
                <w:szCs w:val="14"/>
                <w:b w:val="1"/>
                <w:bCs w:val="1"/>
                <w:color w:val="auto"/>
              </w:rPr>
              <w:t>Name of each exchange on which registered</w:t>
            </w:r>
          </w:p>
        </w:tc>
      </w:tr>
      <w:tr>
        <w:trPr>
          <w:trHeight w:val="95"/>
        </w:trPr>
        <w:tc>
          <w:tcPr>
            <w:tcW w:w="780" w:type="dxa"/>
            <w:vAlign w:val="bottom"/>
          </w:tcPr>
          <w:p>
            <w:pPr>
              <w:spacing w:after="0"/>
              <w:rPr>
                <w:sz w:val="8"/>
                <w:szCs w:val="8"/>
                <w:color w:val="auto"/>
              </w:rPr>
            </w:pPr>
          </w:p>
        </w:tc>
        <w:tc>
          <w:tcPr>
            <w:tcW w:w="1400" w:type="dxa"/>
            <w:vAlign w:val="bottom"/>
            <w:tcBorders>
              <w:bottom w:val="single" w:sz="8" w:color="auto"/>
            </w:tcBorders>
          </w:tcPr>
          <w:p>
            <w:pPr>
              <w:spacing w:after="0"/>
              <w:rPr>
                <w:sz w:val="8"/>
                <w:szCs w:val="8"/>
                <w:color w:val="auto"/>
              </w:rPr>
            </w:pPr>
          </w:p>
        </w:tc>
        <w:tc>
          <w:tcPr>
            <w:tcW w:w="3000" w:type="dxa"/>
            <w:vAlign w:val="bottom"/>
          </w:tcPr>
          <w:p>
            <w:pPr>
              <w:spacing w:after="0"/>
              <w:rPr>
                <w:sz w:val="8"/>
                <w:szCs w:val="8"/>
                <w:color w:val="auto"/>
              </w:rPr>
            </w:pPr>
          </w:p>
        </w:tc>
        <w:tc>
          <w:tcPr>
            <w:tcW w:w="3380" w:type="dxa"/>
            <w:vAlign w:val="bottom"/>
            <w:tcBorders>
              <w:bottom w:val="single" w:sz="8" w:color="auto"/>
            </w:tcBorders>
          </w:tcPr>
          <w:p>
            <w:pPr>
              <w:spacing w:after="0"/>
              <w:rPr>
                <w:sz w:val="8"/>
                <w:szCs w:val="8"/>
                <w:color w:val="auto"/>
              </w:rPr>
            </w:pPr>
          </w:p>
        </w:tc>
      </w:tr>
      <w:tr>
        <w:trPr>
          <w:trHeight w:val="309"/>
        </w:trPr>
        <w:tc>
          <w:tcPr>
            <w:tcW w:w="5180" w:type="dxa"/>
            <w:vAlign w:val="bottom"/>
            <w:gridSpan w:val="3"/>
          </w:tcPr>
          <w:p>
            <w:pPr>
              <w:jc w:val="center"/>
              <w:ind w:right="2240"/>
              <w:spacing w:after="0"/>
              <w:rPr>
                <w:sz w:val="20"/>
                <w:szCs w:val="20"/>
                <w:color w:val="auto"/>
              </w:rPr>
            </w:pPr>
            <w:r>
              <w:rPr>
                <w:rFonts w:ascii="Arial" w:cs="Arial" w:eastAsia="Arial" w:hAnsi="Arial"/>
                <w:sz w:val="18"/>
                <w:szCs w:val="18"/>
                <w:color w:val="auto"/>
                <w:w w:val="86"/>
              </w:rPr>
              <w:t>Common Stock, par value $0.01 per share</w:t>
            </w:r>
          </w:p>
        </w:tc>
        <w:tc>
          <w:tcPr>
            <w:tcW w:w="3380" w:type="dxa"/>
            <w:vAlign w:val="bottom"/>
          </w:tcPr>
          <w:p>
            <w:pPr>
              <w:spacing w:after="0"/>
              <w:rPr>
                <w:sz w:val="20"/>
                <w:szCs w:val="20"/>
                <w:color w:val="auto"/>
              </w:rPr>
            </w:pPr>
            <w:r>
              <w:rPr>
                <w:rFonts w:ascii="Arial" w:cs="Arial" w:eastAsia="Arial" w:hAnsi="Arial"/>
                <w:sz w:val="18"/>
                <w:szCs w:val="18"/>
                <w:color w:val="auto"/>
              </w:rPr>
              <w:t>New York Stock Exchange</w:t>
            </w:r>
          </w:p>
        </w:tc>
      </w:tr>
      <w:tr>
        <w:trPr>
          <w:trHeight w:val="216"/>
        </w:trPr>
        <w:tc>
          <w:tcPr>
            <w:tcW w:w="7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3380" w:type="dxa"/>
            <w:vAlign w:val="bottom"/>
          </w:tcPr>
          <w:p>
            <w:pPr>
              <w:spacing w:after="0"/>
              <w:rPr>
                <w:sz w:val="20"/>
                <w:szCs w:val="20"/>
                <w:color w:val="auto"/>
              </w:rPr>
            </w:pPr>
            <w:r>
              <w:rPr>
                <w:rFonts w:ascii="Arial" w:cs="Arial" w:eastAsia="Arial" w:hAnsi="Arial"/>
                <w:sz w:val="18"/>
                <w:szCs w:val="18"/>
                <w:color w:val="auto"/>
              </w:rPr>
              <w:t>Euronext Paris</w:t>
            </w:r>
          </w:p>
        </w:tc>
      </w:tr>
      <w:tr>
        <w:trPr>
          <w:trHeight w:val="216"/>
        </w:trPr>
        <w:tc>
          <w:tcPr>
            <w:tcW w:w="7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3380" w:type="dxa"/>
            <w:vAlign w:val="bottom"/>
          </w:tcPr>
          <w:p>
            <w:pPr>
              <w:spacing w:after="0"/>
              <w:rPr>
                <w:sz w:val="20"/>
                <w:szCs w:val="20"/>
                <w:color w:val="auto"/>
              </w:rPr>
            </w:pPr>
            <w:r>
              <w:rPr>
                <w:rFonts w:ascii="Arial" w:cs="Arial" w:eastAsia="Arial" w:hAnsi="Arial"/>
                <w:sz w:val="18"/>
                <w:szCs w:val="18"/>
                <w:color w:val="auto"/>
              </w:rPr>
              <w:t>Euronext Amsterdam</w:t>
            </w:r>
          </w:p>
        </w:tc>
      </w:tr>
      <w:tr>
        <w:trPr>
          <w:trHeight w:val="216"/>
        </w:trPr>
        <w:tc>
          <w:tcPr>
            <w:tcW w:w="7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3380" w:type="dxa"/>
            <w:vAlign w:val="bottom"/>
          </w:tcPr>
          <w:p>
            <w:pPr>
              <w:spacing w:after="0"/>
              <w:rPr>
                <w:sz w:val="20"/>
                <w:szCs w:val="20"/>
                <w:color w:val="auto"/>
              </w:rPr>
            </w:pPr>
            <w:r>
              <w:rPr>
                <w:rFonts w:ascii="Arial" w:cs="Arial" w:eastAsia="Arial" w:hAnsi="Arial"/>
                <w:sz w:val="18"/>
                <w:szCs w:val="18"/>
                <w:color w:val="auto"/>
              </w:rPr>
              <w:t>The London Stock Exchange</w:t>
            </w:r>
          </w:p>
        </w:tc>
      </w:tr>
      <w:tr>
        <w:trPr>
          <w:trHeight w:val="222"/>
        </w:trPr>
        <w:tc>
          <w:tcPr>
            <w:tcW w:w="7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3000" w:type="dxa"/>
            <w:vAlign w:val="bottom"/>
          </w:tcPr>
          <w:p>
            <w:pPr>
              <w:spacing w:after="0"/>
              <w:rPr>
                <w:sz w:val="19"/>
                <w:szCs w:val="19"/>
                <w:color w:val="auto"/>
              </w:rPr>
            </w:pPr>
          </w:p>
        </w:tc>
        <w:tc>
          <w:tcPr>
            <w:tcW w:w="3380" w:type="dxa"/>
            <w:vAlign w:val="bottom"/>
          </w:tcPr>
          <w:p>
            <w:pPr>
              <w:spacing w:after="0"/>
              <w:rPr>
                <w:sz w:val="20"/>
                <w:szCs w:val="20"/>
                <w:color w:val="auto"/>
              </w:rPr>
            </w:pPr>
            <w:r>
              <w:rPr>
                <w:rFonts w:ascii="Arial" w:cs="Arial" w:eastAsia="Arial" w:hAnsi="Arial"/>
                <w:sz w:val="18"/>
                <w:szCs w:val="18"/>
                <w:color w:val="auto"/>
              </w:rPr>
              <w:t>SWX Swiss Exchange</w:t>
            </w:r>
          </w:p>
        </w:tc>
      </w:tr>
    </w:tbl>
    <w:p>
      <w:pPr>
        <w:spacing w:after="0" w:line="75"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Securities registered pursuant to Section 12(g) of the Act:</w:t>
      </w:r>
    </w:p>
    <w:p>
      <w:pPr>
        <w:spacing w:after="0" w:line="15"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None</w:t>
      </w:r>
    </w:p>
    <w:p>
      <w:pPr>
        <w:spacing w:after="0" w:line="70" w:lineRule="exact"/>
        <w:rPr>
          <w:sz w:val="24"/>
          <w:szCs w:val="24"/>
          <w:color w:val="auto"/>
        </w:rPr>
      </w:pPr>
    </w:p>
    <w:p>
      <w:pPr>
        <w:jc w:val="both"/>
        <w:ind w:right="40"/>
        <w:spacing w:after="0" w:line="243" w:lineRule="exact"/>
        <w:rPr>
          <w:sz w:val="20"/>
          <w:szCs w:val="20"/>
          <w:color w:val="auto"/>
        </w:rPr>
      </w:pPr>
      <w:r>
        <w:rPr>
          <w:rFonts w:ascii="Arial" w:cs="Arial" w:eastAsia="Arial" w:hAnsi="Arial"/>
          <w:sz w:val="18"/>
          <w:szCs w:val="18"/>
          <w:color w:val="auto"/>
        </w:rPr>
        <w:t xml:space="preserve">Indicate by check mark whether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22"/>
          <w:szCs w:val="22"/>
          <w:color w:val="auto"/>
          <w:vertAlign w:val="superscript"/>
        </w:rPr>
        <w:t>☐</w:t>
      </w:r>
    </w:p>
    <w:p>
      <w:pPr>
        <w:spacing w:after="0" w:line="2" w:lineRule="exact"/>
        <w:rPr>
          <w:sz w:val="24"/>
          <w:szCs w:val="24"/>
          <w:color w:val="auto"/>
        </w:rPr>
      </w:pPr>
    </w:p>
    <w:p>
      <w:pPr>
        <w:spacing w:after="0" w:line="276" w:lineRule="auto"/>
        <w:rPr>
          <w:sz w:val="20"/>
          <w:szCs w:val="20"/>
          <w:color w:val="auto"/>
        </w:rPr>
      </w:pPr>
      <w:r>
        <w:rPr>
          <w:rFonts w:ascii="Arial" w:cs="Arial" w:eastAsia="Arial" w:hAnsi="Arial"/>
          <w:sz w:val="16"/>
          <w:szCs w:val="16"/>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w:t>
      </w:r>
    </w:p>
    <w:p>
      <w:pPr>
        <w:spacing w:after="0" w:line="1" w:lineRule="exact"/>
        <w:rPr>
          <w:sz w:val="24"/>
          <w:szCs w:val="24"/>
          <w:color w:val="auto"/>
        </w:rPr>
      </w:pPr>
    </w:p>
    <w:p>
      <w:pPr>
        <w:ind w:left="220" w:hanging="212"/>
        <w:spacing w:after="0" w:line="207" w:lineRule="exact"/>
        <w:tabs>
          <w:tab w:leader="none" w:pos="220" w:val="left"/>
        </w:tabs>
        <w:numPr>
          <w:ilvl w:val="0"/>
          <w:numId w:val="3"/>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38" w:lineRule="exact"/>
        <w:rPr>
          <w:sz w:val="24"/>
          <w:szCs w:val="24"/>
          <w:color w:val="auto"/>
        </w:rPr>
      </w:pPr>
    </w:p>
    <w:p>
      <w:pPr>
        <w:spacing w:after="0" w:line="253" w:lineRule="exact"/>
        <w:rPr>
          <w:sz w:val="20"/>
          <w:szCs w:val="20"/>
          <w:color w:val="auto"/>
        </w:rPr>
      </w:pPr>
      <w:r>
        <w:rPr>
          <w:rFonts w:ascii="Arial" w:cs="Arial" w:eastAsia="Arial" w:hAnsi="Arial"/>
          <w:sz w:val="18"/>
          <w:szCs w:val="18"/>
          <w:color w:val="auto"/>
        </w:rPr>
        <w:t xml:space="preserve">Indicate by check mark whether the registrant is an accelerated filer (as defined in Rule 12b-2 of the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22"/>
          <w:szCs w:val="22"/>
          <w:color w:val="auto"/>
          <w:vertAlign w:val="superscript"/>
        </w:rPr>
        <w:t>☐</w:t>
      </w:r>
    </w:p>
    <w:p>
      <w:pPr>
        <w:spacing w:after="0" w:line="77" w:lineRule="exact"/>
        <w:rPr>
          <w:sz w:val="24"/>
          <w:szCs w:val="24"/>
          <w:color w:val="auto"/>
        </w:rPr>
      </w:pPr>
    </w:p>
    <w:p>
      <w:pPr>
        <w:spacing w:after="0"/>
        <w:rPr>
          <w:sz w:val="20"/>
          <w:szCs w:val="20"/>
          <w:color w:val="auto"/>
        </w:rPr>
      </w:pPr>
      <w:r>
        <w:rPr>
          <w:rFonts w:ascii="Arial" w:cs="Arial" w:eastAsia="Arial" w:hAnsi="Arial"/>
          <w:sz w:val="16"/>
          <w:szCs w:val="16"/>
          <w:color w:val="auto"/>
        </w:rPr>
        <w:t>As of June 30, 2003, the aggregate market value of the common stock of the registrant held by non-affiliates of the registrant was approximately $26.8 billion.</w:t>
      </w:r>
    </w:p>
    <w:p>
      <w:pPr>
        <w:spacing w:after="0" w:line="86" w:lineRule="exact"/>
        <w:rPr>
          <w:sz w:val="24"/>
          <w:szCs w:val="24"/>
          <w:color w:val="auto"/>
        </w:rPr>
      </w:pPr>
    </w:p>
    <w:p>
      <w:pPr>
        <w:spacing w:after="0"/>
        <w:rPr>
          <w:sz w:val="20"/>
          <w:szCs w:val="20"/>
          <w:color w:val="auto"/>
        </w:rPr>
      </w:pPr>
      <w:r>
        <w:rPr>
          <w:rFonts w:ascii="Arial" w:cs="Arial" w:eastAsia="Arial" w:hAnsi="Arial"/>
          <w:sz w:val="18"/>
          <w:szCs w:val="18"/>
          <w:color w:val="auto"/>
        </w:rPr>
        <w:t>As of February 25, 2004, Number of Shares of Common Stock Outstanding: 588,663,848.</w:t>
      </w:r>
    </w:p>
    <w:p>
      <w:pPr>
        <w:spacing w:after="0" w:line="71"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DOCUMENTS INCORPORATED BY REFERENCE</w:t>
      </w:r>
    </w:p>
    <w:p>
      <w:pPr>
        <w:spacing w:after="0" w:line="83" w:lineRule="exact"/>
        <w:rPr>
          <w:sz w:val="24"/>
          <w:szCs w:val="24"/>
          <w:color w:val="auto"/>
        </w:rPr>
      </w:pPr>
    </w:p>
    <w:p>
      <w:pPr>
        <w:ind w:right="320"/>
        <w:spacing w:after="0" w:line="268" w:lineRule="auto"/>
        <w:rPr>
          <w:sz w:val="20"/>
          <w:szCs w:val="20"/>
          <w:color w:val="auto"/>
        </w:rPr>
      </w:pPr>
      <w:r>
        <w:rPr>
          <w:rFonts w:ascii="Arial" w:cs="Arial" w:eastAsia="Arial" w:hAnsi="Arial"/>
          <w:sz w:val="18"/>
          <w:szCs w:val="18"/>
          <w:color w:val="auto"/>
        </w:rPr>
        <w:t>Portions of the following documents have been incorporated herein by reference into the Parts indicated: Definitive Proxy Statement for the Annual General Meeting of Stockholders to be held April 14, 2004 (“Proxy Statement”), Part III.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20"/>
          </w:cols>
          <w:pgMar w:left="240" w:top="230" w:right="3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934720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040" w:type="dxa"/>
            <w:vAlign w:val="bottom"/>
            <w:gridSpan w:val="12"/>
          </w:tcPr>
          <w:p>
            <w:pPr>
              <w:jc w:val="center"/>
              <w:ind w:right="3500"/>
              <w:spacing w:after="0"/>
              <w:rPr>
                <w:sz w:val="20"/>
                <w:szCs w:val="20"/>
                <w:color w:val="auto"/>
              </w:rPr>
            </w:pPr>
            <w:r>
              <w:rPr>
                <w:rFonts w:ascii="Arial" w:cs="Arial" w:eastAsia="Arial" w:hAnsi="Arial"/>
                <w:sz w:val="18"/>
                <w:szCs w:val="18"/>
                <w:color w:val="auto"/>
                <w:w w:val="95"/>
              </w:rPr>
              <w:t>SCHLUMBERGER LIMITED</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4"/>
        </w:trPr>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00" w:type="dxa"/>
            <w:vAlign w:val="bottom"/>
            <w:gridSpan w:val="11"/>
          </w:tcPr>
          <w:p>
            <w:pPr>
              <w:jc w:val="center"/>
              <w:ind w:right="4520"/>
              <w:spacing w:after="0"/>
              <w:rPr>
                <w:sz w:val="20"/>
                <w:szCs w:val="20"/>
                <w:color w:val="auto"/>
              </w:rPr>
            </w:pPr>
            <w:r>
              <w:rPr>
                <w:rFonts w:ascii="Arial" w:cs="Arial" w:eastAsia="Arial" w:hAnsi="Arial"/>
                <w:sz w:val="18"/>
                <w:szCs w:val="18"/>
                <w:color w:val="auto"/>
                <w:w w:val="87"/>
              </w:rPr>
              <w:t>Table of Contents</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00" w:type="dxa"/>
            <w:vAlign w:val="bottom"/>
            <w:gridSpan w:val="11"/>
          </w:tcPr>
          <w:p>
            <w:pPr>
              <w:jc w:val="center"/>
              <w:ind w:right="4520"/>
              <w:spacing w:after="0"/>
              <w:rPr>
                <w:sz w:val="20"/>
                <w:szCs w:val="20"/>
                <w:color w:val="auto"/>
              </w:rPr>
            </w:pPr>
            <w:r>
              <w:rPr>
                <w:rFonts w:ascii="Arial" w:cs="Arial" w:eastAsia="Arial" w:hAnsi="Arial"/>
                <w:sz w:val="24"/>
                <w:szCs w:val="24"/>
                <w:b w:val="1"/>
                <w:bCs w:val="1"/>
                <w:color w:val="auto"/>
                <w:w w:val="97"/>
              </w:rPr>
              <w:t>Form 10-K</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58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5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44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95"/>
        </w:trPr>
        <w:tc>
          <w:tcPr>
            <w:tcW w:w="580" w:type="dxa"/>
            <w:vAlign w:val="bottom"/>
            <w:vMerge w:val="restart"/>
          </w:tcPr>
          <w:p>
            <w:pPr>
              <w:spacing w:after="0"/>
              <w:rPr>
                <w:rFonts w:ascii="Arial" w:cs="Arial" w:eastAsia="Arial" w:hAnsi="Arial"/>
                <w:sz w:val="18"/>
                <w:szCs w:val="18"/>
                <w:b w:val="1"/>
                <w:bCs w:val="1"/>
                <w:color w:val="0000EE"/>
                <w:w w:val="94"/>
              </w:rPr>
            </w:pPr>
            <w:hyperlink w:anchor="page3">
              <w:r>
                <w:rPr>
                  <w:rFonts w:ascii="Arial" w:cs="Arial" w:eastAsia="Arial" w:hAnsi="Arial"/>
                  <w:sz w:val="18"/>
                  <w:szCs w:val="18"/>
                  <w:b w:val="1"/>
                  <w:bCs w:val="1"/>
                  <w:color w:val="0000EE"/>
                  <w:w w:val="94"/>
                </w:rPr>
                <w:t>PART I</w:t>
              </w:r>
            </w:hyperlink>
          </w:p>
        </w:tc>
        <w:tc>
          <w:tcPr>
            <w:tcW w:w="1600" w:type="dxa"/>
            <w:vAlign w:val="bottom"/>
            <w:gridSpan w:val="4"/>
            <w:vMerge w:val="restart"/>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340" w:type="dxa"/>
            <w:vAlign w:val="bottom"/>
          </w:tcPr>
          <w:p>
            <w:pPr>
              <w:spacing w:after="0"/>
              <w:rPr>
                <w:sz w:val="8"/>
                <w:szCs w:val="8"/>
                <w:color w:val="auto"/>
              </w:rPr>
            </w:pPr>
          </w:p>
        </w:tc>
        <w:tc>
          <w:tcPr>
            <w:tcW w:w="38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90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1680" w:type="dxa"/>
            <w:vAlign w:val="bottom"/>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82"/>
        </w:trPr>
        <w:tc>
          <w:tcPr>
            <w:tcW w:w="580" w:type="dxa"/>
            <w:vAlign w:val="bottom"/>
            <w:tcBorders>
              <w:bottom w:val="single" w:sz="8" w:color="0000EE"/>
            </w:tcBorders>
            <w:vMerge w:val="continue"/>
          </w:tcPr>
          <w:p>
            <w:pPr>
              <w:spacing w:after="0"/>
              <w:rPr>
                <w:sz w:val="24"/>
                <w:szCs w:val="24"/>
                <w:color w:val="auto"/>
              </w:rPr>
            </w:pPr>
          </w:p>
        </w:tc>
        <w:tc>
          <w:tcPr>
            <w:tcW w:w="1600" w:type="dxa"/>
            <w:vAlign w:val="bottom"/>
            <w:gridSpan w:val="4"/>
            <w:vMerge w:val="continue"/>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180" w:type="dxa"/>
            <w:vAlign w:val="bottom"/>
            <w:gridSpan w:val="5"/>
          </w:tcPr>
          <w:p>
            <w:pPr>
              <w:spacing w:after="0" w:line="196" w:lineRule="exact"/>
              <w:rPr>
                <w:sz w:val="20"/>
                <w:szCs w:val="20"/>
                <w:color w:val="auto"/>
              </w:rPr>
            </w:pPr>
            <w:r>
              <w:rPr>
                <w:rFonts w:ascii="Arial" w:cs="Arial" w:eastAsia="Arial" w:hAnsi="Arial"/>
                <w:sz w:val="18"/>
                <w:szCs w:val="18"/>
                <w:color w:val="auto"/>
              </w:rPr>
              <w:t>Item 1.</w:t>
            </w:r>
          </w:p>
        </w:tc>
        <w:tc>
          <w:tcPr>
            <w:tcW w:w="8800" w:type="dxa"/>
            <w:vAlign w:val="bottom"/>
            <w:gridSpan w:val="20"/>
          </w:tcPr>
          <w:p>
            <w:pPr>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Business</w:t>
              </w:r>
            </w:hyperlink>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6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180" w:type="dxa"/>
            <w:vAlign w:val="bottom"/>
            <w:gridSpan w:val="5"/>
          </w:tcPr>
          <w:p>
            <w:pPr>
              <w:spacing w:after="0" w:line="196" w:lineRule="exact"/>
              <w:rPr>
                <w:sz w:val="20"/>
                <w:szCs w:val="20"/>
                <w:color w:val="auto"/>
              </w:rPr>
            </w:pPr>
            <w:r>
              <w:rPr>
                <w:rFonts w:ascii="Arial" w:cs="Arial" w:eastAsia="Arial" w:hAnsi="Arial"/>
                <w:sz w:val="18"/>
                <w:szCs w:val="18"/>
                <w:color w:val="auto"/>
              </w:rPr>
              <w:t>Item 2.</w:t>
            </w:r>
          </w:p>
        </w:tc>
        <w:tc>
          <w:tcPr>
            <w:tcW w:w="720" w:type="dxa"/>
            <w:vAlign w:val="bottom"/>
            <w:tcBorders>
              <w:bottom w:val="single" w:sz="8" w:color="0000EE"/>
            </w:tcBorders>
            <w:gridSpan w:val="2"/>
          </w:tcPr>
          <w:p>
            <w:pPr>
              <w:spacing w:after="0" w:line="196" w:lineRule="exact"/>
              <w:rPr>
                <w:rFonts w:ascii="Arial" w:cs="Arial" w:eastAsia="Arial" w:hAnsi="Arial"/>
                <w:sz w:val="18"/>
                <w:szCs w:val="18"/>
                <w:color w:val="0000EE"/>
                <w:w w:val="85"/>
              </w:rPr>
            </w:pPr>
            <w:hyperlink w:anchor="page7">
              <w:r>
                <w:rPr>
                  <w:rFonts w:ascii="Arial" w:cs="Arial" w:eastAsia="Arial" w:hAnsi="Arial"/>
                  <w:sz w:val="18"/>
                  <w:szCs w:val="18"/>
                  <w:color w:val="0000EE"/>
                  <w:w w:val="85"/>
                </w:rPr>
                <w:t>Properties</w:t>
              </w:r>
            </w:hyperlink>
          </w:p>
        </w:tc>
        <w:tc>
          <w:tcPr>
            <w:tcW w:w="8080" w:type="dxa"/>
            <w:vAlign w:val="bottom"/>
            <w:gridSpan w:val="18"/>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96"/>
        </w:trPr>
        <w:tc>
          <w:tcPr>
            <w:tcW w:w="2180" w:type="dxa"/>
            <w:vAlign w:val="bottom"/>
            <w:gridSpan w:val="5"/>
          </w:tcPr>
          <w:p>
            <w:pPr>
              <w:spacing w:after="0" w:line="196" w:lineRule="exact"/>
              <w:rPr>
                <w:sz w:val="20"/>
                <w:szCs w:val="20"/>
                <w:color w:val="auto"/>
              </w:rPr>
            </w:pPr>
            <w:r>
              <w:rPr>
                <w:rFonts w:ascii="Arial" w:cs="Arial" w:eastAsia="Arial" w:hAnsi="Arial"/>
                <w:sz w:val="18"/>
                <w:szCs w:val="18"/>
                <w:color w:val="auto"/>
              </w:rPr>
              <w:t>Item 3.</w:t>
            </w:r>
          </w:p>
        </w:tc>
        <w:tc>
          <w:tcPr>
            <w:tcW w:w="8800" w:type="dxa"/>
            <w:vAlign w:val="bottom"/>
            <w:gridSpan w:val="20"/>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Legal Proceedings</w:t>
              </w:r>
            </w:hyperlink>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6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180" w:type="dxa"/>
            <w:vAlign w:val="bottom"/>
            <w:gridSpan w:val="5"/>
          </w:tcPr>
          <w:p>
            <w:pPr>
              <w:spacing w:after="0" w:line="196" w:lineRule="exact"/>
              <w:rPr>
                <w:sz w:val="20"/>
                <w:szCs w:val="20"/>
                <w:color w:val="auto"/>
              </w:rPr>
            </w:pPr>
            <w:r>
              <w:rPr>
                <w:rFonts w:ascii="Arial" w:cs="Arial" w:eastAsia="Arial" w:hAnsi="Arial"/>
                <w:sz w:val="18"/>
                <w:szCs w:val="18"/>
                <w:color w:val="auto"/>
              </w:rPr>
              <w:t>Item 4.</w:t>
            </w:r>
          </w:p>
        </w:tc>
        <w:tc>
          <w:tcPr>
            <w:tcW w:w="8800" w:type="dxa"/>
            <w:vAlign w:val="bottom"/>
            <w:gridSpan w:val="20"/>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Submission of Matters to a Vote of Security Holders</w:t>
              </w:r>
            </w:hyperlink>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412"/>
        </w:trPr>
        <w:tc>
          <w:tcPr>
            <w:tcW w:w="2180" w:type="dxa"/>
            <w:vAlign w:val="bottom"/>
            <w:gridSpan w:val="5"/>
          </w:tcPr>
          <w:p>
            <w:pPr>
              <w:spacing w:after="0"/>
              <w:rPr>
                <w:rFonts w:ascii="Arial" w:cs="Arial" w:eastAsia="Arial" w:hAnsi="Arial"/>
                <w:sz w:val="18"/>
                <w:szCs w:val="18"/>
                <w:b w:val="1"/>
                <w:bCs w:val="1"/>
                <w:color w:val="0000EE"/>
              </w:rPr>
            </w:pPr>
            <w:hyperlink w:anchor="page10">
              <w:r>
                <w:rPr>
                  <w:rFonts w:ascii="Arial" w:cs="Arial" w:eastAsia="Arial" w:hAnsi="Arial"/>
                  <w:sz w:val="18"/>
                  <w:szCs w:val="18"/>
                  <w:b w:val="1"/>
                  <w:bCs w:val="1"/>
                  <w:color w:val="0000EE"/>
                </w:rPr>
                <w:t>PART II</w:t>
              </w:r>
            </w:hyperlink>
          </w:p>
        </w:tc>
        <w:tc>
          <w:tcPr>
            <w:tcW w:w="6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4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40" w:type="dxa"/>
            <w:vAlign w:val="bottom"/>
            <w:tcBorders>
              <w:top w:val="single" w:sz="8" w:color="0000EE"/>
            </w:tcBorders>
            <w:gridSpan w:val="2"/>
          </w:tcPr>
          <w:p>
            <w:pPr>
              <w:spacing w:after="0" w:line="196" w:lineRule="exact"/>
              <w:rPr>
                <w:sz w:val="20"/>
                <w:szCs w:val="20"/>
                <w:color w:val="auto"/>
              </w:rPr>
            </w:pPr>
            <w:r>
              <w:rPr>
                <w:rFonts w:ascii="Arial" w:cs="Arial" w:eastAsia="Arial" w:hAnsi="Arial"/>
                <w:sz w:val="18"/>
                <w:szCs w:val="18"/>
                <w:color w:val="auto"/>
              </w:rPr>
              <w:t>Item 5.</w:t>
            </w:r>
          </w:p>
        </w:tc>
        <w:tc>
          <w:tcPr>
            <w:tcW w:w="1540" w:type="dxa"/>
            <w:vAlign w:val="bottom"/>
            <w:gridSpan w:val="3"/>
          </w:tcPr>
          <w:p>
            <w:pPr>
              <w:spacing w:after="0"/>
              <w:rPr>
                <w:sz w:val="17"/>
                <w:szCs w:val="17"/>
                <w:color w:val="auto"/>
              </w:rPr>
            </w:pPr>
          </w:p>
        </w:tc>
        <w:tc>
          <w:tcPr>
            <w:tcW w:w="5400" w:type="dxa"/>
            <w:vAlign w:val="bottom"/>
            <w:tcBorders>
              <w:bottom w:val="single" w:sz="8" w:color="0000EE"/>
            </w:tcBorders>
            <w:gridSpan w:val="16"/>
          </w:tcPr>
          <w:p>
            <w:pPr>
              <w:spacing w:after="0" w:line="196" w:lineRule="exact"/>
              <w:rPr>
                <w:rFonts w:ascii="Arial" w:cs="Arial" w:eastAsia="Arial" w:hAnsi="Arial"/>
                <w:sz w:val="18"/>
                <w:szCs w:val="18"/>
                <w:color w:val="0000EE"/>
                <w:w w:val="88"/>
              </w:rPr>
            </w:pPr>
            <w:hyperlink w:anchor="page10">
              <w:r>
                <w:rPr>
                  <w:rFonts w:ascii="Arial" w:cs="Arial" w:eastAsia="Arial" w:hAnsi="Arial"/>
                  <w:sz w:val="18"/>
                  <w:szCs w:val="18"/>
                  <w:color w:val="0000EE"/>
                  <w:w w:val="88"/>
                </w:rPr>
                <w:t>Market for Schlumberger’s Common Stock and Related Stockholder Matters</w:t>
              </w:r>
            </w:hyperlink>
          </w:p>
        </w:tc>
        <w:tc>
          <w:tcPr>
            <w:tcW w:w="3400" w:type="dxa"/>
            <w:vAlign w:val="bottom"/>
            <w:gridSpan w:val="4"/>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196"/>
        </w:trPr>
        <w:tc>
          <w:tcPr>
            <w:tcW w:w="2180" w:type="dxa"/>
            <w:vAlign w:val="bottom"/>
            <w:gridSpan w:val="5"/>
          </w:tcPr>
          <w:p>
            <w:pPr>
              <w:spacing w:after="0" w:line="196" w:lineRule="exact"/>
              <w:rPr>
                <w:sz w:val="20"/>
                <w:szCs w:val="20"/>
                <w:color w:val="auto"/>
              </w:rPr>
            </w:pPr>
            <w:r>
              <w:rPr>
                <w:rFonts w:ascii="Arial" w:cs="Arial" w:eastAsia="Arial" w:hAnsi="Arial"/>
                <w:sz w:val="18"/>
                <w:szCs w:val="18"/>
                <w:color w:val="auto"/>
              </w:rPr>
              <w:t>Item 6.</w:t>
            </w:r>
          </w:p>
        </w:tc>
        <w:tc>
          <w:tcPr>
            <w:tcW w:w="1680" w:type="dxa"/>
            <w:vAlign w:val="bottom"/>
            <w:tcBorders>
              <w:bottom w:val="single" w:sz="8" w:color="0000EE"/>
            </w:tcBorders>
            <w:gridSpan w:val="6"/>
          </w:tcPr>
          <w:p>
            <w:pPr>
              <w:spacing w:after="0" w:line="196" w:lineRule="exact"/>
              <w:rPr>
                <w:rFonts w:ascii="Arial" w:cs="Arial" w:eastAsia="Arial" w:hAnsi="Arial"/>
                <w:sz w:val="18"/>
                <w:szCs w:val="18"/>
                <w:color w:val="0000EE"/>
                <w:w w:val="87"/>
              </w:rPr>
            </w:pPr>
            <w:hyperlink w:anchor="page11">
              <w:r>
                <w:rPr>
                  <w:rFonts w:ascii="Arial" w:cs="Arial" w:eastAsia="Arial" w:hAnsi="Arial"/>
                  <w:sz w:val="18"/>
                  <w:szCs w:val="18"/>
                  <w:color w:val="0000EE"/>
                  <w:w w:val="87"/>
                </w:rPr>
                <w:t>Selected Financial Data</w:t>
              </w:r>
            </w:hyperlink>
          </w:p>
        </w:tc>
        <w:tc>
          <w:tcPr>
            <w:tcW w:w="7120" w:type="dxa"/>
            <w:vAlign w:val="bottom"/>
            <w:gridSpan w:val="14"/>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196"/>
        </w:trPr>
        <w:tc>
          <w:tcPr>
            <w:tcW w:w="2180" w:type="dxa"/>
            <w:vAlign w:val="bottom"/>
            <w:gridSpan w:val="5"/>
          </w:tcPr>
          <w:p>
            <w:pPr>
              <w:spacing w:after="0" w:line="196" w:lineRule="exact"/>
              <w:rPr>
                <w:sz w:val="20"/>
                <w:szCs w:val="20"/>
                <w:color w:val="auto"/>
              </w:rPr>
            </w:pPr>
            <w:r>
              <w:rPr>
                <w:rFonts w:ascii="Arial" w:cs="Arial" w:eastAsia="Arial" w:hAnsi="Arial"/>
                <w:sz w:val="18"/>
                <w:szCs w:val="18"/>
                <w:color w:val="auto"/>
              </w:rPr>
              <w:t>Item 7.</w:t>
            </w:r>
          </w:p>
        </w:tc>
        <w:tc>
          <w:tcPr>
            <w:tcW w:w="8800" w:type="dxa"/>
            <w:vAlign w:val="bottom"/>
            <w:gridSpan w:val="20"/>
          </w:tcPr>
          <w:p>
            <w:pPr>
              <w:spacing w:after="0" w:line="196" w:lineRule="exact"/>
              <w:rPr>
                <w:rFonts w:ascii="Arial" w:cs="Arial" w:eastAsia="Arial" w:hAnsi="Arial"/>
                <w:sz w:val="18"/>
                <w:szCs w:val="18"/>
                <w:color w:val="0000EE"/>
              </w:rPr>
            </w:pPr>
            <w:hyperlink w:anchor="page13">
              <w:r>
                <w:rPr>
                  <w:rFonts w:ascii="Arial" w:cs="Arial" w:eastAsia="Arial" w:hAnsi="Arial"/>
                  <w:sz w:val="18"/>
                  <w:szCs w:val="18"/>
                  <w:color w:val="0000EE"/>
                </w:rPr>
                <w:t>Management’s Discussion and Analysis of Financial Condition and Results of Operations</w:t>
              </w:r>
            </w:hyperlink>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196"/>
        </w:trPr>
        <w:tc>
          <w:tcPr>
            <w:tcW w:w="2180" w:type="dxa"/>
            <w:vAlign w:val="bottom"/>
            <w:gridSpan w:val="5"/>
          </w:tcPr>
          <w:p>
            <w:pPr>
              <w:spacing w:after="0" w:line="196" w:lineRule="exact"/>
              <w:rPr>
                <w:sz w:val="20"/>
                <w:szCs w:val="20"/>
                <w:color w:val="auto"/>
              </w:rPr>
            </w:pPr>
            <w:r>
              <w:rPr>
                <w:rFonts w:ascii="Arial" w:cs="Arial" w:eastAsia="Arial" w:hAnsi="Arial"/>
                <w:sz w:val="18"/>
                <w:szCs w:val="18"/>
                <w:color w:val="auto"/>
              </w:rPr>
              <w:t>Item 7A.</w:t>
            </w:r>
          </w:p>
        </w:tc>
        <w:tc>
          <w:tcPr>
            <w:tcW w:w="4260" w:type="dxa"/>
            <w:vAlign w:val="bottom"/>
            <w:tcBorders>
              <w:top w:val="single" w:sz="8" w:color="0000EE"/>
              <w:bottom w:val="single" w:sz="8" w:color="0000EE"/>
            </w:tcBorders>
            <w:gridSpan w:val="14"/>
          </w:tcPr>
          <w:p>
            <w:pPr>
              <w:spacing w:after="0" w:line="196" w:lineRule="exact"/>
              <w:rPr>
                <w:rFonts w:ascii="Arial" w:cs="Arial" w:eastAsia="Arial" w:hAnsi="Arial"/>
                <w:sz w:val="18"/>
                <w:szCs w:val="18"/>
                <w:color w:val="0000EE"/>
                <w:w w:val="89"/>
              </w:rPr>
            </w:pPr>
            <w:hyperlink w:anchor="page34">
              <w:r>
                <w:rPr>
                  <w:rFonts w:ascii="Arial" w:cs="Arial" w:eastAsia="Arial" w:hAnsi="Arial"/>
                  <w:sz w:val="18"/>
                  <w:szCs w:val="18"/>
                  <w:color w:val="0000EE"/>
                  <w:w w:val="89"/>
                </w:rPr>
                <w:t>Quantitative and Qualitative Disclosures About Market Risk</w:t>
              </w:r>
            </w:hyperlink>
          </w:p>
        </w:tc>
        <w:tc>
          <w:tcPr>
            <w:tcW w:w="2040" w:type="dxa"/>
            <w:vAlign w:val="bottom"/>
            <w:tcBorders>
              <w:top w:val="single" w:sz="8" w:color="0000EE"/>
            </w:tcBorders>
            <w:gridSpan w:val="3"/>
          </w:tcPr>
          <w:p>
            <w:pPr>
              <w:spacing w:after="0"/>
              <w:rPr>
                <w:sz w:val="17"/>
                <w:szCs w:val="17"/>
                <w:color w:val="auto"/>
              </w:rPr>
            </w:pPr>
          </w:p>
        </w:tc>
        <w:tc>
          <w:tcPr>
            <w:tcW w:w="2500" w:type="dxa"/>
            <w:vAlign w:val="bottom"/>
            <w:gridSpan w:val="3"/>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196"/>
        </w:trPr>
        <w:tc>
          <w:tcPr>
            <w:tcW w:w="2180" w:type="dxa"/>
            <w:vAlign w:val="bottom"/>
            <w:gridSpan w:val="5"/>
          </w:tcPr>
          <w:p>
            <w:pPr>
              <w:spacing w:after="0" w:line="196" w:lineRule="exact"/>
              <w:rPr>
                <w:sz w:val="20"/>
                <w:szCs w:val="20"/>
                <w:color w:val="auto"/>
              </w:rPr>
            </w:pPr>
            <w:r>
              <w:rPr>
                <w:rFonts w:ascii="Arial" w:cs="Arial" w:eastAsia="Arial" w:hAnsi="Arial"/>
                <w:sz w:val="18"/>
                <w:szCs w:val="18"/>
                <w:color w:val="auto"/>
              </w:rPr>
              <w:t>Item 8.</w:t>
            </w:r>
          </w:p>
        </w:tc>
        <w:tc>
          <w:tcPr>
            <w:tcW w:w="3260" w:type="dxa"/>
            <w:vAlign w:val="bottom"/>
            <w:tcBorders>
              <w:bottom w:val="single" w:sz="8" w:color="0000EE"/>
            </w:tcBorders>
            <w:gridSpan w:val="10"/>
          </w:tcPr>
          <w:p>
            <w:pPr>
              <w:spacing w:after="0" w:line="196" w:lineRule="exact"/>
              <w:rPr>
                <w:rFonts w:ascii="Arial" w:cs="Arial" w:eastAsia="Arial" w:hAnsi="Arial"/>
                <w:sz w:val="18"/>
                <w:szCs w:val="18"/>
                <w:color w:val="0000EE"/>
                <w:w w:val="87"/>
              </w:rPr>
            </w:pPr>
            <w:hyperlink w:anchor="page35">
              <w:r>
                <w:rPr>
                  <w:rFonts w:ascii="Arial" w:cs="Arial" w:eastAsia="Arial" w:hAnsi="Arial"/>
                  <w:sz w:val="18"/>
                  <w:szCs w:val="18"/>
                  <w:color w:val="0000EE"/>
                  <w:w w:val="87"/>
                </w:rPr>
                <w:t>Financial Statements and Supplementary Data</w:t>
              </w:r>
            </w:hyperlink>
          </w:p>
        </w:tc>
        <w:tc>
          <w:tcPr>
            <w:tcW w:w="5540" w:type="dxa"/>
            <w:vAlign w:val="bottom"/>
            <w:gridSpan w:val="10"/>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196"/>
        </w:trPr>
        <w:tc>
          <w:tcPr>
            <w:tcW w:w="2180" w:type="dxa"/>
            <w:vAlign w:val="bottom"/>
            <w:gridSpan w:val="5"/>
          </w:tcPr>
          <w:p>
            <w:pPr>
              <w:spacing w:after="0" w:line="196" w:lineRule="exact"/>
              <w:rPr>
                <w:sz w:val="20"/>
                <w:szCs w:val="20"/>
                <w:color w:val="auto"/>
              </w:rPr>
            </w:pPr>
            <w:r>
              <w:rPr>
                <w:rFonts w:ascii="Arial" w:cs="Arial" w:eastAsia="Arial" w:hAnsi="Arial"/>
                <w:sz w:val="18"/>
                <w:szCs w:val="18"/>
                <w:color w:val="auto"/>
              </w:rPr>
              <w:t>Item 9.</w:t>
            </w:r>
          </w:p>
        </w:tc>
        <w:tc>
          <w:tcPr>
            <w:tcW w:w="8800" w:type="dxa"/>
            <w:vAlign w:val="bottom"/>
            <w:gridSpan w:val="20"/>
          </w:tcPr>
          <w:p>
            <w:pPr>
              <w:spacing w:after="0" w:line="196" w:lineRule="exact"/>
              <w:rPr>
                <w:rFonts w:ascii="Arial" w:cs="Arial" w:eastAsia="Arial" w:hAnsi="Arial"/>
                <w:sz w:val="18"/>
                <w:szCs w:val="18"/>
                <w:color w:val="0000EE"/>
              </w:rPr>
            </w:pPr>
            <w:hyperlink w:anchor="page71">
              <w:r>
                <w:rPr>
                  <w:rFonts w:ascii="Arial" w:cs="Arial" w:eastAsia="Arial" w:hAnsi="Arial"/>
                  <w:sz w:val="18"/>
                  <w:szCs w:val="18"/>
                  <w:color w:val="0000EE"/>
                </w:rPr>
                <w:t>Changes in and Disagreements with Accountants on Accounting and Financial Disclosures</w:t>
              </w:r>
            </w:hyperlink>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196"/>
        </w:trPr>
        <w:tc>
          <w:tcPr>
            <w:tcW w:w="2180" w:type="dxa"/>
            <w:vAlign w:val="bottom"/>
            <w:gridSpan w:val="5"/>
          </w:tcPr>
          <w:p>
            <w:pPr>
              <w:spacing w:after="0" w:line="196" w:lineRule="exact"/>
              <w:rPr>
                <w:sz w:val="20"/>
                <w:szCs w:val="20"/>
                <w:color w:val="auto"/>
              </w:rPr>
            </w:pPr>
            <w:r>
              <w:rPr>
                <w:rFonts w:ascii="Arial" w:cs="Arial" w:eastAsia="Arial" w:hAnsi="Arial"/>
                <w:sz w:val="18"/>
                <w:szCs w:val="18"/>
                <w:color w:val="auto"/>
              </w:rPr>
              <w:t>Item 9A.</w:t>
            </w:r>
          </w:p>
        </w:tc>
        <w:tc>
          <w:tcPr>
            <w:tcW w:w="6380" w:type="dxa"/>
            <w:vAlign w:val="bottom"/>
            <w:tcBorders>
              <w:top w:val="single" w:sz="8" w:color="0000EE"/>
            </w:tcBorders>
            <w:gridSpan w:val="18"/>
          </w:tcPr>
          <w:p>
            <w:pPr>
              <w:spacing w:after="0" w:line="196" w:lineRule="exact"/>
              <w:rPr>
                <w:rFonts w:ascii="Arial" w:cs="Arial" w:eastAsia="Arial" w:hAnsi="Arial"/>
                <w:sz w:val="18"/>
                <w:szCs w:val="18"/>
                <w:color w:val="0000EE"/>
              </w:rPr>
            </w:pPr>
            <w:hyperlink w:anchor="page71">
              <w:r>
                <w:rPr>
                  <w:rFonts w:ascii="Arial" w:cs="Arial" w:eastAsia="Arial" w:hAnsi="Arial"/>
                  <w:sz w:val="18"/>
                  <w:szCs w:val="18"/>
                  <w:color w:val="0000EE"/>
                </w:rPr>
                <w:t>Controls and Procedures</w:t>
              </w:r>
            </w:hyperlink>
          </w:p>
        </w:tc>
        <w:tc>
          <w:tcPr>
            <w:tcW w:w="2420" w:type="dxa"/>
            <w:vAlign w:val="bottom"/>
            <w:gridSpan w:val="2"/>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412"/>
        </w:trPr>
        <w:tc>
          <w:tcPr>
            <w:tcW w:w="720" w:type="dxa"/>
            <w:vAlign w:val="bottom"/>
            <w:tcBorders>
              <w:bottom w:val="single" w:sz="8" w:color="0000EE"/>
            </w:tcBorders>
            <w:gridSpan w:val="4"/>
          </w:tcPr>
          <w:p>
            <w:pPr>
              <w:spacing w:after="0"/>
              <w:rPr>
                <w:rFonts w:ascii="Arial" w:cs="Arial" w:eastAsia="Arial" w:hAnsi="Arial"/>
                <w:sz w:val="18"/>
                <w:szCs w:val="18"/>
                <w:b w:val="1"/>
                <w:bCs w:val="1"/>
                <w:color w:val="0000EE"/>
              </w:rPr>
            </w:pPr>
            <w:hyperlink w:anchor="page72">
              <w:r>
                <w:rPr>
                  <w:rFonts w:ascii="Arial" w:cs="Arial" w:eastAsia="Arial" w:hAnsi="Arial"/>
                  <w:sz w:val="18"/>
                  <w:szCs w:val="18"/>
                  <w:b w:val="1"/>
                  <w:bCs w:val="1"/>
                  <w:color w:val="0000EE"/>
                </w:rPr>
                <w:t>PART III</w:t>
              </w:r>
            </w:hyperlink>
          </w:p>
        </w:tc>
        <w:tc>
          <w:tcPr>
            <w:tcW w:w="1460" w:type="dxa"/>
            <w:vAlign w:val="bottom"/>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180" w:type="dxa"/>
            <w:vAlign w:val="bottom"/>
            <w:gridSpan w:val="5"/>
          </w:tcPr>
          <w:p>
            <w:pPr>
              <w:spacing w:after="0" w:line="196" w:lineRule="exact"/>
              <w:rPr>
                <w:sz w:val="20"/>
                <w:szCs w:val="20"/>
                <w:color w:val="auto"/>
              </w:rPr>
            </w:pPr>
            <w:r>
              <w:rPr>
                <w:rFonts w:ascii="Arial" w:cs="Arial" w:eastAsia="Arial" w:hAnsi="Arial"/>
                <w:sz w:val="18"/>
                <w:szCs w:val="18"/>
                <w:color w:val="auto"/>
              </w:rPr>
              <w:t>Item 10.</w:t>
            </w:r>
          </w:p>
        </w:tc>
        <w:tc>
          <w:tcPr>
            <w:tcW w:w="3540" w:type="dxa"/>
            <w:vAlign w:val="bottom"/>
            <w:tcBorders>
              <w:bottom w:val="single" w:sz="8" w:color="0000EE"/>
            </w:tcBorders>
            <w:gridSpan w:val="12"/>
          </w:tcPr>
          <w:p>
            <w:pPr>
              <w:spacing w:after="0" w:line="196" w:lineRule="exact"/>
              <w:rPr>
                <w:rFonts w:ascii="Arial" w:cs="Arial" w:eastAsia="Arial" w:hAnsi="Arial"/>
                <w:sz w:val="18"/>
                <w:szCs w:val="18"/>
                <w:color w:val="0000EE"/>
                <w:w w:val="89"/>
              </w:rPr>
            </w:pPr>
            <w:hyperlink w:anchor="page72">
              <w:r>
                <w:rPr>
                  <w:rFonts w:ascii="Arial" w:cs="Arial" w:eastAsia="Arial" w:hAnsi="Arial"/>
                  <w:sz w:val="18"/>
                  <w:szCs w:val="18"/>
                  <w:color w:val="0000EE"/>
                  <w:w w:val="89"/>
                </w:rPr>
                <w:t>Directors and Executive Officers of Schlumberger</w:t>
              </w:r>
            </w:hyperlink>
          </w:p>
        </w:tc>
        <w:tc>
          <w:tcPr>
            <w:tcW w:w="5260" w:type="dxa"/>
            <w:vAlign w:val="bottom"/>
            <w:gridSpan w:val="8"/>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196"/>
        </w:trPr>
        <w:tc>
          <w:tcPr>
            <w:tcW w:w="2180" w:type="dxa"/>
            <w:vAlign w:val="bottom"/>
            <w:gridSpan w:val="5"/>
          </w:tcPr>
          <w:p>
            <w:pPr>
              <w:spacing w:after="0" w:line="196" w:lineRule="exact"/>
              <w:rPr>
                <w:sz w:val="20"/>
                <w:szCs w:val="20"/>
                <w:color w:val="auto"/>
              </w:rPr>
            </w:pPr>
            <w:r>
              <w:rPr>
                <w:rFonts w:ascii="Arial" w:cs="Arial" w:eastAsia="Arial" w:hAnsi="Arial"/>
                <w:sz w:val="18"/>
                <w:szCs w:val="18"/>
                <w:color w:val="auto"/>
              </w:rPr>
              <w:t>Item 11.</w:t>
            </w:r>
          </w:p>
        </w:tc>
        <w:tc>
          <w:tcPr>
            <w:tcW w:w="8800" w:type="dxa"/>
            <w:vAlign w:val="bottom"/>
            <w:gridSpan w:val="20"/>
          </w:tcPr>
          <w:p>
            <w:pPr>
              <w:spacing w:after="0" w:line="196" w:lineRule="exact"/>
              <w:rPr>
                <w:rFonts w:ascii="Arial" w:cs="Arial" w:eastAsia="Arial" w:hAnsi="Arial"/>
                <w:sz w:val="18"/>
                <w:szCs w:val="18"/>
                <w:color w:val="0000EE"/>
              </w:rPr>
            </w:pPr>
            <w:hyperlink w:anchor="page72">
              <w:r>
                <w:rPr>
                  <w:rFonts w:ascii="Arial" w:cs="Arial" w:eastAsia="Arial" w:hAnsi="Arial"/>
                  <w:sz w:val="18"/>
                  <w:szCs w:val="18"/>
                  <w:color w:val="0000EE"/>
                </w:rPr>
                <w:t>Executive Compensation</w:t>
              </w:r>
            </w:hyperlink>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0"/>
        </w:trPr>
        <w:tc>
          <w:tcPr>
            <w:tcW w:w="700" w:type="dxa"/>
            <w:vAlign w:val="bottom"/>
            <w:gridSpan w:val="3"/>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0" w:type="dxa"/>
            <w:vAlign w:val="bottom"/>
            <w:gridSpan w:val="4"/>
            <w:shd w:val="clear" w:color="auto" w:fill="0000EE"/>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340" w:type="dxa"/>
            <w:vAlign w:val="bottom"/>
            <w:gridSpan w:val="4"/>
          </w:tcPr>
          <w:p>
            <w:pPr>
              <w:spacing w:after="0" w:line="20" w:lineRule="exact"/>
              <w:rPr>
                <w:sz w:val="1"/>
                <w:szCs w:val="1"/>
                <w:color w:val="auto"/>
              </w:rPr>
            </w:pPr>
          </w:p>
        </w:tc>
        <w:tc>
          <w:tcPr>
            <w:tcW w:w="2440" w:type="dxa"/>
            <w:vAlign w:val="bottom"/>
            <w:gridSpan w:val="4"/>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180" w:type="dxa"/>
            <w:vAlign w:val="bottom"/>
            <w:gridSpan w:val="5"/>
          </w:tcPr>
          <w:p>
            <w:pPr>
              <w:spacing w:after="0" w:line="196" w:lineRule="exact"/>
              <w:rPr>
                <w:sz w:val="20"/>
                <w:szCs w:val="20"/>
                <w:color w:val="auto"/>
              </w:rPr>
            </w:pPr>
            <w:r>
              <w:rPr>
                <w:rFonts w:ascii="Arial" w:cs="Arial" w:eastAsia="Arial" w:hAnsi="Arial"/>
                <w:sz w:val="18"/>
                <w:szCs w:val="18"/>
                <w:color w:val="auto"/>
              </w:rPr>
              <w:t>Item 12.</w:t>
            </w:r>
          </w:p>
        </w:tc>
        <w:tc>
          <w:tcPr>
            <w:tcW w:w="7120" w:type="dxa"/>
            <w:vAlign w:val="bottom"/>
            <w:tcBorders>
              <w:bottom w:val="single" w:sz="8" w:color="0000EE"/>
            </w:tcBorders>
            <w:gridSpan w:val="19"/>
          </w:tcPr>
          <w:p>
            <w:pPr>
              <w:spacing w:after="0" w:line="196" w:lineRule="exact"/>
              <w:rPr>
                <w:rFonts w:ascii="Arial" w:cs="Arial" w:eastAsia="Arial" w:hAnsi="Arial"/>
                <w:sz w:val="18"/>
                <w:szCs w:val="18"/>
                <w:color w:val="0000EE"/>
                <w:w w:val="88"/>
              </w:rPr>
            </w:pPr>
            <w:hyperlink w:anchor="page72">
              <w:r>
                <w:rPr>
                  <w:rFonts w:ascii="Arial" w:cs="Arial" w:eastAsia="Arial" w:hAnsi="Arial"/>
                  <w:sz w:val="18"/>
                  <w:szCs w:val="18"/>
                  <w:color w:val="0000EE"/>
                  <w:w w:val="88"/>
                </w:rPr>
                <w:t>Security Ownership of Certain Beneficial Owners and Management and Related Stockholder Matters</w:t>
              </w:r>
            </w:hyperlink>
          </w:p>
        </w:tc>
        <w:tc>
          <w:tcPr>
            <w:tcW w:w="1680" w:type="dxa"/>
            <w:vAlign w:val="bottom"/>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196"/>
        </w:trPr>
        <w:tc>
          <w:tcPr>
            <w:tcW w:w="2180" w:type="dxa"/>
            <w:vAlign w:val="bottom"/>
            <w:gridSpan w:val="5"/>
          </w:tcPr>
          <w:p>
            <w:pPr>
              <w:spacing w:after="0" w:line="196" w:lineRule="exact"/>
              <w:rPr>
                <w:sz w:val="20"/>
                <w:szCs w:val="20"/>
                <w:color w:val="auto"/>
              </w:rPr>
            </w:pPr>
            <w:r>
              <w:rPr>
                <w:rFonts w:ascii="Arial" w:cs="Arial" w:eastAsia="Arial" w:hAnsi="Arial"/>
                <w:sz w:val="18"/>
                <w:szCs w:val="18"/>
                <w:color w:val="auto"/>
              </w:rPr>
              <w:t>Item 13.</w:t>
            </w:r>
          </w:p>
        </w:tc>
        <w:tc>
          <w:tcPr>
            <w:tcW w:w="3340" w:type="dxa"/>
            <w:vAlign w:val="bottom"/>
            <w:tcBorders>
              <w:bottom w:val="single" w:sz="8" w:color="0000EE"/>
            </w:tcBorders>
            <w:gridSpan w:val="11"/>
          </w:tcPr>
          <w:p>
            <w:pPr>
              <w:spacing w:after="0" w:line="196" w:lineRule="exact"/>
              <w:rPr>
                <w:rFonts w:ascii="Arial" w:cs="Arial" w:eastAsia="Arial" w:hAnsi="Arial"/>
                <w:sz w:val="18"/>
                <w:szCs w:val="18"/>
                <w:color w:val="0000EE"/>
                <w:w w:val="87"/>
              </w:rPr>
            </w:pPr>
            <w:hyperlink w:anchor="page72">
              <w:r>
                <w:rPr>
                  <w:rFonts w:ascii="Arial" w:cs="Arial" w:eastAsia="Arial" w:hAnsi="Arial"/>
                  <w:sz w:val="18"/>
                  <w:szCs w:val="18"/>
                  <w:color w:val="0000EE"/>
                  <w:w w:val="87"/>
                </w:rPr>
                <w:t>Certain Relationships and Related Transactions</w:t>
              </w:r>
            </w:hyperlink>
          </w:p>
        </w:tc>
        <w:tc>
          <w:tcPr>
            <w:tcW w:w="5460" w:type="dxa"/>
            <w:vAlign w:val="bottom"/>
            <w:gridSpan w:val="9"/>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196"/>
        </w:trPr>
        <w:tc>
          <w:tcPr>
            <w:tcW w:w="2180" w:type="dxa"/>
            <w:vAlign w:val="bottom"/>
            <w:gridSpan w:val="5"/>
          </w:tcPr>
          <w:p>
            <w:pPr>
              <w:spacing w:after="0" w:line="196" w:lineRule="exact"/>
              <w:rPr>
                <w:sz w:val="20"/>
                <w:szCs w:val="20"/>
                <w:color w:val="auto"/>
              </w:rPr>
            </w:pPr>
            <w:r>
              <w:rPr>
                <w:rFonts w:ascii="Arial" w:cs="Arial" w:eastAsia="Arial" w:hAnsi="Arial"/>
                <w:sz w:val="18"/>
                <w:szCs w:val="18"/>
                <w:color w:val="auto"/>
              </w:rPr>
              <w:t>Item 14.</w:t>
            </w:r>
          </w:p>
        </w:tc>
        <w:tc>
          <w:tcPr>
            <w:tcW w:w="8800" w:type="dxa"/>
            <w:vAlign w:val="bottom"/>
            <w:gridSpan w:val="20"/>
          </w:tcPr>
          <w:p>
            <w:pPr>
              <w:spacing w:after="0" w:line="196" w:lineRule="exact"/>
              <w:rPr>
                <w:rFonts w:ascii="Arial" w:cs="Arial" w:eastAsia="Arial" w:hAnsi="Arial"/>
                <w:sz w:val="18"/>
                <w:szCs w:val="18"/>
                <w:color w:val="0000EE"/>
              </w:rPr>
            </w:pPr>
            <w:hyperlink w:anchor="page72">
              <w:r>
                <w:rPr>
                  <w:rFonts w:ascii="Arial" w:cs="Arial" w:eastAsia="Arial" w:hAnsi="Arial"/>
                  <w:sz w:val="18"/>
                  <w:szCs w:val="18"/>
                  <w:color w:val="0000EE"/>
                </w:rPr>
                <w:t>Principal Accounting Fees and Services</w:t>
              </w:r>
            </w:hyperlink>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412"/>
        </w:trPr>
        <w:tc>
          <w:tcPr>
            <w:tcW w:w="2180" w:type="dxa"/>
            <w:vAlign w:val="bottom"/>
            <w:gridSpan w:val="5"/>
          </w:tcPr>
          <w:p>
            <w:pPr>
              <w:spacing w:after="0"/>
              <w:rPr>
                <w:rFonts w:ascii="Arial" w:cs="Arial" w:eastAsia="Arial" w:hAnsi="Arial"/>
                <w:sz w:val="18"/>
                <w:szCs w:val="18"/>
                <w:b w:val="1"/>
                <w:bCs w:val="1"/>
                <w:color w:val="0000EE"/>
              </w:rPr>
            </w:pPr>
            <w:hyperlink w:anchor="page73">
              <w:r>
                <w:rPr>
                  <w:rFonts w:ascii="Arial" w:cs="Arial" w:eastAsia="Arial" w:hAnsi="Arial"/>
                  <w:sz w:val="18"/>
                  <w:szCs w:val="18"/>
                  <w:b w:val="1"/>
                  <w:bCs w:val="1"/>
                  <w:color w:val="0000EE"/>
                </w:rPr>
                <w:t>PART IV</w:t>
              </w:r>
            </w:hyperlink>
          </w:p>
        </w:tc>
        <w:tc>
          <w:tcPr>
            <w:tcW w:w="6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40" w:type="dxa"/>
            <w:vAlign w:val="bottom"/>
            <w:tcBorders>
              <w:top w:val="single" w:sz="8" w:color="0000EE"/>
            </w:tcBorders>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00" w:type="dxa"/>
            <w:vAlign w:val="bottom"/>
            <w:tcBorders>
              <w:top w:val="single" w:sz="8" w:color="0000EE"/>
            </w:tcBorders>
            <w:gridSpan w:val="3"/>
          </w:tcPr>
          <w:p>
            <w:pPr>
              <w:spacing w:after="0" w:line="196" w:lineRule="exact"/>
              <w:rPr>
                <w:sz w:val="20"/>
                <w:szCs w:val="20"/>
                <w:color w:val="auto"/>
              </w:rPr>
            </w:pPr>
            <w:r>
              <w:rPr>
                <w:rFonts w:ascii="Arial" w:cs="Arial" w:eastAsia="Arial" w:hAnsi="Arial"/>
                <w:sz w:val="18"/>
                <w:szCs w:val="18"/>
                <w:color w:val="auto"/>
              </w:rPr>
              <w:t>Item 15.</w:t>
            </w:r>
          </w:p>
        </w:tc>
        <w:tc>
          <w:tcPr>
            <w:tcW w:w="1480" w:type="dxa"/>
            <w:vAlign w:val="bottom"/>
            <w:gridSpan w:val="2"/>
          </w:tcPr>
          <w:p>
            <w:pPr>
              <w:spacing w:after="0"/>
              <w:rPr>
                <w:sz w:val="17"/>
                <w:szCs w:val="17"/>
                <w:color w:val="auto"/>
              </w:rPr>
            </w:pPr>
          </w:p>
        </w:tc>
        <w:tc>
          <w:tcPr>
            <w:tcW w:w="4680" w:type="dxa"/>
            <w:vAlign w:val="bottom"/>
            <w:tcBorders>
              <w:bottom w:val="single" w:sz="8" w:color="0000EE"/>
            </w:tcBorders>
            <w:gridSpan w:val="15"/>
          </w:tcPr>
          <w:p>
            <w:pPr>
              <w:spacing w:after="0" w:line="196" w:lineRule="exact"/>
              <w:rPr>
                <w:rFonts w:ascii="Arial" w:cs="Arial" w:eastAsia="Arial" w:hAnsi="Arial"/>
                <w:sz w:val="18"/>
                <w:szCs w:val="18"/>
                <w:color w:val="0000EE"/>
                <w:w w:val="88"/>
              </w:rPr>
            </w:pPr>
            <w:hyperlink w:anchor="page73">
              <w:r>
                <w:rPr>
                  <w:rFonts w:ascii="Arial" w:cs="Arial" w:eastAsia="Arial" w:hAnsi="Arial"/>
                  <w:sz w:val="18"/>
                  <w:szCs w:val="18"/>
                  <w:color w:val="0000EE"/>
                  <w:w w:val="88"/>
                </w:rPr>
                <w:t>Exhibits, Financial Statement Schedules and Reports on Form 8-K</w:t>
              </w:r>
            </w:hyperlink>
          </w:p>
        </w:tc>
        <w:tc>
          <w:tcPr>
            <w:tcW w:w="4120" w:type="dxa"/>
            <w:vAlign w:val="bottom"/>
            <w:gridSpan w:val="5"/>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8800" w:type="dxa"/>
            <w:vAlign w:val="bottom"/>
            <w:gridSpan w:val="20"/>
          </w:tcPr>
          <w:p>
            <w:pPr>
              <w:spacing w:after="0" w:line="196" w:lineRule="exact"/>
              <w:rPr>
                <w:rFonts w:ascii="Arial" w:cs="Arial" w:eastAsia="Arial" w:hAnsi="Arial"/>
                <w:sz w:val="18"/>
                <w:szCs w:val="18"/>
                <w:color w:val="0000EE"/>
              </w:rPr>
            </w:pPr>
            <w:hyperlink w:anchor="page75">
              <w:r>
                <w:rPr>
                  <w:rFonts w:ascii="Arial" w:cs="Arial" w:eastAsia="Arial" w:hAnsi="Arial"/>
                  <w:sz w:val="18"/>
                  <w:szCs w:val="18"/>
                  <w:color w:val="0000EE"/>
                </w:rPr>
                <w:t>Signatures</w:t>
              </w:r>
            </w:hyperlink>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40" w:type="dxa"/>
            <w:vAlign w:val="bottom"/>
            <w:gridSpan w:val="16"/>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8800" w:type="dxa"/>
            <w:vAlign w:val="bottom"/>
            <w:gridSpan w:val="20"/>
          </w:tcPr>
          <w:p>
            <w:pPr>
              <w:spacing w:after="0" w:line="196" w:lineRule="exact"/>
              <w:rPr>
                <w:rFonts w:ascii="Arial" w:cs="Arial" w:eastAsia="Arial" w:hAnsi="Arial"/>
                <w:sz w:val="18"/>
                <w:szCs w:val="18"/>
                <w:color w:val="0000EE"/>
              </w:rPr>
            </w:pPr>
            <w:hyperlink w:anchor="page82">
              <w:r>
                <w:rPr>
                  <w:rFonts w:ascii="Arial" w:cs="Arial" w:eastAsia="Arial" w:hAnsi="Arial"/>
                  <w:sz w:val="18"/>
                  <w:szCs w:val="18"/>
                  <w:color w:val="0000EE"/>
                </w:rPr>
                <w:t>Certifications</w:t>
              </w:r>
            </w:hyperlink>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w w:val="91"/>
              </w:rPr>
              <w:t>82-85</w:t>
            </w:r>
          </w:p>
        </w:tc>
        <w:tc>
          <w:tcPr>
            <w:tcW w:w="0" w:type="dxa"/>
            <w:vAlign w:val="bottom"/>
          </w:tcPr>
          <w:p>
            <w:pPr>
              <w:spacing w:after="0"/>
              <w:rPr>
                <w:sz w:val="1"/>
                <w:szCs w:val="1"/>
                <w:color w:val="auto"/>
              </w:rPr>
            </w:pPr>
          </w:p>
        </w:tc>
      </w:tr>
      <w:tr>
        <w:trPr>
          <w:trHeight w:val="129"/>
        </w:trPr>
        <w:tc>
          <w:tcPr>
            <w:tcW w:w="58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460" w:type="dxa"/>
            <w:vAlign w:val="bottom"/>
            <w:tcBorders>
              <w:bottom w:val="single" w:sz="8" w:color="auto"/>
            </w:tcBorders>
          </w:tcPr>
          <w:p>
            <w:pPr>
              <w:spacing w:after="0"/>
              <w:rPr>
                <w:sz w:val="11"/>
                <w:szCs w:val="11"/>
                <w:color w:val="auto"/>
              </w:rPr>
            </w:pPr>
          </w:p>
        </w:tc>
        <w:tc>
          <w:tcPr>
            <w:tcW w:w="620" w:type="dxa"/>
            <w:vAlign w:val="bottom"/>
            <w:tcBorders>
              <w:top w:val="single" w:sz="8" w:color="0000EE"/>
              <w:bottom w:val="single" w:sz="8" w:color="auto"/>
            </w:tcBorders>
          </w:tcPr>
          <w:p>
            <w:pPr>
              <w:spacing w:after="0"/>
              <w:rPr>
                <w:sz w:val="11"/>
                <w:szCs w:val="11"/>
                <w:color w:val="auto"/>
              </w:rPr>
            </w:pPr>
          </w:p>
        </w:tc>
        <w:tc>
          <w:tcPr>
            <w:tcW w:w="100" w:type="dxa"/>
            <w:vAlign w:val="bottom"/>
            <w:tcBorders>
              <w:top w:val="single" w:sz="8" w:color="0000EE"/>
              <w:bottom w:val="single" w:sz="8" w:color="auto"/>
            </w:tcBorders>
          </w:tcPr>
          <w:p>
            <w:pPr>
              <w:spacing w:after="0"/>
              <w:rPr>
                <w:sz w:val="11"/>
                <w:szCs w:val="11"/>
                <w:color w:val="auto"/>
              </w:rPr>
            </w:pPr>
          </w:p>
        </w:tc>
        <w:tc>
          <w:tcPr>
            <w:tcW w:w="20" w:type="dxa"/>
            <w:vAlign w:val="bottom"/>
            <w:tcBorders>
              <w:top w:val="single" w:sz="8" w:color="0000EE"/>
              <w:bottom w:val="single" w:sz="8" w:color="auto"/>
            </w:tcBorders>
          </w:tcPr>
          <w:p>
            <w:pPr>
              <w:spacing w:after="0"/>
              <w:rPr>
                <w:sz w:val="11"/>
                <w:szCs w:val="11"/>
                <w:color w:val="auto"/>
              </w:rPr>
            </w:pPr>
          </w:p>
        </w:tc>
        <w:tc>
          <w:tcPr>
            <w:tcW w:w="220" w:type="dxa"/>
            <w:vAlign w:val="bottom"/>
            <w:tcBorders>
              <w:top w:val="single" w:sz="8" w:color="0000EE"/>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168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4"/>
          <w:szCs w:val="14"/>
          <w:color w:val="auto"/>
        </w:rPr>
        <w:t>Part 1, Item 1</w:t>
      </w:r>
    </w:p>
    <w:p>
      <w:pPr>
        <w:spacing w:after="0" w:line="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PART I</w:t>
      </w:r>
    </w:p>
    <w:p>
      <w:pPr>
        <w:spacing w:after="0" w:line="147"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Business</w:t>
      </w:r>
    </w:p>
    <w:p>
      <w:pPr>
        <w:spacing w:after="0" w:line="74"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All references herein to “Registrant”, “Company” and “Schlumberger” refer to Schlumberger Limited and its consolidated subsidiaries. The following discussion of results should be read in conjunction with the Consolidated Financial Statements.</w:t>
      </w:r>
    </w:p>
    <w:p>
      <w:pPr>
        <w:ind w:right="20" w:firstLine="228"/>
        <w:spacing w:after="0" w:line="281" w:lineRule="auto"/>
        <w:rPr>
          <w:sz w:val="20"/>
          <w:szCs w:val="20"/>
          <w:color w:val="auto"/>
        </w:rPr>
      </w:pPr>
      <w:r>
        <w:rPr>
          <w:rFonts w:ascii="Arial" w:cs="Arial" w:eastAsia="Arial" w:hAnsi="Arial"/>
          <w:sz w:val="16"/>
          <w:szCs w:val="16"/>
          <w:color w:val="auto"/>
        </w:rPr>
        <w:t>Founded in 1927, Schlumberger is a global oilfield and information services company with major activity in the energy industry. As of December 31, 2003, the company employed 77,000 people, which included 25,000 employees of SchlumbergerSema, of more than 140 nationalities working in 100 countries, and has principal executive offices in New York, Paris and The Hague. During 2003, Schlumberger comprised three primary business segments: Schlumberger Oilfield Services is the world’s premier oilfield services company supplying a wide range of technology services and solutions to the international oil and gas industry. WesternGeco, jointly owned with Baker Hughes, is one of the world’s largest and most advanced surface seismic company. SchlumbergerSema is a leading supplier of IT consulting, systems integration, and network and infrastructure services to the energy industry, as well as to the public sector, telecommunications and finance markets.</w:t>
      </w:r>
    </w:p>
    <w:p>
      <w:pPr>
        <w:spacing w:after="0" w:line="5" w:lineRule="exact"/>
        <w:rPr>
          <w:sz w:val="20"/>
          <w:szCs w:val="20"/>
          <w:color w:val="auto"/>
        </w:rPr>
      </w:pPr>
    </w:p>
    <w:p>
      <w:pPr>
        <w:ind w:left="240"/>
        <w:spacing w:after="0"/>
        <w:rPr>
          <w:sz w:val="20"/>
          <w:szCs w:val="20"/>
          <w:color w:val="auto"/>
        </w:rPr>
      </w:pPr>
      <w:r>
        <w:rPr>
          <w:rFonts w:ascii="Arial" w:cs="Arial" w:eastAsia="Arial" w:hAnsi="Arial"/>
          <w:sz w:val="16"/>
          <w:szCs w:val="16"/>
          <w:color w:val="auto"/>
        </w:rPr>
        <w:t>On September 22, 2003, Schlumberger announced its intention to sell the SchlumbergerSema business to Atos Origin. The sale closed on January 29, 2004.</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Today, Schlumberger comprises two primary business segments – Oilfield Services and WesternGeco.</w:t>
      </w:r>
    </w:p>
    <w:p>
      <w:pPr>
        <w:spacing w:after="0" w:line="9" w:lineRule="exact"/>
        <w:rPr>
          <w:sz w:val="20"/>
          <w:szCs w:val="20"/>
          <w:color w:val="auto"/>
        </w:rPr>
      </w:pPr>
    </w:p>
    <w:p>
      <w:pPr>
        <w:ind w:left="240"/>
        <w:spacing w:after="0"/>
        <w:rPr>
          <w:sz w:val="20"/>
          <w:szCs w:val="20"/>
          <w:color w:val="auto"/>
        </w:rPr>
      </w:pPr>
      <w:r>
        <w:rPr>
          <w:rFonts w:ascii="Arial" w:cs="Arial" w:eastAsia="Arial" w:hAnsi="Arial"/>
          <w:sz w:val="16"/>
          <w:szCs w:val="16"/>
          <w:color w:val="auto"/>
        </w:rPr>
        <w:t>Active divestiture negotiations are currently ongoing for each of the remaining businesses, which are included in Other activities described below.</w:t>
      </w:r>
    </w:p>
    <w:p>
      <w:pPr>
        <w:spacing w:after="0" w:line="168" w:lineRule="exact"/>
        <w:rPr>
          <w:sz w:val="20"/>
          <w:szCs w:val="20"/>
          <w:color w:val="auto"/>
        </w:rPr>
      </w:pPr>
    </w:p>
    <w:p>
      <w:pPr>
        <w:ind w:right="40"/>
        <w:spacing w:after="0" w:line="285" w:lineRule="auto"/>
        <w:rPr>
          <w:sz w:val="20"/>
          <w:szCs w:val="20"/>
          <w:color w:val="auto"/>
        </w:rPr>
      </w:pPr>
      <w:r>
        <w:rPr>
          <w:rFonts w:ascii="Arial" w:cs="Arial" w:eastAsia="Arial" w:hAnsi="Arial"/>
          <w:sz w:val="16"/>
          <w:szCs w:val="16"/>
          <w:b w:val="1"/>
          <w:bCs w:val="1"/>
          <w:color w:val="auto"/>
        </w:rPr>
        <w:t xml:space="preserve">Schlumberger Oilfield Services </w:t>
      </w:r>
      <w:r>
        <w:rPr>
          <w:rFonts w:ascii="Arial" w:cs="Arial" w:eastAsia="Arial" w:hAnsi="Arial"/>
          <w:sz w:val="16"/>
          <w:szCs w:val="16"/>
          <w:color w:val="auto"/>
        </w:rPr>
        <w:t>is the world’s leading provider of technology, project management and information solutions to the international petroleum</w:t>
      </w:r>
      <w:r>
        <w:rPr>
          <w:rFonts w:ascii="Arial" w:cs="Arial" w:eastAsia="Arial" w:hAnsi="Arial"/>
          <w:sz w:val="16"/>
          <w:szCs w:val="16"/>
          <w:b w:val="1"/>
          <w:bCs w:val="1"/>
          <w:color w:val="auto"/>
        </w:rPr>
        <w:t xml:space="preserve"> </w:t>
      </w:r>
      <w:r>
        <w:rPr>
          <w:rFonts w:ascii="Arial" w:cs="Arial" w:eastAsia="Arial" w:hAnsi="Arial"/>
          <w:sz w:val="16"/>
          <w:szCs w:val="16"/>
          <w:color w:val="auto"/>
        </w:rPr>
        <w:t>industry. With 48,000 employees, Schlumberger Oilfield Services manages its business through 27 Oilfield Services GeoMarket* regions, which are grouped into four geographic areas: North America; Latin America; Europe/CIS/W. Africa; Middle East &amp; Asia. The GeoMarket regions offer customers a single point of contact at the local level for field operations and bring together geographically focused teams to meet local needs and deliver customized solutions.</w:t>
      </w:r>
    </w:p>
    <w:p>
      <w:pPr>
        <w:spacing w:after="0" w:line="3" w:lineRule="exact"/>
        <w:rPr>
          <w:sz w:val="20"/>
          <w:szCs w:val="20"/>
          <w:color w:val="auto"/>
        </w:rPr>
      </w:pPr>
    </w:p>
    <w:p>
      <w:pPr>
        <w:ind w:right="260" w:firstLine="228"/>
        <w:spacing w:after="0" w:line="254" w:lineRule="auto"/>
        <w:rPr>
          <w:sz w:val="20"/>
          <w:szCs w:val="20"/>
          <w:color w:val="auto"/>
        </w:rPr>
      </w:pPr>
      <w:r>
        <w:rPr>
          <w:rFonts w:ascii="Arial" w:cs="Arial" w:eastAsia="Arial" w:hAnsi="Arial"/>
          <w:sz w:val="18"/>
          <w:szCs w:val="18"/>
          <w:color w:val="auto"/>
        </w:rPr>
        <w:t>Schlumberger invented wireline logging in 1927 as a technique for obtaining downhole data in oil and gas wells. Today, Schlumberger Oilfield Services operates in each of the major oilfield service markets covering the entire life cycle of the reservoir. These services are organized into seven technology product lines, in which Schlumberger holds a number of market leading positions, to capitalize on technical synergies and introduce innovative solutions within the GeoMarket regions.</w:t>
      </w:r>
    </w:p>
    <w:p>
      <w:pPr>
        <w:spacing w:after="0" w:line="49" w:lineRule="exact"/>
        <w:rPr>
          <w:sz w:val="20"/>
          <w:szCs w:val="20"/>
          <w:color w:val="auto"/>
        </w:rPr>
      </w:pPr>
    </w:p>
    <w:p>
      <w:pPr>
        <w:ind w:left="780" w:right="340" w:hanging="326"/>
        <w:spacing w:after="0" w:line="268" w:lineRule="auto"/>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Wireline – services that provide the information necessary to evaluate the formation, plan and monitor well construction, and monitor and evaluate production, divided into open-hole and cased-hole wireline logging.</w:t>
      </w:r>
    </w:p>
    <w:p>
      <w:pPr>
        <w:spacing w:after="0" w:line="37" w:lineRule="exact"/>
        <w:rPr>
          <w:rFonts w:ascii="Arial" w:cs="Arial" w:eastAsia="Arial" w:hAnsi="Arial"/>
          <w:sz w:val="18"/>
          <w:szCs w:val="18"/>
          <w:color w:val="auto"/>
        </w:rPr>
      </w:pPr>
    </w:p>
    <w:p>
      <w:pPr>
        <w:ind w:left="780" w:hanging="326"/>
        <w:spacing w:after="0"/>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Drilling &amp; Measurements – directional drilling, measurements-while-drilling and logging-while-drilling services.</w:t>
      </w:r>
    </w:p>
    <w:p>
      <w:pPr>
        <w:spacing w:after="0" w:line="103" w:lineRule="exact"/>
        <w:rPr>
          <w:rFonts w:ascii="Arial" w:cs="Arial" w:eastAsia="Arial" w:hAnsi="Arial"/>
          <w:sz w:val="18"/>
          <w:szCs w:val="18"/>
          <w:color w:val="auto"/>
        </w:rPr>
      </w:pPr>
    </w:p>
    <w:p>
      <w:pPr>
        <w:ind w:left="780" w:right="260" w:hanging="326"/>
        <w:spacing w:after="0" w:line="268" w:lineRule="auto"/>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Well Services – services to construct oil and gas wells, as well as maintain optimal production through the life of an oil and gas field. These include pressure pumping, well stimulation services, coiled tubing, cementing and engineering services.</w:t>
      </w:r>
    </w:p>
    <w:p>
      <w:pPr>
        <w:spacing w:after="0" w:line="37" w:lineRule="exact"/>
        <w:rPr>
          <w:rFonts w:ascii="Arial" w:cs="Arial" w:eastAsia="Arial" w:hAnsi="Arial"/>
          <w:sz w:val="18"/>
          <w:szCs w:val="18"/>
          <w:color w:val="auto"/>
        </w:rPr>
      </w:pPr>
    </w:p>
    <w:p>
      <w:pPr>
        <w:ind w:left="780" w:right="380" w:hanging="326"/>
        <w:spacing w:after="0" w:line="268" w:lineRule="auto"/>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Well Completions &amp; Productivity – services for testing and completing wells and producing oil and gas, ranging from well testing and perforating services, completions systems, intelligent completions to a full spectrum of artificial lift services.</w:t>
      </w:r>
    </w:p>
    <w:p>
      <w:pPr>
        <w:spacing w:after="0" w:line="37" w:lineRule="exact"/>
        <w:rPr>
          <w:rFonts w:ascii="Arial" w:cs="Arial" w:eastAsia="Arial" w:hAnsi="Arial"/>
          <w:sz w:val="18"/>
          <w:szCs w:val="18"/>
          <w:color w:val="auto"/>
        </w:rPr>
      </w:pPr>
    </w:p>
    <w:p>
      <w:pPr>
        <w:ind w:left="780" w:right="640" w:hanging="326"/>
        <w:spacing w:after="0" w:line="268" w:lineRule="auto"/>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Integrated Project Management – consulting, project management and engineering services leveraging the expertise from the other technology segments for the E&amp;P industry.</w:t>
      </w:r>
    </w:p>
    <w:p>
      <w:pPr>
        <w:spacing w:after="0" w:line="116" w:lineRule="exact"/>
        <w:rPr>
          <w:sz w:val="20"/>
          <w:szCs w:val="20"/>
          <w:color w:val="auto"/>
        </w:rPr>
      </w:pPr>
    </w:p>
    <w:p>
      <w:pPr>
        <w:spacing w:after="0"/>
        <w:tabs>
          <w:tab w:leader="none" w:pos="10400" w:val="left"/>
        </w:tabs>
        <w:rPr>
          <w:sz w:val="20"/>
          <w:szCs w:val="20"/>
          <w:color w:val="auto"/>
        </w:rPr>
      </w:pPr>
      <w:r>
        <w:rPr>
          <w:rFonts w:ascii="Arial" w:cs="Arial" w:eastAsia="Arial" w:hAnsi="Arial"/>
          <w:sz w:val="14"/>
          <w:szCs w:val="14"/>
          <w:color w:val="auto"/>
        </w:rPr>
        <w:t>3 / SLB</w:t>
      </w:r>
      <w:r>
        <w:rPr>
          <w:sz w:val="20"/>
          <w:szCs w:val="20"/>
          <w:color w:val="auto"/>
        </w:rPr>
        <w:tab/>
      </w:r>
      <w:r>
        <w:rPr>
          <w:rFonts w:ascii="Arial" w:cs="Arial" w:eastAsia="Arial" w:hAnsi="Arial"/>
          <w:sz w:val="12"/>
          <w:szCs w:val="12"/>
          <w:color w:val="auto"/>
        </w:rPr>
        <w:t>2003 FORM 10-K</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4"/>
          <w:szCs w:val="14"/>
          <w:color w:val="auto"/>
        </w:rPr>
        <w:t>Part 1, Item 1</w:t>
      </w:r>
    </w:p>
    <w:p>
      <w:pPr>
        <w:spacing w:after="0" w:line="139" w:lineRule="exact"/>
        <w:rPr>
          <w:sz w:val="20"/>
          <w:szCs w:val="20"/>
          <w:color w:val="auto"/>
        </w:rPr>
      </w:pPr>
    </w:p>
    <w:p>
      <w:pPr>
        <w:ind w:left="780" w:right="40" w:hanging="326"/>
        <w:spacing w:after="0" w:line="325" w:lineRule="auto"/>
        <w:tabs>
          <w:tab w:leader="none" w:pos="780" w:val="left"/>
        </w:tabs>
        <w:numPr>
          <w:ilvl w:val="0"/>
          <w:numId w:val="5"/>
        </w:numPr>
        <w:rPr>
          <w:rFonts w:ascii="Arial" w:cs="Arial" w:eastAsia="Arial" w:hAnsi="Arial"/>
          <w:sz w:val="16"/>
          <w:szCs w:val="16"/>
          <w:color w:val="auto"/>
        </w:rPr>
      </w:pPr>
      <w:r>
        <w:rPr>
          <w:rFonts w:ascii="Arial" w:cs="Arial" w:eastAsia="Arial" w:hAnsi="Arial"/>
          <w:sz w:val="16"/>
          <w:szCs w:val="16"/>
          <w:color w:val="auto"/>
        </w:rPr>
        <w:t>Data &amp; Consulting Services – measurements, interpretation and integration of all exploration and production data types, and expert consulting services for reservoir characterization, production enhancement, multi-disciplinary reservoir and production solutions, and field development planning.</w:t>
      </w:r>
    </w:p>
    <w:p>
      <w:pPr>
        <w:spacing w:after="0" w:line="1" w:lineRule="exact"/>
        <w:rPr>
          <w:rFonts w:ascii="Arial" w:cs="Arial" w:eastAsia="Arial" w:hAnsi="Arial"/>
          <w:sz w:val="16"/>
          <w:szCs w:val="16"/>
          <w:color w:val="auto"/>
        </w:rPr>
      </w:pPr>
    </w:p>
    <w:p>
      <w:pPr>
        <w:ind w:left="780" w:right="200" w:hanging="326"/>
        <w:spacing w:after="0" w:line="268" w:lineRule="auto"/>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Schlumberger Information Solutions – consulting, software, information management and IT infrastructure services that support oil and gas industry core operational processes.</w:t>
      </w:r>
    </w:p>
    <w:p>
      <w:pPr>
        <w:spacing w:after="0" w:line="37" w:lineRule="exact"/>
        <w:rPr>
          <w:sz w:val="20"/>
          <w:szCs w:val="20"/>
          <w:color w:val="auto"/>
        </w:rPr>
      </w:pPr>
    </w:p>
    <w:p>
      <w:pPr>
        <w:ind w:right="780" w:firstLine="228"/>
        <w:spacing w:after="0" w:line="254" w:lineRule="auto"/>
        <w:rPr>
          <w:sz w:val="20"/>
          <w:szCs w:val="20"/>
          <w:color w:val="auto"/>
        </w:rPr>
      </w:pPr>
      <w:r>
        <w:rPr>
          <w:rFonts w:ascii="Arial" w:cs="Arial" w:eastAsia="Arial" w:hAnsi="Arial"/>
          <w:sz w:val="18"/>
          <w:szCs w:val="18"/>
          <w:color w:val="auto"/>
        </w:rPr>
        <w:t>The technology product lines are also responsible for overseeing operational processes, resource allocation, personnel and quality, health, safety and environmental matters in the GeoMarket.</w:t>
      </w:r>
    </w:p>
    <w:p>
      <w:pPr>
        <w:ind w:right="140" w:firstLine="228"/>
        <w:spacing w:after="0" w:line="250" w:lineRule="auto"/>
        <w:rPr>
          <w:sz w:val="20"/>
          <w:szCs w:val="20"/>
          <w:color w:val="auto"/>
        </w:rPr>
      </w:pPr>
      <w:r>
        <w:rPr>
          <w:rFonts w:ascii="Arial" w:cs="Arial" w:eastAsia="Arial" w:hAnsi="Arial"/>
          <w:sz w:val="18"/>
          <w:szCs w:val="18"/>
          <w:color w:val="auto"/>
        </w:rPr>
        <w:t>Supporting the service technology product lines are 19 research and development (R&amp;D) centers. Through its R&amp;D, Schlumberger is committed to advanced technology programs that will enhance oilfield efficiency, lower finding and producing costs, improve productivity, maximize reserve recovery, increase asset value and accomplish all of these goals in a safe, environmentally sound manner.</w:t>
      </w:r>
    </w:p>
    <w:p>
      <w:pPr>
        <w:spacing w:after="0" w:line="1" w:lineRule="exact"/>
        <w:rPr>
          <w:sz w:val="20"/>
          <w:szCs w:val="20"/>
          <w:color w:val="auto"/>
        </w:rPr>
      </w:pPr>
    </w:p>
    <w:p>
      <w:pPr>
        <w:ind w:right="80" w:firstLine="228"/>
        <w:spacing w:after="0" w:line="281" w:lineRule="auto"/>
        <w:rPr>
          <w:sz w:val="20"/>
          <w:szCs w:val="20"/>
          <w:color w:val="auto"/>
        </w:rPr>
      </w:pPr>
      <w:r>
        <w:rPr>
          <w:rFonts w:ascii="Arial" w:cs="Arial" w:eastAsia="Arial" w:hAnsi="Arial"/>
          <w:sz w:val="16"/>
          <w:szCs w:val="16"/>
          <w:color w:val="auto"/>
        </w:rPr>
        <w:t>Schlumberger Oilfield Services uses its own personnel to market its products and services. The customer base, business risks and opportunities for growth are essentially uniform across all services. There is a sharing of manufacturing and engineering facilities as well as research centers; labor force is interchangeable. Technological innovation, quality of service, and price are the principal methods of competition. Competition varies geographically with respect to the different services offered. While there are numerous competitors, both large and small, Schlumberger believes that it is an industry leader in providing measurements-while-drilling and logging-while-drilling services, and fully computerized logging and geoscience software and computing services. A large proportion of the company’s offering is non-rig related; consequently, revenue does not necessarily correlate to rig count fluctuations.</w:t>
      </w:r>
    </w:p>
    <w:p>
      <w:pPr>
        <w:spacing w:after="0" w:line="4" w:lineRule="exact"/>
        <w:rPr>
          <w:sz w:val="20"/>
          <w:szCs w:val="20"/>
          <w:color w:val="auto"/>
        </w:rPr>
      </w:pPr>
    </w:p>
    <w:p>
      <w:pPr>
        <w:ind w:right="120" w:firstLine="228"/>
        <w:spacing w:after="0" w:line="250" w:lineRule="auto"/>
        <w:rPr>
          <w:sz w:val="20"/>
          <w:szCs w:val="20"/>
          <w:color w:val="auto"/>
        </w:rPr>
      </w:pPr>
      <w:r>
        <w:rPr>
          <w:rFonts w:ascii="Arial" w:cs="Arial" w:eastAsia="Arial" w:hAnsi="Arial"/>
          <w:sz w:val="18"/>
          <w:szCs w:val="18"/>
          <w:color w:val="auto"/>
        </w:rPr>
        <w:t>In December 2003, Schlumberger announced a phased agreement to acquire PetroAlliance, Russia’s largest independent oilfield services company, beginning with a minority share in 2004. PetroAlliance provides a broad range of exploration and development services, to international standards, throughout Russia and the Caspian.</w:t>
      </w:r>
    </w:p>
    <w:p>
      <w:pPr>
        <w:spacing w:after="0" w:line="1" w:lineRule="exact"/>
        <w:rPr>
          <w:sz w:val="20"/>
          <w:szCs w:val="20"/>
          <w:color w:val="auto"/>
        </w:rPr>
      </w:pPr>
    </w:p>
    <w:p>
      <w:pPr>
        <w:ind w:right="80" w:firstLine="228"/>
        <w:spacing w:after="0" w:line="261" w:lineRule="auto"/>
        <w:rPr>
          <w:sz w:val="20"/>
          <w:szCs w:val="20"/>
          <w:color w:val="auto"/>
        </w:rPr>
      </w:pPr>
      <w:r>
        <w:rPr>
          <w:rFonts w:ascii="Arial" w:cs="Arial" w:eastAsia="Arial" w:hAnsi="Arial"/>
          <w:sz w:val="18"/>
          <w:szCs w:val="18"/>
          <w:color w:val="auto"/>
        </w:rPr>
        <w:t>Schlumberger is a minority owner in M-I Drilling Fluids, a joint venture with Smith International that offers drilling and completion fluids utilized to stabilize rock strata during the drilling process and minimize formation damage during completion and workover operations.</w:t>
      </w:r>
    </w:p>
    <w:p>
      <w:pPr>
        <w:spacing w:after="0" w:line="37" w:lineRule="exact"/>
        <w:rPr>
          <w:sz w:val="20"/>
          <w:szCs w:val="20"/>
          <w:color w:val="auto"/>
        </w:rPr>
      </w:pPr>
    </w:p>
    <w:p>
      <w:pPr>
        <w:ind w:right="40"/>
        <w:spacing w:after="0" w:line="285" w:lineRule="auto"/>
        <w:rPr>
          <w:sz w:val="20"/>
          <w:szCs w:val="20"/>
          <w:color w:val="auto"/>
        </w:rPr>
      </w:pPr>
      <w:r>
        <w:rPr>
          <w:rFonts w:ascii="Arial" w:cs="Arial" w:eastAsia="Arial" w:hAnsi="Arial"/>
          <w:sz w:val="16"/>
          <w:szCs w:val="16"/>
          <w:b w:val="1"/>
          <w:bCs w:val="1"/>
          <w:color w:val="auto"/>
        </w:rPr>
        <w:t>WesternGeco</w:t>
      </w:r>
      <w:r>
        <w:rPr>
          <w:rFonts w:ascii="Arial" w:cs="Arial" w:eastAsia="Arial" w:hAnsi="Arial"/>
          <w:sz w:val="16"/>
          <w:szCs w:val="16"/>
          <w:color w:val="auto"/>
        </w:rPr>
        <w:t>, which is 70% owned by Schlumberger, provides comprehensive worldwide reservoir imaging, monitoring, and development seismic services,</w:t>
      </w:r>
      <w:r>
        <w:rPr>
          <w:rFonts w:ascii="Arial" w:cs="Arial" w:eastAsia="Arial" w:hAnsi="Arial"/>
          <w:sz w:val="16"/>
          <w:szCs w:val="16"/>
          <w:b w:val="1"/>
          <w:bCs w:val="1"/>
          <w:color w:val="auto"/>
        </w:rPr>
        <w:t xml:space="preserve"> </w:t>
      </w:r>
      <w:r>
        <w:rPr>
          <w:rFonts w:ascii="Arial" w:cs="Arial" w:eastAsia="Arial" w:hAnsi="Arial"/>
          <w:sz w:val="16"/>
          <w:szCs w:val="16"/>
          <w:color w:val="auto"/>
        </w:rPr>
        <w:t>with the most extensive seismic crews and data processing centers in the industry, as well as the world’s largest multiclient seismic library. Services range from 3D and time-lapse (4D) seismic surveys to multi-component surveys for delineating prospects and reservoir management. Seismic solutions include proprietary Q* technology for enhanced reservoir description, characterization, and monitoring throughout the life of the field – from exploration through enhanced recovery.</w:t>
      </w:r>
    </w:p>
    <w:p>
      <w:pPr>
        <w:spacing w:after="0" w:line="3" w:lineRule="exact"/>
        <w:rPr>
          <w:sz w:val="20"/>
          <w:szCs w:val="20"/>
          <w:color w:val="auto"/>
        </w:rPr>
      </w:pPr>
    </w:p>
    <w:p>
      <w:pPr>
        <w:ind w:right="660" w:firstLine="228"/>
        <w:spacing w:after="0" w:line="261" w:lineRule="auto"/>
        <w:rPr>
          <w:sz w:val="20"/>
          <w:szCs w:val="20"/>
          <w:color w:val="auto"/>
        </w:rPr>
      </w:pPr>
      <w:r>
        <w:rPr>
          <w:rFonts w:ascii="Arial" w:cs="Arial" w:eastAsia="Arial" w:hAnsi="Arial"/>
          <w:sz w:val="18"/>
          <w:szCs w:val="18"/>
          <w:color w:val="auto"/>
        </w:rPr>
        <w:t>Positioned for meeting a full range of customer needs in land, marine and shallow-water transition-zone services, WesternGeco offers a wide range of technologies and services:</w:t>
      </w:r>
    </w:p>
    <w:p>
      <w:pPr>
        <w:spacing w:after="0" w:line="43" w:lineRule="exact"/>
        <w:rPr>
          <w:sz w:val="20"/>
          <w:szCs w:val="20"/>
          <w:color w:val="auto"/>
        </w:rPr>
      </w:pPr>
    </w:p>
    <w:p>
      <w:pPr>
        <w:ind w:left="780" w:hanging="326"/>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Land Seismic – comprehensive resources for seismic data acquisition on land and across shallow-water transition zones.</w:t>
      </w:r>
    </w:p>
    <w:p>
      <w:pPr>
        <w:spacing w:after="0" w:line="103" w:lineRule="exact"/>
        <w:rPr>
          <w:rFonts w:ascii="Arial" w:cs="Arial" w:eastAsia="Arial" w:hAnsi="Arial"/>
          <w:sz w:val="18"/>
          <w:szCs w:val="18"/>
          <w:color w:val="auto"/>
        </w:rPr>
      </w:pPr>
    </w:p>
    <w:p>
      <w:pPr>
        <w:ind w:left="780" w:right="340" w:hanging="326"/>
        <w:spacing w:after="0" w:line="268" w:lineRule="auto"/>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Marine Seismic – fully calibrated single-sensor marine seismic acquisition and processing system, delivering the seismic technology breakthrough needed for new-generation reservoir management.</w:t>
      </w:r>
    </w:p>
    <w:p>
      <w:pPr>
        <w:spacing w:after="0" w:line="37" w:lineRule="exact"/>
        <w:rPr>
          <w:rFonts w:ascii="Arial" w:cs="Arial" w:eastAsia="Arial" w:hAnsi="Arial"/>
          <w:sz w:val="18"/>
          <w:szCs w:val="18"/>
          <w:color w:val="auto"/>
        </w:rPr>
      </w:pPr>
    </w:p>
    <w:p>
      <w:pPr>
        <w:ind w:left="780" w:hanging="326"/>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Multiclient Services – high-quality seismic data from the most prospective hydrocarbon basins with the leading multiclient data library.</w:t>
      </w:r>
    </w:p>
    <w:p>
      <w:pPr>
        <w:spacing w:after="0" w:line="103" w:lineRule="exact"/>
        <w:rPr>
          <w:rFonts w:ascii="Arial" w:cs="Arial" w:eastAsia="Arial" w:hAnsi="Arial"/>
          <w:sz w:val="18"/>
          <w:szCs w:val="18"/>
          <w:color w:val="auto"/>
        </w:rPr>
      </w:pPr>
    </w:p>
    <w:p>
      <w:pPr>
        <w:ind w:left="780" w:hanging="326"/>
        <w:spacing w:after="0" w:line="268" w:lineRule="auto"/>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Reservoir Services – people, tools, and technology to help customers capture the benefits of a completely integrated approach to locating, defining, and monitoring the reservoir.</w:t>
      </w:r>
    </w:p>
    <w:p>
      <w:pPr>
        <w:spacing w:after="0" w:line="37" w:lineRule="exact"/>
        <w:rPr>
          <w:rFonts w:ascii="Arial" w:cs="Arial" w:eastAsia="Arial" w:hAnsi="Arial"/>
          <w:sz w:val="18"/>
          <w:szCs w:val="18"/>
          <w:color w:val="auto"/>
        </w:rPr>
      </w:pPr>
    </w:p>
    <w:p>
      <w:pPr>
        <w:ind w:left="780" w:hanging="326"/>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Seismic Data Processing – extensive seismic data processing centers for complex processing projects.</w:t>
      </w:r>
    </w:p>
    <w:p>
      <w:pPr>
        <w:spacing w:after="0" w:line="182" w:lineRule="exact"/>
        <w:rPr>
          <w:sz w:val="20"/>
          <w:szCs w:val="20"/>
          <w:color w:val="auto"/>
        </w:rPr>
      </w:pPr>
    </w:p>
    <w:p>
      <w:pPr>
        <w:spacing w:after="0"/>
        <w:tabs>
          <w:tab w:leader="none" w:pos="10400" w:val="left"/>
        </w:tabs>
        <w:rPr>
          <w:sz w:val="20"/>
          <w:szCs w:val="20"/>
          <w:color w:val="auto"/>
        </w:rPr>
      </w:pPr>
      <w:r>
        <w:rPr>
          <w:rFonts w:ascii="Arial" w:cs="Arial" w:eastAsia="Arial" w:hAnsi="Arial"/>
          <w:sz w:val="14"/>
          <w:szCs w:val="14"/>
          <w:color w:val="auto"/>
        </w:rPr>
        <w:t>4 / SLB</w:t>
      </w:r>
      <w:r>
        <w:rPr>
          <w:sz w:val="20"/>
          <w:szCs w:val="20"/>
          <w:color w:val="auto"/>
        </w:rPr>
        <w:tab/>
      </w:r>
      <w:r>
        <w:rPr>
          <w:rFonts w:ascii="Arial" w:cs="Arial" w:eastAsia="Arial" w:hAnsi="Arial"/>
          <w:sz w:val="12"/>
          <w:szCs w:val="12"/>
          <w:color w:val="auto"/>
        </w:rPr>
        <w:t>2003 FORM 10-K</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4"/>
          <w:szCs w:val="14"/>
          <w:color w:val="auto"/>
        </w:rPr>
        <w:t>Part 1, Item 1</w:t>
      </w:r>
    </w:p>
    <w:p>
      <w:pPr>
        <w:spacing w:after="0" w:line="133" w:lineRule="exact"/>
        <w:rPr>
          <w:sz w:val="20"/>
          <w:szCs w:val="20"/>
          <w:color w:val="auto"/>
        </w:rPr>
      </w:pPr>
    </w:p>
    <w:p>
      <w:pPr>
        <w:ind w:right="120"/>
        <w:spacing w:after="0" w:line="289" w:lineRule="auto"/>
        <w:rPr>
          <w:sz w:val="20"/>
          <w:szCs w:val="20"/>
          <w:color w:val="auto"/>
        </w:rPr>
      </w:pPr>
      <w:r>
        <w:rPr>
          <w:rFonts w:ascii="Arial" w:cs="Arial" w:eastAsia="Arial" w:hAnsi="Arial"/>
          <w:sz w:val="16"/>
          <w:szCs w:val="16"/>
          <w:b w:val="1"/>
          <w:bCs w:val="1"/>
          <w:color w:val="auto"/>
        </w:rPr>
        <w:t xml:space="preserve">SchlumbergerSema </w:t>
      </w:r>
      <w:r>
        <w:rPr>
          <w:rFonts w:ascii="Arial" w:cs="Arial" w:eastAsia="Arial" w:hAnsi="Arial"/>
          <w:sz w:val="16"/>
          <w:szCs w:val="16"/>
          <w:color w:val="auto"/>
        </w:rPr>
        <w:t>provided during 2003 IT consulting, systems integration, managed services together with network and infrastructure solutions to the global</w:t>
      </w:r>
      <w:r>
        <w:rPr>
          <w:rFonts w:ascii="Arial" w:cs="Arial" w:eastAsia="Arial" w:hAnsi="Arial"/>
          <w:sz w:val="16"/>
          <w:szCs w:val="16"/>
          <w:b w:val="1"/>
          <w:bCs w:val="1"/>
          <w:color w:val="auto"/>
        </w:rPr>
        <w:t xml:space="preserve"> </w:t>
      </w:r>
      <w:r>
        <w:rPr>
          <w:rFonts w:ascii="Arial" w:cs="Arial" w:eastAsia="Arial" w:hAnsi="Arial"/>
          <w:sz w:val="16"/>
          <w:szCs w:val="16"/>
          <w:color w:val="auto"/>
        </w:rPr>
        <w:t>energy industry, as well as in specific regional markets spanning the telecommunications, finance, transport and public sectors.</w:t>
      </w:r>
    </w:p>
    <w:p>
      <w:pPr>
        <w:spacing w:after="0" w:line="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Prior to its sale, SchlumbergerSema was organized as follows:</w:t>
      </w:r>
    </w:p>
    <w:p>
      <w:pPr>
        <w:spacing w:after="0" w:line="70" w:lineRule="exact"/>
        <w:rPr>
          <w:sz w:val="20"/>
          <w:szCs w:val="20"/>
          <w:color w:val="auto"/>
        </w:rPr>
      </w:pPr>
    </w:p>
    <w:p>
      <w:pPr>
        <w:ind w:left="780" w:hanging="326"/>
        <w:spacing w:after="0" w:line="259" w:lineRule="auto"/>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Network &amp; Infrastructure Solutions that combines specialized technologies, domain experience and global infrastructure to enable the digital enterprise through their DeXa Suite of Services and provides secure global IP infrastructure, integrated information security solutions, wireless and remote network connectivity and complete network managed services.</w:t>
      </w:r>
    </w:p>
    <w:p>
      <w:pPr>
        <w:spacing w:after="0" w:line="45" w:lineRule="exact"/>
        <w:rPr>
          <w:rFonts w:ascii="Arial" w:cs="Arial" w:eastAsia="Arial" w:hAnsi="Arial"/>
          <w:sz w:val="18"/>
          <w:szCs w:val="18"/>
          <w:color w:val="auto"/>
        </w:rPr>
      </w:pPr>
    </w:p>
    <w:p>
      <w:pPr>
        <w:ind w:left="780" w:right="440" w:hanging="326"/>
        <w:spacing w:after="0" w:line="322" w:lineRule="auto"/>
        <w:tabs>
          <w:tab w:leader="none" w:pos="780" w:val="left"/>
        </w:tabs>
        <w:numPr>
          <w:ilvl w:val="0"/>
          <w:numId w:val="7"/>
        </w:numPr>
        <w:rPr>
          <w:rFonts w:ascii="Arial" w:cs="Arial" w:eastAsia="Arial" w:hAnsi="Arial"/>
          <w:sz w:val="15"/>
          <w:szCs w:val="15"/>
          <w:color w:val="auto"/>
        </w:rPr>
      </w:pPr>
      <w:r>
        <w:rPr>
          <w:rFonts w:ascii="Arial" w:cs="Arial" w:eastAsia="Arial" w:hAnsi="Arial"/>
          <w:sz w:val="15"/>
          <w:szCs w:val="15"/>
          <w:color w:val="auto"/>
        </w:rPr>
        <w:t>Consulting &amp; Systems Integration which offers consulting services, business systems and large-scale technical systems designed to operate to the highest levels of reliability in demanding conditions. The knowledge, skills and methods used by Schlumberger consultants around the world, combined with technical, systems integration and outsourced managed services capability within SchlumbergerSema, enable the development, implementation and management of major business and IT programs that are core to the strategic goals and long-term success of all businesses.</w:t>
      </w:r>
    </w:p>
    <w:p>
      <w:pPr>
        <w:spacing w:after="0"/>
        <w:rPr>
          <w:sz w:val="20"/>
          <w:szCs w:val="20"/>
          <w:color w:val="auto"/>
        </w:rPr>
      </w:pPr>
      <w:r>
        <w:rPr>
          <w:rFonts w:ascii="Arial" w:cs="Arial" w:eastAsia="Arial" w:hAnsi="Arial"/>
          <w:sz w:val="18"/>
          <w:szCs w:val="18"/>
          <w:b w:val="1"/>
          <w:bCs w:val="1"/>
          <w:color w:val="auto"/>
        </w:rPr>
        <w:t xml:space="preserve">Other </w:t>
      </w:r>
      <w:r>
        <w:rPr>
          <w:rFonts w:ascii="Arial" w:cs="Arial" w:eastAsia="Arial" w:hAnsi="Arial"/>
          <w:sz w:val="18"/>
          <w:szCs w:val="18"/>
          <w:color w:val="auto"/>
        </w:rPr>
        <w:t>comprises of businesses which are in active divestiture negotiations. The activities included in this segment are:</w:t>
      </w:r>
    </w:p>
    <w:p>
      <w:pPr>
        <w:spacing w:after="0" w:line="83" w:lineRule="exact"/>
        <w:rPr>
          <w:sz w:val="20"/>
          <w:szCs w:val="20"/>
          <w:color w:val="auto"/>
        </w:rPr>
      </w:pPr>
    </w:p>
    <w:p>
      <w:pPr>
        <w:ind w:left="780" w:right="20" w:hanging="326"/>
        <w:spacing w:after="0" w:line="259" w:lineRule="auto"/>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Axalto (Smart Cards and Point-of-Sale Terminals) – On September 22, 2003, Schlumberger Smart Cards &amp; Terminals (SC&amp;T) changed its name to Axalto to bring more visibility and reinforce its image as a leading smart card player. The SC&amp;T e-City parking meters business was subsequently sold to Apax in the fourth quarter of 2003.</w:t>
      </w:r>
    </w:p>
    <w:p>
      <w:pPr>
        <w:spacing w:after="0" w:line="45" w:lineRule="exact"/>
        <w:rPr>
          <w:rFonts w:ascii="Arial" w:cs="Arial" w:eastAsia="Arial" w:hAnsi="Arial"/>
          <w:sz w:val="18"/>
          <w:szCs w:val="18"/>
          <w:color w:val="auto"/>
        </w:rPr>
      </w:pPr>
    </w:p>
    <w:p>
      <w:pPr>
        <w:ind w:left="780" w:hanging="326"/>
        <w:spacing w:after="0"/>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Business Continuity (disaster recovery services and support to ensure continuation of customers’ business-critical operations).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Essentis (software platform for payment card issuing and merchant acquiring operations).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Telecom Software Products (software solutions for wireless messaging applications).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Water Services (water resource management services).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Infodata offers a broad range of on-line database services and direct marketing services in Sweden.</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Payphones provides payphones terminals and related communication solutions.</w:t>
      </w:r>
    </w:p>
    <w:p>
      <w:pPr>
        <w:spacing w:after="0" w:line="103" w:lineRule="exact"/>
        <w:rPr>
          <w:rFonts w:ascii="Arial" w:cs="Arial" w:eastAsia="Arial" w:hAnsi="Arial"/>
          <w:sz w:val="18"/>
          <w:szCs w:val="18"/>
          <w:color w:val="auto"/>
        </w:rPr>
      </w:pPr>
    </w:p>
    <w:p>
      <w:pPr>
        <w:ind w:left="780" w:right="180" w:hanging="326"/>
        <w:spacing w:after="0" w:line="259" w:lineRule="auto"/>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Electricity Meters (automated meters and meter reading technology for the North American electricity industry). In July 2003, Schlumberger entered into an agreement to sell the Electricity Meters activity to Itron Inc.; the sale is expected to be completed in the first half of 2004 pending the successful completion of the Hart-Scott-Rodino review process and other conditions.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Acquisitions</w:t>
      </w:r>
    </w:p>
    <w:p>
      <w:pPr>
        <w:spacing w:after="0" w:line="72"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 xml:space="preserve">Information on acquisitions made by Schlumberger or its subsidiaries appears under the heading “Acquisitions” on page 49 of this Report within the </w:t>
      </w:r>
      <w:r>
        <w:rPr>
          <w:rFonts w:ascii="Arial" w:cs="Arial" w:eastAsia="Arial" w:hAnsi="Arial"/>
          <w:sz w:val="18"/>
          <w:szCs w:val="18"/>
          <w:i w:val="1"/>
          <w:iCs w:val="1"/>
          <w:color w:val="auto"/>
        </w:rPr>
        <w:t>Notes to</w:t>
      </w:r>
      <w:r>
        <w:rPr>
          <w:rFonts w:ascii="Arial" w:cs="Arial" w:eastAsia="Arial" w:hAnsi="Arial"/>
          <w:sz w:val="18"/>
          <w:szCs w:val="18"/>
          <w:color w:val="auto"/>
        </w:rPr>
        <w:t xml:space="preserve"> </w:t>
      </w:r>
      <w:r>
        <w:rPr>
          <w:rFonts w:ascii="Arial" w:cs="Arial" w:eastAsia="Arial" w:hAnsi="Arial"/>
          <w:sz w:val="18"/>
          <w:szCs w:val="18"/>
          <w:i w:val="1"/>
          <w:iCs w:val="1"/>
          <w:color w:val="auto"/>
        </w:rPr>
        <w:t>Consolidated Financial Statements</w:t>
      </w:r>
      <w:r>
        <w:rPr>
          <w:rFonts w:ascii="Arial" w:cs="Arial" w:eastAsia="Arial" w:hAnsi="Arial"/>
          <w:sz w:val="18"/>
          <w:szCs w:val="18"/>
          <w:color w:val="auto"/>
        </w:rPr>
        <w:t>.</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&amp; Development</w:t>
      </w:r>
    </w:p>
    <w:p>
      <w:pPr>
        <w:spacing w:after="0" w:line="72" w:lineRule="exact"/>
        <w:rPr>
          <w:sz w:val="20"/>
          <w:szCs w:val="20"/>
          <w:color w:val="auto"/>
        </w:rPr>
      </w:pPr>
    </w:p>
    <w:p>
      <w:pPr>
        <w:ind w:right="140"/>
        <w:spacing w:after="0" w:line="332" w:lineRule="auto"/>
        <w:rPr>
          <w:sz w:val="20"/>
          <w:szCs w:val="20"/>
          <w:color w:val="auto"/>
        </w:rPr>
      </w:pPr>
      <w:r>
        <w:rPr>
          <w:rFonts w:ascii="Arial" w:cs="Arial" w:eastAsia="Arial" w:hAnsi="Arial"/>
          <w:sz w:val="16"/>
          <w:szCs w:val="16"/>
          <w:color w:val="auto"/>
        </w:rPr>
        <w:t>Research to support the engineering and development efforts of Schlumberger’s activities is conducted at Schlumberger Doll Research, Ridgefield, Connecticut, USA; Schlumberger Cambridge Research, Cambridge, England, and at Stavanger, Norway; Moscow, Russia and Dhahran, Saudi Arabia.</w:t>
      </w:r>
    </w:p>
    <w:p>
      <w:pPr>
        <w:spacing w:after="0" w:line="69" w:lineRule="exact"/>
        <w:rPr>
          <w:sz w:val="20"/>
          <w:szCs w:val="20"/>
          <w:color w:val="auto"/>
        </w:rPr>
      </w:pPr>
    </w:p>
    <w:p>
      <w:pPr>
        <w:spacing w:after="0"/>
        <w:tabs>
          <w:tab w:leader="none" w:pos="10400" w:val="left"/>
        </w:tabs>
        <w:rPr>
          <w:sz w:val="20"/>
          <w:szCs w:val="20"/>
          <w:color w:val="auto"/>
        </w:rPr>
      </w:pPr>
      <w:r>
        <w:rPr>
          <w:rFonts w:ascii="Arial" w:cs="Arial" w:eastAsia="Arial" w:hAnsi="Arial"/>
          <w:sz w:val="14"/>
          <w:szCs w:val="14"/>
          <w:color w:val="auto"/>
        </w:rPr>
        <w:t>5 / SLB</w:t>
      </w:r>
      <w:r>
        <w:rPr>
          <w:sz w:val="20"/>
          <w:szCs w:val="20"/>
          <w:color w:val="auto"/>
        </w:rPr>
        <w:tab/>
      </w:r>
      <w:r>
        <w:rPr>
          <w:rFonts w:ascii="Arial" w:cs="Arial" w:eastAsia="Arial" w:hAnsi="Arial"/>
          <w:sz w:val="12"/>
          <w:szCs w:val="12"/>
          <w:color w:val="auto"/>
        </w:rPr>
        <w:t>2003 FORM 10-K</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4"/>
          <w:szCs w:val="14"/>
          <w:color w:val="auto"/>
        </w:rPr>
        <w:t>Part 1, Item 1</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Patents</w:t>
      </w:r>
    </w:p>
    <w:p>
      <w:pPr>
        <w:spacing w:after="0" w:line="72" w:lineRule="exact"/>
        <w:rPr>
          <w:sz w:val="20"/>
          <w:szCs w:val="20"/>
          <w:color w:val="auto"/>
        </w:rPr>
      </w:pPr>
    </w:p>
    <w:p>
      <w:pPr>
        <w:spacing w:after="0"/>
        <w:rPr>
          <w:sz w:val="20"/>
          <w:szCs w:val="20"/>
          <w:color w:val="auto"/>
        </w:rPr>
      </w:pPr>
      <w:r>
        <w:rPr>
          <w:rFonts w:ascii="Arial" w:cs="Arial" w:eastAsia="Arial" w:hAnsi="Arial"/>
          <w:sz w:val="16"/>
          <w:szCs w:val="16"/>
          <w:color w:val="auto"/>
        </w:rPr>
        <w:t>While Schlumberger seeks and holds numerous patents, no particular patent or group of patents is considered material to Schlumberger’s business.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Seasonality</w:t>
      </w:r>
    </w:p>
    <w:p>
      <w:pPr>
        <w:spacing w:after="0" w:line="72"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Although weather and natural phenomena can temporarily affect delivery of oilfield services, the widespread geographic location of such services precludes the overall business from being characterized as seasonal. However, because oilfield services are provided predominantly in the Northern Hemisphere, severe weather can temporarily affect the delivery of such services and products.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Customers and Backlog of Orders</w:t>
      </w:r>
    </w:p>
    <w:p>
      <w:pPr>
        <w:spacing w:after="0" w:line="72"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No single customer exceeded 10% of consolidated revenue. Oilfield Services has no backlog since it is primarily service rather than product related. SchlumbergerSema backlog at December 31, 2003 was $5.2 billion of which $1.9 billion is the subsequent twelve month backlog. At December 31, 2002, the SchlumbergerSema backlog was $4.7 billion of which $1.5 billion was the subsequent twelve month backlog. The orders are believed to be firm but there is no assurance that any of the current backlog will actually result in sales.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Government Contracts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No material portion of Schlumberger’s business is subject to renegotiation of profits or termination of contracts by the US or other governments.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2003, Schlumberger had approximately 77,000 employees which included 25,000 SchlumbergerSema employees.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Non-US Operations</w:t>
      </w:r>
    </w:p>
    <w:p>
      <w:pPr>
        <w:spacing w:after="0" w:line="72"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Schlumberger’s non-US operations are subject to the usual risks which may affect such operations. Such risks include unsettled political conditions in certain areas, exposure to possible expropriation or other governmental actions, exchange controls, and currency fluctuations. Although it is impossible to predict such occurrences or their effect on Schlumberger, management believes these risks are acceptable.</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Environmental Protection</w:t>
      </w:r>
    </w:p>
    <w:p>
      <w:pPr>
        <w:spacing w:after="0" w:line="72" w:lineRule="exact"/>
        <w:rPr>
          <w:sz w:val="20"/>
          <w:szCs w:val="20"/>
          <w:color w:val="auto"/>
        </w:rPr>
      </w:pPr>
    </w:p>
    <w:p>
      <w:pPr>
        <w:jc w:val="both"/>
        <w:ind w:right="160"/>
        <w:spacing w:after="0" w:line="259" w:lineRule="auto"/>
        <w:rPr>
          <w:sz w:val="20"/>
          <w:szCs w:val="20"/>
          <w:color w:val="auto"/>
        </w:rPr>
      </w:pPr>
      <w:r>
        <w:rPr>
          <w:rFonts w:ascii="Arial" w:cs="Arial" w:eastAsia="Arial" w:hAnsi="Arial"/>
          <w:sz w:val="18"/>
          <w:szCs w:val="18"/>
          <w:color w:val="auto"/>
        </w:rPr>
        <w:t xml:space="preserve">Compliance with governmental provisions relating to the protection of the environment does not materially affect Schlumberger’s capital expenditures, earnings or competitive position. Management believes that Schlumberger is currently in substantial compliance with applicable environmental laws and regulations. For more information, see </w:t>
      </w:r>
      <w:r>
        <w:rPr>
          <w:rFonts w:ascii="Arial" w:cs="Arial" w:eastAsia="Arial" w:hAnsi="Arial"/>
          <w:sz w:val="18"/>
          <w:szCs w:val="18"/>
          <w:i w:val="1"/>
          <w:iCs w:val="1"/>
          <w:color w:val="auto"/>
        </w:rPr>
        <w:t>Environmental Matters</w:t>
      </w:r>
      <w:r>
        <w:rPr>
          <w:rFonts w:ascii="Arial" w:cs="Arial" w:eastAsia="Arial" w:hAnsi="Arial"/>
          <w:sz w:val="18"/>
          <w:szCs w:val="18"/>
          <w:color w:val="auto"/>
        </w:rPr>
        <w:t xml:space="preserve"> on page 32 of this Report.</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Information</w:t>
      </w:r>
    </w:p>
    <w:p>
      <w:pPr>
        <w:spacing w:after="0" w:line="72" w:lineRule="exact"/>
        <w:rPr>
          <w:sz w:val="20"/>
          <w:szCs w:val="20"/>
          <w:color w:val="auto"/>
        </w:rPr>
      </w:pPr>
    </w:p>
    <w:p>
      <w:pPr>
        <w:jc w:val="both"/>
        <w:ind w:right="160"/>
        <w:spacing w:after="0" w:line="268" w:lineRule="auto"/>
        <w:rPr>
          <w:sz w:val="20"/>
          <w:szCs w:val="20"/>
          <w:color w:val="auto"/>
        </w:rPr>
      </w:pPr>
      <w:r>
        <w:rPr>
          <w:rFonts w:ascii="Arial" w:cs="Arial" w:eastAsia="Arial" w:hAnsi="Arial"/>
          <w:sz w:val="18"/>
          <w:szCs w:val="18"/>
          <w:color w:val="auto"/>
        </w:rPr>
        <w:t xml:space="preserve">Financial information by business segment for the years ended December 31, 2003, 2002 and 2001 is given on pages 60 to 63 of this Report, within the </w:t>
      </w:r>
      <w:r>
        <w:rPr>
          <w:rFonts w:ascii="Arial" w:cs="Arial" w:eastAsia="Arial" w:hAnsi="Arial"/>
          <w:sz w:val="18"/>
          <w:szCs w:val="18"/>
          <w:i w:val="1"/>
          <w:iCs w:val="1"/>
          <w:color w:val="auto"/>
        </w:rPr>
        <w:t>Notes to</w:t>
      </w:r>
      <w:r>
        <w:rPr>
          <w:rFonts w:ascii="Arial" w:cs="Arial" w:eastAsia="Arial" w:hAnsi="Arial"/>
          <w:sz w:val="18"/>
          <w:szCs w:val="18"/>
          <w:color w:val="auto"/>
        </w:rPr>
        <w:t xml:space="preserve"> </w:t>
      </w:r>
      <w:r>
        <w:rPr>
          <w:rFonts w:ascii="Arial" w:cs="Arial" w:eastAsia="Arial" w:hAnsi="Arial"/>
          <w:sz w:val="18"/>
          <w:szCs w:val="18"/>
          <w:i w:val="1"/>
          <w:iCs w:val="1"/>
          <w:color w:val="auto"/>
        </w:rPr>
        <w:t>Consolidated Financial Statements</w:t>
      </w:r>
      <w:r>
        <w:rPr>
          <w:rFonts w:ascii="Arial" w:cs="Arial" w:eastAsia="Arial" w:hAnsi="Arial"/>
          <w:sz w:val="18"/>
          <w:szCs w:val="18"/>
          <w:color w:val="auto"/>
        </w:rPr>
        <w:t>.</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Internet Website</w:t>
      </w:r>
    </w:p>
    <w:p>
      <w:pPr>
        <w:spacing w:after="0" w:line="72"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 xml:space="preserve">Schlumberger’s Internet website can be found at </w:t>
      </w:r>
      <w:r>
        <w:rPr>
          <w:rFonts w:ascii="Arial" w:cs="Arial" w:eastAsia="Arial" w:hAnsi="Arial"/>
          <w:sz w:val="18"/>
          <w:szCs w:val="18"/>
          <w:i w:val="1"/>
          <w:iCs w:val="1"/>
          <w:color w:val="auto"/>
        </w:rPr>
        <w:t>www.slb.com</w:t>
      </w:r>
      <w:r>
        <w:rPr>
          <w:rFonts w:ascii="Arial" w:cs="Arial" w:eastAsia="Arial" w:hAnsi="Arial"/>
          <w:sz w:val="18"/>
          <w:szCs w:val="18"/>
          <w:color w:val="auto"/>
        </w:rPr>
        <w:t xml:space="preserve">. Schlumberger makes available free of charge, or through our internet website at </w:t>
      </w:r>
      <w:r>
        <w:rPr>
          <w:rFonts w:ascii="Arial" w:cs="Arial" w:eastAsia="Arial" w:hAnsi="Arial"/>
          <w:sz w:val="18"/>
          <w:szCs w:val="18"/>
          <w:i w:val="1"/>
          <w:iCs w:val="1"/>
          <w:color w:val="auto"/>
        </w:rPr>
        <w:t>investorcenter.slb.com</w:t>
      </w:r>
      <w:r>
        <w:rPr>
          <w:rFonts w:ascii="Arial" w:cs="Arial" w:eastAsia="Arial" w:hAnsi="Arial"/>
          <w:sz w:val="18"/>
          <w:szCs w:val="18"/>
          <w:color w:val="auto"/>
        </w:rPr>
        <w:t>, access to its annual report on Form 10-K, quarterly reports on Form 10-Q, current reports on Form 8-K, our proxy statement and Forms 3,</w:t>
      </w:r>
      <w:r>
        <w:rPr>
          <w:rFonts w:ascii="Arial" w:cs="Arial" w:eastAsia="Arial" w:hAnsi="Arial"/>
          <w:sz w:val="18"/>
          <w:szCs w:val="18"/>
          <w:i w:val="1"/>
          <w:iCs w:val="1"/>
          <w:color w:val="auto"/>
        </w:rPr>
        <w:t xml:space="preserve"> </w:t>
      </w:r>
      <w:r>
        <w:rPr>
          <w:rFonts w:ascii="Arial" w:cs="Arial" w:eastAsia="Arial" w:hAnsi="Arial"/>
          <w:sz w:val="18"/>
          <w:szCs w:val="18"/>
          <w:color w:val="auto"/>
        </w:rPr>
        <w:t>4 and 5 filed on behalf of</w:t>
      </w:r>
    </w:p>
    <w:p>
      <w:pPr>
        <w:spacing w:after="0" w:line="124" w:lineRule="exact"/>
        <w:rPr>
          <w:sz w:val="20"/>
          <w:szCs w:val="20"/>
          <w:color w:val="auto"/>
        </w:rPr>
      </w:pPr>
    </w:p>
    <w:p>
      <w:pPr>
        <w:spacing w:after="0"/>
        <w:tabs>
          <w:tab w:leader="none" w:pos="10400" w:val="left"/>
        </w:tabs>
        <w:rPr>
          <w:sz w:val="20"/>
          <w:szCs w:val="20"/>
          <w:color w:val="auto"/>
        </w:rPr>
      </w:pPr>
      <w:r>
        <w:rPr>
          <w:rFonts w:ascii="Arial" w:cs="Arial" w:eastAsia="Arial" w:hAnsi="Arial"/>
          <w:sz w:val="14"/>
          <w:szCs w:val="14"/>
          <w:color w:val="auto"/>
        </w:rPr>
        <w:t>6 / SLB</w:t>
      </w:r>
      <w:r>
        <w:rPr>
          <w:sz w:val="20"/>
          <w:szCs w:val="20"/>
          <w:color w:val="auto"/>
        </w:rPr>
        <w:tab/>
      </w:r>
      <w:r>
        <w:rPr>
          <w:rFonts w:ascii="Arial" w:cs="Arial" w:eastAsia="Arial" w:hAnsi="Arial"/>
          <w:sz w:val="12"/>
          <w:szCs w:val="12"/>
          <w:color w:val="auto"/>
        </w:rPr>
        <w:t>2003 FORM 10-K</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4"/>
          <w:szCs w:val="14"/>
          <w:color w:val="auto"/>
        </w:rPr>
        <w:t>Part 1, Item 1, 2, 3, 4</w:t>
      </w:r>
    </w:p>
    <w:p>
      <w:pPr>
        <w:spacing w:after="0" w:line="58" w:lineRule="exact"/>
        <w:rPr>
          <w:sz w:val="20"/>
          <w:szCs w:val="20"/>
          <w:color w:val="auto"/>
        </w:rPr>
      </w:pPr>
    </w:p>
    <w:p>
      <w:pPr>
        <w:ind w:right="40"/>
        <w:spacing w:after="0" w:line="283" w:lineRule="auto"/>
        <w:rPr>
          <w:sz w:val="20"/>
          <w:szCs w:val="20"/>
          <w:color w:val="auto"/>
        </w:rPr>
      </w:pPr>
      <w:r>
        <w:rPr>
          <w:rFonts w:ascii="Arial" w:cs="Arial" w:eastAsia="Arial" w:hAnsi="Arial"/>
          <w:sz w:val="16"/>
          <w:szCs w:val="16"/>
          <w:color w:val="auto"/>
        </w:rPr>
        <w:t xml:space="preserve">directors and executive officers and amendments to those reports filed pursuant to Section 13(a) or 15(d) of the Exchange Act as soon as reasonably practicable after such material is filed, or furnished to the Securities and Exchange Commission (“SEC”). Additionally, Schlumberger’s corporate governance materials, including Board Committee Charters, Corporate Governance Guidelines, and Code of Ethics may also be found on </w:t>
      </w:r>
      <w:r>
        <w:rPr>
          <w:rFonts w:ascii="Arial" w:cs="Arial" w:eastAsia="Arial" w:hAnsi="Arial"/>
          <w:sz w:val="16"/>
          <w:szCs w:val="16"/>
          <w:i w:val="1"/>
          <w:iCs w:val="1"/>
          <w:color w:val="auto"/>
        </w:rPr>
        <w:t>investorcenter.slb.com</w:t>
      </w:r>
      <w:r>
        <w:rPr>
          <w:rFonts w:ascii="Arial" w:cs="Arial" w:eastAsia="Arial" w:hAnsi="Arial"/>
          <w:sz w:val="16"/>
          <w:szCs w:val="16"/>
          <w:color w:val="auto"/>
        </w:rPr>
        <w:t>. From time to time to time corporate governance materials on our website may be updated to comply with rules issued by the SEC and the New York Stock Exchange (“NYSE”) or as desirable to promote the effective governance of Schlumberger. Any stockholder wishing to receive, without charge, a copy of any of the SEC filings or corporate governance materials should write the Secretary, Schlumberger Limited, 153 East 53rd Street, 57th Floor, New York, New York, 10022.</w:t>
      </w:r>
    </w:p>
    <w:p>
      <w:pPr>
        <w:spacing w:after="0" w:line="1" w:lineRule="exact"/>
        <w:rPr>
          <w:sz w:val="20"/>
          <w:szCs w:val="20"/>
          <w:color w:val="auto"/>
        </w:rPr>
      </w:pPr>
    </w:p>
    <w:p>
      <w:pPr>
        <w:ind w:firstLine="228"/>
        <w:spacing w:after="0" w:line="261" w:lineRule="auto"/>
        <w:rPr>
          <w:sz w:val="20"/>
          <w:szCs w:val="20"/>
          <w:color w:val="auto"/>
        </w:rPr>
      </w:pPr>
      <w:r>
        <w:rPr>
          <w:rFonts w:ascii="Arial" w:cs="Arial" w:eastAsia="Arial" w:hAnsi="Arial"/>
          <w:sz w:val="18"/>
          <w:szCs w:val="18"/>
          <w:color w:val="auto"/>
        </w:rPr>
        <w:t>The reference to this website address does not constitute incorporation by reference of the information contained on the website and should not be construed as part of this report.</w:t>
      </w:r>
    </w:p>
    <w:p>
      <w:pPr>
        <w:spacing w:after="0" w:line="114"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Properties</w:t>
      </w:r>
    </w:p>
    <w:p>
      <w:pPr>
        <w:spacing w:after="0" w:line="74" w:lineRule="exact"/>
        <w:rPr>
          <w:sz w:val="20"/>
          <w:szCs w:val="20"/>
          <w:color w:val="auto"/>
        </w:rPr>
      </w:pPr>
    </w:p>
    <w:p>
      <w:pPr>
        <w:ind w:right="200"/>
        <w:spacing w:after="0" w:line="283" w:lineRule="auto"/>
        <w:rPr>
          <w:sz w:val="20"/>
          <w:szCs w:val="20"/>
          <w:color w:val="auto"/>
        </w:rPr>
      </w:pPr>
      <w:r>
        <w:rPr>
          <w:rFonts w:ascii="Arial" w:cs="Arial" w:eastAsia="Arial" w:hAnsi="Arial"/>
          <w:sz w:val="16"/>
          <w:szCs w:val="16"/>
          <w:color w:val="auto"/>
        </w:rPr>
        <w:t>Schlumberger owns or leases manufacturing facilities, administrative offices, service centers, research centers, sales offices and warehouses in North and South America, Europe, Africa, Asia and Australia. Some facilities are owned and some are held through long-term leases. No significant lease is scheduled to terminate in the near future, and Schlumberger believes comparable space is readily obtainable should any lease expire without renewal. Schlumberger believes all of its properties are generally well maintained and adequate for the intended use.</w:t>
      </w:r>
    </w:p>
    <w:p>
      <w:pPr>
        <w:spacing w:after="0" w:line="3" w:lineRule="exact"/>
        <w:rPr>
          <w:sz w:val="20"/>
          <w:szCs w:val="20"/>
          <w:color w:val="auto"/>
        </w:rPr>
      </w:pPr>
    </w:p>
    <w:p>
      <w:pPr>
        <w:ind w:right="20" w:firstLine="228"/>
        <w:spacing w:after="0" w:line="281" w:lineRule="auto"/>
        <w:rPr>
          <w:sz w:val="20"/>
          <w:szCs w:val="20"/>
          <w:color w:val="auto"/>
        </w:rPr>
      </w:pPr>
      <w:r>
        <w:rPr>
          <w:rFonts w:ascii="Arial" w:cs="Arial" w:eastAsia="Arial" w:hAnsi="Arial"/>
          <w:sz w:val="16"/>
          <w:szCs w:val="16"/>
          <w:color w:val="auto"/>
        </w:rPr>
        <w:t>Outside the United States the principal owned or leased facilities of Oilfield Services are located in Hassi Massoud, Algeria; Luanda, Angola; Perth, Australia; Baku, Azerbaijhan; Rio de Janeiro, Brazil; Calgary and Edmonton, Canada; Beijing, China; Bogota, Colombia; Cairo, Egypt; Clamart and Paris, France; Bombay, India; Balikpapan and Jakarta, Indonesia; Milan, Italy; Fuchinobe, Japan; Atyrau, Kazakhstan; Kuwait City, Kuwait; Kuala Lumpur, Malaysia; Mexico City and Reynosa, Mexico; Port Harcourt, Nigeria; Belfast, Northern Ireland; Stavanger, Norway; Doha, Qatar; Moscow, Russia; Al-Khobar, Saudi Arabia; Singapore; Bangkok, Thailand; Abu Dhabi and Dubai, United Arab Emirates; Aberdeen and Stonehouse, United Kingdom; and Caracas, Venezuela.</w:t>
      </w:r>
    </w:p>
    <w:p>
      <w:pPr>
        <w:spacing w:after="0" w:line="3" w:lineRule="exact"/>
        <w:rPr>
          <w:sz w:val="20"/>
          <w:szCs w:val="20"/>
          <w:color w:val="auto"/>
        </w:rPr>
      </w:pPr>
    </w:p>
    <w:p>
      <w:pPr>
        <w:ind w:right="420" w:firstLine="228"/>
        <w:spacing w:after="0" w:line="250" w:lineRule="auto"/>
        <w:rPr>
          <w:sz w:val="20"/>
          <w:szCs w:val="20"/>
          <w:color w:val="auto"/>
        </w:rPr>
      </w:pPr>
      <w:r>
        <w:rPr>
          <w:rFonts w:ascii="Arial" w:cs="Arial" w:eastAsia="Arial" w:hAnsi="Arial"/>
          <w:sz w:val="18"/>
          <w:szCs w:val="18"/>
          <w:color w:val="auto"/>
        </w:rPr>
        <w:t>Within the United States, the principal owned or leased facilities of Oilfield Services are located in Anchorage, Alaska; Lawrence, Kansas; New Orleans, Louisiana; Bartlesville, Oklahoma; and Houston, Rosharon and Sugar Land, Texas.</w:t>
      </w:r>
    </w:p>
    <w:p>
      <w:pPr>
        <w:spacing w:after="0" w:line="1" w:lineRule="exact"/>
        <w:rPr>
          <w:sz w:val="20"/>
          <w:szCs w:val="20"/>
          <w:color w:val="auto"/>
        </w:rPr>
      </w:pPr>
    </w:p>
    <w:p>
      <w:pPr>
        <w:jc w:val="center"/>
        <w:ind w:right="20"/>
        <w:spacing w:after="0" w:line="281" w:lineRule="auto"/>
        <w:rPr>
          <w:sz w:val="20"/>
          <w:szCs w:val="20"/>
          <w:color w:val="auto"/>
        </w:rPr>
      </w:pPr>
      <w:r>
        <w:rPr>
          <w:rFonts w:ascii="Arial" w:cs="Arial" w:eastAsia="Arial" w:hAnsi="Arial"/>
          <w:sz w:val="16"/>
          <w:szCs w:val="16"/>
          <w:color w:val="auto"/>
        </w:rPr>
        <w:t>Within the United States, the principal owned or leased facilities of WesternGeco are located in Denver, Colorado; Dead Horse, Alaska, and Houston, Texas. Outside the United States, the principal owned or leased facilities of WesternGeco are located in Hassi Mesaoud, Algeria; Luanda, Angola; Perth, Australia; Baku, Azerbaijan; Rio de Janeiro, Brazil; Calgary, Canada; Cairo, Egypt; Jakarta, Indonesia; Atyrau, Kazakhstan; Kuwait City, Kuwait; Kuala Lumpur, Malaysia; Mexico City and Poza Rica, Mexico; Lagos, Nigeria; Bergen, Oslo and Stavanger, Norway; Moscow, Russia; Al-Khobar, Saudi Arabia; Singapore; Abu Dhabi,</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Dubai and Jebel Ali, United Arab Emirates; Gatwick and London, United Kingdom; and Caracas, Venezuela.</w:t>
      </w:r>
    </w:p>
    <w:p>
      <w:pPr>
        <w:spacing w:after="0" w:line="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Other principal owned facilities were in Montrouge, France and Oconee, South Carolina.</w:t>
      </w:r>
    </w:p>
    <w:p>
      <w:pPr>
        <w:spacing w:after="0" w:line="14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Legal Proceedings</w:t>
      </w:r>
    </w:p>
    <w:p>
      <w:pPr>
        <w:spacing w:after="0" w:line="74" w:lineRule="exact"/>
        <w:rPr>
          <w:sz w:val="20"/>
          <w:szCs w:val="20"/>
          <w:color w:val="auto"/>
        </w:rPr>
      </w:pPr>
    </w:p>
    <w:p>
      <w:pPr>
        <w:ind w:right="820"/>
        <w:spacing w:after="0" w:line="268" w:lineRule="auto"/>
        <w:rPr>
          <w:sz w:val="20"/>
          <w:szCs w:val="20"/>
          <w:color w:val="auto"/>
        </w:rPr>
      </w:pPr>
      <w:r>
        <w:rPr>
          <w:rFonts w:ascii="Arial" w:cs="Arial" w:eastAsia="Arial" w:hAnsi="Arial"/>
          <w:sz w:val="18"/>
          <w:szCs w:val="18"/>
          <w:color w:val="auto"/>
        </w:rPr>
        <w:t xml:space="preserve">The information with respect to Item 3 is set forth under the heading </w:t>
      </w:r>
      <w:r>
        <w:rPr>
          <w:rFonts w:ascii="Arial" w:cs="Arial" w:eastAsia="Arial" w:hAnsi="Arial"/>
          <w:sz w:val="18"/>
          <w:szCs w:val="18"/>
          <w:i w:val="1"/>
          <w:iCs w:val="1"/>
          <w:color w:val="auto"/>
        </w:rPr>
        <w:t>Contingencies</w:t>
      </w:r>
      <w:r>
        <w:rPr>
          <w:rFonts w:ascii="Arial" w:cs="Arial" w:eastAsia="Arial" w:hAnsi="Arial"/>
          <w:sz w:val="18"/>
          <w:szCs w:val="18"/>
          <w:color w:val="auto"/>
        </w:rPr>
        <w:t xml:space="preserve"> page 60 of this Report, within the </w:t>
      </w:r>
      <w:r>
        <w:rPr>
          <w:rFonts w:ascii="Arial" w:cs="Arial" w:eastAsia="Arial" w:hAnsi="Arial"/>
          <w:sz w:val="18"/>
          <w:szCs w:val="18"/>
          <w:i w:val="1"/>
          <w:iCs w:val="1"/>
          <w:color w:val="auto"/>
        </w:rPr>
        <w:t>Notes to Consolidated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Statements</w:t>
      </w:r>
      <w:r>
        <w:rPr>
          <w:rFonts w:ascii="Arial" w:cs="Arial" w:eastAsia="Arial" w:hAnsi="Arial"/>
          <w:sz w:val="18"/>
          <w:szCs w:val="18"/>
          <w:color w:val="auto"/>
        </w:rPr>
        <w:t>.</w:t>
      </w:r>
    </w:p>
    <w:p>
      <w:pPr>
        <w:spacing w:after="0" w:line="108"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Submission of Matters to a Vote of Security Holders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No matters were submitted to a vote of Schlumberger’s security holders during the fourth quarter of the fiscal year covered by this report.</w:t>
      </w:r>
    </w:p>
    <w:p>
      <w:pPr>
        <w:spacing w:after="0" w:line="155" w:lineRule="exact"/>
        <w:rPr>
          <w:sz w:val="20"/>
          <w:szCs w:val="20"/>
          <w:color w:val="auto"/>
        </w:rPr>
      </w:pPr>
    </w:p>
    <w:p>
      <w:pPr>
        <w:spacing w:after="0"/>
        <w:tabs>
          <w:tab w:leader="none" w:pos="10400" w:val="left"/>
        </w:tabs>
        <w:rPr>
          <w:sz w:val="20"/>
          <w:szCs w:val="20"/>
          <w:color w:val="auto"/>
        </w:rPr>
      </w:pPr>
      <w:r>
        <w:rPr>
          <w:rFonts w:ascii="Arial" w:cs="Arial" w:eastAsia="Arial" w:hAnsi="Arial"/>
          <w:sz w:val="14"/>
          <w:szCs w:val="14"/>
          <w:color w:val="auto"/>
        </w:rPr>
        <w:t>7 / SLB</w:t>
      </w:r>
      <w:r>
        <w:rPr>
          <w:sz w:val="20"/>
          <w:szCs w:val="20"/>
          <w:color w:val="auto"/>
        </w:rPr>
        <w:tab/>
      </w:r>
      <w:r>
        <w:rPr>
          <w:rFonts w:ascii="Arial" w:cs="Arial" w:eastAsia="Arial" w:hAnsi="Arial"/>
          <w:sz w:val="12"/>
          <w:szCs w:val="12"/>
          <w:color w:val="auto"/>
        </w:rPr>
        <w:t>2003 FORM 10-K</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4"/>
          <w:szCs w:val="14"/>
          <w:color w:val="auto"/>
        </w:rPr>
        <w:t>Part 1, Item 4</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of Schlumberger</w:t>
      </w:r>
    </w:p>
    <w:p>
      <w:pPr>
        <w:spacing w:after="0" w:line="74"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Information with respect to the executive officers of Schlumberger and their ages as of February 28, 2004 is set forth below. The positions have been held for at least five years, except where stated.</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860" w:type="dxa"/>
            <w:vAlign w:val="bottom"/>
          </w:tcPr>
          <w:p>
            <w:pPr>
              <w:spacing w:after="0"/>
              <w:rPr>
                <w:sz w:val="20"/>
                <w:szCs w:val="20"/>
                <w:color w:val="auto"/>
              </w:rPr>
            </w:pPr>
            <w:r>
              <w:rPr>
                <w:rFonts w:ascii="Arial" w:cs="Arial" w:eastAsia="Arial" w:hAnsi="Arial"/>
                <w:sz w:val="14"/>
                <w:szCs w:val="14"/>
                <w:b w:val="1"/>
                <w:bCs w:val="1"/>
                <w:color w:val="auto"/>
              </w:rPr>
              <w:t>Name</w:t>
            </w:r>
          </w:p>
        </w:tc>
        <w:tc>
          <w:tcPr>
            <w:tcW w:w="900" w:type="dxa"/>
            <w:vAlign w:val="bottom"/>
          </w:tcPr>
          <w:p>
            <w:pPr>
              <w:jc w:val="right"/>
              <w:ind w:right="74"/>
              <w:spacing w:after="0"/>
              <w:rPr>
                <w:sz w:val="20"/>
                <w:szCs w:val="20"/>
                <w:color w:val="auto"/>
              </w:rPr>
            </w:pPr>
            <w:r>
              <w:rPr>
                <w:rFonts w:ascii="Arial" w:cs="Arial" w:eastAsia="Arial" w:hAnsi="Arial"/>
                <w:sz w:val="14"/>
                <w:szCs w:val="14"/>
                <w:b w:val="1"/>
                <w:bCs w:val="1"/>
                <w:color w:val="auto"/>
              </w:rPr>
              <w:t>Age</w:t>
            </w:r>
          </w:p>
        </w:tc>
        <w:tc>
          <w:tcPr>
            <w:tcW w:w="8660" w:type="dxa"/>
            <w:vAlign w:val="bottom"/>
          </w:tcPr>
          <w:p>
            <w:pPr>
              <w:ind w:left="180"/>
              <w:spacing w:after="0"/>
              <w:rPr>
                <w:sz w:val="20"/>
                <w:szCs w:val="20"/>
                <w:color w:val="auto"/>
              </w:rPr>
            </w:pPr>
            <w:r>
              <w:rPr>
                <w:rFonts w:ascii="Arial" w:cs="Arial" w:eastAsia="Arial" w:hAnsi="Arial"/>
                <w:sz w:val="14"/>
                <w:szCs w:val="14"/>
                <w:b w:val="1"/>
                <w:bCs w:val="1"/>
                <w:color w:val="auto"/>
              </w:rPr>
              <w:t>Present Position and Five-Year Business Experience</w:t>
            </w:r>
          </w:p>
        </w:tc>
      </w:tr>
      <w:tr>
        <w:trPr>
          <w:trHeight w:val="95"/>
        </w:trPr>
        <w:tc>
          <w:tcPr>
            <w:tcW w:w="186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8660" w:type="dxa"/>
            <w:vAlign w:val="bottom"/>
            <w:tcBorders>
              <w:bottom w:val="single" w:sz="8" w:color="auto"/>
            </w:tcBorders>
          </w:tcPr>
          <w:p>
            <w:pPr>
              <w:spacing w:after="0"/>
              <w:rPr>
                <w:sz w:val="8"/>
                <w:szCs w:val="8"/>
                <w:color w:val="auto"/>
              </w:rPr>
            </w:pPr>
          </w:p>
        </w:tc>
      </w:tr>
      <w:tr>
        <w:trPr>
          <w:trHeight w:val="417"/>
        </w:trPr>
        <w:tc>
          <w:tcPr>
            <w:tcW w:w="1860" w:type="dxa"/>
            <w:vAlign w:val="bottom"/>
          </w:tcPr>
          <w:p>
            <w:pPr>
              <w:spacing w:after="0"/>
              <w:rPr>
                <w:sz w:val="20"/>
                <w:szCs w:val="20"/>
                <w:color w:val="auto"/>
              </w:rPr>
            </w:pPr>
            <w:r>
              <w:rPr>
                <w:rFonts w:ascii="Arial" w:cs="Arial" w:eastAsia="Arial" w:hAnsi="Arial"/>
                <w:sz w:val="18"/>
                <w:szCs w:val="18"/>
                <w:color w:val="auto"/>
              </w:rPr>
              <w:t>Andrew Gould</w:t>
            </w:r>
          </w:p>
        </w:tc>
        <w:tc>
          <w:tcPr>
            <w:tcW w:w="900" w:type="dxa"/>
            <w:vAlign w:val="bottom"/>
          </w:tcPr>
          <w:p>
            <w:pPr>
              <w:jc w:val="right"/>
              <w:ind w:right="74"/>
              <w:spacing w:after="0"/>
              <w:rPr>
                <w:sz w:val="20"/>
                <w:szCs w:val="20"/>
                <w:color w:val="auto"/>
              </w:rPr>
            </w:pPr>
            <w:r>
              <w:rPr>
                <w:rFonts w:ascii="Arial" w:cs="Arial" w:eastAsia="Arial" w:hAnsi="Arial"/>
                <w:sz w:val="18"/>
                <w:szCs w:val="18"/>
                <w:color w:val="auto"/>
              </w:rPr>
              <w:t>57</w:t>
            </w:r>
          </w:p>
        </w:tc>
        <w:tc>
          <w:tcPr>
            <w:tcW w:w="8660" w:type="dxa"/>
            <w:vAlign w:val="bottom"/>
          </w:tcPr>
          <w:p>
            <w:pPr>
              <w:ind w:left="180"/>
              <w:spacing w:after="0"/>
              <w:rPr>
                <w:sz w:val="20"/>
                <w:szCs w:val="20"/>
                <w:color w:val="auto"/>
              </w:rPr>
            </w:pPr>
            <w:r>
              <w:rPr>
                <w:rFonts w:ascii="Arial" w:cs="Arial" w:eastAsia="Arial" w:hAnsi="Arial"/>
                <w:sz w:val="18"/>
                <w:szCs w:val="18"/>
                <w:color w:val="auto"/>
                <w:w w:val="92"/>
              </w:rPr>
              <w:t>Chairman and Chief Executive Officer, since February 2003; President and Chief Operating Officer, March 2002 to</w:t>
            </w:r>
          </w:p>
        </w:tc>
      </w:tr>
      <w:tr>
        <w:trPr>
          <w:trHeight w:val="216"/>
        </w:trPr>
        <w:tc>
          <w:tcPr>
            <w:tcW w:w="18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660" w:type="dxa"/>
            <w:vAlign w:val="bottom"/>
          </w:tcPr>
          <w:p>
            <w:pPr>
              <w:ind w:left="180"/>
              <w:spacing w:after="0"/>
              <w:rPr>
                <w:sz w:val="20"/>
                <w:szCs w:val="20"/>
                <w:color w:val="auto"/>
              </w:rPr>
            </w:pPr>
            <w:r>
              <w:rPr>
                <w:rFonts w:ascii="Arial" w:cs="Arial" w:eastAsia="Arial" w:hAnsi="Arial"/>
                <w:sz w:val="18"/>
                <w:szCs w:val="18"/>
                <w:color w:val="auto"/>
                <w:w w:val="96"/>
              </w:rPr>
              <w:t>February 2003; Executive Vice President – Oilfield Services, January 1999 to March 2002; and Executive Vice</w:t>
            </w:r>
          </w:p>
        </w:tc>
      </w:tr>
      <w:tr>
        <w:trPr>
          <w:trHeight w:val="222"/>
        </w:trPr>
        <w:tc>
          <w:tcPr>
            <w:tcW w:w="18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660" w:type="dxa"/>
            <w:vAlign w:val="bottom"/>
          </w:tcPr>
          <w:p>
            <w:pPr>
              <w:ind w:left="180"/>
              <w:spacing w:after="0"/>
              <w:rPr>
                <w:sz w:val="20"/>
                <w:szCs w:val="20"/>
                <w:color w:val="auto"/>
              </w:rPr>
            </w:pPr>
            <w:r>
              <w:rPr>
                <w:rFonts w:ascii="Arial" w:cs="Arial" w:eastAsia="Arial" w:hAnsi="Arial"/>
                <w:sz w:val="18"/>
                <w:szCs w:val="18"/>
                <w:color w:val="auto"/>
              </w:rPr>
              <w:t>President – OFS Products, February 1998 to January 1999.</w:t>
            </w:r>
          </w:p>
        </w:tc>
      </w:tr>
      <w:tr>
        <w:trPr>
          <w:trHeight w:val="318"/>
        </w:trPr>
        <w:tc>
          <w:tcPr>
            <w:tcW w:w="1860" w:type="dxa"/>
            <w:vAlign w:val="bottom"/>
          </w:tcPr>
          <w:p>
            <w:pPr>
              <w:spacing w:after="0"/>
              <w:rPr>
                <w:sz w:val="20"/>
                <w:szCs w:val="20"/>
                <w:color w:val="auto"/>
              </w:rPr>
            </w:pPr>
            <w:r>
              <w:rPr>
                <w:rFonts w:ascii="Arial" w:cs="Arial" w:eastAsia="Arial" w:hAnsi="Arial"/>
                <w:sz w:val="18"/>
                <w:szCs w:val="18"/>
                <w:color w:val="auto"/>
              </w:rPr>
              <w:t>Jean-Marc Perraud</w:t>
            </w:r>
          </w:p>
        </w:tc>
        <w:tc>
          <w:tcPr>
            <w:tcW w:w="900" w:type="dxa"/>
            <w:vAlign w:val="bottom"/>
          </w:tcPr>
          <w:p>
            <w:pPr>
              <w:jc w:val="right"/>
              <w:ind w:right="74"/>
              <w:spacing w:after="0"/>
              <w:rPr>
                <w:sz w:val="20"/>
                <w:szCs w:val="20"/>
                <w:color w:val="auto"/>
              </w:rPr>
            </w:pPr>
            <w:r>
              <w:rPr>
                <w:rFonts w:ascii="Arial" w:cs="Arial" w:eastAsia="Arial" w:hAnsi="Arial"/>
                <w:sz w:val="18"/>
                <w:szCs w:val="18"/>
                <w:color w:val="auto"/>
              </w:rPr>
              <w:t>56</w:t>
            </w:r>
          </w:p>
        </w:tc>
        <w:tc>
          <w:tcPr>
            <w:tcW w:w="8660" w:type="dxa"/>
            <w:vAlign w:val="bottom"/>
          </w:tcPr>
          <w:p>
            <w:pPr>
              <w:ind w:left="180"/>
              <w:spacing w:after="0"/>
              <w:rPr>
                <w:sz w:val="20"/>
                <w:szCs w:val="20"/>
                <w:color w:val="auto"/>
              </w:rPr>
            </w:pPr>
            <w:r>
              <w:rPr>
                <w:rFonts w:ascii="Arial" w:cs="Arial" w:eastAsia="Arial" w:hAnsi="Arial"/>
                <w:sz w:val="18"/>
                <w:szCs w:val="18"/>
                <w:color w:val="auto"/>
                <w:w w:val="94"/>
              </w:rPr>
              <w:t>Executive Vice President and Chief Financial Officer, since March 2002; Controller and Chief Accounting Officer,</w:t>
            </w:r>
          </w:p>
        </w:tc>
      </w:tr>
      <w:tr>
        <w:trPr>
          <w:trHeight w:val="216"/>
        </w:trPr>
        <w:tc>
          <w:tcPr>
            <w:tcW w:w="18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660" w:type="dxa"/>
            <w:vAlign w:val="bottom"/>
          </w:tcPr>
          <w:p>
            <w:pPr>
              <w:ind w:left="180"/>
              <w:spacing w:after="0"/>
              <w:rPr>
                <w:sz w:val="20"/>
                <w:szCs w:val="20"/>
                <w:color w:val="auto"/>
              </w:rPr>
            </w:pPr>
            <w:r>
              <w:rPr>
                <w:rFonts w:ascii="Arial" w:cs="Arial" w:eastAsia="Arial" w:hAnsi="Arial"/>
                <w:sz w:val="18"/>
                <w:szCs w:val="18"/>
                <w:color w:val="auto"/>
                <w:w w:val="90"/>
              </w:rPr>
              <w:t>April 2001 to March 2002; Treasurer, January 1999 to May 2001; and Vice President – Director of Taxes, May 1993 to</w:t>
            </w:r>
          </w:p>
        </w:tc>
      </w:tr>
      <w:tr>
        <w:trPr>
          <w:trHeight w:val="222"/>
        </w:trPr>
        <w:tc>
          <w:tcPr>
            <w:tcW w:w="18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660" w:type="dxa"/>
            <w:vAlign w:val="bottom"/>
          </w:tcPr>
          <w:p>
            <w:pPr>
              <w:ind w:left="180"/>
              <w:spacing w:after="0"/>
              <w:rPr>
                <w:sz w:val="20"/>
                <w:szCs w:val="20"/>
                <w:color w:val="auto"/>
              </w:rPr>
            </w:pPr>
            <w:r>
              <w:rPr>
                <w:rFonts w:ascii="Arial" w:cs="Arial" w:eastAsia="Arial" w:hAnsi="Arial"/>
                <w:sz w:val="18"/>
                <w:szCs w:val="18"/>
                <w:color w:val="auto"/>
              </w:rPr>
              <w:t>January 1999.</w:t>
            </w:r>
          </w:p>
        </w:tc>
      </w:tr>
      <w:tr>
        <w:trPr>
          <w:trHeight w:val="318"/>
        </w:trPr>
        <w:tc>
          <w:tcPr>
            <w:tcW w:w="1860" w:type="dxa"/>
            <w:vAlign w:val="bottom"/>
          </w:tcPr>
          <w:p>
            <w:pPr>
              <w:spacing w:after="0"/>
              <w:rPr>
                <w:sz w:val="20"/>
                <w:szCs w:val="20"/>
                <w:color w:val="auto"/>
              </w:rPr>
            </w:pPr>
            <w:r>
              <w:rPr>
                <w:rFonts w:ascii="Arial" w:cs="Arial" w:eastAsia="Arial" w:hAnsi="Arial"/>
                <w:sz w:val="18"/>
                <w:szCs w:val="18"/>
                <w:color w:val="auto"/>
              </w:rPr>
              <w:t>Chakib Sbiti</w:t>
            </w:r>
          </w:p>
        </w:tc>
        <w:tc>
          <w:tcPr>
            <w:tcW w:w="900" w:type="dxa"/>
            <w:vAlign w:val="bottom"/>
          </w:tcPr>
          <w:p>
            <w:pPr>
              <w:jc w:val="right"/>
              <w:ind w:right="74"/>
              <w:spacing w:after="0"/>
              <w:rPr>
                <w:sz w:val="20"/>
                <w:szCs w:val="20"/>
                <w:color w:val="auto"/>
              </w:rPr>
            </w:pPr>
            <w:r>
              <w:rPr>
                <w:rFonts w:ascii="Arial" w:cs="Arial" w:eastAsia="Arial" w:hAnsi="Arial"/>
                <w:sz w:val="18"/>
                <w:szCs w:val="18"/>
                <w:color w:val="auto"/>
              </w:rPr>
              <w:t>49</w:t>
            </w:r>
          </w:p>
        </w:tc>
        <w:tc>
          <w:tcPr>
            <w:tcW w:w="8660" w:type="dxa"/>
            <w:vAlign w:val="bottom"/>
          </w:tcPr>
          <w:p>
            <w:pPr>
              <w:ind w:left="180"/>
              <w:spacing w:after="0"/>
              <w:rPr>
                <w:sz w:val="20"/>
                <w:szCs w:val="20"/>
                <w:color w:val="auto"/>
              </w:rPr>
            </w:pPr>
            <w:r>
              <w:rPr>
                <w:rFonts w:ascii="Arial" w:cs="Arial" w:eastAsia="Arial" w:hAnsi="Arial"/>
                <w:sz w:val="18"/>
                <w:szCs w:val="18"/>
                <w:color w:val="auto"/>
                <w:w w:val="90"/>
              </w:rPr>
              <w:t>Executive Vice President, since February 2003; President Oilfield Services Middle East &amp; Asia, July 2001 to February</w:t>
            </w:r>
          </w:p>
        </w:tc>
      </w:tr>
      <w:tr>
        <w:trPr>
          <w:trHeight w:val="216"/>
        </w:trPr>
        <w:tc>
          <w:tcPr>
            <w:tcW w:w="18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660" w:type="dxa"/>
            <w:vAlign w:val="bottom"/>
          </w:tcPr>
          <w:p>
            <w:pPr>
              <w:ind w:left="180"/>
              <w:spacing w:after="0"/>
              <w:rPr>
                <w:sz w:val="20"/>
                <w:szCs w:val="20"/>
                <w:color w:val="auto"/>
              </w:rPr>
            </w:pPr>
            <w:r>
              <w:rPr>
                <w:rFonts w:ascii="Arial" w:cs="Arial" w:eastAsia="Arial" w:hAnsi="Arial"/>
                <w:sz w:val="18"/>
                <w:szCs w:val="18"/>
                <w:color w:val="auto"/>
                <w:w w:val="90"/>
              </w:rPr>
              <w:t>2003; President Oilfield Services Asia, August 2000 to July 2001; and Oilfield Services Director of Personnel, January</w:t>
            </w:r>
          </w:p>
        </w:tc>
      </w:tr>
      <w:tr>
        <w:trPr>
          <w:trHeight w:val="222"/>
        </w:trPr>
        <w:tc>
          <w:tcPr>
            <w:tcW w:w="18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660" w:type="dxa"/>
            <w:vAlign w:val="bottom"/>
          </w:tcPr>
          <w:p>
            <w:pPr>
              <w:ind w:left="180"/>
              <w:spacing w:after="0"/>
              <w:rPr>
                <w:sz w:val="20"/>
                <w:szCs w:val="20"/>
                <w:color w:val="auto"/>
              </w:rPr>
            </w:pPr>
            <w:r>
              <w:rPr>
                <w:rFonts w:ascii="Arial" w:cs="Arial" w:eastAsia="Arial" w:hAnsi="Arial"/>
                <w:sz w:val="18"/>
                <w:szCs w:val="18"/>
                <w:color w:val="auto"/>
              </w:rPr>
              <w:t>1998 to August 2000.</w:t>
            </w:r>
          </w:p>
        </w:tc>
      </w:tr>
      <w:tr>
        <w:trPr>
          <w:trHeight w:val="318"/>
        </w:trPr>
        <w:tc>
          <w:tcPr>
            <w:tcW w:w="1860" w:type="dxa"/>
            <w:vAlign w:val="bottom"/>
          </w:tcPr>
          <w:p>
            <w:pPr>
              <w:spacing w:after="0"/>
              <w:rPr>
                <w:sz w:val="20"/>
                <w:szCs w:val="20"/>
                <w:color w:val="auto"/>
              </w:rPr>
            </w:pPr>
            <w:r>
              <w:rPr>
                <w:rFonts w:ascii="Arial" w:cs="Arial" w:eastAsia="Arial" w:hAnsi="Arial"/>
                <w:sz w:val="18"/>
                <w:szCs w:val="18"/>
                <w:color w:val="auto"/>
              </w:rPr>
              <w:t>Dalton Boutte</w:t>
            </w:r>
          </w:p>
        </w:tc>
        <w:tc>
          <w:tcPr>
            <w:tcW w:w="900" w:type="dxa"/>
            <w:vAlign w:val="bottom"/>
          </w:tcPr>
          <w:p>
            <w:pPr>
              <w:jc w:val="right"/>
              <w:ind w:right="74"/>
              <w:spacing w:after="0"/>
              <w:rPr>
                <w:sz w:val="20"/>
                <w:szCs w:val="20"/>
                <w:color w:val="auto"/>
              </w:rPr>
            </w:pPr>
            <w:r>
              <w:rPr>
                <w:rFonts w:ascii="Arial" w:cs="Arial" w:eastAsia="Arial" w:hAnsi="Arial"/>
                <w:sz w:val="18"/>
                <w:szCs w:val="18"/>
                <w:color w:val="auto"/>
              </w:rPr>
              <w:t>49</w:t>
            </w:r>
          </w:p>
        </w:tc>
        <w:tc>
          <w:tcPr>
            <w:tcW w:w="8660" w:type="dxa"/>
            <w:vAlign w:val="bottom"/>
          </w:tcPr>
          <w:p>
            <w:pPr>
              <w:ind w:left="180"/>
              <w:spacing w:after="0"/>
              <w:rPr>
                <w:sz w:val="20"/>
                <w:szCs w:val="20"/>
                <w:color w:val="auto"/>
              </w:rPr>
            </w:pPr>
            <w:r>
              <w:rPr>
                <w:rFonts w:ascii="Arial" w:cs="Arial" w:eastAsia="Arial" w:hAnsi="Arial"/>
                <w:sz w:val="18"/>
                <w:szCs w:val="18"/>
                <w:color w:val="auto"/>
                <w:w w:val="90"/>
              </w:rPr>
              <w:t>Executive Vice President, since February 2004 and President WesternGeco, since January 2003; Vice President OFS</w:t>
            </w:r>
          </w:p>
        </w:tc>
      </w:tr>
      <w:tr>
        <w:trPr>
          <w:trHeight w:val="216"/>
        </w:trPr>
        <w:tc>
          <w:tcPr>
            <w:tcW w:w="18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660" w:type="dxa"/>
            <w:vAlign w:val="bottom"/>
          </w:tcPr>
          <w:p>
            <w:pPr>
              <w:ind w:left="180"/>
              <w:spacing w:after="0"/>
              <w:rPr>
                <w:sz w:val="20"/>
                <w:szCs w:val="20"/>
                <w:color w:val="auto"/>
              </w:rPr>
            </w:pPr>
            <w:r>
              <w:rPr>
                <w:rFonts w:ascii="Arial" w:cs="Arial" w:eastAsia="Arial" w:hAnsi="Arial"/>
                <w:sz w:val="18"/>
                <w:szCs w:val="18"/>
                <w:color w:val="auto"/>
                <w:w w:val="89"/>
              </w:rPr>
              <w:t>Operations, May 2001 to January 2003; President OFS Europe/C.I.S./Africa. March 2000 to May 2001; and Gulf Coast</w:t>
            </w:r>
          </w:p>
        </w:tc>
      </w:tr>
      <w:tr>
        <w:trPr>
          <w:trHeight w:val="222"/>
        </w:trPr>
        <w:tc>
          <w:tcPr>
            <w:tcW w:w="18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660" w:type="dxa"/>
            <w:vAlign w:val="bottom"/>
          </w:tcPr>
          <w:p>
            <w:pPr>
              <w:ind w:left="180"/>
              <w:spacing w:after="0"/>
              <w:rPr>
                <w:sz w:val="20"/>
                <w:szCs w:val="20"/>
                <w:color w:val="auto"/>
              </w:rPr>
            </w:pPr>
            <w:r>
              <w:rPr>
                <w:rFonts w:ascii="Arial" w:cs="Arial" w:eastAsia="Arial" w:hAnsi="Arial"/>
                <w:sz w:val="18"/>
                <w:szCs w:val="18"/>
                <w:color w:val="auto"/>
              </w:rPr>
              <w:t>GeoMarket Manager, February 1998 to March 2000.</w:t>
            </w:r>
          </w:p>
        </w:tc>
      </w:tr>
      <w:tr>
        <w:trPr>
          <w:trHeight w:val="318"/>
        </w:trPr>
        <w:tc>
          <w:tcPr>
            <w:tcW w:w="1860" w:type="dxa"/>
            <w:vAlign w:val="bottom"/>
          </w:tcPr>
          <w:p>
            <w:pPr>
              <w:spacing w:after="0"/>
              <w:rPr>
                <w:sz w:val="20"/>
                <w:szCs w:val="20"/>
                <w:color w:val="auto"/>
              </w:rPr>
            </w:pPr>
            <w:r>
              <w:rPr>
                <w:rFonts w:ascii="Arial" w:cs="Arial" w:eastAsia="Arial" w:hAnsi="Arial"/>
                <w:sz w:val="18"/>
                <w:szCs w:val="18"/>
                <w:color w:val="auto"/>
              </w:rPr>
              <w:t>Ellen Summer</w:t>
            </w:r>
          </w:p>
        </w:tc>
        <w:tc>
          <w:tcPr>
            <w:tcW w:w="900" w:type="dxa"/>
            <w:vAlign w:val="bottom"/>
          </w:tcPr>
          <w:p>
            <w:pPr>
              <w:jc w:val="right"/>
              <w:ind w:right="74"/>
              <w:spacing w:after="0"/>
              <w:rPr>
                <w:sz w:val="20"/>
                <w:szCs w:val="20"/>
                <w:color w:val="auto"/>
              </w:rPr>
            </w:pPr>
            <w:r>
              <w:rPr>
                <w:rFonts w:ascii="Arial" w:cs="Arial" w:eastAsia="Arial" w:hAnsi="Arial"/>
                <w:sz w:val="18"/>
                <w:szCs w:val="18"/>
                <w:color w:val="auto"/>
              </w:rPr>
              <w:t>57</w:t>
            </w:r>
          </w:p>
        </w:tc>
        <w:tc>
          <w:tcPr>
            <w:tcW w:w="8660" w:type="dxa"/>
            <w:vAlign w:val="bottom"/>
          </w:tcPr>
          <w:p>
            <w:pPr>
              <w:ind w:left="180"/>
              <w:spacing w:after="0"/>
              <w:rPr>
                <w:sz w:val="20"/>
                <w:szCs w:val="20"/>
                <w:color w:val="auto"/>
              </w:rPr>
            </w:pPr>
            <w:r>
              <w:rPr>
                <w:rFonts w:ascii="Arial" w:cs="Arial" w:eastAsia="Arial" w:hAnsi="Arial"/>
                <w:sz w:val="18"/>
                <w:szCs w:val="18"/>
                <w:color w:val="auto"/>
                <w:w w:val="90"/>
              </w:rPr>
              <w:t>Secretary and General Counsel, since March 2002; Director of Legal Services, April 2001 to March 2002; and Deputy</w:t>
            </w:r>
          </w:p>
        </w:tc>
      </w:tr>
      <w:tr>
        <w:trPr>
          <w:trHeight w:val="222"/>
        </w:trPr>
        <w:tc>
          <w:tcPr>
            <w:tcW w:w="18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660" w:type="dxa"/>
            <w:vAlign w:val="bottom"/>
          </w:tcPr>
          <w:p>
            <w:pPr>
              <w:ind w:left="180"/>
              <w:spacing w:after="0"/>
              <w:rPr>
                <w:sz w:val="20"/>
                <w:szCs w:val="20"/>
                <w:color w:val="auto"/>
              </w:rPr>
            </w:pPr>
            <w:r>
              <w:rPr>
                <w:rFonts w:ascii="Arial" w:cs="Arial" w:eastAsia="Arial" w:hAnsi="Arial"/>
                <w:sz w:val="18"/>
                <w:szCs w:val="18"/>
                <w:color w:val="auto"/>
              </w:rPr>
              <w:t>General Counsel, March 2001 and prior.</w:t>
            </w:r>
          </w:p>
        </w:tc>
      </w:tr>
      <w:tr>
        <w:trPr>
          <w:trHeight w:val="318"/>
        </w:trPr>
        <w:tc>
          <w:tcPr>
            <w:tcW w:w="1860" w:type="dxa"/>
            <w:vAlign w:val="bottom"/>
          </w:tcPr>
          <w:p>
            <w:pPr>
              <w:spacing w:after="0"/>
              <w:rPr>
                <w:sz w:val="20"/>
                <w:szCs w:val="20"/>
                <w:color w:val="auto"/>
              </w:rPr>
            </w:pPr>
            <w:r>
              <w:rPr>
                <w:rFonts w:ascii="Arial" w:cs="Arial" w:eastAsia="Arial" w:hAnsi="Arial"/>
                <w:sz w:val="18"/>
                <w:szCs w:val="18"/>
                <w:color w:val="auto"/>
              </w:rPr>
              <w:t>Simon Ayat</w:t>
            </w:r>
          </w:p>
        </w:tc>
        <w:tc>
          <w:tcPr>
            <w:tcW w:w="900" w:type="dxa"/>
            <w:vAlign w:val="bottom"/>
          </w:tcPr>
          <w:p>
            <w:pPr>
              <w:jc w:val="right"/>
              <w:ind w:right="74"/>
              <w:spacing w:after="0"/>
              <w:rPr>
                <w:sz w:val="20"/>
                <w:szCs w:val="20"/>
                <w:color w:val="auto"/>
              </w:rPr>
            </w:pPr>
            <w:r>
              <w:rPr>
                <w:rFonts w:ascii="Arial" w:cs="Arial" w:eastAsia="Arial" w:hAnsi="Arial"/>
                <w:sz w:val="18"/>
                <w:szCs w:val="18"/>
                <w:color w:val="auto"/>
              </w:rPr>
              <w:t>49</w:t>
            </w:r>
          </w:p>
        </w:tc>
        <w:tc>
          <w:tcPr>
            <w:tcW w:w="8660" w:type="dxa"/>
            <w:vAlign w:val="bottom"/>
          </w:tcPr>
          <w:p>
            <w:pPr>
              <w:ind w:left="180"/>
              <w:spacing w:after="0"/>
              <w:rPr>
                <w:sz w:val="20"/>
                <w:szCs w:val="20"/>
                <w:color w:val="auto"/>
              </w:rPr>
            </w:pPr>
            <w:r>
              <w:rPr>
                <w:rFonts w:ascii="Arial" w:cs="Arial" w:eastAsia="Arial" w:hAnsi="Arial"/>
                <w:sz w:val="18"/>
                <w:szCs w:val="18"/>
                <w:color w:val="auto"/>
                <w:w w:val="88"/>
              </w:rPr>
              <w:t>Vice President, Controller and Business Processes, since December 2002; Vice President Finance SchlumbergerSema,</w:t>
            </w:r>
          </w:p>
        </w:tc>
      </w:tr>
      <w:tr>
        <w:trPr>
          <w:trHeight w:val="216"/>
        </w:trPr>
        <w:tc>
          <w:tcPr>
            <w:tcW w:w="18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660" w:type="dxa"/>
            <w:vAlign w:val="bottom"/>
          </w:tcPr>
          <w:p>
            <w:pPr>
              <w:ind w:left="180"/>
              <w:spacing w:after="0"/>
              <w:rPr>
                <w:sz w:val="20"/>
                <w:szCs w:val="20"/>
                <w:color w:val="auto"/>
              </w:rPr>
            </w:pPr>
            <w:r>
              <w:rPr>
                <w:rFonts w:ascii="Arial" w:cs="Arial" w:eastAsia="Arial" w:hAnsi="Arial"/>
                <w:sz w:val="18"/>
                <w:szCs w:val="18"/>
                <w:color w:val="auto"/>
                <w:w w:val="92"/>
              </w:rPr>
              <w:t>April 2001 to December 2002; Oilfield Services Controller, September 1998 to April 2001; and GeoMarket Manager</w:t>
            </w:r>
          </w:p>
        </w:tc>
      </w:tr>
      <w:tr>
        <w:trPr>
          <w:trHeight w:val="222"/>
        </w:trPr>
        <w:tc>
          <w:tcPr>
            <w:tcW w:w="18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660" w:type="dxa"/>
            <w:vAlign w:val="bottom"/>
          </w:tcPr>
          <w:p>
            <w:pPr>
              <w:ind w:left="180"/>
              <w:spacing w:after="0"/>
              <w:rPr>
                <w:sz w:val="20"/>
                <w:szCs w:val="20"/>
                <w:color w:val="auto"/>
              </w:rPr>
            </w:pPr>
            <w:r>
              <w:rPr>
                <w:rFonts w:ascii="Arial" w:cs="Arial" w:eastAsia="Arial" w:hAnsi="Arial"/>
                <w:sz w:val="18"/>
                <w:szCs w:val="18"/>
                <w:color w:val="auto"/>
              </w:rPr>
              <w:t>Indonesia, February 1998 to September 1998.</w:t>
            </w:r>
          </w:p>
        </w:tc>
      </w:tr>
      <w:tr>
        <w:trPr>
          <w:trHeight w:val="318"/>
        </w:trPr>
        <w:tc>
          <w:tcPr>
            <w:tcW w:w="1860" w:type="dxa"/>
            <w:vAlign w:val="bottom"/>
          </w:tcPr>
          <w:p>
            <w:pPr>
              <w:spacing w:after="0"/>
              <w:rPr>
                <w:sz w:val="20"/>
                <w:szCs w:val="20"/>
                <w:color w:val="auto"/>
              </w:rPr>
            </w:pPr>
            <w:r>
              <w:rPr>
                <w:rFonts w:ascii="Arial" w:cs="Arial" w:eastAsia="Arial" w:hAnsi="Arial"/>
                <w:sz w:val="18"/>
                <w:szCs w:val="18"/>
                <w:color w:val="auto"/>
              </w:rPr>
              <w:t>Pierre E. Bismuth</w:t>
            </w:r>
          </w:p>
        </w:tc>
        <w:tc>
          <w:tcPr>
            <w:tcW w:w="900" w:type="dxa"/>
            <w:vAlign w:val="bottom"/>
          </w:tcPr>
          <w:p>
            <w:pPr>
              <w:jc w:val="right"/>
              <w:ind w:right="74"/>
              <w:spacing w:after="0"/>
              <w:rPr>
                <w:sz w:val="20"/>
                <w:szCs w:val="20"/>
                <w:color w:val="auto"/>
              </w:rPr>
            </w:pPr>
            <w:r>
              <w:rPr>
                <w:rFonts w:ascii="Arial" w:cs="Arial" w:eastAsia="Arial" w:hAnsi="Arial"/>
                <w:sz w:val="18"/>
                <w:szCs w:val="18"/>
                <w:color w:val="auto"/>
              </w:rPr>
              <w:t>59</w:t>
            </w:r>
          </w:p>
        </w:tc>
        <w:tc>
          <w:tcPr>
            <w:tcW w:w="8660" w:type="dxa"/>
            <w:vAlign w:val="bottom"/>
          </w:tcPr>
          <w:p>
            <w:pPr>
              <w:ind w:left="180"/>
              <w:spacing w:after="0"/>
              <w:rPr>
                <w:sz w:val="20"/>
                <w:szCs w:val="20"/>
                <w:color w:val="auto"/>
              </w:rPr>
            </w:pPr>
            <w:r>
              <w:rPr>
                <w:rFonts w:ascii="Arial" w:cs="Arial" w:eastAsia="Arial" w:hAnsi="Arial"/>
                <w:sz w:val="18"/>
                <w:szCs w:val="18"/>
                <w:color w:val="auto"/>
              </w:rPr>
              <w:t>Vice President – Global Personnel Practices, since August 2003; and</w:t>
            </w:r>
          </w:p>
        </w:tc>
      </w:tr>
      <w:tr>
        <w:trPr>
          <w:trHeight w:val="222"/>
        </w:trPr>
        <w:tc>
          <w:tcPr>
            <w:tcW w:w="18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660" w:type="dxa"/>
            <w:vAlign w:val="bottom"/>
          </w:tcPr>
          <w:p>
            <w:pPr>
              <w:ind w:left="180"/>
              <w:spacing w:after="0"/>
              <w:rPr>
                <w:sz w:val="20"/>
                <w:szCs w:val="20"/>
                <w:color w:val="auto"/>
              </w:rPr>
            </w:pPr>
            <w:r>
              <w:rPr>
                <w:rFonts w:ascii="Arial" w:cs="Arial" w:eastAsia="Arial" w:hAnsi="Arial"/>
                <w:sz w:val="18"/>
                <w:szCs w:val="18"/>
                <w:color w:val="auto"/>
              </w:rPr>
              <w:t>Vice President – Personnel, July 2003 and prior.</w:t>
            </w:r>
          </w:p>
        </w:tc>
      </w:tr>
      <w:tr>
        <w:trPr>
          <w:trHeight w:val="338"/>
        </w:trPr>
        <w:tc>
          <w:tcPr>
            <w:tcW w:w="1860" w:type="dxa"/>
            <w:vAlign w:val="bottom"/>
          </w:tcPr>
          <w:p>
            <w:pPr>
              <w:spacing w:after="0"/>
              <w:rPr>
                <w:sz w:val="20"/>
                <w:szCs w:val="20"/>
                <w:color w:val="auto"/>
              </w:rPr>
            </w:pPr>
            <w:r>
              <w:rPr>
                <w:rFonts w:ascii="Arial" w:cs="Arial" w:eastAsia="Arial" w:hAnsi="Arial"/>
                <w:sz w:val="18"/>
                <w:szCs w:val="18"/>
                <w:color w:val="auto"/>
              </w:rPr>
              <w:t>Mark Danton</w:t>
            </w:r>
          </w:p>
        </w:tc>
        <w:tc>
          <w:tcPr>
            <w:tcW w:w="900" w:type="dxa"/>
            <w:vAlign w:val="bottom"/>
          </w:tcPr>
          <w:p>
            <w:pPr>
              <w:jc w:val="right"/>
              <w:ind w:right="74"/>
              <w:spacing w:after="0"/>
              <w:rPr>
                <w:sz w:val="20"/>
                <w:szCs w:val="20"/>
                <w:color w:val="auto"/>
              </w:rPr>
            </w:pPr>
            <w:r>
              <w:rPr>
                <w:rFonts w:ascii="Arial" w:cs="Arial" w:eastAsia="Arial" w:hAnsi="Arial"/>
                <w:sz w:val="18"/>
                <w:szCs w:val="18"/>
                <w:color w:val="auto"/>
              </w:rPr>
              <w:t>47</w:t>
            </w:r>
          </w:p>
        </w:tc>
        <w:tc>
          <w:tcPr>
            <w:tcW w:w="8660" w:type="dxa"/>
            <w:vAlign w:val="bottom"/>
          </w:tcPr>
          <w:p>
            <w:pPr>
              <w:ind w:left="180"/>
              <w:spacing w:after="0"/>
              <w:rPr>
                <w:sz w:val="20"/>
                <w:szCs w:val="20"/>
                <w:color w:val="auto"/>
              </w:rPr>
            </w:pPr>
            <w:r>
              <w:rPr>
                <w:rFonts w:ascii="Arial" w:cs="Arial" w:eastAsia="Arial" w:hAnsi="Arial"/>
                <w:sz w:val="18"/>
                <w:szCs w:val="18"/>
                <w:color w:val="auto"/>
                <w:w w:val="87"/>
              </w:rPr>
              <w:t>Vice President – Director of Taxes, since January 1, 1999; and Deputy Director of Taxes, January 1995 to January 1999.</w:t>
            </w:r>
          </w:p>
        </w:tc>
      </w:tr>
      <w:tr>
        <w:trPr>
          <w:trHeight w:val="318"/>
        </w:trPr>
        <w:tc>
          <w:tcPr>
            <w:tcW w:w="1860" w:type="dxa"/>
            <w:vAlign w:val="bottom"/>
          </w:tcPr>
          <w:p>
            <w:pPr>
              <w:spacing w:after="0"/>
              <w:rPr>
                <w:sz w:val="20"/>
                <w:szCs w:val="20"/>
                <w:color w:val="auto"/>
              </w:rPr>
            </w:pPr>
            <w:r>
              <w:rPr>
                <w:rFonts w:ascii="Arial" w:cs="Arial" w:eastAsia="Arial" w:hAnsi="Arial"/>
                <w:sz w:val="18"/>
                <w:szCs w:val="18"/>
                <w:color w:val="auto"/>
              </w:rPr>
              <w:t>Andre Erlich</w:t>
            </w:r>
          </w:p>
        </w:tc>
        <w:tc>
          <w:tcPr>
            <w:tcW w:w="900" w:type="dxa"/>
            <w:vAlign w:val="bottom"/>
          </w:tcPr>
          <w:p>
            <w:pPr>
              <w:jc w:val="right"/>
              <w:ind w:right="74"/>
              <w:spacing w:after="0"/>
              <w:rPr>
                <w:sz w:val="20"/>
                <w:szCs w:val="20"/>
                <w:color w:val="auto"/>
              </w:rPr>
            </w:pPr>
            <w:r>
              <w:rPr>
                <w:rFonts w:ascii="Arial" w:cs="Arial" w:eastAsia="Arial" w:hAnsi="Arial"/>
                <w:sz w:val="18"/>
                <w:szCs w:val="18"/>
                <w:color w:val="auto"/>
              </w:rPr>
              <w:t>56</w:t>
            </w:r>
          </w:p>
        </w:tc>
        <w:tc>
          <w:tcPr>
            <w:tcW w:w="8660" w:type="dxa"/>
            <w:vAlign w:val="bottom"/>
          </w:tcPr>
          <w:p>
            <w:pPr>
              <w:ind w:left="180"/>
              <w:spacing w:after="0"/>
              <w:rPr>
                <w:sz w:val="20"/>
                <w:szCs w:val="20"/>
                <w:color w:val="auto"/>
              </w:rPr>
            </w:pPr>
            <w:r>
              <w:rPr>
                <w:rFonts w:ascii="Arial" w:cs="Arial" w:eastAsia="Arial" w:hAnsi="Arial"/>
                <w:sz w:val="18"/>
                <w:szCs w:val="18"/>
                <w:color w:val="auto"/>
                <w:w w:val="90"/>
              </w:rPr>
              <w:t>Chief Information Officer, since May 2002; Vice President Technology and General Manager, April 2001 to May 2002;</w:t>
            </w:r>
          </w:p>
        </w:tc>
      </w:tr>
      <w:tr>
        <w:trPr>
          <w:trHeight w:val="216"/>
        </w:trPr>
        <w:tc>
          <w:tcPr>
            <w:tcW w:w="18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660" w:type="dxa"/>
            <w:vAlign w:val="bottom"/>
          </w:tcPr>
          <w:p>
            <w:pPr>
              <w:ind w:left="180"/>
              <w:spacing w:after="0"/>
              <w:rPr>
                <w:sz w:val="20"/>
                <w:szCs w:val="20"/>
                <w:color w:val="auto"/>
              </w:rPr>
            </w:pPr>
            <w:r>
              <w:rPr>
                <w:rFonts w:ascii="Arial" w:cs="Arial" w:eastAsia="Arial" w:hAnsi="Arial"/>
                <w:sz w:val="18"/>
                <w:szCs w:val="18"/>
                <w:color w:val="auto"/>
                <w:w w:val="90"/>
              </w:rPr>
              <w:t>Vice President Business Development, October 1999 to April 2001; and Vice President and General Manager SRPC,</w:t>
            </w:r>
          </w:p>
        </w:tc>
      </w:tr>
      <w:tr>
        <w:trPr>
          <w:trHeight w:val="222"/>
        </w:trPr>
        <w:tc>
          <w:tcPr>
            <w:tcW w:w="18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660" w:type="dxa"/>
            <w:vAlign w:val="bottom"/>
          </w:tcPr>
          <w:p>
            <w:pPr>
              <w:ind w:left="180"/>
              <w:spacing w:after="0"/>
              <w:rPr>
                <w:sz w:val="20"/>
                <w:szCs w:val="20"/>
                <w:color w:val="auto"/>
              </w:rPr>
            </w:pPr>
            <w:r>
              <w:rPr>
                <w:rFonts w:ascii="Arial" w:cs="Arial" w:eastAsia="Arial" w:hAnsi="Arial"/>
                <w:sz w:val="18"/>
                <w:szCs w:val="18"/>
                <w:color w:val="auto"/>
              </w:rPr>
              <w:t>September 1997 to October 1999.</w:t>
            </w:r>
          </w:p>
        </w:tc>
      </w:tr>
      <w:tr>
        <w:trPr>
          <w:trHeight w:val="318"/>
        </w:trPr>
        <w:tc>
          <w:tcPr>
            <w:tcW w:w="1860" w:type="dxa"/>
            <w:vAlign w:val="bottom"/>
          </w:tcPr>
          <w:p>
            <w:pPr>
              <w:spacing w:after="0"/>
              <w:rPr>
                <w:sz w:val="20"/>
                <w:szCs w:val="20"/>
                <w:color w:val="auto"/>
              </w:rPr>
            </w:pPr>
            <w:r>
              <w:rPr>
                <w:rFonts w:ascii="Arial" w:cs="Arial" w:eastAsia="Arial" w:hAnsi="Arial"/>
                <w:sz w:val="18"/>
                <w:szCs w:val="18"/>
                <w:color w:val="auto"/>
              </w:rPr>
              <w:t>Peter A. Goode</w:t>
            </w:r>
          </w:p>
        </w:tc>
        <w:tc>
          <w:tcPr>
            <w:tcW w:w="900" w:type="dxa"/>
            <w:vAlign w:val="bottom"/>
          </w:tcPr>
          <w:p>
            <w:pPr>
              <w:jc w:val="right"/>
              <w:ind w:right="74"/>
              <w:spacing w:after="0"/>
              <w:rPr>
                <w:sz w:val="20"/>
                <w:szCs w:val="20"/>
                <w:color w:val="auto"/>
              </w:rPr>
            </w:pPr>
            <w:r>
              <w:rPr>
                <w:rFonts w:ascii="Arial" w:cs="Arial" w:eastAsia="Arial" w:hAnsi="Arial"/>
                <w:sz w:val="18"/>
                <w:szCs w:val="18"/>
                <w:color w:val="auto"/>
              </w:rPr>
              <w:t>47</w:t>
            </w:r>
          </w:p>
        </w:tc>
        <w:tc>
          <w:tcPr>
            <w:tcW w:w="8660" w:type="dxa"/>
            <w:vAlign w:val="bottom"/>
          </w:tcPr>
          <w:p>
            <w:pPr>
              <w:ind w:left="180"/>
              <w:spacing w:after="0"/>
              <w:rPr>
                <w:sz w:val="20"/>
                <w:szCs w:val="20"/>
                <w:color w:val="auto"/>
              </w:rPr>
            </w:pPr>
            <w:r>
              <w:rPr>
                <w:rFonts w:ascii="Arial" w:cs="Arial" w:eastAsia="Arial" w:hAnsi="Arial"/>
                <w:sz w:val="18"/>
                <w:szCs w:val="18"/>
                <w:color w:val="auto"/>
                <w:w w:val="95"/>
              </w:rPr>
              <w:t>Vice President, since February 2004 and President Schlumberger Information Solutions since September 2003;</w:t>
            </w:r>
          </w:p>
        </w:tc>
      </w:tr>
      <w:tr>
        <w:trPr>
          <w:trHeight w:val="216"/>
        </w:trPr>
        <w:tc>
          <w:tcPr>
            <w:tcW w:w="18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660" w:type="dxa"/>
            <w:vAlign w:val="bottom"/>
          </w:tcPr>
          <w:p>
            <w:pPr>
              <w:ind w:left="180"/>
              <w:spacing w:after="0"/>
              <w:rPr>
                <w:sz w:val="20"/>
                <w:szCs w:val="20"/>
                <w:color w:val="auto"/>
              </w:rPr>
            </w:pPr>
            <w:r>
              <w:rPr>
                <w:rFonts w:ascii="Arial" w:cs="Arial" w:eastAsia="Arial" w:hAnsi="Arial"/>
                <w:sz w:val="18"/>
                <w:szCs w:val="18"/>
                <w:color w:val="auto"/>
                <w:w w:val="90"/>
              </w:rPr>
              <w:t>President, Energy IT Services, January 2003 to September 2003; President Reservoir Management, January 2001 to</w:t>
            </w:r>
          </w:p>
        </w:tc>
      </w:tr>
      <w:tr>
        <w:trPr>
          <w:trHeight w:val="222"/>
        </w:trPr>
        <w:tc>
          <w:tcPr>
            <w:tcW w:w="18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660" w:type="dxa"/>
            <w:vAlign w:val="bottom"/>
          </w:tcPr>
          <w:p>
            <w:pPr>
              <w:ind w:left="180"/>
              <w:spacing w:after="0"/>
              <w:rPr>
                <w:sz w:val="20"/>
                <w:szCs w:val="20"/>
                <w:color w:val="auto"/>
              </w:rPr>
            </w:pPr>
            <w:r>
              <w:rPr>
                <w:rFonts w:ascii="Arial" w:cs="Arial" w:eastAsia="Arial" w:hAnsi="Arial"/>
                <w:sz w:val="18"/>
                <w:szCs w:val="18"/>
                <w:color w:val="auto"/>
              </w:rPr>
              <w:t>January 2003; and Vice President and General Manager IPM September 1999 to January 2001.</w:t>
            </w:r>
          </w:p>
        </w:tc>
      </w:tr>
      <w:tr>
        <w:trPr>
          <w:trHeight w:val="312"/>
        </w:trPr>
        <w:tc>
          <w:tcPr>
            <w:tcW w:w="1860" w:type="dxa"/>
            <w:vAlign w:val="bottom"/>
          </w:tcPr>
          <w:p>
            <w:pPr>
              <w:spacing w:after="0"/>
              <w:rPr>
                <w:sz w:val="20"/>
                <w:szCs w:val="20"/>
                <w:color w:val="auto"/>
              </w:rPr>
            </w:pPr>
            <w:r>
              <w:rPr>
                <w:rFonts w:ascii="Arial" w:cs="Arial" w:eastAsia="Arial" w:hAnsi="Arial"/>
                <w:sz w:val="14"/>
                <w:szCs w:val="14"/>
                <w:color w:val="auto"/>
              </w:rPr>
              <w:t>8 / SLB</w:t>
            </w:r>
          </w:p>
        </w:tc>
        <w:tc>
          <w:tcPr>
            <w:tcW w:w="900" w:type="dxa"/>
            <w:vAlign w:val="bottom"/>
          </w:tcPr>
          <w:p>
            <w:pPr>
              <w:spacing w:after="0"/>
              <w:rPr>
                <w:sz w:val="24"/>
                <w:szCs w:val="24"/>
                <w:color w:val="auto"/>
              </w:rPr>
            </w:pPr>
          </w:p>
        </w:tc>
        <w:tc>
          <w:tcPr>
            <w:tcW w:w="8660" w:type="dxa"/>
            <w:vAlign w:val="bottom"/>
          </w:tcPr>
          <w:p>
            <w:pPr>
              <w:ind w:left="7660"/>
              <w:spacing w:after="0"/>
              <w:rPr>
                <w:sz w:val="20"/>
                <w:szCs w:val="20"/>
                <w:color w:val="auto"/>
              </w:rPr>
            </w:pPr>
            <w:r>
              <w:rPr>
                <w:rFonts w:ascii="Arial" w:cs="Arial" w:eastAsia="Arial" w:hAnsi="Arial"/>
                <w:sz w:val="14"/>
                <w:szCs w:val="14"/>
                <w:color w:val="auto"/>
                <w:w w:val="89"/>
              </w:rPr>
              <w:t>2003 FORM 10-K</w:t>
            </w:r>
          </w:p>
        </w:tc>
      </w:tr>
    </w:tbl>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560" w:type="dxa"/>
            <w:vAlign w:val="bottom"/>
          </w:tcPr>
          <w:p>
            <w:pPr>
              <w:spacing w:after="0"/>
              <w:rPr>
                <w:sz w:val="20"/>
                <w:szCs w:val="20"/>
                <w:color w:val="auto"/>
              </w:rPr>
            </w:pPr>
            <w:r>
              <w:rPr>
                <w:rFonts w:ascii="Arial" w:cs="Arial" w:eastAsia="Arial" w:hAnsi="Arial"/>
                <w:sz w:val="14"/>
                <w:szCs w:val="14"/>
                <w:color w:val="auto"/>
              </w:rPr>
              <w:t>Part 1, Item 4</w:t>
            </w:r>
          </w:p>
        </w:tc>
        <w:tc>
          <w:tcPr>
            <w:tcW w:w="1000" w:type="dxa"/>
            <w:vAlign w:val="bottom"/>
          </w:tcPr>
          <w:p>
            <w:pPr>
              <w:spacing w:after="0"/>
              <w:rPr>
                <w:sz w:val="14"/>
                <w:szCs w:val="14"/>
                <w:color w:val="auto"/>
              </w:rPr>
            </w:pPr>
          </w:p>
        </w:tc>
        <w:tc>
          <w:tcPr>
            <w:tcW w:w="7860" w:type="dxa"/>
            <w:vAlign w:val="bottom"/>
          </w:tcPr>
          <w:p>
            <w:pPr>
              <w:spacing w:after="0"/>
              <w:rPr>
                <w:sz w:val="14"/>
                <w:szCs w:val="14"/>
                <w:color w:val="auto"/>
              </w:rPr>
            </w:pPr>
          </w:p>
        </w:tc>
      </w:tr>
      <w:tr>
        <w:trPr>
          <w:trHeight w:val="297"/>
        </w:trPr>
        <w:tc>
          <w:tcPr>
            <w:tcW w:w="2560" w:type="dxa"/>
            <w:vAlign w:val="bottom"/>
          </w:tcPr>
          <w:p>
            <w:pPr>
              <w:spacing w:after="0"/>
              <w:rPr>
                <w:sz w:val="20"/>
                <w:szCs w:val="20"/>
                <w:color w:val="auto"/>
              </w:rPr>
            </w:pPr>
            <w:r>
              <w:rPr>
                <w:rFonts w:ascii="Arial" w:cs="Arial" w:eastAsia="Arial" w:hAnsi="Arial"/>
                <w:sz w:val="14"/>
                <w:szCs w:val="14"/>
                <w:b w:val="1"/>
                <w:bCs w:val="1"/>
                <w:color w:val="auto"/>
              </w:rPr>
              <w:t>Name</w:t>
            </w:r>
          </w:p>
        </w:tc>
        <w:tc>
          <w:tcPr>
            <w:tcW w:w="1000" w:type="dxa"/>
            <w:vAlign w:val="bottom"/>
          </w:tcPr>
          <w:p>
            <w:pPr>
              <w:jc w:val="right"/>
              <w:ind w:right="74"/>
              <w:spacing w:after="0"/>
              <w:rPr>
                <w:sz w:val="20"/>
                <w:szCs w:val="20"/>
                <w:color w:val="auto"/>
              </w:rPr>
            </w:pPr>
            <w:r>
              <w:rPr>
                <w:rFonts w:ascii="Arial" w:cs="Arial" w:eastAsia="Arial" w:hAnsi="Arial"/>
                <w:sz w:val="14"/>
                <w:szCs w:val="14"/>
                <w:b w:val="1"/>
                <w:bCs w:val="1"/>
                <w:color w:val="auto"/>
              </w:rPr>
              <w:t>Age</w:t>
            </w:r>
          </w:p>
        </w:tc>
        <w:tc>
          <w:tcPr>
            <w:tcW w:w="7860" w:type="dxa"/>
            <w:vAlign w:val="bottom"/>
          </w:tcPr>
          <w:p>
            <w:pPr>
              <w:ind w:left="180"/>
              <w:spacing w:after="0"/>
              <w:rPr>
                <w:sz w:val="20"/>
                <w:szCs w:val="20"/>
                <w:color w:val="auto"/>
              </w:rPr>
            </w:pPr>
            <w:r>
              <w:rPr>
                <w:rFonts w:ascii="Arial" w:cs="Arial" w:eastAsia="Arial" w:hAnsi="Arial"/>
                <w:sz w:val="14"/>
                <w:szCs w:val="14"/>
                <w:b w:val="1"/>
                <w:bCs w:val="1"/>
                <w:color w:val="auto"/>
              </w:rPr>
              <w:t>Present Position and Five-Year Business Experience</w:t>
            </w:r>
          </w:p>
        </w:tc>
      </w:tr>
      <w:tr>
        <w:trPr>
          <w:trHeight w:val="95"/>
        </w:trPr>
        <w:tc>
          <w:tcPr>
            <w:tcW w:w="256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7860" w:type="dxa"/>
            <w:vAlign w:val="bottom"/>
            <w:tcBorders>
              <w:bottom w:val="single" w:sz="8" w:color="auto"/>
            </w:tcBorders>
          </w:tcPr>
          <w:p>
            <w:pPr>
              <w:spacing w:after="0"/>
              <w:rPr>
                <w:sz w:val="8"/>
                <w:szCs w:val="8"/>
                <w:color w:val="auto"/>
              </w:rPr>
            </w:pPr>
          </w:p>
        </w:tc>
      </w:tr>
      <w:tr>
        <w:trPr>
          <w:trHeight w:val="417"/>
        </w:trPr>
        <w:tc>
          <w:tcPr>
            <w:tcW w:w="2560" w:type="dxa"/>
            <w:vAlign w:val="bottom"/>
          </w:tcPr>
          <w:p>
            <w:pPr>
              <w:spacing w:after="0"/>
              <w:rPr>
                <w:sz w:val="20"/>
                <w:szCs w:val="20"/>
                <w:color w:val="auto"/>
              </w:rPr>
            </w:pPr>
            <w:r>
              <w:rPr>
                <w:rFonts w:ascii="Arial" w:cs="Arial" w:eastAsia="Arial" w:hAnsi="Arial"/>
                <w:sz w:val="18"/>
                <w:szCs w:val="18"/>
                <w:color w:val="auto"/>
              </w:rPr>
              <w:t>Rene Huck</w:t>
            </w:r>
          </w:p>
        </w:tc>
        <w:tc>
          <w:tcPr>
            <w:tcW w:w="1000" w:type="dxa"/>
            <w:vAlign w:val="bottom"/>
          </w:tcPr>
          <w:p>
            <w:pPr>
              <w:jc w:val="right"/>
              <w:ind w:right="74"/>
              <w:spacing w:after="0"/>
              <w:rPr>
                <w:sz w:val="20"/>
                <w:szCs w:val="20"/>
                <w:color w:val="auto"/>
              </w:rPr>
            </w:pPr>
            <w:r>
              <w:rPr>
                <w:rFonts w:ascii="Arial" w:cs="Arial" w:eastAsia="Arial" w:hAnsi="Arial"/>
                <w:sz w:val="18"/>
                <w:szCs w:val="18"/>
                <w:color w:val="auto"/>
              </w:rPr>
              <w:t>56</w:t>
            </w:r>
          </w:p>
        </w:tc>
        <w:tc>
          <w:tcPr>
            <w:tcW w:w="7860" w:type="dxa"/>
            <w:vAlign w:val="bottom"/>
          </w:tcPr>
          <w:p>
            <w:pPr>
              <w:ind w:left="180"/>
              <w:spacing w:after="0"/>
              <w:rPr>
                <w:sz w:val="20"/>
                <w:szCs w:val="20"/>
                <w:color w:val="auto"/>
              </w:rPr>
            </w:pPr>
            <w:r>
              <w:rPr>
                <w:rFonts w:ascii="Arial" w:cs="Arial" w:eastAsia="Arial" w:hAnsi="Arial"/>
                <w:sz w:val="18"/>
                <w:szCs w:val="18"/>
                <w:color w:val="auto"/>
              </w:rPr>
              <w:t>Vice President QHSE &amp; Industry Affairs, since March 2002; President Reservoir Evaluation and</w:t>
            </w:r>
          </w:p>
        </w:tc>
      </w:tr>
      <w:tr>
        <w:trPr>
          <w:trHeight w:val="216"/>
        </w:trPr>
        <w:tc>
          <w:tcPr>
            <w:tcW w:w="25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860" w:type="dxa"/>
            <w:vAlign w:val="bottom"/>
          </w:tcPr>
          <w:p>
            <w:pPr>
              <w:ind w:left="180"/>
              <w:spacing w:after="0"/>
              <w:rPr>
                <w:sz w:val="20"/>
                <w:szCs w:val="20"/>
                <w:color w:val="auto"/>
              </w:rPr>
            </w:pPr>
            <w:r>
              <w:rPr>
                <w:rFonts w:ascii="Arial" w:cs="Arial" w:eastAsia="Arial" w:hAnsi="Arial"/>
                <w:sz w:val="18"/>
                <w:szCs w:val="18"/>
                <w:color w:val="auto"/>
                <w:w w:val="92"/>
              </w:rPr>
              <w:t>Development, Oilfield Services, January 2001 to March 2002; President Reservoir Development, Oilfield</w:t>
            </w:r>
          </w:p>
        </w:tc>
      </w:tr>
      <w:tr>
        <w:trPr>
          <w:trHeight w:val="216"/>
        </w:trPr>
        <w:tc>
          <w:tcPr>
            <w:tcW w:w="25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860" w:type="dxa"/>
            <w:vAlign w:val="bottom"/>
          </w:tcPr>
          <w:p>
            <w:pPr>
              <w:ind w:left="180"/>
              <w:spacing w:after="0"/>
              <w:rPr>
                <w:sz w:val="20"/>
                <w:szCs w:val="20"/>
                <w:color w:val="auto"/>
              </w:rPr>
            </w:pPr>
            <w:r>
              <w:rPr>
                <w:rFonts w:ascii="Arial" w:cs="Arial" w:eastAsia="Arial" w:hAnsi="Arial"/>
                <w:sz w:val="18"/>
                <w:szCs w:val="18"/>
                <w:color w:val="auto"/>
                <w:w w:val="90"/>
              </w:rPr>
              <w:t>Services, December 1999 to January 2001; President Camco International, September 1998 to December</w:t>
            </w:r>
          </w:p>
        </w:tc>
      </w:tr>
      <w:tr>
        <w:trPr>
          <w:trHeight w:val="222"/>
        </w:trPr>
        <w:tc>
          <w:tcPr>
            <w:tcW w:w="25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7860" w:type="dxa"/>
            <w:vAlign w:val="bottom"/>
          </w:tcPr>
          <w:p>
            <w:pPr>
              <w:ind w:left="180"/>
              <w:spacing w:after="0"/>
              <w:rPr>
                <w:sz w:val="20"/>
                <w:szCs w:val="20"/>
                <w:color w:val="auto"/>
              </w:rPr>
            </w:pPr>
            <w:r>
              <w:rPr>
                <w:rFonts w:ascii="Arial" w:cs="Arial" w:eastAsia="Arial" w:hAnsi="Arial"/>
                <w:sz w:val="18"/>
                <w:szCs w:val="18"/>
                <w:color w:val="auto"/>
                <w:w w:val="98"/>
              </w:rPr>
              <w:t>1999; and President European-Caspian Area, Oilfield Services, January 1998 to September 1998.</w:t>
            </w:r>
          </w:p>
        </w:tc>
      </w:tr>
      <w:tr>
        <w:trPr>
          <w:trHeight w:val="324"/>
        </w:trPr>
        <w:tc>
          <w:tcPr>
            <w:tcW w:w="2560" w:type="dxa"/>
            <w:vAlign w:val="bottom"/>
          </w:tcPr>
          <w:p>
            <w:pPr>
              <w:spacing w:after="0"/>
              <w:rPr>
                <w:sz w:val="20"/>
                <w:szCs w:val="20"/>
                <w:color w:val="auto"/>
              </w:rPr>
            </w:pPr>
            <w:r>
              <w:rPr>
                <w:rFonts w:ascii="Arial" w:cs="Arial" w:eastAsia="Arial" w:hAnsi="Arial"/>
                <w:sz w:val="18"/>
                <w:szCs w:val="18"/>
                <w:color w:val="auto"/>
              </w:rPr>
              <w:t>Philippe Lacour-Gayet</w:t>
            </w:r>
          </w:p>
        </w:tc>
        <w:tc>
          <w:tcPr>
            <w:tcW w:w="1000" w:type="dxa"/>
            <w:vAlign w:val="bottom"/>
          </w:tcPr>
          <w:p>
            <w:pPr>
              <w:jc w:val="right"/>
              <w:ind w:right="74"/>
              <w:spacing w:after="0"/>
              <w:rPr>
                <w:sz w:val="20"/>
                <w:szCs w:val="20"/>
                <w:color w:val="auto"/>
              </w:rPr>
            </w:pPr>
            <w:r>
              <w:rPr>
                <w:rFonts w:ascii="Arial" w:cs="Arial" w:eastAsia="Arial" w:hAnsi="Arial"/>
                <w:sz w:val="18"/>
                <w:szCs w:val="18"/>
                <w:color w:val="auto"/>
              </w:rPr>
              <w:t>56</w:t>
            </w:r>
          </w:p>
        </w:tc>
        <w:tc>
          <w:tcPr>
            <w:tcW w:w="7860" w:type="dxa"/>
            <w:vAlign w:val="bottom"/>
          </w:tcPr>
          <w:p>
            <w:pPr>
              <w:ind w:left="180"/>
              <w:spacing w:after="0"/>
              <w:rPr>
                <w:sz w:val="20"/>
                <w:szCs w:val="20"/>
                <w:color w:val="auto"/>
              </w:rPr>
            </w:pPr>
            <w:r>
              <w:rPr>
                <w:rFonts w:ascii="Arial" w:cs="Arial" w:eastAsia="Arial" w:hAnsi="Arial"/>
                <w:sz w:val="18"/>
                <w:szCs w:val="18"/>
                <w:color w:val="auto"/>
                <w:w w:val="93"/>
              </w:rPr>
              <w:t>Vice President and Chief Scientist, since January 2001; and Chief Scientist, July 1997 to January 2001.</w:t>
            </w:r>
          </w:p>
        </w:tc>
      </w:tr>
      <w:tr>
        <w:trPr>
          <w:trHeight w:val="318"/>
        </w:trPr>
        <w:tc>
          <w:tcPr>
            <w:tcW w:w="2560" w:type="dxa"/>
            <w:vAlign w:val="bottom"/>
          </w:tcPr>
          <w:p>
            <w:pPr>
              <w:spacing w:after="0"/>
              <w:rPr>
                <w:sz w:val="20"/>
                <w:szCs w:val="20"/>
                <w:color w:val="auto"/>
              </w:rPr>
            </w:pPr>
            <w:r>
              <w:rPr>
                <w:rFonts w:ascii="Arial" w:cs="Arial" w:eastAsia="Arial" w:hAnsi="Arial"/>
                <w:sz w:val="18"/>
                <w:szCs w:val="18"/>
                <w:color w:val="auto"/>
              </w:rPr>
              <w:t>Satish Pai</w:t>
            </w:r>
          </w:p>
        </w:tc>
        <w:tc>
          <w:tcPr>
            <w:tcW w:w="1000" w:type="dxa"/>
            <w:vAlign w:val="bottom"/>
          </w:tcPr>
          <w:p>
            <w:pPr>
              <w:jc w:val="right"/>
              <w:ind w:right="74"/>
              <w:spacing w:after="0"/>
              <w:rPr>
                <w:sz w:val="20"/>
                <w:szCs w:val="20"/>
                <w:color w:val="auto"/>
              </w:rPr>
            </w:pPr>
            <w:r>
              <w:rPr>
                <w:rFonts w:ascii="Arial" w:cs="Arial" w:eastAsia="Arial" w:hAnsi="Arial"/>
                <w:sz w:val="18"/>
                <w:szCs w:val="18"/>
                <w:color w:val="auto"/>
              </w:rPr>
              <w:t>42</w:t>
            </w:r>
          </w:p>
        </w:tc>
        <w:tc>
          <w:tcPr>
            <w:tcW w:w="7860" w:type="dxa"/>
            <w:vAlign w:val="bottom"/>
          </w:tcPr>
          <w:p>
            <w:pPr>
              <w:ind w:left="180"/>
              <w:spacing w:after="0"/>
              <w:rPr>
                <w:sz w:val="20"/>
                <w:szCs w:val="20"/>
                <w:color w:val="auto"/>
              </w:rPr>
            </w:pPr>
            <w:r>
              <w:rPr>
                <w:rFonts w:ascii="Arial" w:cs="Arial" w:eastAsia="Arial" w:hAnsi="Arial"/>
                <w:sz w:val="18"/>
                <w:szCs w:val="18"/>
                <w:color w:val="auto"/>
                <w:w w:val="90"/>
              </w:rPr>
              <w:t>Vice President since February 2004 and Vice President Oilfield Technologies since March 2002; President</w:t>
            </w:r>
          </w:p>
        </w:tc>
      </w:tr>
      <w:tr>
        <w:trPr>
          <w:trHeight w:val="216"/>
        </w:trPr>
        <w:tc>
          <w:tcPr>
            <w:tcW w:w="25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860" w:type="dxa"/>
            <w:vAlign w:val="bottom"/>
          </w:tcPr>
          <w:p>
            <w:pPr>
              <w:ind w:left="180"/>
              <w:spacing w:after="0"/>
              <w:rPr>
                <w:sz w:val="20"/>
                <w:szCs w:val="20"/>
                <w:color w:val="auto"/>
              </w:rPr>
            </w:pPr>
            <w:r>
              <w:rPr>
                <w:rFonts w:ascii="Arial" w:cs="Arial" w:eastAsia="Arial" w:hAnsi="Arial"/>
                <w:sz w:val="18"/>
                <w:szCs w:val="18"/>
                <w:color w:val="auto"/>
                <w:w w:val="89"/>
              </w:rPr>
              <w:t>Schlumberger Information Solutions, January 2001 to March 2002; President IndigoPool.Com, April 2000 to</w:t>
            </w:r>
          </w:p>
        </w:tc>
      </w:tr>
      <w:tr>
        <w:trPr>
          <w:trHeight w:val="222"/>
        </w:trPr>
        <w:tc>
          <w:tcPr>
            <w:tcW w:w="25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7860" w:type="dxa"/>
            <w:vAlign w:val="bottom"/>
          </w:tcPr>
          <w:p>
            <w:pPr>
              <w:ind w:left="180"/>
              <w:spacing w:after="0"/>
              <w:rPr>
                <w:sz w:val="20"/>
                <w:szCs w:val="20"/>
                <w:color w:val="auto"/>
              </w:rPr>
            </w:pPr>
            <w:r>
              <w:rPr>
                <w:rFonts w:ascii="Arial" w:cs="Arial" w:eastAsia="Arial" w:hAnsi="Arial"/>
                <w:sz w:val="18"/>
                <w:szCs w:val="18"/>
                <w:color w:val="auto"/>
              </w:rPr>
              <w:t>January 2001; and GeoQuest Operations Manager UKI, July 1999 to April 2000.</w:t>
            </w:r>
          </w:p>
        </w:tc>
      </w:tr>
      <w:tr>
        <w:trPr>
          <w:trHeight w:val="318"/>
        </w:trPr>
        <w:tc>
          <w:tcPr>
            <w:tcW w:w="2560" w:type="dxa"/>
            <w:vAlign w:val="bottom"/>
          </w:tcPr>
          <w:p>
            <w:pPr>
              <w:spacing w:after="0"/>
              <w:rPr>
                <w:sz w:val="20"/>
                <w:szCs w:val="20"/>
                <w:color w:val="auto"/>
              </w:rPr>
            </w:pPr>
            <w:r>
              <w:rPr>
                <w:rFonts w:ascii="Arial" w:cs="Arial" w:eastAsia="Arial" w:hAnsi="Arial"/>
                <w:sz w:val="18"/>
                <w:szCs w:val="18"/>
                <w:color w:val="auto"/>
              </w:rPr>
              <w:t>Jean-Dominique Percevault</w:t>
            </w:r>
          </w:p>
        </w:tc>
        <w:tc>
          <w:tcPr>
            <w:tcW w:w="1000" w:type="dxa"/>
            <w:vAlign w:val="bottom"/>
          </w:tcPr>
          <w:p>
            <w:pPr>
              <w:jc w:val="right"/>
              <w:ind w:right="74"/>
              <w:spacing w:after="0"/>
              <w:rPr>
                <w:sz w:val="20"/>
                <w:szCs w:val="20"/>
                <w:color w:val="auto"/>
              </w:rPr>
            </w:pPr>
            <w:r>
              <w:rPr>
                <w:rFonts w:ascii="Arial" w:cs="Arial" w:eastAsia="Arial" w:hAnsi="Arial"/>
                <w:sz w:val="18"/>
                <w:szCs w:val="18"/>
                <w:color w:val="auto"/>
              </w:rPr>
              <w:t>58</w:t>
            </w:r>
          </w:p>
        </w:tc>
        <w:tc>
          <w:tcPr>
            <w:tcW w:w="7860" w:type="dxa"/>
            <w:vAlign w:val="bottom"/>
          </w:tcPr>
          <w:p>
            <w:pPr>
              <w:ind w:left="180"/>
              <w:spacing w:after="0"/>
              <w:rPr>
                <w:sz w:val="20"/>
                <w:szCs w:val="20"/>
                <w:color w:val="auto"/>
              </w:rPr>
            </w:pPr>
            <w:r>
              <w:rPr>
                <w:rFonts w:ascii="Arial" w:cs="Arial" w:eastAsia="Arial" w:hAnsi="Arial"/>
                <w:sz w:val="18"/>
                <w:szCs w:val="18"/>
                <w:color w:val="auto"/>
                <w:w w:val="87"/>
              </w:rPr>
              <w:t>Vice President – European Affairs and Chairman France, since January 2002; and Vice President – European</w:t>
            </w:r>
          </w:p>
        </w:tc>
      </w:tr>
      <w:tr>
        <w:trPr>
          <w:trHeight w:val="222"/>
        </w:trPr>
        <w:tc>
          <w:tcPr>
            <w:tcW w:w="25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7860" w:type="dxa"/>
            <w:vAlign w:val="bottom"/>
          </w:tcPr>
          <w:p>
            <w:pPr>
              <w:ind w:left="180"/>
              <w:spacing w:after="0"/>
              <w:rPr>
                <w:sz w:val="20"/>
                <w:szCs w:val="20"/>
                <w:color w:val="auto"/>
              </w:rPr>
            </w:pPr>
            <w:r>
              <w:rPr>
                <w:rFonts w:ascii="Arial" w:cs="Arial" w:eastAsia="Arial" w:hAnsi="Arial"/>
                <w:sz w:val="18"/>
                <w:szCs w:val="18"/>
                <w:color w:val="auto"/>
              </w:rPr>
              <w:t>Affairs, December 2001 and prior.</w:t>
            </w:r>
          </w:p>
        </w:tc>
      </w:tr>
      <w:tr>
        <w:trPr>
          <w:trHeight w:val="318"/>
        </w:trPr>
        <w:tc>
          <w:tcPr>
            <w:tcW w:w="2560" w:type="dxa"/>
            <w:vAlign w:val="bottom"/>
          </w:tcPr>
          <w:p>
            <w:pPr>
              <w:spacing w:after="0"/>
              <w:rPr>
                <w:sz w:val="20"/>
                <w:szCs w:val="20"/>
                <w:color w:val="auto"/>
              </w:rPr>
            </w:pPr>
            <w:r>
              <w:rPr>
                <w:rFonts w:ascii="Arial" w:cs="Arial" w:eastAsia="Arial" w:hAnsi="Arial"/>
                <w:sz w:val="18"/>
                <w:szCs w:val="18"/>
                <w:color w:val="auto"/>
              </w:rPr>
              <w:t>Doug Pferdehirt</w:t>
            </w:r>
          </w:p>
        </w:tc>
        <w:tc>
          <w:tcPr>
            <w:tcW w:w="1000" w:type="dxa"/>
            <w:vAlign w:val="bottom"/>
          </w:tcPr>
          <w:p>
            <w:pPr>
              <w:jc w:val="right"/>
              <w:ind w:right="74"/>
              <w:spacing w:after="0"/>
              <w:rPr>
                <w:sz w:val="20"/>
                <w:szCs w:val="20"/>
                <w:color w:val="auto"/>
              </w:rPr>
            </w:pPr>
            <w:r>
              <w:rPr>
                <w:rFonts w:ascii="Arial" w:cs="Arial" w:eastAsia="Arial" w:hAnsi="Arial"/>
                <w:sz w:val="18"/>
                <w:szCs w:val="18"/>
                <w:color w:val="auto"/>
              </w:rPr>
              <w:t>40</w:t>
            </w:r>
          </w:p>
        </w:tc>
        <w:tc>
          <w:tcPr>
            <w:tcW w:w="7860" w:type="dxa"/>
            <w:vAlign w:val="bottom"/>
          </w:tcPr>
          <w:p>
            <w:pPr>
              <w:ind w:left="180"/>
              <w:spacing w:after="0"/>
              <w:rPr>
                <w:sz w:val="20"/>
                <w:szCs w:val="20"/>
                <w:color w:val="auto"/>
              </w:rPr>
            </w:pPr>
            <w:r>
              <w:rPr>
                <w:rFonts w:ascii="Arial" w:cs="Arial" w:eastAsia="Arial" w:hAnsi="Arial"/>
                <w:sz w:val="18"/>
                <w:szCs w:val="18"/>
                <w:color w:val="auto"/>
                <w:w w:val="88"/>
              </w:rPr>
              <w:t>Vice President Communications and Investor Relations, since July 2003; President SchlumbergerSema NSA,</w:t>
            </w:r>
          </w:p>
        </w:tc>
      </w:tr>
      <w:tr>
        <w:trPr>
          <w:trHeight w:val="216"/>
        </w:trPr>
        <w:tc>
          <w:tcPr>
            <w:tcW w:w="25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860" w:type="dxa"/>
            <w:vAlign w:val="bottom"/>
          </w:tcPr>
          <w:p>
            <w:pPr>
              <w:ind w:left="180"/>
              <w:spacing w:after="0"/>
              <w:rPr>
                <w:sz w:val="20"/>
                <w:szCs w:val="20"/>
                <w:color w:val="auto"/>
              </w:rPr>
            </w:pPr>
            <w:r>
              <w:rPr>
                <w:rFonts w:ascii="Arial" w:cs="Arial" w:eastAsia="Arial" w:hAnsi="Arial"/>
                <w:sz w:val="18"/>
                <w:szCs w:val="18"/>
                <w:color w:val="auto"/>
                <w:w w:val="90"/>
              </w:rPr>
              <w:t>August 2002 to July 2003; Vice President Marketing and Technique, April 2002 to August 2002; Gulf Coast</w:t>
            </w:r>
          </w:p>
        </w:tc>
      </w:tr>
      <w:tr>
        <w:trPr>
          <w:trHeight w:val="216"/>
        </w:trPr>
        <w:tc>
          <w:tcPr>
            <w:tcW w:w="25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860" w:type="dxa"/>
            <w:vAlign w:val="bottom"/>
          </w:tcPr>
          <w:p>
            <w:pPr>
              <w:ind w:left="180"/>
              <w:spacing w:after="0"/>
              <w:rPr>
                <w:sz w:val="20"/>
                <w:szCs w:val="20"/>
                <w:color w:val="auto"/>
              </w:rPr>
            </w:pPr>
            <w:r>
              <w:rPr>
                <w:rFonts w:ascii="Arial" w:cs="Arial" w:eastAsia="Arial" w:hAnsi="Arial"/>
                <w:sz w:val="18"/>
                <w:szCs w:val="18"/>
                <w:color w:val="auto"/>
                <w:w w:val="97"/>
              </w:rPr>
              <w:t>GeoMarket Manager, February 2000 to April 2002; and Dowell North and South America Business</w:t>
            </w:r>
          </w:p>
        </w:tc>
      </w:tr>
      <w:tr>
        <w:trPr>
          <w:trHeight w:val="222"/>
        </w:trPr>
        <w:tc>
          <w:tcPr>
            <w:tcW w:w="25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7860" w:type="dxa"/>
            <w:vAlign w:val="bottom"/>
          </w:tcPr>
          <w:p>
            <w:pPr>
              <w:ind w:left="180"/>
              <w:spacing w:after="0"/>
              <w:rPr>
                <w:sz w:val="20"/>
                <w:szCs w:val="20"/>
                <w:color w:val="auto"/>
              </w:rPr>
            </w:pPr>
            <w:r>
              <w:rPr>
                <w:rFonts w:ascii="Arial" w:cs="Arial" w:eastAsia="Arial" w:hAnsi="Arial"/>
                <w:sz w:val="18"/>
                <w:szCs w:val="18"/>
                <w:color w:val="auto"/>
              </w:rPr>
              <w:t>Manager, March 1998 to February 2000.</w:t>
            </w:r>
          </w:p>
        </w:tc>
      </w:tr>
      <w:tr>
        <w:trPr>
          <w:trHeight w:val="324"/>
        </w:trPr>
        <w:tc>
          <w:tcPr>
            <w:tcW w:w="2560" w:type="dxa"/>
            <w:vAlign w:val="bottom"/>
          </w:tcPr>
          <w:p>
            <w:pPr>
              <w:spacing w:after="0"/>
              <w:rPr>
                <w:sz w:val="20"/>
                <w:szCs w:val="20"/>
                <w:color w:val="auto"/>
              </w:rPr>
            </w:pPr>
            <w:r>
              <w:rPr>
                <w:rFonts w:ascii="Arial" w:cs="Arial" w:eastAsia="Arial" w:hAnsi="Arial"/>
                <w:sz w:val="18"/>
                <w:szCs w:val="18"/>
                <w:color w:val="auto"/>
              </w:rPr>
              <w:t>Frank Sorgie</w:t>
            </w:r>
          </w:p>
        </w:tc>
        <w:tc>
          <w:tcPr>
            <w:tcW w:w="1000" w:type="dxa"/>
            <w:vAlign w:val="bottom"/>
          </w:tcPr>
          <w:p>
            <w:pPr>
              <w:jc w:val="right"/>
              <w:ind w:right="74"/>
              <w:spacing w:after="0"/>
              <w:rPr>
                <w:sz w:val="20"/>
                <w:szCs w:val="20"/>
                <w:color w:val="auto"/>
              </w:rPr>
            </w:pPr>
            <w:r>
              <w:rPr>
                <w:rFonts w:ascii="Arial" w:cs="Arial" w:eastAsia="Arial" w:hAnsi="Arial"/>
                <w:sz w:val="18"/>
                <w:szCs w:val="18"/>
                <w:color w:val="auto"/>
              </w:rPr>
              <w:t>56</w:t>
            </w:r>
          </w:p>
        </w:tc>
        <w:tc>
          <w:tcPr>
            <w:tcW w:w="7860" w:type="dxa"/>
            <w:vAlign w:val="bottom"/>
          </w:tcPr>
          <w:p>
            <w:pPr>
              <w:ind w:left="180"/>
              <w:spacing w:after="0"/>
              <w:rPr>
                <w:sz w:val="20"/>
                <w:szCs w:val="20"/>
                <w:color w:val="auto"/>
              </w:rPr>
            </w:pPr>
            <w:r>
              <w:rPr>
                <w:rFonts w:ascii="Arial" w:cs="Arial" w:eastAsia="Arial" w:hAnsi="Arial"/>
                <w:sz w:val="18"/>
                <w:szCs w:val="18"/>
                <w:color w:val="auto"/>
                <w:w w:val="90"/>
              </w:rPr>
              <w:t>Chief Accounting Officer, since May 2002; and Director of Financial Reporting, January 1993 to May 2002.</w:t>
            </w:r>
          </w:p>
        </w:tc>
      </w:tr>
      <w:tr>
        <w:trPr>
          <w:trHeight w:val="318"/>
        </w:trPr>
        <w:tc>
          <w:tcPr>
            <w:tcW w:w="2560" w:type="dxa"/>
            <w:vAlign w:val="bottom"/>
          </w:tcPr>
          <w:p>
            <w:pPr>
              <w:spacing w:after="0"/>
              <w:rPr>
                <w:sz w:val="20"/>
                <w:szCs w:val="20"/>
                <w:color w:val="auto"/>
              </w:rPr>
            </w:pPr>
            <w:r>
              <w:rPr>
                <w:rFonts w:ascii="Arial" w:cs="Arial" w:eastAsia="Arial" w:hAnsi="Arial"/>
                <w:sz w:val="18"/>
                <w:szCs w:val="18"/>
                <w:color w:val="auto"/>
              </w:rPr>
              <w:t>Michel Soublin</w:t>
            </w:r>
          </w:p>
        </w:tc>
        <w:tc>
          <w:tcPr>
            <w:tcW w:w="1000" w:type="dxa"/>
            <w:vAlign w:val="bottom"/>
          </w:tcPr>
          <w:p>
            <w:pPr>
              <w:jc w:val="right"/>
              <w:ind w:right="74"/>
              <w:spacing w:after="0"/>
              <w:rPr>
                <w:sz w:val="20"/>
                <w:szCs w:val="20"/>
                <w:color w:val="auto"/>
              </w:rPr>
            </w:pPr>
            <w:r>
              <w:rPr>
                <w:rFonts w:ascii="Arial" w:cs="Arial" w:eastAsia="Arial" w:hAnsi="Arial"/>
                <w:sz w:val="18"/>
                <w:szCs w:val="18"/>
                <w:color w:val="auto"/>
              </w:rPr>
              <w:t>58</w:t>
            </w:r>
          </w:p>
        </w:tc>
        <w:tc>
          <w:tcPr>
            <w:tcW w:w="7860" w:type="dxa"/>
            <w:vAlign w:val="bottom"/>
          </w:tcPr>
          <w:p>
            <w:pPr>
              <w:ind w:left="180"/>
              <w:spacing w:after="0"/>
              <w:rPr>
                <w:sz w:val="20"/>
                <w:szCs w:val="20"/>
                <w:color w:val="auto"/>
              </w:rPr>
            </w:pPr>
            <w:r>
              <w:rPr>
                <w:rFonts w:ascii="Arial" w:cs="Arial" w:eastAsia="Arial" w:hAnsi="Arial"/>
                <w:sz w:val="18"/>
                <w:szCs w:val="18"/>
                <w:color w:val="auto"/>
                <w:w w:val="94"/>
              </w:rPr>
              <w:t>Treasurer, since May 2001; Seconded as Chief Financial Officer to Yukos, January 1999 to May 2001;</w:t>
            </w:r>
          </w:p>
        </w:tc>
      </w:tr>
      <w:tr>
        <w:trPr>
          <w:trHeight w:val="216"/>
        </w:trPr>
        <w:tc>
          <w:tcPr>
            <w:tcW w:w="25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860" w:type="dxa"/>
            <w:vAlign w:val="bottom"/>
          </w:tcPr>
          <w:p>
            <w:pPr>
              <w:ind w:left="180"/>
              <w:spacing w:after="0"/>
              <w:rPr>
                <w:sz w:val="20"/>
                <w:szCs w:val="20"/>
                <w:color w:val="auto"/>
              </w:rPr>
            </w:pPr>
            <w:r>
              <w:rPr>
                <w:rFonts w:ascii="Arial" w:cs="Arial" w:eastAsia="Arial" w:hAnsi="Arial"/>
                <w:sz w:val="18"/>
                <w:szCs w:val="18"/>
                <w:color w:val="auto"/>
                <w:w w:val="87"/>
              </w:rPr>
              <w:t>Director Business Information Systems, September 1998 to January 1999; and Vice President and Controller,</w:t>
            </w:r>
          </w:p>
        </w:tc>
      </w:tr>
      <w:tr>
        <w:trPr>
          <w:trHeight w:val="222"/>
        </w:trPr>
        <w:tc>
          <w:tcPr>
            <w:tcW w:w="25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7860" w:type="dxa"/>
            <w:vAlign w:val="bottom"/>
          </w:tcPr>
          <w:p>
            <w:pPr>
              <w:ind w:left="180"/>
              <w:spacing w:after="0"/>
              <w:rPr>
                <w:sz w:val="20"/>
                <w:szCs w:val="20"/>
                <w:color w:val="auto"/>
              </w:rPr>
            </w:pPr>
            <w:r>
              <w:rPr>
                <w:rFonts w:ascii="Arial" w:cs="Arial" w:eastAsia="Arial" w:hAnsi="Arial"/>
                <w:sz w:val="18"/>
                <w:szCs w:val="18"/>
                <w:color w:val="auto"/>
              </w:rPr>
              <w:t>Oilfield Services, January 1996 to September 1998.</w:t>
            </w:r>
          </w:p>
        </w:tc>
      </w:tr>
      <w:tr>
        <w:trPr>
          <w:trHeight w:val="318"/>
        </w:trPr>
        <w:tc>
          <w:tcPr>
            <w:tcW w:w="2560" w:type="dxa"/>
            <w:vAlign w:val="bottom"/>
          </w:tcPr>
          <w:p>
            <w:pPr>
              <w:spacing w:after="0"/>
              <w:rPr>
                <w:sz w:val="20"/>
                <w:szCs w:val="20"/>
                <w:color w:val="auto"/>
              </w:rPr>
            </w:pPr>
            <w:r>
              <w:rPr>
                <w:rFonts w:ascii="Arial" w:cs="Arial" w:eastAsia="Arial" w:hAnsi="Arial"/>
                <w:sz w:val="18"/>
                <w:szCs w:val="18"/>
                <w:color w:val="auto"/>
              </w:rPr>
              <w:t>David Tournadre</w:t>
            </w:r>
          </w:p>
        </w:tc>
        <w:tc>
          <w:tcPr>
            <w:tcW w:w="1000" w:type="dxa"/>
            <w:vAlign w:val="bottom"/>
          </w:tcPr>
          <w:p>
            <w:pPr>
              <w:jc w:val="right"/>
              <w:ind w:right="74"/>
              <w:spacing w:after="0"/>
              <w:rPr>
                <w:sz w:val="20"/>
                <w:szCs w:val="20"/>
                <w:color w:val="auto"/>
              </w:rPr>
            </w:pPr>
            <w:r>
              <w:rPr>
                <w:rFonts w:ascii="Arial" w:cs="Arial" w:eastAsia="Arial" w:hAnsi="Arial"/>
                <w:sz w:val="18"/>
                <w:szCs w:val="18"/>
                <w:color w:val="auto"/>
              </w:rPr>
              <w:t>36</w:t>
            </w:r>
          </w:p>
        </w:tc>
        <w:tc>
          <w:tcPr>
            <w:tcW w:w="7860" w:type="dxa"/>
            <w:vAlign w:val="bottom"/>
          </w:tcPr>
          <w:p>
            <w:pPr>
              <w:ind w:left="180"/>
              <w:spacing w:after="0"/>
              <w:rPr>
                <w:sz w:val="20"/>
                <w:szCs w:val="20"/>
                <w:color w:val="auto"/>
              </w:rPr>
            </w:pPr>
            <w:r>
              <w:rPr>
                <w:rFonts w:ascii="Arial" w:cs="Arial" w:eastAsia="Arial" w:hAnsi="Arial"/>
                <w:sz w:val="18"/>
                <w:szCs w:val="18"/>
                <w:color w:val="auto"/>
                <w:w w:val="90"/>
              </w:rPr>
              <w:t>Vice President Personnel since August 2003; Operations Manager REW, September 2001 to August 2003;</w:t>
            </w:r>
          </w:p>
        </w:tc>
      </w:tr>
      <w:tr>
        <w:trPr>
          <w:trHeight w:val="216"/>
        </w:trPr>
        <w:tc>
          <w:tcPr>
            <w:tcW w:w="25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860" w:type="dxa"/>
            <w:vAlign w:val="bottom"/>
          </w:tcPr>
          <w:p>
            <w:pPr>
              <w:ind w:left="180"/>
              <w:spacing w:after="0"/>
              <w:rPr>
                <w:sz w:val="20"/>
                <w:szCs w:val="20"/>
                <w:color w:val="auto"/>
              </w:rPr>
            </w:pPr>
            <w:r>
              <w:rPr>
                <w:rFonts w:ascii="Arial" w:cs="Arial" w:eastAsia="Arial" w:hAnsi="Arial"/>
                <w:sz w:val="18"/>
                <w:szCs w:val="18"/>
                <w:color w:val="auto"/>
                <w:w w:val="95"/>
              </w:rPr>
              <w:t>Management and Technical Training Program, April 2001 to September 2001; and Seconded as Vice</w:t>
            </w:r>
          </w:p>
        </w:tc>
      </w:tr>
      <w:tr>
        <w:trPr>
          <w:trHeight w:val="222"/>
        </w:trPr>
        <w:tc>
          <w:tcPr>
            <w:tcW w:w="25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7860" w:type="dxa"/>
            <w:vAlign w:val="bottom"/>
          </w:tcPr>
          <w:p>
            <w:pPr>
              <w:ind w:left="180"/>
              <w:spacing w:after="0"/>
              <w:rPr>
                <w:sz w:val="20"/>
                <w:szCs w:val="20"/>
                <w:color w:val="auto"/>
              </w:rPr>
            </w:pPr>
            <w:r>
              <w:rPr>
                <w:rFonts w:ascii="Arial" w:cs="Arial" w:eastAsia="Arial" w:hAnsi="Arial"/>
                <w:sz w:val="18"/>
                <w:szCs w:val="18"/>
                <w:color w:val="auto"/>
              </w:rPr>
              <w:t>President Personnel, Exploration and Production to Yukos, December 1998 to April 2001.</w:t>
            </w:r>
          </w:p>
        </w:tc>
      </w:tr>
      <w:tr>
        <w:trPr>
          <w:trHeight w:val="312"/>
        </w:trPr>
        <w:tc>
          <w:tcPr>
            <w:tcW w:w="2560" w:type="dxa"/>
            <w:vAlign w:val="bottom"/>
          </w:tcPr>
          <w:p>
            <w:pPr>
              <w:spacing w:after="0"/>
              <w:rPr>
                <w:sz w:val="20"/>
                <w:szCs w:val="20"/>
                <w:color w:val="auto"/>
              </w:rPr>
            </w:pPr>
            <w:r>
              <w:rPr>
                <w:rFonts w:ascii="Arial" w:cs="Arial" w:eastAsia="Arial" w:hAnsi="Arial"/>
                <w:sz w:val="14"/>
                <w:szCs w:val="14"/>
                <w:color w:val="auto"/>
              </w:rPr>
              <w:t>9 / SLB</w:t>
            </w:r>
          </w:p>
        </w:tc>
        <w:tc>
          <w:tcPr>
            <w:tcW w:w="1000" w:type="dxa"/>
            <w:vAlign w:val="bottom"/>
          </w:tcPr>
          <w:p>
            <w:pPr>
              <w:spacing w:after="0"/>
              <w:rPr>
                <w:sz w:val="24"/>
                <w:szCs w:val="24"/>
                <w:color w:val="auto"/>
              </w:rPr>
            </w:pPr>
          </w:p>
        </w:tc>
        <w:tc>
          <w:tcPr>
            <w:tcW w:w="7860" w:type="dxa"/>
            <w:vAlign w:val="bottom"/>
          </w:tcPr>
          <w:p>
            <w:pPr>
              <w:ind w:left="6860"/>
              <w:spacing w:after="0"/>
              <w:rPr>
                <w:sz w:val="20"/>
                <w:szCs w:val="20"/>
                <w:color w:val="auto"/>
              </w:rPr>
            </w:pPr>
            <w:r>
              <w:rPr>
                <w:rFonts w:ascii="Arial" w:cs="Arial" w:eastAsia="Arial" w:hAnsi="Arial"/>
                <w:sz w:val="14"/>
                <w:szCs w:val="14"/>
                <w:color w:val="auto"/>
                <w:w w:val="89"/>
              </w:rPr>
              <w:t>2003 FORM 10-K</w:t>
            </w:r>
          </w:p>
        </w:tc>
      </w:tr>
    </w:tbl>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4"/>
          <w:szCs w:val="14"/>
          <w:color w:val="auto"/>
        </w:rPr>
        <w:t>Part II, Item 5</w:t>
      </w:r>
    </w:p>
    <w:p>
      <w:pPr>
        <w:spacing w:after="0" w:line="58"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PART II</w:t>
      </w:r>
    </w:p>
    <w:p>
      <w:pPr>
        <w:spacing w:after="0" w:line="147"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Market for Schlumberger’s Common Stock and Related Stockholder Matters</w:t>
      </w:r>
    </w:p>
    <w:p>
      <w:pPr>
        <w:spacing w:after="0" w:line="74" w:lineRule="exact"/>
        <w:rPr>
          <w:sz w:val="20"/>
          <w:szCs w:val="20"/>
          <w:color w:val="auto"/>
        </w:rPr>
      </w:pPr>
    </w:p>
    <w:p>
      <w:pPr>
        <w:ind w:right="280"/>
        <w:spacing w:after="0" w:line="305" w:lineRule="auto"/>
        <w:rPr>
          <w:sz w:val="20"/>
          <w:szCs w:val="20"/>
          <w:color w:val="auto"/>
        </w:rPr>
      </w:pPr>
      <w:r>
        <w:rPr>
          <w:rFonts w:ascii="Arial" w:cs="Arial" w:eastAsia="Arial" w:hAnsi="Arial"/>
          <w:sz w:val="15"/>
          <w:szCs w:val="15"/>
          <w:color w:val="auto"/>
        </w:rPr>
        <w:t>As of December 31, 2003, there were 585,948,328 shares of the Common Stock of Schlumberger outstanding, exclusive of 81,157,660 shares held in treasury, and approximately 24,770 stockholders of record. The principal United States market for Schlumberger’s Common Stock is the New York Stock Exchange.</w:t>
      </w:r>
    </w:p>
    <w:p>
      <w:pPr>
        <w:ind w:right="1760" w:firstLine="228"/>
        <w:spacing w:after="0" w:line="364" w:lineRule="auto"/>
        <w:rPr>
          <w:sz w:val="20"/>
          <w:szCs w:val="20"/>
          <w:color w:val="auto"/>
        </w:rPr>
      </w:pPr>
      <w:r>
        <w:rPr>
          <w:rFonts w:ascii="Arial" w:cs="Arial" w:eastAsia="Arial" w:hAnsi="Arial"/>
          <w:sz w:val="18"/>
          <w:szCs w:val="18"/>
          <w:color w:val="auto"/>
        </w:rPr>
        <w:t xml:space="preserve">Schlumberger’s Common Stock is also traded on the Euronext Paris, Euronext Amsterdam, London and SWX Swiss stock exchanges. </w:t>
      </w:r>
      <w:r>
        <w:rPr>
          <w:rFonts w:ascii="Arial" w:cs="Arial" w:eastAsia="Arial" w:hAnsi="Arial"/>
          <w:sz w:val="18"/>
          <w:szCs w:val="18"/>
          <w:b w:val="1"/>
          <w:bCs w:val="1"/>
          <w:i w:val="1"/>
          <w:iCs w:val="1"/>
          <w:color w:val="auto"/>
        </w:rPr>
        <w:t>Common Stock, Market Prices and Dividends Declared per Share</w:t>
      </w:r>
    </w:p>
    <w:p>
      <w:pPr>
        <w:spacing w:after="0" w:line="1"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 xml:space="preserve">The information with respect to this portion of Item 5 is set forth under the heading </w:t>
      </w:r>
      <w:r>
        <w:rPr>
          <w:rFonts w:ascii="Arial" w:cs="Arial" w:eastAsia="Arial" w:hAnsi="Arial"/>
          <w:sz w:val="18"/>
          <w:szCs w:val="18"/>
          <w:i w:val="1"/>
          <w:iCs w:val="1"/>
          <w:color w:val="auto"/>
        </w:rPr>
        <w:t>Common Stock, Market Prices and Dividends Declared per Share</w:t>
      </w:r>
      <w:r>
        <w:rPr>
          <w:rFonts w:ascii="Arial" w:cs="Arial" w:eastAsia="Arial" w:hAnsi="Arial"/>
          <w:sz w:val="18"/>
          <w:szCs w:val="18"/>
          <w:color w:val="auto"/>
        </w:rPr>
        <w:t xml:space="preserve"> on page 32 of this Report.</w:t>
      </w:r>
    </w:p>
    <w:p>
      <w:pPr>
        <w:spacing w:after="0" w:line="116" w:lineRule="exact"/>
        <w:rPr>
          <w:sz w:val="20"/>
          <w:szCs w:val="20"/>
          <w:color w:val="auto"/>
        </w:rPr>
      </w:pPr>
    </w:p>
    <w:p>
      <w:pPr>
        <w:spacing w:after="0"/>
        <w:tabs>
          <w:tab w:leader="none" w:pos="10400" w:val="left"/>
        </w:tabs>
        <w:rPr>
          <w:sz w:val="20"/>
          <w:szCs w:val="20"/>
          <w:color w:val="auto"/>
        </w:rPr>
      </w:pPr>
      <w:r>
        <w:rPr>
          <w:rFonts w:ascii="Arial" w:cs="Arial" w:eastAsia="Arial" w:hAnsi="Arial"/>
          <w:sz w:val="14"/>
          <w:szCs w:val="14"/>
          <w:color w:val="auto"/>
        </w:rPr>
        <w:t>10 / SLB</w:t>
      </w:r>
      <w:r>
        <w:rPr>
          <w:sz w:val="20"/>
          <w:szCs w:val="20"/>
          <w:color w:val="auto"/>
        </w:rPr>
        <w:tab/>
      </w:r>
      <w:r>
        <w:rPr>
          <w:rFonts w:ascii="Arial" w:cs="Arial" w:eastAsia="Arial" w:hAnsi="Arial"/>
          <w:sz w:val="12"/>
          <w:szCs w:val="12"/>
          <w:color w:val="auto"/>
        </w:rPr>
        <w:t>2003 FORM 10-K</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4"/>
          <w:szCs w:val="14"/>
          <w:color w:val="auto"/>
        </w:rPr>
        <w:t>Part II, Item 6</w:t>
      </w:r>
    </w:p>
    <w:p>
      <w:pPr>
        <w:spacing w:after="0" w:line="128"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Selected Financial Data</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FIVE-YEAR SUMMARY</w:t>
      </w:r>
    </w:p>
    <w:p>
      <w:pPr>
        <w:spacing w:after="0" w:line="6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(Stated in millions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14375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3750" cy="8890"/>
                    </a:xfrm>
                    <a:prstGeom prst="rect">
                      <a:avLst/>
                    </a:prstGeom>
                    <a:noFill/>
                  </pic:spPr>
                </pic:pic>
              </a:graphicData>
            </a:graphic>
          </wp:anchor>
        </w:drawing>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95"/>
        </w:trPr>
        <w:tc>
          <w:tcPr>
            <w:tcW w:w="6360" w:type="dxa"/>
            <w:vAlign w:val="bottom"/>
            <w:gridSpan w:val="2"/>
          </w:tcPr>
          <w:p>
            <w:pPr>
              <w:spacing w:after="0"/>
              <w:rPr>
                <w:sz w:val="20"/>
                <w:szCs w:val="20"/>
                <w:color w:val="auto"/>
              </w:rPr>
            </w:pPr>
            <w:r>
              <w:rPr>
                <w:rFonts w:ascii="Arial" w:cs="Arial" w:eastAsia="Arial" w:hAnsi="Arial"/>
                <w:sz w:val="14"/>
                <w:szCs w:val="14"/>
                <w:b w:val="1"/>
                <w:bCs w:val="1"/>
                <w:color w:val="auto"/>
              </w:rPr>
              <w:t>Year Ended December 31,</w:t>
            </w:r>
          </w:p>
        </w:tc>
        <w:tc>
          <w:tcPr>
            <w:tcW w:w="110" w:type="dxa"/>
            <w:vAlign w:val="bottom"/>
          </w:tcPr>
          <w:p>
            <w:pPr>
              <w:spacing w:after="0"/>
              <w:rPr>
                <w:sz w:val="24"/>
                <w:szCs w:val="24"/>
                <w:color w:val="auto"/>
              </w:rPr>
            </w:pPr>
          </w:p>
        </w:tc>
        <w:tc>
          <w:tcPr>
            <w:tcW w:w="390" w:type="dxa"/>
            <w:vAlign w:val="bottom"/>
          </w:tcPr>
          <w:p>
            <w:pPr>
              <w:jc w:val="right"/>
              <w:spacing w:after="0"/>
              <w:rPr>
                <w:sz w:val="20"/>
                <w:szCs w:val="20"/>
                <w:color w:val="auto"/>
              </w:rPr>
            </w:pPr>
            <w:r>
              <w:rPr>
                <w:rFonts w:ascii="Arial" w:cs="Arial" w:eastAsia="Arial" w:hAnsi="Arial"/>
                <w:sz w:val="14"/>
                <w:szCs w:val="14"/>
                <w:b w:val="1"/>
                <w:bCs w:val="1"/>
                <w:color w:val="auto"/>
              </w:rPr>
              <w:t>2003</w:t>
            </w: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4"/>
                <w:szCs w:val="14"/>
                <w:b w:val="1"/>
                <w:bCs w:val="1"/>
                <w:color w:val="auto"/>
                <w:w w:val="91"/>
              </w:rPr>
              <w:t>2002</w:t>
            </w:r>
            <w:r>
              <w:rPr>
                <w:rFonts w:ascii="Arial" w:cs="Arial" w:eastAsia="Arial" w:hAnsi="Arial"/>
                <w:sz w:val="22"/>
                <w:szCs w:val="22"/>
                <w:b w:val="1"/>
                <w:bCs w:val="1"/>
                <w:color w:val="auto"/>
                <w:w w:val="91"/>
                <w:vertAlign w:val="superscript"/>
              </w:rPr>
              <w:t>1</w:t>
            </w: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w w:val="96"/>
              </w:rPr>
              <w:t>2001</w:t>
            </w:r>
            <w:r>
              <w:rPr>
                <w:rFonts w:ascii="Arial" w:cs="Arial" w:eastAsia="Arial" w:hAnsi="Arial"/>
                <w:sz w:val="22"/>
                <w:szCs w:val="22"/>
                <w:b w:val="1"/>
                <w:bCs w:val="1"/>
                <w:color w:val="auto"/>
                <w:w w:val="96"/>
                <w:vertAlign w:val="superscript"/>
              </w:rPr>
              <w:t>1</w:t>
            </w: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jc w:val="right"/>
              <w:spacing w:after="0"/>
              <w:rPr>
                <w:sz w:val="20"/>
                <w:szCs w:val="20"/>
                <w:color w:val="auto"/>
              </w:rPr>
            </w:pPr>
            <w:r>
              <w:rPr>
                <w:rFonts w:ascii="Arial" w:cs="Arial" w:eastAsia="Arial" w:hAnsi="Arial"/>
                <w:sz w:val="14"/>
                <w:szCs w:val="14"/>
                <w:b w:val="1"/>
                <w:bCs w:val="1"/>
                <w:color w:val="auto"/>
                <w:w w:val="81"/>
              </w:rPr>
              <w:t>2000</w:t>
            </w:r>
            <w:r>
              <w:rPr>
                <w:rFonts w:ascii="Arial" w:cs="Arial" w:eastAsia="Arial" w:hAnsi="Arial"/>
                <w:sz w:val="22"/>
                <w:szCs w:val="22"/>
                <w:b w:val="1"/>
                <w:bCs w:val="1"/>
                <w:color w:val="auto"/>
                <w:w w:val="81"/>
                <w:vertAlign w:val="superscript"/>
              </w:rPr>
              <w:t>1</w:t>
            </w: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4"/>
                <w:szCs w:val="14"/>
                <w:b w:val="1"/>
                <w:bCs w:val="1"/>
                <w:color w:val="auto"/>
                <w:w w:val="91"/>
              </w:rPr>
              <w:t>1999</w:t>
            </w:r>
            <w:r>
              <w:rPr>
                <w:rFonts w:ascii="Arial" w:cs="Arial" w:eastAsia="Arial" w:hAnsi="Arial"/>
                <w:sz w:val="22"/>
                <w:szCs w:val="22"/>
                <w:b w:val="1"/>
                <w:bCs w:val="1"/>
                <w:color w:val="auto"/>
                <w:w w:val="91"/>
                <w:vertAlign w:val="superscript"/>
              </w:rPr>
              <w:t>1</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340" w:type="dxa"/>
            <w:vAlign w:val="bottom"/>
            <w:shd w:val="clear" w:color="auto" w:fill="CCEEFF"/>
          </w:tcPr>
          <w:p>
            <w:pPr>
              <w:spacing w:after="0" w:line="155" w:lineRule="exact"/>
              <w:rPr>
                <w:sz w:val="20"/>
                <w:szCs w:val="20"/>
                <w:color w:val="auto"/>
              </w:rPr>
            </w:pPr>
            <w:r>
              <w:rPr>
                <w:rFonts w:ascii="Arial" w:cs="Arial" w:eastAsia="Arial" w:hAnsi="Arial"/>
                <w:sz w:val="14"/>
                <w:szCs w:val="14"/>
                <w:color w:val="auto"/>
              </w:rPr>
              <w:t>SUMMARY OF OPERATIONS</w:t>
            </w:r>
          </w:p>
        </w:tc>
        <w:tc>
          <w:tcPr>
            <w:tcW w:w="110" w:type="dxa"/>
            <w:vAlign w:val="bottom"/>
            <w:shd w:val="clear" w:color="auto" w:fill="CCEEFF"/>
          </w:tcPr>
          <w:p>
            <w:pPr>
              <w:spacing w:after="0"/>
              <w:rPr>
                <w:sz w:val="13"/>
                <w:szCs w:val="13"/>
                <w:color w:val="auto"/>
              </w:rPr>
            </w:pPr>
          </w:p>
        </w:tc>
        <w:tc>
          <w:tcPr>
            <w:tcW w:w="39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40" w:type="dxa"/>
            <w:vAlign w:val="bottom"/>
          </w:tcPr>
          <w:p>
            <w:pPr>
              <w:spacing w:after="0" w:line="149" w:lineRule="exact"/>
              <w:rPr>
                <w:sz w:val="20"/>
                <w:szCs w:val="20"/>
                <w:color w:val="auto"/>
              </w:rPr>
            </w:pPr>
            <w:r>
              <w:rPr>
                <w:rFonts w:ascii="Arial" w:cs="Arial" w:eastAsia="Arial" w:hAnsi="Arial"/>
                <w:sz w:val="14"/>
                <w:szCs w:val="14"/>
                <w:color w:val="auto"/>
              </w:rPr>
              <w:t>Operating revenue:</w:t>
            </w:r>
          </w:p>
        </w:tc>
        <w:tc>
          <w:tcPr>
            <w:tcW w:w="110" w:type="dxa"/>
            <w:vAlign w:val="bottom"/>
          </w:tcPr>
          <w:p>
            <w:pPr>
              <w:spacing w:after="0"/>
              <w:rPr>
                <w:sz w:val="12"/>
                <w:szCs w:val="12"/>
                <w:color w:val="auto"/>
              </w:rPr>
            </w:pPr>
          </w:p>
        </w:tc>
        <w:tc>
          <w:tcPr>
            <w:tcW w:w="39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Oilfield Services</w:t>
            </w:r>
          </w:p>
        </w:tc>
        <w:tc>
          <w:tcPr>
            <w:tcW w:w="11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76"/>
              </w:rPr>
              <w:t>$</w:t>
            </w:r>
          </w:p>
        </w:tc>
        <w:tc>
          <w:tcPr>
            <w:tcW w:w="39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8,823</w:t>
            </w: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8,171</w:t>
            </w:r>
          </w:p>
        </w:tc>
        <w:tc>
          <w:tcPr>
            <w:tcW w:w="640" w:type="dxa"/>
            <w:vAlign w:val="bottom"/>
            <w:shd w:val="clear" w:color="auto" w:fill="CCEEFF"/>
          </w:tcPr>
          <w:p>
            <w:pPr>
              <w:spacing w:after="0"/>
              <w:rPr>
                <w:sz w:val="12"/>
                <w:szCs w:val="12"/>
                <w:color w:val="auto"/>
              </w:rPr>
            </w:pPr>
          </w:p>
        </w:tc>
        <w:tc>
          <w:tcPr>
            <w:tcW w:w="1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76"/>
              </w:rPr>
              <w:t>$</w:t>
            </w: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8,381</w:t>
            </w: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1"/>
              </w:rPr>
              <w:t>6,855</w:t>
            </w:r>
          </w:p>
        </w:tc>
        <w:tc>
          <w:tcPr>
            <w:tcW w:w="180" w:type="dxa"/>
            <w:vAlign w:val="bottom"/>
            <w:shd w:val="clear" w:color="auto" w:fill="CCEEFF"/>
          </w:tcPr>
          <w:p>
            <w:pPr>
              <w:spacing w:after="0"/>
              <w:rPr>
                <w:sz w:val="12"/>
                <w:szCs w:val="12"/>
                <w:color w:val="auto"/>
              </w:rPr>
            </w:pPr>
          </w:p>
        </w:tc>
        <w:tc>
          <w:tcPr>
            <w:tcW w:w="54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5,520</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40" w:type="dxa"/>
            <w:vAlign w:val="bottom"/>
          </w:tcPr>
          <w:p>
            <w:pPr>
              <w:ind w:left="420"/>
              <w:spacing w:after="0" w:line="149" w:lineRule="exact"/>
              <w:rPr>
                <w:sz w:val="20"/>
                <w:szCs w:val="20"/>
                <w:color w:val="auto"/>
              </w:rPr>
            </w:pPr>
            <w:r>
              <w:rPr>
                <w:rFonts w:ascii="Arial" w:cs="Arial" w:eastAsia="Arial" w:hAnsi="Arial"/>
                <w:sz w:val="14"/>
                <w:szCs w:val="14"/>
                <w:color w:val="auto"/>
              </w:rPr>
              <w:t>WesternGeco</w:t>
            </w:r>
          </w:p>
        </w:tc>
        <w:tc>
          <w:tcPr>
            <w:tcW w:w="110" w:type="dxa"/>
            <w:vAlign w:val="bottom"/>
          </w:tcPr>
          <w:p>
            <w:pPr>
              <w:spacing w:after="0"/>
              <w:rPr>
                <w:sz w:val="12"/>
                <w:szCs w:val="12"/>
                <w:color w:val="auto"/>
              </w:rPr>
            </w:pPr>
          </w:p>
        </w:tc>
        <w:tc>
          <w:tcPr>
            <w:tcW w:w="39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1,183</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1,476</w:t>
            </w: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1,702</w:t>
            </w: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jc w:val="right"/>
              <w:spacing w:after="0" w:line="149" w:lineRule="exact"/>
              <w:rPr>
                <w:sz w:val="20"/>
                <w:szCs w:val="20"/>
                <w:color w:val="auto"/>
              </w:rPr>
            </w:pPr>
            <w:r>
              <w:rPr>
                <w:rFonts w:ascii="Arial" w:cs="Arial" w:eastAsia="Arial" w:hAnsi="Arial"/>
                <w:sz w:val="14"/>
                <w:szCs w:val="14"/>
                <w:color w:val="auto"/>
              </w:rPr>
              <w:t>511</w:t>
            </w: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591</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340" w:type="dxa"/>
            <w:vAlign w:val="bottom"/>
            <w:shd w:val="clear" w:color="auto" w:fill="CCEEFF"/>
          </w:tcPr>
          <w:p>
            <w:pPr>
              <w:ind w:left="420"/>
              <w:spacing w:after="0" w:line="176" w:lineRule="exact"/>
              <w:rPr>
                <w:sz w:val="20"/>
                <w:szCs w:val="20"/>
                <w:color w:val="auto"/>
              </w:rPr>
            </w:pPr>
            <w:r>
              <w:rPr>
                <w:rFonts w:ascii="Arial" w:cs="Arial" w:eastAsia="Arial" w:hAnsi="Arial"/>
                <w:sz w:val="13"/>
                <w:szCs w:val="13"/>
                <w:color w:val="auto"/>
              </w:rPr>
              <w:t>SchlumbergerSema</w:t>
            </w:r>
            <w:r>
              <w:rPr>
                <w:rFonts w:ascii="Arial" w:cs="Arial" w:eastAsia="Arial" w:hAnsi="Arial"/>
                <w:sz w:val="20"/>
                <w:szCs w:val="20"/>
                <w:color w:val="auto"/>
                <w:vertAlign w:val="superscript"/>
              </w:rPr>
              <w:t>2</w:t>
            </w:r>
          </w:p>
        </w:tc>
        <w:tc>
          <w:tcPr>
            <w:tcW w:w="110" w:type="dxa"/>
            <w:vAlign w:val="bottom"/>
            <w:shd w:val="clear" w:color="auto" w:fill="CCEEFF"/>
          </w:tcPr>
          <w:p>
            <w:pPr>
              <w:spacing w:after="0"/>
              <w:rPr>
                <w:sz w:val="15"/>
                <w:szCs w:val="15"/>
                <w:color w:val="auto"/>
              </w:rPr>
            </w:pPr>
          </w:p>
        </w:tc>
        <w:tc>
          <w:tcPr>
            <w:tcW w:w="39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2,677</w:t>
            </w: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2,409</w:t>
            </w:r>
          </w:p>
        </w:tc>
        <w:tc>
          <w:tcPr>
            <w:tcW w:w="6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1,833</w:t>
            </w: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w:t>
            </w:r>
          </w:p>
        </w:tc>
        <w:tc>
          <w:tcPr>
            <w:tcW w:w="1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340" w:type="dxa"/>
            <w:vAlign w:val="bottom"/>
          </w:tcPr>
          <w:p>
            <w:pPr>
              <w:ind w:left="420"/>
              <w:spacing w:after="0" w:line="176" w:lineRule="exact"/>
              <w:rPr>
                <w:sz w:val="20"/>
                <w:szCs w:val="20"/>
                <w:color w:val="auto"/>
              </w:rPr>
            </w:pPr>
            <w:r>
              <w:rPr>
                <w:rFonts w:ascii="Arial" w:cs="Arial" w:eastAsia="Arial" w:hAnsi="Arial"/>
                <w:sz w:val="13"/>
                <w:szCs w:val="13"/>
                <w:color w:val="auto"/>
              </w:rPr>
              <w:t>Other</w:t>
            </w:r>
            <w:r>
              <w:rPr>
                <w:rFonts w:ascii="Arial" w:cs="Arial" w:eastAsia="Arial" w:hAnsi="Arial"/>
                <w:sz w:val="20"/>
                <w:szCs w:val="20"/>
                <w:color w:val="auto"/>
                <w:vertAlign w:val="superscript"/>
              </w:rPr>
              <w:t>3</w:t>
            </w:r>
          </w:p>
        </w:tc>
        <w:tc>
          <w:tcPr>
            <w:tcW w:w="110" w:type="dxa"/>
            <w:vAlign w:val="bottom"/>
          </w:tcPr>
          <w:p>
            <w:pPr>
              <w:spacing w:after="0"/>
              <w:rPr>
                <w:sz w:val="15"/>
                <w:szCs w:val="15"/>
                <w:color w:val="auto"/>
              </w:rPr>
            </w:pPr>
          </w:p>
        </w:tc>
        <w:tc>
          <w:tcPr>
            <w:tcW w:w="390" w:type="dxa"/>
            <w:vAlign w:val="bottom"/>
          </w:tcPr>
          <w:p>
            <w:pPr>
              <w:jc w:val="right"/>
              <w:spacing w:after="0"/>
              <w:rPr>
                <w:sz w:val="20"/>
                <w:szCs w:val="20"/>
                <w:color w:val="auto"/>
              </w:rPr>
            </w:pPr>
            <w:r>
              <w:rPr>
                <w:rFonts w:ascii="Arial" w:cs="Arial" w:eastAsia="Arial" w:hAnsi="Arial"/>
                <w:sz w:val="14"/>
                <w:szCs w:val="14"/>
                <w:b w:val="1"/>
                <w:bCs w:val="1"/>
                <w:color w:val="auto"/>
              </w:rPr>
              <w:t>1,480</w:t>
            </w: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1,334</w:t>
            </w: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2,016</w:t>
            </w: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w w:val="91"/>
              </w:rPr>
              <w:t>2,095</w:t>
            </w:r>
          </w:p>
        </w:tc>
        <w:tc>
          <w:tcPr>
            <w:tcW w:w="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2,138</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Eliminations and other</w:t>
            </w:r>
          </w:p>
        </w:tc>
        <w:tc>
          <w:tcPr>
            <w:tcW w:w="110" w:type="dxa"/>
            <w:vAlign w:val="bottom"/>
            <w:shd w:val="clear" w:color="auto" w:fill="CCEEFF"/>
          </w:tcPr>
          <w:p>
            <w:pPr>
              <w:spacing w:after="0"/>
              <w:rPr>
                <w:sz w:val="12"/>
                <w:szCs w:val="12"/>
                <w:color w:val="auto"/>
              </w:rPr>
            </w:pPr>
          </w:p>
        </w:tc>
        <w:tc>
          <w:tcPr>
            <w:tcW w:w="1010" w:type="dxa"/>
            <w:vAlign w:val="bottom"/>
            <w:gridSpan w:val="2"/>
            <w:shd w:val="clear" w:color="auto" w:fill="CCEEFF"/>
          </w:tcPr>
          <w:p>
            <w:pPr>
              <w:jc w:val="right"/>
              <w:ind w:right="580"/>
              <w:spacing w:after="0" w:line="149" w:lineRule="exact"/>
              <w:rPr>
                <w:sz w:val="20"/>
                <w:szCs w:val="20"/>
                <w:color w:val="auto"/>
              </w:rPr>
            </w:pPr>
            <w:r>
              <w:rPr>
                <w:rFonts w:ascii="Arial" w:cs="Arial" w:eastAsia="Arial" w:hAnsi="Arial"/>
                <w:sz w:val="14"/>
                <w:szCs w:val="14"/>
                <w:b w:val="1"/>
                <w:bCs w:val="1"/>
                <w:color w:val="auto"/>
              </w:rPr>
              <w:t>(270)</w:t>
            </w:r>
          </w:p>
        </w:tc>
        <w:tc>
          <w:tcPr>
            <w:tcW w:w="1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600"/>
              <w:spacing w:after="0" w:line="149" w:lineRule="exact"/>
              <w:rPr>
                <w:sz w:val="20"/>
                <w:szCs w:val="20"/>
                <w:color w:val="auto"/>
              </w:rPr>
            </w:pPr>
            <w:r>
              <w:rPr>
                <w:rFonts w:ascii="Arial" w:cs="Arial" w:eastAsia="Arial" w:hAnsi="Arial"/>
                <w:sz w:val="14"/>
                <w:szCs w:val="14"/>
                <w:color w:val="auto"/>
              </w:rPr>
              <w:t>(272)</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600"/>
              <w:spacing w:after="0" w:line="149" w:lineRule="exact"/>
              <w:rPr>
                <w:sz w:val="20"/>
                <w:szCs w:val="20"/>
                <w:color w:val="auto"/>
              </w:rPr>
            </w:pPr>
            <w:r>
              <w:rPr>
                <w:rFonts w:ascii="Arial" w:cs="Arial" w:eastAsia="Arial" w:hAnsi="Arial"/>
                <w:sz w:val="14"/>
                <w:szCs w:val="14"/>
                <w:color w:val="auto"/>
              </w:rPr>
              <w:t>(176)</w:t>
            </w: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(73)</w:t>
            </w:r>
          </w:p>
        </w:tc>
        <w:tc>
          <w:tcPr>
            <w:tcW w:w="4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340" w:type="dxa"/>
            <w:vAlign w:val="bottom"/>
            <w:tcBorders>
              <w:bottom w:val="single" w:sz="8" w:color="auto"/>
            </w:tcBorders>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39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340" w:type="dxa"/>
            <w:vAlign w:val="bottom"/>
          </w:tcPr>
          <w:p>
            <w:pPr>
              <w:spacing w:after="0"/>
              <w:rPr>
                <w:sz w:val="8"/>
                <w:szCs w:val="8"/>
                <w:color w:val="auto"/>
              </w:rPr>
            </w:pPr>
          </w:p>
        </w:tc>
        <w:tc>
          <w:tcPr>
            <w:tcW w:w="110" w:type="dxa"/>
            <w:vAlign w:val="bottom"/>
          </w:tcPr>
          <w:p>
            <w:pPr>
              <w:spacing w:after="0"/>
              <w:rPr>
                <w:sz w:val="8"/>
                <w:szCs w:val="8"/>
                <w:color w:val="auto"/>
              </w:rPr>
            </w:pPr>
          </w:p>
        </w:tc>
        <w:tc>
          <w:tcPr>
            <w:tcW w:w="39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operating revenue</w:t>
            </w:r>
          </w:p>
        </w:tc>
        <w:tc>
          <w:tcPr>
            <w:tcW w:w="11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76"/>
              </w:rPr>
              <w:t>$</w:t>
            </w:r>
          </w:p>
        </w:tc>
        <w:tc>
          <w:tcPr>
            <w:tcW w:w="39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83"/>
              </w:rPr>
              <w:t>13,893</w:t>
            </w: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13,118</w:t>
            </w:r>
          </w:p>
        </w:tc>
        <w:tc>
          <w:tcPr>
            <w:tcW w:w="640" w:type="dxa"/>
            <w:vAlign w:val="bottom"/>
            <w:shd w:val="clear" w:color="auto" w:fill="CCEEFF"/>
          </w:tcPr>
          <w:p>
            <w:pPr>
              <w:spacing w:after="0"/>
              <w:rPr>
                <w:sz w:val="12"/>
                <w:szCs w:val="12"/>
                <w:color w:val="auto"/>
              </w:rPr>
            </w:pPr>
          </w:p>
        </w:tc>
        <w:tc>
          <w:tcPr>
            <w:tcW w:w="1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76"/>
              </w:rPr>
              <w:t>$</w:t>
            </w: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8"/>
              </w:rPr>
              <w:t>13,756</w:t>
            </w: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1"/>
              </w:rPr>
              <w:t>9,458</w:t>
            </w:r>
          </w:p>
        </w:tc>
        <w:tc>
          <w:tcPr>
            <w:tcW w:w="180" w:type="dxa"/>
            <w:vAlign w:val="bottom"/>
            <w:shd w:val="clear" w:color="auto" w:fill="CCEEFF"/>
          </w:tcPr>
          <w:p>
            <w:pPr>
              <w:spacing w:after="0"/>
              <w:rPr>
                <w:sz w:val="12"/>
                <w:szCs w:val="12"/>
                <w:color w:val="auto"/>
              </w:rPr>
            </w:pPr>
          </w:p>
        </w:tc>
        <w:tc>
          <w:tcPr>
            <w:tcW w:w="54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8,231</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340" w:type="dxa"/>
            <w:vAlign w:val="bottom"/>
          </w:tcPr>
          <w:p>
            <w:pPr>
              <w:spacing w:after="0"/>
              <w:rPr>
                <w:sz w:val="11"/>
                <w:szCs w:val="11"/>
                <w:color w:val="auto"/>
              </w:rPr>
            </w:pPr>
          </w:p>
        </w:tc>
        <w:tc>
          <w:tcPr>
            <w:tcW w:w="110" w:type="dxa"/>
            <w:vAlign w:val="bottom"/>
            <w:tcBorders>
              <w:bottom w:val="single" w:sz="8" w:color="auto"/>
            </w:tcBorders>
          </w:tcPr>
          <w:p>
            <w:pPr>
              <w:spacing w:after="0"/>
              <w:rPr>
                <w:sz w:val="11"/>
                <w:szCs w:val="11"/>
                <w:color w:val="auto"/>
              </w:rPr>
            </w:pPr>
          </w:p>
        </w:tc>
        <w:tc>
          <w:tcPr>
            <w:tcW w:w="390" w:type="dxa"/>
            <w:vAlign w:val="bottom"/>
            <w:tcBorders>
              <w:bottom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340" w:type="dxa"/>
            <w:vAlign w:val="bottom"/>
          </w:tcPr>
          <w:p>
            <w:pPr>
              <w:spacing w:after="0"/>
              <w:rPr>
                <w:sz w:val="9"/>
                <w:szCs w:val="9"/>
                <w:color w:val="auto"/>
              </w:rPr>
            </w:pPr>
          </w:p>
        </w:tc>
        <w:tc>
          <w:tcPr>
            <w:tcW w:w="110" w:type="dxa"/>
            <w:vAlign w:val="bottom"/>
          </w:tcPr>
          <w:p>
            <w:pPr>
              <w:spacing w:after="0"/>
              <w:rPr>
                <w:sz w:val="9"/>
                <w:szCs w:val="9"/>
                <w:color w:val="auto"/>
              </w:rPr>
            </w:pPr>
          </w:p>
        </w:tc>
        <w:tc>
          <w:tcPr>
            <w:tcW w:w="39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8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 increase (decrease) over prior year</w:t>
            </w:r>
          </w:p>
        </w:tc>
        <w:tc>
          <w:tcPr>
            <w:tcW w:w="110" w:type="dxa"/>
            <w:vAlign w:val="bottom"/>
            <w:shd w:val="clear" w:color="auto" w:fill="CCEEFF"/>
          </w:tcPr>
          <w:p>
            <w:pPr>
              <w:spacing w:after="0"/>
              <w:rPr>
                <w:sz w:val="12"/>
                <w:szCs w:val="12"/>
                <w:color w:val="auto"/>
              </w:rPr>
            </w:pPr>
          </w:p>
        </w:tc>
        <w:tc>
          <w:tcPr>
            <w:tcW w:w="101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b w:val="1"/>
                <w:bCs w:val="1"/>
                <w:color w:val="auto"/>
              </w:rPr>
              <w:t>6%</w:t>
            </w:r>
          </w:p>
        </w:tc>
        <w:tc>
          <w:tcPr>
            <w:tcW w:w="1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(5)%</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45%</w:t>
            </w: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15%</w:t>
            </w:r>
          </w:p>
        </w:tc>
        <w:tc>
          <w:tcPr>
            <w:tcW w:w="4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40" w:type="dxa"/>
            <w:vAlign w:val="bottom"/>
          </w:tcPr>
          <w:p>
            <w:pPr>
              <w:spacing w:after="0" w:line="149" w:lineRule="exact"/>
              <w:rPr>
                <w:sz w:val="20"/>
                <w:szCs w:val="20"/>
                <w:color w:val="auto"/>
              </w:rPr>
            </w:pPr>
            <w:r>
              <w:rPr>
                <w:rFonts w:ascii="Arial" w:cs="Arial" w:eastAsia="Arial" w:hAnsi="Arial"/>
                <w:sz w:val="14"/>
                <w:szCs w:val="14"/>
                <w:color w:val="auto"/>
              </w:rPr>
              <w:t>Pretax Segment income:</w:t>
            </w:r>
          </w:p>
        </w:tc>
        <w:tc>
          <w:tcPr>
            <w:tcW w:w="110" w:type="dxa"/>
            <w:vAlign w:val="bottom"/>
          </w:tcPr>
          <w:p>
            <w:pPr>
              <w:spacing w:after="0"/>
              <w:rPr>
                <w:sz w:val="12"/>
                <w:szCs w:val="12"/>
                <w:color w:val="auto"/>
              </w:rPr>
            </w:pPr>
          </w:p>
        </w:tc>
        <w:tc>
          <w:tcPr>
            <w:tcW w:w="39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Oilfield Services</w:t>
            </w:r>
          </w:p>
        </w:tc>
        <w:tc>
          <w:tcPr>
            <w:tcW w:w="11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76"/>
              </w:rPr>
              <w:t>$</w:t>
            </w:r>
          </w:p>
        </w:tc>
        <w:tc>
          <w:tcPr>
            <w:tcW w:w="39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1,536</w:t>
            </w: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1,278</w:t>
            </w:r>
          </w:p>
        </w:tc>
        <w:tc>
          <w:tcPr>
            <w:tcW w:w="640" w:type="dxa"/>
            <w:vAlign w:val="bottom"/>
            <w:shd w:val="clear" w:color="auto" w:fill="CCEEFF"/>
          </w:tcPr>
          <w:p>
            <w:pPr>
              <w:spacing w:after="0"/>
              <w:rPr>
                <w:sz w:val="12"/>
                <w:szCs w:val="12"/>
                <w:color w:val="auto"/>
              </w:rPr>
            </w:pPr>
          </w:p>
        </w:tc>
        <w:tc>
          <w:tcPr>
            <w:tcW w:w="1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76"/>
              </w:rPr>
              <w:t>$</w:t>
            </w: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1,585</w:t>
            </w: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1"/>
              </w:rPr>
              <w:t>1,061</w:t>
            </w:r>
          </w:p>
        </w:tc>
        <w:tc>
          <w:tcPr>
            <w:tcW w:w="180" w:type="dxa"/>
            <w:vAlign w:val="bottom"/>
            <w:shd w:val="clear" w:color="auto" w:fill="CCEEFF"/>
          </w:tcPr>
          <w:p>
            <w:pPr>
              <w:spacing w:after="0"/>
              <w:rPr>
                <w:sz w:val="12"/>
                <w:szCs w:val="12"/>
                <w:color w:val="auto"/>
              </w:rPr>
            </w:pPr>
          </w:p>
        </w:tc>
        <w:tc>
          <w:tcPr>
            <w:tcW w:w="54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652</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40" w:type="dxa"/>
            <w:vAlign w:val="bottom"/>
          </w:tcPr>
          <w:p>
            <w:pPr>
              <w:ind w:left="420"/>
              <w:spacing w:after="0" w:line="149" w:lineRule="exact"/>
              <w:rPr>
                <w:sz w:val="20"/>
                <w:szCs w:val="20"/>
                <w:color w:val="auto"/>
              </w:rPr>
            </w:pPr>
            <w:r>
              <w:rPr>
                <w:rFonts w:ascii="Arial" w:cs="Arial" w:eastAsia="Arial" w:hAnsi="Arial"/>
                <w:sz w:val="14"/>
                <w:szCs w:val="14"/>
                <w:color w:val="auto"/>
              </w:rPr>
              <w:t>WesternGeco</w:t>
            </w:r>
          </w:p>
        </w:tc>
        <w:tc>
          <w:tcPr>
            <w:tcW w:w="110" w:type="dxa"/>
            <w:vAlign w:val="bottom"/>
          </w:tcPr>
          <w:p>
            <w:pPr>
              <w:spacing w:after="0"/>
              <w:rPr>
                <w:sz w:val="12"/>
                <w:szCs w:val="12"/>
                <w:color w:val="auto"/>
              </w:rPr>
            </w:pPr>
          </w:p>
        </w:tc>
        <w:tc>
          <w:tcPr>
            <w:tcW w:w="1010" w:type="dxa"/>
            <w:vAlign w:val="bottom"/>
            <w:gridSpan w:val="2"/>
          </w:tcPr>
          <w:p>
            <w:pPr>
              <w:jc w:val="right"/>
              <w:ind w:right="580"/>
              <w:spacing w:after="0" w:line="149" w:lineRule="exact"/>
              <w:rPr>
                <w:sz w:val="20"/>
                <w:szCs w:val="20"/>
                <w:color w:val="auto"/>
              </w:rPr>
            </w:pPr>
            <w:r>
              <w:rPr>
                <w:rFonts w:ascii="Arial" w:cs="Arial" w:eastAsia="Arial" w:hAnsi="Arial"/>
                <w:sz w:val="14"/>
                <w:szCs w:val="14"/>
                <w:b w:val="1"/>
                <w:bCs w:val="1"/>
                <w:color w:val="auto"/>
              </w:rPr>
              <w:t>(20)</w:t>
            </w:r>
          </w:p>
        </w:tc>
        <w:tc>
          <w:tcPr>
            <w:tcW w:w="10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71</w:t>
            </w: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221</w:t>
            </w: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(25)</w:t>
            </w: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(54)</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340" w:type="dxa"/>
            <w:vAlign w:val="bottom"/>
            <w:shd w:val="clear" w:color="auto" w:fill="CCEEFF"/>
          </w:tcPr>
          <w:p>
            <w:pPr>
              <w:ind w:left="420"/>
              <w:spacing w:after="0" w:line="176" w:lineRule="exact"/>
              <w:rPr>
                <w:sz w:val="20"/>
                <w:szCs w:val="20"/>
                <w:color w:val="auto"/>
              </w:rPr>
            </w:pPr>
            <w:r>
              <w:rPr>
                <w:rFonts w:ascii="Arial" w:cs="Arial" w:eastAsia="Arial" w:hAnsi="Arial"/>
                <w:sz w:val="13"/>
                <w:szCs w:val="13"/>
                <w:color w:val="auto"/>
              </w:rPr>
              <w:t>SchlumbergerSema</w:t>
            </w:r>
            <w:r>
              <w:rPr>
                <w:rFonts w:ascii="Arial" w:cs="Arial" w:eastAsia="Arial" w:hAnsi="Arial"/>
                <w:sz w:val="20"/>
                <w:szCs w:val="20"/>
                <w:color w:val="auto"/>
                <w:vertAlign w:val="superscript"/>
              </w:rPr>
              <w:t>2</w:t>
            </w:r>
          </w:p>
        </w:tc>
        <w:tc>
          <w:tcPr>
            <w:tcW w:w="110" w:type="dxa"/>
            <w:vAlign w:val="bottom"/>
            <w:shd w:val="clear" w:color="auto" w:fill="CCEEFF"/>
          </w:tcPr>
          <w:p>
            <w:pPr>
              <w:spacing w:after="0"/>
              <w:rPr>
                <w:sz w:val="15"/>
                <w:szCs w:val="15"/>
                <w:color w:val="auto"/>
              </w:rPr>
            </w:pPr>
          </w:p>
        </w:tc>
        <w:tc>
          <w:tcPr>
            <w:tcW w:w="39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61</w:t>
            </w: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6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600"/>
              <w:spacing w:after="0"/>
              <w:rPr>
                <w:sz w:val="20"/>
                <w:szCs w:val="20"/>
                <w:color w:val="auto"/>
              </w:rPr>
            </w:pPr>
            <w:r>
              <w:rPr>
                <w:rFonts w:ascii="Arial" w:cs="Arial" w:eastAsia="Arial" w:hAnsi="Arial"/>
                <w:sz w:val="14"/>
                <w:szCs w:val="14"/>
                <w:color w:val="auto"/>
              </w:rPr>
              <w:t>(15)</w:t>
            </w:r>
          </w:p>
        </w:tc>
        <w:tc>
          <w:tcPr>
            <w:tcW w:w="80" w:type="dxa"/>
            <w:vAlign w:val="bottom"/>
            <w:shd w:val="clear" w:color="auto" w:fill="CCEEFF"/>
          </w:tcPr>
          <w:p>
            <w:pPr>
              <w:spacing w:after="0"/>
              <w:rPr>
                <w:sz w:val="15"/>
                <w:szCs w:val="15"/>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(83)</w:t>
            </w:r>
          </w:p>
        </w:tc>
        <w:tc>
          <w:tcPr>
            <w:tcW w:w="4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340" w:type="dxa"/>
            <w:vAlign w:val="bottom"/>
          </w:tcPr>
          <w:p>
            <w:pPr>
              <w:ind w:left="420"/>
              <w:spacing w:after="0" w:line="176" w:lineRule="exact"/>
              <w:rPr>
                <w:sz w:val="20"/>
                <w:szCs w:val="20"/>
                <w:color w:val="auto"/>
              </w:rPr>
            </w:pPr>
            <w:r>
              <w:rPr>
                <w:rFonts w:ascii="Arial" w:cs="Arial" w:eastAsia="Arial" w:hAnsi="Arial"/>
                <w:sz w:val="13"/>
                <w:szCs w:val="13"/>
                <w:color w:val="auto"/>
              </w:rPr>
              <w:t>Other</w:t>
            </w:r>
            <w:r>
              <w:rPr>
                <w:rFonts w:ascii="Arial" w:cs="Arial" w:eastAsia="Arial" w:hAnsi="Arial"/>
                <w:sz w:val="20"/>
                <w:szCs w:val="20"/>
                <w:color w:val="auto"/>
                <w:vertAlign w:val="superscript"/>
              </w:rPr>
              <w:t>3</w:t>
            </w:r>
          </w:p>
        </w:tc>
        <w:tc>
          <w:tcPr>
            <w:tcW w:w="110" w:type="dxa"/>
            <w:vAlign w:val="bottom"/>
          </w:tcPr>
          <w:p>
            <w:pPr>
              <w:spacing w:after="0"/>
              <w:rPr>
                <w:sz w:val="15"/>
                <w:szCs w:val="15"/>
                <w:color w:val="auto"/>
              </w:rPr>
            </w:pPr>
          </w:p>
        </w:tc>
        <w:tc>
          <w:tcPr>
            <w:tcW w:w="390" w:type="dxa"/>
            <w:vAlign w:val="bottom"/>
          </w:tcPr>
          <w:p>
            <w:pPr>
              <w:jc w:val="right"/>
              <w:spacing w:after="0"/>
              <w:rPr>
                <w:sz w:val="20"/>
                <w:szCs w:val="20"/>
                <w:color w:val="auto"/>
              </w:rPr>
            </w:pPr>
            <w:r>
              <w:rPr>
                <w:rFonts w:ascii="Arial" w:cs="Arial" w:eastAsia="Arial" w:hAnsi="Arial"/>
                <w:sz w:val="14"/>
                <w:szCs w:val="14"/>
                <w:b w:val="1"/>
                <w:bCs w:val="1"/>
                <w:color w:val="auto"/>
              </w:rPr>
              <w:t>109</w:t>
            </w: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18</w:t>
            </w: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88</w:t>
            </w: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153</w:t>
            </w:r>
          </w:p>
        </w:tc>
        <w:tc>
          <w:tcPr>
            <w:tcW w:w="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88</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340" w:type="dxa"/>
            <w:vAlign w:val="bottom"/>
            <w:shd w:val="clear" w:color="auto" w:fill="CCEEFF"/>
          </w:tcPr>
          <w:p>
            <w:pPr>
              <w:ind w:left="420"/>
              <w:spacing w:after="0" w:line="176" w:lineRule="exact"/>
              <w:rPr>
                <w:sz w:val="20"/>
                <w:szCs w:val="20"/>
                <w:color w:val="auto"/>
              </w:rPr>
            </w:pPr>
            <w:r>
              <w:rPr>
                <w:rFonts w:ascii="Arial" w:cs="Arial" w:eastAsia="Arial" w:hAnsi="Arial"/>
                <w:sz w:val="13"/>
                <w:szCs w:val="13"/>
                <w:color w:val="auto"/>
              </w:rPr>
              <w:t>Eliminations</w:t>
            </w:r>
            <w:r>
              <w:rPr>
                <w:rFonts w:ascii="Arial" w:cs="Arial" w:eastAsia="Arial" w:hAnsi="Arial"/>
                <w:sz w:val="20"/>
                <w:szCs w:val="20"/>
                <w:color w:val="auto"/>
                <w:vertAlign w:val="superscript"/>
              </w:rPr>
              <w:t>4</w:t>
            </w:r>
          </w:p>
        </w:tc>
        <w:tc>
          <w:tcPr>
            <w:tcW w:w="110" w:type="dxa"/>
            <w:vAlign w:val="bottom"/>
            <w:shd w:val="clear" w:color="auto" w:fill="CCEEFF"/>
          </w:tcPr>
          <w:p>
            <w:pPr>
              <w:spacing w:after="0"/>
              <w:rPr>
                <w:sz w:val="15"/>
                <w:szCs w:val="15"/>
                <w:color w:val="auto"/>
              </w:rPr>
            </w:pPr>
          </w:p>
        </w:tc>
        <w:tc>
          <w:tcPr>
            <w:tcW w:w="1010" w:type="dxa"/>
            <w:vAlign w:val="bottom"/>
            <w:gridSpan w:val="2"/>
            <w:shd w:val="clear" w:color="auto" w:fill="CCEEFF"/>
          </w:tcPr>
          <w:p>
            <w:pPr>
              <w:jc w:val="right"/>
              <w:ind w:right="580"/>
              <w:spacing w:after="0"/>
              <w:rPr>
                <w:sz w:val="20"/>
                <w:szCs w:val="20"/>
                <w:color w:val="auto"/>
              </w:rPr>
            </w:pPr>
            <w:r>
              <w:rPr>
                <w:rFonts w:ascii="Arial" w:cs="Arial" w:eastAsia="Arial" w:hAnsi="Arial"/>
                <w:sz w:val="14"/>
                <w:szCs w:val="14"/>
                <w:b w:val="1"/>
                <w:bCs w:val="1"/>
                <w:color w:val="auto"/>
              </w:rPr>
              <w:t>(200)</w:t>
            </w:r>
          </w:p>
        </w:tc>
        <w:tc>
          <w:tcPr>
            <w:tcW w:w="10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600"/>
              <w:spacing w:after="0"/>
              <w:rPr>
                <w:sz w:val="20"/>
                <w:szCs w:val="20"/>
                <w:color w:val="auto"/>
              </w:rPr>
            </w:pPr>
            <w:r>
              <w:rPr>
                <w:rFonts w:ascii="Arial" w:cs="Arial" w:eastAsia="Arial" w:hAnsi="Arial"/>
                <w:sz w:val="14"/>
                <w:szCs w:val="14"/>
                <w:color w:val="auto"/>
              </w:rPr>
              <w:t>(147)</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600"/>
              <w:spacing w:after="0"/>
              <w:rPr>
                <w:sz w:val="20"/>
                <w:szCs w:val="20"/>
                <w:color w:val="auto"/>
              </w:rPr>
            </w:pPr>
            <w:r>
              <w:rPr>
                <w:rFonts w:ascii="Arial" w:cs="Arial" w:eastAsia="Arial" w:hAnsi="Arial"/>
                <w:sz w:val="14"/>
                <w:szCs w:val="14"/>
                <w:color w:val="auto"/>
              </w:rPr>
              <w:t>(422)</w:t>
            </w:r>
          </w:p>
        </w:tc>
        <w:tc>
          <w:tcPr>
            <w:tcW w:w="80" w:type="dxa"/>
            <w:vAlign w:val="bottom"/>
            <w:shd w:val="clear" w:color="auto" w:fill="CCEEFF"/>
          </w:tcPr>
          <w:p>
            <w:pPr>
              <w:spacing w:after="0"/>
              <w:rPr>
                <w:sz w:val="15"/>
                <w:szCs w:val="15"/>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(193)</w:t>
            </w:r>
          </w:p>
        </w:tc>
        <w:tc>
          <w:tcPr>
            <w:tcW w:w="4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(169)</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340" w:type="dxa"/>
            <w:vAlign w:val="bottom"/>
            <w:tcBorders>
              <w:bottom w:val="single" w:sz="8" w:color="auto"/>
            </w:tcBorders>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39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340" w:type="dxa"/>
            <w:vAlign w:val="bottom"/>
          </w:tcPr>
          <w:p>
            <w:pPr>
              <w:spacing w:after="0"/>
              <w:rPr>
                <w:sz w:val="8"/>
                <w:szCs w:val="8"/>
                <w:color w:val="auto"/>
              </w:rPr>
            </w:pPr>
          </w:p>
        </w:tc>
        <w:tc>
          <w:tcPr>
            <w:tcW w:w="110" w:type="dxa"/>
            <w:vAlign w:val="bottom"/>
          </w:tcPr>
          <w:p>
            <w:pPr>
              <w:spacing w:after="0"/>
              <w:rPr>
                <w:sz w:val="8"/>
                <w:szCs w:val="8"/>
                <w:color w:val="auto"/>
              </w:rPr>
            </w:pPr>
          </w:p>
        </w:tc>
        <w:tc>
          <w:tcPr>
            <w:tcW w:w="39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Pretax Segment income before Minority interest</w:t>
            </w:r>
          </w:p>
        </w:tc>
        <w:tc>
          <w:tcPr>
            <w:tcW w:w="110" w:type="dxa"/>
            <w:vAlign w:val="bottom"/>
            <w:shd w:val="clear" w:color="auto" w:fill="CCEEFF"/>
          </w:tcPr>
          <w:p>
            <w:pPr>
              <w:spacing w:after="0"/>
              <w:rPr>
                <w:sz w:val="12"/>
                <w:szCs w:val="12"/>
                <w:color w:val="auto"/>
              </w:rPr>
            </w:pPr>
          </w:p>
        </w:tc>
        <w:tc>
          <w:tcPr>
            <w:tcW w:w="39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1,486</w:t>
            </w: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1,237</w:t>
            </w:r>
          </w:p>
        </w:tc>
        <w:tc>
          <w:tcPr>
            <w:tcW w:w="6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1,457</w:t>
            </w: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913</w:t>
            </w:r>
          </w:p>
        </w:tc>
        <w:tc>
          <w:tcPr>
            <w:tcW w:w="1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517</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340" w:type="dxa"/>
            <w:vAlign w:val="bottom"/>
          </w:tcPr>
          <w:p>
            <w:pPr>
              <w:ind w:left="420"/>
              <w:spacing w:after="0"/>
              <w:rPr>
                <w:sz w:val="20"/>
                <w:szCs w:val="20"/>
                <w:color w:val="auto"/>
              </w:rPr>
            </w:pPr>
            <w:r>
              <w:rPr>
                <w:rFonts w:ascii="Arial" w:cs="Arial" w:eastAsia="Arial" w:hAnsi="Arial"/>
                <w:sz w:val="14"/>
                <w:szCs w:val="14"/>
                <w:color w:val="auto"/>
              </w:rPr>
              <w:t>Minority interest</w:t>
            </w:r>
          </w:p>
        </w:tc>
        <w:tc>
          <w:tcPr>
            <w:tcW w:w="110" w:type="dxa"/>
            <w:vAlign w:val="bottom"/>
          </w:tcPr>
          <w:p>
            <w:pPr>
              <w:spacing w:after="0"/>
              <w:rPr>
                <w:sz w:val="15"/>
                <w:szCs w:val="15"/>
                <w:color w:val="auto"/>
              </w:rPr>
            </w:pPr>
          </w:p>
        </w:tc>
        <w:tc>
          <w:tcPr>
            <w:tcW w:w="101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(10)</w:t>
            </w:r>
          </w:p>
        </w:tc>
        <w:tc>
          <w:tcPr>
            <w:tcW w:w="100" w:type="dxa"/>
            <w:vAlign w:val="bottom"/>
          </w:tcPr>
          <w:p>
            <w:pPr>
              <w:spacing w:after="0"/>
              <w:rPr>
                <w:sz w:val="15"/>
                <w:szCs w:val="15"/>
                <w:color w:val="auto"/>
              </w:rPr>
            </w:pPr>
          </w:p>
        </w:tc>
        <w:tc>
          <w:tcPr>
            <w:tcW w:w="1020" w:type="dxa"/>
            <w:vAlign w:val="bottom"/>
            <w:gridSpan w:val="2"/>
          </w:tcPr>
          <w:p>
            <w:pPr>
              <w:jc w:val="right"/>
              <w:ind w:right="600"/>
              <w:spacing w:after="0"/>
              <w:rPr>
                <w:sz w:val="20"/>
                <w:szCs w:val="20"/>
                <w:color w:val="auto"/>
              </w:rPr>
            </w:pPr>
            <w:r>
              <w:rPr>
                <w:rFonts w:ascii="Arial" w:cs="Arial" w:eastAsia="Arial" w:hAnsi="Arial"/>
                <w:sz w:val="14"/>
                <w:szCs w:val="14"/>
                <w:color w:val="auto"/>
              </w:rPr>
              <w:t>(1)</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38</w:t>
            </w: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7</w:t>
            </w:r>
          </w:p>
        </w:tc>
        <w:tc>
          <w:tcPr>
            <w:tcW w:w="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11</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6340" w:type="dxa"/>
            <w:vAlign w:val="bottom"/>
            <w:tcBorders>
              <w:bottom w:val="single" w:sz="8" w:color="auto"/>
            </w:tcBorders>
          </w:tcPr>
          <w:p>
            <w:pPr>
              <w:spacing w:after="0"/>
              <w:rPr>
                <w:sz w:val="7"/>
                <w:szCs w:val="7"/>
                <w:color w:val="auto"/>
              </w:rPr>
            </w:pPr>
          </w:p>
        </w:tc>
        <w:tc>
          <w:tcPr>
            <w:tcW w:w="110" w:type="dxa"/>
            <w:vAlign w:val="bottom"/>
            <w:tcBorders>
              <w:bottom w:val="single" w:sz="8" w:color="auto"/>
            </w:tcBorders>
          </w:tcPr>
          <w:p>
            <w:pPr>
              <w:spacing w:after="0"/>
              <w:rPr>
                <w:sz w:val="7"/>
                <w:szCs w:val="7"/>
                <w:color w:val="auto"/>
              </w:rPr>
            </w:pPr>
          </w:p>
        </w:tc>
        <w:tc>
          <w:tcPr>
            <w:tcW w:w="390" w:type="dxa"/>
            <w:vAlign w:val="bottom"/>
            <w:tcBorders>
              <w:bottom w:val="single" w:sz="8" w:color="auto"/>
            </w:tcBorders>
          </w:tcPr>
          <w:p>
            <w:pPr>
              <w:spacing w:after="0"/>
              <w:rPr>
                <w:sz w:val="7"/>
                <w:szCs w:val="7"/>
                <w:color w:val="auto"/>
              </w:rPr>
            </w:pPr>
          </w:p>
        </w:tc>
        <w:tc>
          <w:tcPr>
            <w:tcW w:w="62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64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340" w:type="dxa"/>
            <w:vAlign w:val="bottom"/>
          </w:tcPr>
          <w:p>
            <w:pPr>
              <w:spacing w:after="0"/>
              <w:rPr>
                <w:sz w:val="8"/>
                <w:szCs w:val="8"/>
                <w:color w:val="auto"/>
              </w:rPr>
            </w:pPr>
          </w:p>
        </w:tc>
        <w:tc>
          <w:tcPr>
            <w:tcW w:w="110" w:type="dxa"/>
            <w:vAlign w:val="bottom"/>
          </w:tcPr>
          <w:p>
            <w:pPr>
              <w:spacing w:after="0"/>
              <w:rPr>
                <w:sz w:val="8"/>
                <w:szCs w:val="8"/>
                <w:color w:val="auto"/>
              </w:rPr>
            </w:pPr>
          </w:p>
        </w:tc>
        <w:tc>
          <w:tcPr>
            <w:tcW w:w="39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Pretax Segment income, before charges</w:t>
            </w:r>
          </w:p>
        </w:tc>
        <w:tc>
          <w:tcPr>
            <w:tcW w:w="11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76"/>
              </w:rPr>
              <w:t>$</w:t>
            </w:r>
          </w:p>
        </w:tc>
        <w:tc>
          <w:tcPr>
            <w:tcW w:w="39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1,496</w:t>
            </w: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1,238</w:t>
            </w:r>
          </w:p>
        </w:tc>
        <w:tc>
          <w:tcPr>
            <w:tcW w:w="640" w:type="dxa"/>
            <w:vAlign w:val="bottom"/>
            <w:shd w:val="clear" w:color="auto" w:fill="CCEEFF"/>
          </w:tcPr>
          <w:p>
            <w:pPr>
              <w:spacing w:after="0"/>
              <w:rPr>
                <w:sz w:val="12"/>
                <w:szCs w:val="12"/>
                <w:color w:val="auto"/>
              </w:rPr>
            </w:pPr>
          </w:p>
        </w:tc>
        <w:tc>
          <w:tcPr>
            <w:tcW w:w="1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76"/>
              </w:rPr>
              <w:t>$</w:t>
            </w: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1,419</w:t>
            </w: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906</w:t>
            </w:r>
          </w:p>
        </w:tc>
        <w:tc>
          <w:tcPr>
            <w:tcW w:w="180" w:type="dxa"/>
            <w:vAlign w:val="bottom"/>
            <w:shd w:val="clear" w:color="auto" w:fill="CCEEFF"/>
          </w:tcPr>
          <w:p>
            <w:pPr>
              <w:spacing w:after="0"/>
              <w:rPr>
                <w:sz w:val="12"/>
                <w:szCs w:val="12"/>
                <w:color w:val="auto"/>
              </w:rPr>
            </w:pPr>
          </w:p>
        </w:tc>
        <w:tc>
          <w:tcPr>
            <w:tcW w:w="54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506</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340" w:type="dxa"/>
            <w:vAlign w:val="bottom"/>
            <w:tcBorders>
              <w:bottom w:val="single" w:sz="8" w:color="auto"/>
            </w:tcBorders>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39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340" w:type="dxa"/>
            <w:vAlign w:val="bottom"/>
          </w:tcPr>
          <w:p>
            <w:pPr>
              <w:spacing w:after="0"/>
              <w:rPr>
                <w:sz w:val="8"/>
                <w:szCs w:val="8"/>
                <w:color w:val="auto"/>
              </w:rPr>
            </w:pPr>
          </w:p>
        </w:tc>
        <w:tc>
          <w:tcPr>
            <w:tcW w:w="110" w:type="dxa"/>
            <w:vAlign w:val="bottom"/>
          </w:tcPr>
          <w:p>
            <w:pPr>
              <w:spacing w:after="0"/>
              <w:rPr>
                <w:sz w:val="8"/>
                <w:szCs w:val="8"/>
                <w:color w:val="auto"/>
              </w:rPr>
            </w:pPr>
          </w:p>
        </w:tc>
        <w:tc>
          <w:tcPr>
            <w:tcW w:w="39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 increase (decrease) over prior year</w:t>
            </w:r>
          </w:p>
        </w:tc>
        <w:tc>
          <w:tcPr>
            <w:tcW w:w="110" w:type="dxa"/>
            <w:vAlign w:val="bottom"/>
            <w:shd w:val="clear" w:color="auto" w:fill="CCEEFF"/>
          </w:tcPr>
          <w:p>
            <w:pPr>
              <w:spacing w:after="0"/>
              <w:rPr>
                <w:sz w:val="12"/>
                <w:szCs w:val="12"/>
                <w:color w:val="auto"/>
              </w:rPr>
            </w:pPr>
          </w:p>
        </w:tc>
        <w:tc>
          <w:tcPr>
            <w:tcW w:w="101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b w:val="1"/>
                <w:bCs w:val="1"/>
                <w:color w:val="auto"/>
              </w:rPr>
              <w:t>21%</w:t>
            </w:r>
          </w:p>
        </w:tc>
        <w:tc>
          <w:tcPr>
            <w:tcW w:w="1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(13)%</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57%</w:t>
            </w: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79%</w:t>
            </w:r>
          </w:p>
        </w:tc>
        <w:tc>
          <w:tcPr>
            <w:tcW w:w="4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40" w:type="dxa"/>
            <w:vAlign w:val="bottom"/>
          </w:tcPr>
          <w:p>
            <w:pPr>
              <w:spacing w:after="0" w:line="149" w:lineRule="exact"/>
              <w:rPr>
                <w:sz w:val="20"/>
                <w:szCs w:val="20"/>
                <w:color w:val="auto"/>
              </w:rPr>
            </w:pPr>
            <w:r>
              <w:rPr>
                <w:rFonts w:ascii="Arial" w:cs="Arial" w:eastAsia="Arial" w:hAnsi="Arial"/>
                <w:sz w:val="14"/>
                <w:szCs w:val="14"/>
                <w:color w:val="auto"/>
              </w:rPr>
              <w:t>Interest income</w:t>
            </w:r>
          </w:p>
        </w:tc>
        <w:tc>
          <w:tcPr>
            <w:tcW w:w="110" w:type="dxa"/>
            <w:vAlign w:val="bottom"/>
          </w:tcPr>
          <w:p>
            <w:pPr>
              <w:spacing w:after="0"/>
              <w:rPr>
                <w:sz w:val="12"/>
                <w:szCs w:val="12"/>
                <w:color w:val="auto"/>
              </w:rPr>
            </w:pPr>
          </w:p>
        </w:tc>
        <w:tc>
          <w:tcPr>
            <w:tcW w:w="39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49</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68</w:t>
            </w: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153</w:t>
            </w: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jc w:val="right"/>
              <w:spacing w:after="0" w:line="149" w:lineRule="exact"/>
              <w:rPr>
                <w:sz w:val="20"/>
                <w:szCs w:val="20"/>
                <w:color w:val="auto"/>
              </w:rPr>
            </w:pPr>
            <w:r>
              <w:rPr>
                <w:rFonts w:ascii="Arial" w:cs="Arial" w:eastAsia="Arial" w:hAnsi="Arial"/>
                <w:sz w:val="14"/>
                <w:szCs w:val="14"/>
                <w:color w:val="auto"/>
              </w:rPr>
              <w:t>297</w:t>
            </w: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228</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Interest expense</w:t>
            </w:r>
          </w:p>
        </w:tc>
        <w:tc>
          <w:tcPr>
            <w:tcW w:w="110" w:type="dxa"/>
            <w:vAlign w:val="bottom"/>
            <w:shd w:val="clear" w:color="auto" w:fill="CCEEFF"/>
          </w:tcPr>
          <w:p>
            <w:pPr>
              <w:spacing w:after="0"/>
              <w:rPr>
                <w:sz w:val="12"/>
                <w:szCs w:val="12"/>
                <w:color w:val="auto"/>
              </w:rPr>
            </w:pPr>
          </w:p>
        </w:tc>
        <w:tc>
          <w:tcPr>
            <w:tcW w:w="39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329</w:t>
            </w: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364</w:t>
            </w:r>
          </w:p>
        </w:tc>
        <w:tc>
          <w:tcPr>
            <w:tcW w:w="6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380</w:t>
            </w: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273</w:t>
            </w:r>
          </w:p>
        </w:tc>
        <w:tc>
          <w:tcPr>
            <w:tcW w:w="1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184</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340" w:type="dxa"/>
            <w:vAlign w:val="bottom"/>
          </w:tcPr>
          <w:p>
            <w:pPr>
              <w:spacing w:after="0" w:line="176" w:lineRule="exact"/>
              <w:rPr>
                <w:sz w:val="20"/>
                <w:szCs w:val="20"/>
                <w:color w:val="auto"/>
              </w:rPr>
            </w:pPr>
            <w:r>
              <w:rPr>
                <w:rFonts w:ascii="Arial" w:cs="Arial" w:eastAsia="Arial" w:hAnsi="Arial"/>
                <w:sz w:val="13"/>
                <w:szCs w:val="13"/>
                <w:color w:val="auto"/>
              </w:rPr>
              <w:t>Charges (net of minority interest)</w:t>
            </w:r>
            <w:r>
              <w:rPr>
                <w:rFonts w:ascii="Arial" w:cs="Arial" w:eastAsia="Arial" w:hAnsi="Arial"/>
                <w:sz w:val="20"/>
                <w:szCs w:val="20"/>
                <w:color w:val="auto"/>
                <w:vertAlign w:val="superscript"/>
              </w:rPr>
              <w:t>5</w:t>
            </w:r>
          </w:p>
        </w:tc>
        <w:tc>
          <w:tcPr>
            <w:tcW w:w="110" w:type="dxa"/>
            <w:vAlign w:val="bottom"/>
          </w:tcPr>
          <w:p>
            <w:pPr>
              <w:spacing w:after="0"/>
              <w:rPr>
                <w:sz w:val="15"/>
                <w:szCs w:val="15"/>
                <w:color w:val="auto"/>
              </w:rPr>
            </w:pPr>
          </w:p>
        </w:tc>
        <w:tc>
          <w:tcPr>
            <w:tcW w:w="390" w:type="dxa"/>
            <w:vAlign w:val="bottom"/>
          </w:tcPr>
          <w:p>
            <w:pPr>
              <w:jc w:val="right"/>
              <w:spacing w:after="0"/>
              <w:rPr>
                <w:sz w:val="20"/>
                <w:szCs w:val="20"/>
                <w:color w:val="auto"/>
              </w:rPr>
            </w:pPr>
            <w:r>
              <w:rPr>
                <w:rFonts w:ascii="Arial" w:cs="Arial" w:eastAsia="Arial" w:hAnsi="Arial"/>
                <w:sz w:val="14"/>
                <w:szCs w:val="14"/>
                <w:b w:val="1"/>
                <w:bCs w:val="1"/>
                <w:color w:val="auto"/>
              </w:rPr>
              <w:t>534</w:t>
            </w: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3,077</w:t>
            </w: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134</w:t>
            </w: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4"/>
                <w:szCs w:val="14"/>
                <w:color w:val="auto"/>
              </w:rPr>
              <w:t>(7)</w:t>
            </w: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120</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340" w:type="dxa"/>
            <w:vAlign w:val="bottom"/>
            <w:shd w:val="clear" w:color="auto" w:fill="CCEEFF"/>
          </w:tcPr>
          <w:p>
            <w:pPr>
              <w:spacing w:after="0" w:line="176" w:lineRule="exact"/>
              <w:rPr>
                <w:sz w:val="20"/>
                <w:szCs w:val="20"/>
                <w:color w:val="auto"/>
              </w:rPr>
            </w:pPr>
            <w:r>
              <w:rPr>
                <w:rFonts w:ascii="Arial" w:cs="Arial" w:eastAsia="Arial" w:hAnsi="Arial"/>
                <w:sz w:val="13"/>
                <w:szCs w:val="13"/>
                <w:color w:val="auto"/>
              </w:rPr>
              <w:t>Taxes on income</w:t>
            </w:r>
            <w:r>
              <w:rPr>
                <w:rFonts w:ascii="Arial" w:cs="Arial" w:eastAsia="Arial" w:hAnsi="Arial"/>
                <w:sz w:val="20"/>
                <w:szCs w:val="20"/>
                <w:color w:val="auto"/>
                <w:vertAlign w:val="superscript"/>
              </w:rPr>
              <w:t>6</w:t>
            </w:r>
          </w:p>
        </w:tc>
        <w:tc>
          <w:tcPr>
            <w:tcW w:w="110" w:type="dxa"/>
            <w:vAlign w:val="bottom"/>
            <w:shd w:val="clear" w:color="auto" w:fill="CCEEFF"/>
          </w:tcPr>
          <w:p>
            <w:pPr>
              <w:spacing w:after="0"/>
              <w:rPr>
                <w:sz w:val="15"/>
                <w:szCs w:val="15"/>
                <w:color w:val="auto"/>
              </w:rPr>
            </w:pPr>
          </w:p>
        </w:tc>
        <w:tc>
          <w:tcPr>
            <w:tcW w:w="39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209</w:t>
            </w: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282</w:t>
            </w:r>
          </w:p>
        </w:tc>
        <w:tc>
          <w:tcPr>
            <w:tcW w:w="6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564</w:t>
            </w: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222</w:t>
            </w:r>
          </w:p>
        </w:tc>
        <w:tc>
          <w:tcPr>
            <w:tcW w:w="1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131</w:t>
            </w: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340" w:type="dxa"/>
            <w:vAlign w:val="bottom"/>
            <w:tcBorders>
              <w:bottom w:val="single" w:sz="8" w:color="auto"/>
            </w:tcBorders>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39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340" w:type="dxa"/>
            <w:vAlign w:val="bottom"/>
          </w:tcPr>
          <w:p>
            <w:pPr>
              <w:spacing w:after="0"/>
              <w:rPr>
                <w:sz w:val="8"/>
                <w:szCs w:val="8"/>
                <w:color w:val="auto"/>
              </w:rPr>
            </w:pPr>
          </w:p>
        </w:tc>
        <w:tc>
          <w:tcPr>
            <w:tcW w:w="110" w:type="dxa"/>
            <w:vAlign w:val="bottom"/>
          </w:tcPr>
          <w:p>
            <w:pPr>
              <w:spacing w:after="0"/>
              <w:rPr>
                <w:sz w:val="8"/>
                <w:szCs w:val="8"/>
                <w:color w:val="auto"/>
              </w:rPr>
            </w:pPr>
          </w:p>
        </w:tc>
        <w:tc>
          <w:tcPr>
            <w:tcW w:w="39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Income (loss), continuing operations</w:t>
            </w:r>
          </w:p>
        </w:tc>
        <w:tc>
          <w:tcPr>
            <w:tcW w:w="11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76"/>
              </w:rPr>
              <w:t>$</w:t>
            </w:r>
          </w:p>
        </w:tc>
        <w:tc>
          <w:tcPr>
            <w:tcW w:w="39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473</w:t>
            </w: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gridSpan w:val="2"/>
            <w:shd w:val="clear" w:color="auto" w:fill="CCEEFF"/>
          </w:tcPr>
          <w:p>
            <w:pPr>
              <w:jc w:val="right"/>
              <w:ind w:right="600"/>
              <w:spacing w:after="0" w:line="149" w:lineRule="exact"/>
              <w:rPr>
                <w:sz w:val="20"/>
                <w:szCs w:val="20"/>
                <w:color w:val="auto"/>
              </w:rPr>
            </w:pPr>
            <w:r>
              <w:rPr>
                <w:rFonts w:ascii="Arial" w:cs="Arial" w:eastAsia="Arial" w:hAnsi="Arial"/>
                <w:sz w:val="14"/>
                <w:szCs w:val="14"/>
                <w:color w:val="auto"/>
                <w:w w:val="90"/>
              </w:rPr>
              <w:t>(2,417)</w:t>
            </w:r>
          </w:p>
        </w:tc>
        <w:tc>
          <w:tcPr>
            <w:tcW w:w="1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76"/>
              </w:rPr>
              <w:t>$</w:t>
            </w: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494</w:t>
            </w: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715</w:t>
            </w:r>
          </w:p>
        </w:tc>
        <w:tc>
          <w:tcPr>
            <w:tcW w:w="180" w:type="dxa"/>
            <w:vAlign w:val="bottom"/>
            <w:shd w:val="clear" w:color="auto" w:fill="CCEEFF"/>
          </w:tcPr>
          <w:p>
            <w:pPr>
              <w:spacing w:after="0"/>
              <w:rPr>
                <w:sz w:val="12"/>
                <w:szCs w:val="12"/>
                <w:color w:val="auto"/>
              </w:rPr>
            </w:pPr>
          </w:p>
        </w:tc>
        <w:tc>
          <w:tcPr>
            <w:tcW w:w="54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299</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340" w:type="dxa"/>
            <w:vAlign w:val="bottom"/>
            <w:tcBorders>
              <w:bottom w:val="single" w:sz="8" w:color="auto"/>
            </w:tcBorders>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39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340" w:type="dxa"/>
            <w:vAlign w:val="bottom"/>
          </w:tcPr>
          <w:p>
            <w:pPr>
              <w:spacing w:after="0"/>
              <w:rPr>
                <w:sz w:val="8"/>
                <w:szCs w:val="8"/>
                <w:color w:val="auto"/>
              </w:rPr>
            </w:pPr>
          </w:p>
        </w:tc>
        <w:tc>
          <w:tcPr>
            <w:tcW w:w="110" w:type="dxa"/>
            <w:vAlign w:val="bottom"/>
          </w:tcPr>
          <w:p>
            <w:pPr>
              <w:spacing w:after="0"/>
              <w:rPr>
                <w:sz w:val="8"/>
                <w:szCs w:val="8"/>
                <w:color w:val="auto"/>
              </w:rPr>
            </w:pPr>
          </w:p>
        </w:tc>
        <w:tc>
          <w:tcPr>
            <w:tcW w:w="39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 increase (decrease) over prior year</w:t>
            </w:r>
          </w:p>
        </w:tc>
        <w:tc>
          <w:tcPr>
            <w:tcW w:w="110" w:type="dxa"/>
            <w:vAlign w:val="bottom"/>
            <w:shd w:val="clear" w:color="auto" w:fill="CCEEFF"/>
          </w:tcPr>
          <w:p>
            <w:pPr>
              <w:spacing w:after="0"/>
              <w:rPr>
                <w:sz w:val="12"/>
                <w:szCs w:val="12"/>
                <w:color w:val="auto"/>
              </w:rPr>
            </w:pPr>
          </w:p>
        </w:tc>
        <w:tc>
          <w:tcPr>
            <w:tcW w:w="1010" w:type="dxa"/>
            <w:vAlign w:val="bottom"/>
            <w:gridSpan w:val="2"/>
            <w:shd w:val="clear" w:color="auto" w:fill="CCEEFF"/>
          </w:tcPr>
          <w:p>
            <w:pPr>
              <w:jc w:val="right"/>
              <w:ind w:right="620"/>
              <w:spacing w:after="0" w:line="149" w:lineRule="exact"/>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64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(31)%</w:t>
            </w: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139%</w:t>
            </w:r>
          </w:p>
        </w:tc>
        <w:tc>
          <w:tcPr>
            <w:tcW w:w="4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(45)%</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340" w:type="dxa"/>
            <w:vAlign w:val="bottom"/>
            <w:tcBorders>
              <w:bottom w:val="single" w:sz="8" w:color="auto"/>
            </w:tcBorders>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39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340" w:type="dxa"/>
            <w:vAlign w:val="bottom"/>
          </w:tcPr>
          <w:p>
            <w:pPr>
              <w:spacing w:after="0"/>
              <w:rPr>
                <w:sz w:val="8"/>
                <w:szCs w:val="8"/>
                <w:color w:val="auto"/>
              </w:rPr>
            </w:pPr>
          </w:p>
        </w:tc>
        <w:tc>
          <w:tcPr>
            <w:tcW w:w="110" w:type="dxa"/>
            <w:vAlign w:val="bottom"/>
          </w:tcPr>
          <w:p>
            <w:pPr>
              <w:spacing w:after="0"/>
              <w:rPr>
                <w:sz w:val="8"/>
                <w:szCs w:val="8"/>
                <w:color w:val="auto"/>
              </w:rPr>
            </w:pPr>
          </w:p>
        </w:tc>
        <w:tc>
          <w:tcPr>
            <w:tcW w:w="39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Income (loss), discontinued operations</w:t>
            </w:r>
          </w:p>
        </w:tc>
        <w:tc>
          <w:tcPr>
            <w:tcW w:w="11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76"/>
              </w:rPr>
              <w:t>$</w:t>
            </w:r>
          </w:p>
        </w:tc>
        <w:tc>
          <w:tcPr>
            <w:tcW w:w="1010" w:type="dxa"/>
            <w:vAlign w:val="bottom"/>
            <w:gridSpan w:val="2"/>
            <w:shd w:val="clear" w:color="auto" w:fill="CCEEFF"/>
          </w:tcPr>
          <w:p>
            <w:pPr>
              <w:jc w:val="right"/>
              <w:ind w:right="580"/>
              <w:spacing w:after="0" w:line="149" w:lineRule="exact"/>
              <w:rPr>
                <w:sz w:val="20"/>
                <w:szCs w:val="20"/>
                <w:color w:val="auto"/>
              </w:rPr>
            </w:pPr>
            <w:r>
              <w:rPr>
                <w:rFonts w:ascii="Arial" w:cs="Arial" w:eastAsia="Arial" w:hAnsi="Arial"/>
                <w:sz w:val="14"/>
                <w:szCs w:val="14"/>
                <w:b w:val="1"/>
                <w:bCs w:val="1"/>
                <w:color w:val="auto"/>
              </w:rPr>
              <w:t>(90)</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97</w:t>
            </w:r>
          </w:p>
        </w:tc>
        <w:tc>
          <w:tcPr>
            <w:tcW w:w="640" w:type="dxa"/>
            <w:vAlign w:val="bottom"/>
            <w:shd w:val="clear" w:color="auto" w:fill="CCEEFF"/>
          </w:tcPr>
          <w:p>
            <w:pPr>
              <w:spacing w:after="0"/>
              <w:rPr>
                <w:sz w:val="12"/>
                <w:szCs w:val="12"/>
                <w:color w:val="auto"/>
              </w:rPr>
            </w:pPr>
          </w:p>
        </w:tc>
        <w:tc>
          <w:tcPr>
            <w:tcW w:w="1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76"/>
              </w:rPr>
              <w:t>$</w:t>
            </w: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w:t>
            </w: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w:t>
            </w:r>
          </w:p>
        </w:tc>
        <w:tc>
          <w:tcPr>
            <w:tcW w:w="180" w:type="dxa"/>
            <w:vAlign w:val="bottom"/>
            <w:shd w:val="clear" w:color="auto" w:fill="CCEEFF"/>
          </w:tcPr>
          <w:p>
            <w:pPr>
              <w:spacing w:after="0"/>
              <w:rPr>
                <w:sz w:val="12"/>
                <w:szCs w:val="12"/>
                <w:color w:val="auto"/>
              </w:rPr>
            </w:pPr>
          </w:p>
        </w:tc>
        <w:tc>
          <w:tcPr>
            <w:tcW w:w="54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68</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340" w:type="dxa"/>
            <w:vAlign w:val="bottom"/>
            <w:tcBorders>
              <w:bottom w:val="single" w:sz="8" w:color="auto"/>
            </w:tcBorders>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39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340" w:type="dxa"/>
            <w:vAlign w:val="bottom"/>
          </w:tcPr>
          <w:p>
            <w:pPr>
              <w:spacing w:after="0"/>
              <w:rPr>
                <w:sz w:val="8"/>
                <w:szCs w:val="8"/>
                <w:color w:val="auto"/>
              </w:rPr>
            </w:pPr>
          </w:p>
        </w:tc>
        <w:tc>
          <w:tcPr>
            <w:tcW w:w="110" w:type="dxa"/>
            <w:vAlign w:val="bottom"/>
          </w:tcPr>
          <w:p>
            <w:pPr>
              <w:spacing w:after="0"/>
              <w:rPr>
                <w:sz w:val="8"/>
                <w:szCs w:val="8"/>
                <w:color w:val="auto"/>
              </w:rPr>
            </w:pPr>
          </w:p>
        </w:tc>
        <w:tc>
          <w:tcPr>
            <w:tcW w:w="39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income (loss)</w:t>
            </w:r>
          </w:p>
        </w:tc>
        <w:tc>
          <w:tcPr>
            <w:tcW w:w="11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76"/>
              </w:rPr>
              <w:t>$</w:t>
            </w:r>
          </w:p>
        </w:tc>
        <w:tc>
          <w:tcPr>
            <w:tcW w:w="39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383</w:t>
            </w: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gridSpan w:val="2"/>
            <w:shd w:val="clear" w:color="auto" w:fill="CCEEFF"/>
          </w:tcPr>
          <w:p>
            <w:pPr>
              <w:jc w:val="right"/>
              <w:ind w:right="600"/>
              <w:spacing w:after="0" w:line="149" w:lineRule="exact"/>
              <w:rPr>
                <w:sz w:val="20"/>
                <w:szCs w:val="20"/>
                <w:color w:val="auto"/>
              </w:rPr>
            </w:pPr>
            <w:r>
              <w:rPr>
                <w:rFonts w:ascii="Arial" w:cs="Arial" w:eastAsia="Arial" w:hAnsi="Arial"/>
                <w:sz w:val="14"/>
                <w:szCs w:val="14"/>
                <w:color w:val="auto"/>
                <w:w w:val="90"/>
              </w:rPr>
              <w:t>(2,320)</w:t>
            </w:r>
          </w:p>
        </w:tc>
        <w:tc>
          <w:tcPr>
            <w:tcW w:w="1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76"/>
              </w:rPr>
              <w:t>$</w:t>
            </w: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522</w:t>
            </w: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735</w:t>
            </w:r>
          </w:p>
        </w:tc>
        <w:tc>
          <w:tcPr>
            <w:tcW w:w="180" w:type="dxa"/>
            <w:vAlign w:val="bottom"/>
            <w:shd w:val="clear" w:color="auto" w:fill="CCEEFF"/>
          </w:tcPr>
          <w:p>
            <w:pPr>
              <w:spacing w:after="0"/>
              <w:rPr>
                <w:sz w:val="12"/>
                <w:szCs w:val="12"/>
                <w:color w:val="auto"/>
              </w:rPr>
            </w:pPr>
          </w:p>
        </w:tc>
        <w:tc>
          <w:tcPr>
            <w:tcW w:w="54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367</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340" w:type="dxa"/>
            <w:vAlign w:val="bottom"/>
          </w:tcPr>
          <w:p>
            <w:pPr>
              <w:spacing w:after="0"/>
              <w:rPr>
                <w:sz w:val="11"/>
                <w:szCs w:val="11"/>
                <w:color w:val="auto"/>
              </w:rPr>
            </w:pPr>
          </w:p>
        </w:tc>
        <w:tc>
          <w:tcPr>
            <w:tcW w:w="110" w:type="dxa"/>
            <w:vAlign w:val="bottom"/>
            <w:tcBorders>
              <w:bottom w:val="single" w:sz="8" w:color="auto"/>
            </w:tcBorders>
          </w:tcPr>
          <w:p>
            <w:pPr>
              <w:spacing w:after="0"/>
              <w:rPr>
                <w:sz w:val="11"/>
                <w:szCs w:val="11"/>
                <w:color w:val="auto"/>
              </w:rPr>
            </w:pPr>
          </w:p>
        </w:tc>
        <w:tc>
          <w:tcPr>
            <w:tcW w:w="390" w:type="dxa"/>
            <w:vAlign w:val="bottom"/>
            <w:tcBorders>
              <w:bottom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340" w:type="dxa"/>
            <w:vAlign w:val="bottom"/>
          </w:tcPr>
          <w:p>
            <w:pPr>
              <w:spacing w:after="0"/>
              <w:rPr>
                <w:sz w:val="9"/>
                <w:szCs w:val="9"/>
                <w:color w:val="auto"/>
              </w:rPr>
            </w:pPr>
          </w:p>
        </w:tc>
        <w:tc>
          <w:tcPr>
            <w:tcW w:w="110" w:type="dxa"/>
            <w:vAlign w:val="bottom"/>
          </w:tcPr>
          <w:p>
            <w:pPr>
              <w:spacing w:after="0"/>
              <w:rPr>
                <w:sz w:val="9"/>
                <w:szCs w:val="9"/>
                <w:color w:val="auto"/>
              </w:rPr>
            </w:pPr>
          </w:p>
        </w:tc>
        <w:tc>
          <w:tcPr>
            <w:tcW w:w="39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8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 increase (decrease) over prior year</w:t>
            </w:r>
          </w:p>
        </w:tc>
        <w:tc>
          <w:tcPr>
            <w:tcW w:w="110" w:type="dxa"/>
            <w:vAlign w:val="bottom"/>
            <w:shd w:val="clear" w:color="auto" w:fill="CCEEFF"/>
          </w:tcPr>
          <w:p>
            <w:pPr>
              <w:spacing w:after="0"/>
              <w:rPr>
                <w:sz w:val="12"/>
                <w:szCs w:val="12"/>
                <w:color w:val="auto"/>
              </w:rPr>
            </w:pPr>
          </w:p>
        </w:tc>
        <w:tc>
          <w:tcPr>
            <w:tcW w:w="1010" w:type="dxa"/>
            <w:vAlign w:val="bottom"/>
            <w:gridSpan w:val="2"/>
            <w:shd w:val="clear" w:color="auto" w:fill="CCEEFF"/>
          </w:tcPr>
          <w:p>
            <w:pPr>
              <w:jc w:val="right"/>
              <w:ind w:right="620"/>
              <w:spacing w:after="0" w:line="149" w:lineRule="exact"/>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64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(29)%</w:t>
            </w: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100%</w:t>
            </w:r>
          </w:p>
        </w:tc>
        <w:tc>
          <w:tcPr>
            <w:tcW w:w="4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40" w:type="dxa"/>
            <w:vAlign w:val="bottom"/>
          </w:tcPr>
          <w:p>
            <w:pPr>
              <w:spacing w:after="0" w:line="149" w:lineRule="exact"/>
              <w:rPr>
                <w:sz w:val="20"/>
                <w:szCs w:val="20"/>
                <w:color w:val="auto"/>
              </w:rPr>
            </w:pPr>
            <w:r>
              <w:rPr>
                <w:rFonts w:ascii="Arial" w:cs="Arial" w:eastAsia="Arial" w:hAnsi="Arial"/>
                <w:sz w:val="14"/>
                <w:szCs w:val="14"/>
                <w:color w:val="auto"/>
              </w:rPr>
              <w:t>Basic earnings per share</w:t>
            </w:r>
          </w:p>
        </w:tc>
        <w:tc>
          <w:tcPr>
            <w:tcW w:w="110" w:type="dxa"/>
            <w:vAlign w:val="bottom"/>
          </w:tcPr>
          <w:p>
            <w:pPr>
              <w:spacing w:after="0"/>
              <w:rPr>
                <w:sz w:val="12"/>
                <w:szCs w:val="12"/>
                <w:color w:val="auto"/>
              </w:rPr>
            </w:pPr>
          </w:p>
        </w:tc>
        <w:tc>
          <w:tcPr>
            <w:tcW w:w="39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Continuing operations</w:t>
            </w:r>
          </w:p>
        </w:tc>
        <w:tc>
          <w:tcPr>
            <w:tcW w:w="11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76"/>
              </w:rPr>
              <w:t>$</w:t>
            </w:r>
          </w:p>
        </w:tc>
        <w:tc>
          <w:tcPr>
            <w:tcW w:w="39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0.81</w:t>
            </w: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gridSpan w:val="2"/>
            <w:shd w:val="clear" w:color="auto" w:fill="CCEEFF"/>
          </w:tcPr>
          <w:p>
            <w:pPr>
              <w:jc w:val="right"/>
              <w:ind w:right="600"/>
              <w:spacing w:after="0" w:line="149" w:lineRule="exact"/>
              <w:rPr>
                <w:sz w:val="20"/>
                <w:szCs w:val="20"/>
                <w:color w:val="auto"/>
              </w:rPr>
            </w:pPr>
            <w:r>
              <w:rPr>
                <w:rFonts w:ascii="Arial" w:cs="Arial" w:eastAsia="Arial" w:hAnsi="Arial"/>
                <w:sz w:val="14"/>
                <w:szCs w:val="14"/>
                <w:color w:val="auto"/>
              </w:rPr>
              <w:t>(4.18)</w:t>
            </w:r>
          </w:p>
        </w:tc>
        <w:tc>
          <w:tcPr>
            <w:tcW w:w="1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76"/>
              </w:rPr>
              <w:t>$</w:t>
            </w: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0.86</w:t>
            </w: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1.25</w:t>
            </w:r>
          </w:p>
        </w:tc>
        <w:tc>
          <w:tcPr>
            <w:tcW w:w="180" w:type="dxa"/>
            <w:vAlign w:val="bottom"/>
            <w:shd w:val="clear" w:color="auto" w:fill="CCEEFF"/>
          </w:tcPr>
          <w:p>
            <w:pPr>
              <w:spacing w:after="0"/>
              <w:rPr>
                <w:sz w:val="12"/>
                <w:szCs w:val="12"/>
                <w:color w:val="auto"/>
              </w:rPr>
            </w:pPr>
          </w:p>
        </w:tc>
        <w:tc>
          <w:tcPr>
            <w:tcW w:w="54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0.55</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340" w:type="dxa"/>
            <w:vAlign w:val="bottom"/>
          </w:tcPr>
          <w:p>
            <w:pPr>
              <w:ind w:left="420"/>
              <w:spacing w:after="0"/>
              <w:rPr>
                <w:sz w:val="20"/>
                <w:szCs w:val="20"/>
                <w:color w:val="auto"/>
              </w:rPr>
            </w:pPr>
            <w:r>
              <w:rPr>
                <w:rFonts w:ascii="Arial" w:cs="Arial" w:eastAsia="Arial" w:hAnsi="Arial"/>
                <w:sz w:val="14"/>
                <w:szCs w:val="14"/>
                <w:color w:val="auto"/>
              </w:rPr>
              <w:t>Discontinued operations</w:t>
            </w:r>
          </w:p>
        </w:tc>
        <w:tc>
          <w:tcPr>
            <w:tcW w:w="110" w:type="dxa"/>
            <w:vAlign w:val="bottom"/>
          </w:tcPr>
          <w:p>
            <w:pPr>
              <w:spacing w:after="0"/>
              <w:rPr>
                <w:sz w:val="15"/>
                <w:szCs w:val="15"/>
                <w:color w:val="auto"/>
              </w:rPr>
            </w:pPr>
          </w:p>
        </w:tc>
        <w:tc>
          <w:tcPr>
            <w:tcW w:w="101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(0.15)</w:t>
            </w:r>
          </w:p>
        </w:tc>
        <w:tc>
          <w:tcPr>
            <w:tcW w:w="10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0.17</w:t>
            </w: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0.05</w:t>
            </w: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0.04</w:t>
            </w:r>
          </w:p>
        </w:tc>
        <w:tc>
          <w:tcPr>
            <w:tcW w:w="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0.12</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6340" w:type="dxa"/>
            <w:vAlign w:val="bottom"/>
            <w:tcBorders>
              <w:bottom w:val="single" w:sz="8" w:color="auto"/>
            </w:tcBorders>
          </w:tcPr>
          <w:p>
            <w:pPr>
              <w:spacing w:after="0"/>
              <w:rPr>
                <w:sz w:val="7"/>
                <w:szCs w:val="7"/>
                <w:color w:val="auto"/>
              </w:rPr>
            </w:pPr>
          </w:p>
        </w:tc>
        <w:tc>
          <w:tcPr>
            <w:tcW w:w="110" w:type="dxa"/>
            <w:vAlign w:val="bottom"/>
            <w:tcBorders>
              <w:bottom w:val="single" w:sz="8" w:color="auto"/>
            </w:tcBorders>
          </w:tcPr>
          <w:p>
            <w:pPr>
              <w:spacing w:after="0"/>
              <w:rPr>
                <w:sz w:val="7"/>
                <w:szCs w:val="7"/>
                <w:color w:val="auto"/>
              </w:rPr>
            </w:pPr>
          </w:p>
        </w:tc>
        <w:tc>
          <w:tcPr>
            <w:tcW w:w="390" w:type="dxa"/>
            <w:vAlign w:val="bottom"/>
            <w:tcBorders>
              <w:bottom w:val="single" w:sz="8" w:color="auto"/>
            </w:tcBorders>
          </w:tcPr>
          <w:p>
            <w:pPr>
              <w:spacing w:after="0"/>
              <w:rPr>
                <w:sz w:val="7"/>
                <w:szCs w:val="7"/>
                <w:color w:val="auto"/>
              </w:rPr>
            </w:pPr>
          </w:p>
        </w:tc>
        <w:tc>
          <w:tcPr>
            <w:tcW w:w="62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64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340" w:type="dxa"/>
            <w:vAlign w:val="bottom"/>
          </w:tcPr>
          <w:p>
            <w:pPr>
              <w:spacing w:after="0"/>
              <w:rPr>
                <w:sz w:val="8"/>
                <w:szCs w:val="8"/>
                <w:color w:val="auto"/>
              </w:rPr>
            </w:pPr>
          </w:p>
        </w:tc>
        <w:tc>
          <w:tcPr>
            <w:tcW w:w="110" w:type="dxa"/>
            <w:vAlign w:val="bottom"/>
          </w:tcPr>
          <w:p>
            <w:pPr>
              <w:spacing w:after="0"/>
              <w:rPr>
                <w:sz w:val="8"/>
                <w:szCs w:val="8"/>
                <w:color w:val="auto"/>
              </w:rPr>
            </w:pPr>
          </w:p>
        </w:tc>
        <w:tc>
          <w:tcPr>
            <w:tcW w:w="39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Net income (loss)</w:t>
            </w:r>
          </w:p>
        </w:tc>
        <w:tc>
          <w:tcPr>
            <w:tcW w:w="11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76"/>
              </w:rPr>
              <w:t>$</w:t>
            </w:r>
          </w:p>
        </w:tc>
        <w:tc>
          <w:tcPr>
            <w:tcW w:w="39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0.66</w:t>
            </w: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gridSpan w:val="2"/>
            <w:shd w:val="clear" w:color="auto" w:fill="CCEEFF"/>
          </w:tcPr>
          <w:p>
            <w:pPr>
              <w:jc w:val="right"/>
              <w:ind w:right="600"/>
              <w:spacing w:after="0" w:line="149" w:lineRule="exact"/>
              <w:rPr>
                <w:sz w:val="20"/>
                <w:szCs w:val="20"/>
                <w:color w:val="auto"/>
              </w:rPr>
            </w:pPr>
            <w:r>
              <w:rPr>
                <w:rFonts w:ascii="Arial" w:cs="Arial" w:eastAsia="Arial" w:hAnsi="Arial"/>
                <w:sz w:val="14"/>
                <w:szCs w:val="14"/>
                <w:color w:val="auto"/>
              </w:rPr>
              <w:t>(4.01)</w:t>
            </w:r>
          </w:p>
        </w:tc>
        <w:tc>
          <w:tcPr>
            <w:tcW w:w="1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76"/>
              </w:rPr>
              <w:t>$</w:t>
            </w: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0.91</w:t>
            </w: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1.29</w:t>
            </w:r>
          </w:p>
        </w:tc>
        <w:tc>
          <w:tcPr>
            <w:tcW w:w="180" w:type="dxa"/>
            <w:vAlign w:val="bottom"/>
            <w:shd w:val="clear" w:color="auto" w:fill="CCEEFF"/>
          </w:tcPr>
          <w:p>
            <w:pPr>
              <w:spacing w:after="0"/>
              <w:rPr>
                <w:sz w:val="12"/>
                <w:szCs w:val="12"/>
                <w:color w:val="auto"/>
              </w:rPr>
            </w:pPr>
          </w:p>
        </w:tc>
        <w:tc>
          <w:tcPr>
            <w:tcW w:w="54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0.67</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340" w:type="dxa"/>
            <w:vAlign w:val="bottom"/>
          </w:tcPr>
          <w:p>
            <w:pPr>
              <w:ind w:left="420"/>
              <w:spacing w:after="0"/>
              <w:rPr>
                <w:sz w:val="20"/>
                <w:szCs w:val="20"/>
                <w:color w:val="auto"/>
              </w:rPr>
            </w:pPr>
            <w:r>
              <w:rPr>
                <w:rFonts w:ascii="Arial" w:cs="Arial" w:eastAsia="Arial" w:hAnsi="Arial"/>
                <w:sz w:val="14"/>
                <w:szCs w:val="14"/>
                <w:color w:val="auto"/>
              </w:rPr>
              <w:t>Add back amortization of goodwill</w:t>
            </w:r>
          </w:p>
        </w:tc>
        <w:tc>
          <w:tcPr>
            <w:tcW w:w="110" w:type="dxa"/>
            <w:vAlign w:val="bottom"/>
          </w:tcPr>
          <w:p>
            <w:pPr>
              <w:spacing w:after="0"/>
              <w:rPr>
                <w:sz w:val="15"/>
                <w:szCs w:val="15"/>
                <w:color w:val="auto"/>
              </w:rPr>
            </w:pPr>
          </w:p>
        </w:tc>
        <w:tc>
          <w:tcPr>
            <w:tcW w:w="101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5"/>
                <w:szCs w:val="15"/>
                <w:color w:val="auto"/>
              </w:rPr>
            </w:pPr>
          </w:p>
        </w:tc>
        <w:tc>
          <w:tcPr>
            <w:tcW w:w="1020" w:type="dxa"/>
            <w:vAlign w:val="bottom"/>
            <w:gridSpan w:val="2"/>
          </w:tcPr>
          <w:p>
            <w:pPr>
              <w:jc w:val="right"/>
              <w:ind w:right="6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0.50</w:t>
            </w: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0.17</w:t>
            </w:r>
          </w:p>
        </w:tc>
        <w:tc>
          <w:tcPr>
            <w:tcW w:w="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0.16</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6340" w:type="dxa"/>
            <w:vAlign w:val="bottom"/>
            <w:tcBorders>
              <w:bottom w:val="single" w:sz="8" w:color="auto"/>
            </w:tcBorders>
          </w:tcPr>
          <w:p>
            <w:pPr>
              <w:spacing w:after="0"/>
              <w:rPr>
                <w:sz w:val="7"/>
                <w:szCs w:val="7"/>
                <w:color w:val="auto"/>
              </w:rPr>
            </w:pPr>
          </w:p>
        </w:tc>
        <w:tc>
          <w:tcPr>
            <w:tcW w:w="110" w:type="dxa"/>
            <w:vAlign w:val="bottom"/>
            <w:tcBorders>
              <w:bottom w:val="single" w:sz="8" w:color="auto"/>
            </w:tcBorders>
          </w:tcPr>
          <w:p>
            <w:pPr>
              <w:spacing w:after="0"/>
              <w:rPr>
                <w:sz w:val="7"/>
                <w:szCs w:val="7"/>
                <w:color w:val="auto"/>
              </w:rPr>
            </w:pPr>
          </w:p>
        </w:tc>
        <w:tc>
          <w:tcPr>
            <w:tcW w:w="390" w:type="dxa"/>
            <w:vAlign w:val="bottom"/>
            <w:tcBorders>
              <w:bottom w:val="single" w:sz="8" w:color="auto"/>
            </w:tcBorders>
          </w:tcPr>
          <w:p>
            <w:pPr>
              <w:spacing w:after="0"/>
              <w:rPr>
                <w:sz w:val="7"/>
                <w:szCs w:val="7"/>
                <w:color w:val="auto"/>
              </w:rPr>
            </w:pPr>
          </w:p>
        </w:tc>
        <w:tc>
          <w:tcPr>
            <w:tcW w:w="62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64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340" w:type="dxa"/>
            <w:vAlign w:val="bottom"/>
          </w:tcPr>
          <w:p>
            <w:pPr>
              <w:spacing w:after="0"/>
              <w:rPr>
                <w:sz w:val="8"/>
                <w:szCs w:val="8"/>
                <w:color w:val="auto"/>
              </w:rPr>
            </w:pPr>
          </w:p>
        </w:tc>
        <w:tc>
          <w:tcPr>
            <w:tcW w:w="110" w:type="dxa"/>
            <w:vAlign w:val="bottom"/>
          </w:tcPr>
          <w:p>
            <w:pPr>
              <w:spacing w:after="0"/>
              <w:rPr>
                <w:sz w:val="8"/>
                <w:szCs w:val="8"/>
                <w:color w:val="auto"/>
              </w:rPr>
            </w:pPr>
          </w:p>
        </w:tc>
        <w:tc>
          <w:tcPr>
            <w:tcW w:w="39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Adjusted earnings (loss) per share</w:t>
            </w:r>
          </w:p>
        </w:tc>
        <w:tc>
          <w:tcPr>
            <w:tcW w:w="11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76"/>
              </w:rPr>
              <w:t>$</w:t>
            </w:r>
          </w:p>
        </w:tc>
        <w:tc>
          <w:tcPr>
            <w:tcW w:w="39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0.66</w:t>
            </w: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gridSpan w:val="2"/>
            <w:shd w:val="clear" w:color="auto" w:fill="CCEEFF"/>
          </w:tcPr>
          <w:p>
            <w:pPr>
              <w:jc w:val="right"/>
              <w:ind w:right="600"/>
              <w:spacing w:after="0" w:line="149" w:lineRule="exact"/>
              <w:rPr>
                <w:sz w:val="20"/>
                <w:szCs w:val="20"/>
                <w:color w:val="auto"/>
              </w:rPr>
            </w:pPr>
            <w:r>
              <w:rPr>
                <w:rFonts w:ascii="Arial" w:cs="Arial" w:eastAsia="Arial" w:hAnsi="Arial"/>
                <w:sz w:val="14"/>
                <w:szCs w:val="14"/>
                <w:color w:val="auto"/>
              </w:rPr>
              <w:t>(4.01)</w:t>
            </w:r>
          </w:p>
        </w:tc>
        <w:tc>
          <w:tcPr>
            <w:tcW w:w="1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76"/>
              </w:rPr>
              <w:t>$</w:t>
            </w: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1.41</w:t>
            </w: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1.46</w:t>
            </w:r>
          </w:p>
        </w:tc>
        <w:tc>
          <w:tcPr>
            <w:tcW w:w="180" w:type="dxa"/>
            <w:vAlign w:val="bottom"/>
            <w:shd w:val="clear" w:color="auto" w:fill="CCEEFF"/>
          </w:tcPr>
          <w:p>
            <w:pPr>
              <w:spacing w:after="0"/>
              <w:rPr>
                <w:sz w:val="12"/>
                <w:szCs w:val="12"/>
                <w:color w:val="auto"/>
              </w:rPr>
            </w:pPr>
          </w:p>
        </w:tc>
        <w:tc>
          <w:tcPr>
            <w:tcW w:w="54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0.83</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340" w:type="dxa"/>
            <w:vAlign w:val="bottom"/>
          </w:tcPr>
          <w:p>
            <w:pPr>
              <w:spacing w:after="0"/>
              <w:rPr>
                <w:sz w:val="11"/>
                <w:szCs w:val="11"/>
                <w:color w:val="auto"/>
              </w:rPr>
            </w:pPr>
          </w:p>
        </w:tc>
        <w:tc>
          <w:tcPr>
            <w:tcW w:w="110" w:type="dxa"/>
            <w:vAlign w:val="bottom"/>
            <w:tcBorders>
              <w:bottom w:val="single" w:sz="8" w:color="auto"/>
            </w:tcBorders>
          </w:tcPr>
          <w:p>
            <w:pPr>
              <w:spacing w:after="0"/>
              <w:rPr>
                <w:sz w:val="11"/>
                <w:szCs w:val="11"/>
                <w:color w:val="auto"/>
              </w:rPr>
            </w:pPr>
          </w:p>
        </w:tc>
        <w:tc>
          <w:tcPr>
            <w:tcW w:w="390" w:type="dxa"/>
            <w:vAlign w:val="bottom"/>
            <w:tcBorders>
              <w:bottom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340" w:type="dxa"/>
            <w:vAlign w:val="bottom"/>
          </w:tcPr>
          <w:p>
            <w:pPr>
              <w:spacing w:after="0"/>
              <w:rPr>
                <w:sz w:val="9"/>
                <w:szCs w:val="9"/>
                <w:color w:val="auto"/>
              </w:rPr>
            </w:pPr>
          </w:p>
        </w:tc>
        <w:tc>
          <w:tcPr>
            <w:tcW w:w="110" w:type="dxa"/>
            <w:vAlign w:val="bottom"/>
          </w:tcPr>
          <w:p>
            <w:pPr>
              <w:spacing w:after="0"/>
              <w:rPr>
                <w:sz w:val="9"/>
                <w:szCs w:val="9"/>
                <w:color w:val="auto"/>
              </w:rPr>
            </w:pPr>
          </w:p>
        </w:tc>
        <w:tc>
          <w:tcPr>
            <w:tcW w:w="39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8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Diluted earnings per share</w:t>
            </w:r>
          </w:p>
        </w:tc>
        <w:tc>
          <w:tcPr>
            <w:tcW w:w="110" w:type="dxa"/>
            <w:vAlign w:val="bottom"/>
            <w:shd w:val="clear" w:color="auto" w:fill="CCEEFF"/>
          </w:tcPr>
          <w:p>
            <w:pPr>
              <w:spacing w:after="0"/>
              <w:rPr>
                <w:sz w:val="12"/>
                <w:szCs w:val="12"/>
                <w:color w:val="auto"/>
              </w:rPr>
            </w:pPr>
          </w:p>
        </w:tc>
        <w:tc>
          <w:tcPr>
            <w:tcW w:w="39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40" w:type="dxa"/>
            <w:vAlign w:val="bottom"/>
          </w:tcPr>
          <w:p>
            <w:pPr>
              <w:ind w:left="420"/>
              <w:spacing w:after="0" w:line="149" w:lineRule="exact"/>
              <w:rPr>
                <w:sz w:val="20"/>
                <w:szCs w:val="20"/>
                <w:color w:val="auto"/>
              </w:rPr>
            </w:pPr>
            <w:r>
              <w:rPr>
                <w:rFonts w:ascii="Arial" w:cs="Arial" w:eastAsia="Arial" w:hAnsi="Arial"/>
                <w:sz w:val="14"/>
                <w:szCs w:val="14"/>
                <w:color w:val="auto"/>
              </w:rPr>
              <w:t>Continuing operations</w:t>
            </w:r>
          </w:p>
        </w:tc>
        <w:tc>
          <w:tcPr>
            <w:tcW w:w="11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76"/>
              </w:rPr>
              <w:t>$</w:t>
            </w:r>
          </w:p>
        </w:tc>
        <w:tc>
          <w:tcPr>
            <w:tcW w:w="39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0.81</w:t>
            </w:r>
          </w:p>
        </w:tc>
        <w:tc>
          <w:tcPr>
            <w:tcW w:w="62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gridSpan w:val="2"/>
          </w:tcPr>
          <w:p>
            <w:pPr>
              <w:jc w:val="right"/>
              <w:ind w:right="600"/>
              <w:spacing w:after="0" w:line="149" w:lineRule="exact"/>
              <w:rPr>
                <w:sz w:val="20"/>
                <w:szCs w:val="20"/>
                <w:color w:val="auto"/>
              </w:rPr>
            </w:pPr>
            <w:r>
              <w:rPr>
                <w:rFonts w:ascii="Arial" w:cs="Arial" w:eastAsia="Arial" w:hAnsi="Arial"/>
                <w:sz w:val="14"/>
                <w:szCs w:val="14"/>
                <w:color w:val="auto"/>
              </w:rPr>
              <w:t>(4.18)</w:t>
            </w:r>
          </w:p>
        </w:tc>
        <w:tc>
          <w:tcPr>
            <w:tcW w:w="1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w w:val="76"/>
              </w:rPr>
              <w:t>$</w:t>
            </w: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0.85</w:t>
            </w:r>
          </w:p>
        </w:tc>
        <w:tc>
          <w:tcPr>
            <w:tcW w:w="640" w:type="dxa"/>
            <w:vAlign w:val="bottom"/>
          </w:tcPr>
          <w:p>
            <w:pPr>
              <w:spacing w:after="0"/>
              <w:rPr>
                <w:sz w:val="12"/>
                <w:szCs w:val="12"/>
                <w:color w:val="auto"/>
              </w:rPr>
            </w:pP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340" w:type="dxa"/>
            <w:vAlign w:val="bottom"/>
          </w:tcPr>
          <w:p>
            <w:pPr>
              <w:jc w:val="right"/>
              <w:spacing w:after="0" w:line="149" w:lineRule="exact"/>
              <w:rPr>
                <w:sz w:val="20"/>
                <w:szCs w:val="20"/>
                <w:color w:val="auto"/>
              </w:rPr>
            </w:pPr>
            <w:r>
              <w:rPr>
                <w:rFonts w:ascii="Arial" w:cs="Arial" w:eastAsia="Arial" w:hAnsi="Arial"/>
                <w:sz w:val="14"/>
                <w:szCs w:val="14"/>
                <w:color w:val="auto"/>
              </w:rPr>
              <w:t>1.23</w:t>
            </w:r>
          </w:p>
        </w:tc>
        <w:tc>
          <w:tcPr>
            <w:tcW w:w="180" w:type="dxa"/>
            <w:vAlign w:val="bottom"/>
          </w:tcPr>
          <w:p>
            <w:pPr>
              <w:spacing w:after="0"/>
              <w:rPr>
                <w:sz w:val="12"/>
                <w:szCs w:val="12"/>
                <w:color w:val="auto"/>
              </w:rPr>
            </w:pPr>
          </w:p>
        </w:tc>
        <w:tc>
          <w:tcPr>
            <w:tcW w:w="54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0.53</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Discontinued operations</w:t>
            </w:r>
          </w:p>
        </w:tc>
        <w:tc>
          <w:tcPr>
            <w:tcW w:w="110" w:type="dxa"/>
            <w:vAlign w:val="bottom"/>
            <w:shd w:val="clear" w:color="auto" w:fill="CCEEFF"/>
          </w:tcPr>
          <w:p>
            <w:pPr>
              <w:spacing w:after="0"/>
              <w:rPr>
                <w:sz w:val="12"/>
                <w:szCs w:val="12"/>
                <w:color w:val="auto"/>
              </w:rPr>
            </w:pPr>
          </w:p>
        </w:tc>
        <w:tc>
          <w:tcPr>
            <w:tcW w:w="1010" w:type="dxa"/>
            <w:vAlign w:val="bottom"/>
            <w:gridSpan w:val="2"/>
            <w:shd w:val="clear" w:color="auto" w:fill="CCEEFF"/>
          </w:tcPr>
          <w:p>
            <w:pPr>
              <w:jc w:val="right"/>
              <w:ind w:right="580"/>
              <w:spacing w:after="0" w:line="149" w:lineRule="exact"/>
              <w:rPr>
                <w:sz w:val="20"/>
                <w:szCs w:val="20"/>
                <w:color w:val="auto"/>
              </w:rPr>
            </w:pPr>
            <w:r>
              <w:rPr>
                <w:rFonts w:ascii="Arial" w:cs="Arial" w:eastAsia="Arial" w:hAnsi="Arial"/>
                <w:sz w:val="14"/>
                <w:szCs w:val="14"/>
                <w:b w:val="1"/>
                <w:bCs w:val="1"/>
                <w:color w:val="auto"/>
              </w:rPr>
              <w:t>(0.15)</w:t>
            </w: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0.17</w:t>
            </w:r>
          </w:p>
        </w:tc>
        <w:tc>
          <w:tcPr>
            <w:tcW w:w="6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0.06</w:t>
            </w: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0.04</w:t>
            </w:r>
          </w:p>
        </w:tc>
        <w:tc>
          <w:tcPr>
            <w:tcW w:w="1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0.12</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340" w:type="dxa"/>
            <w:vAlign w:val="bottom"/>
            <w:tcBorders>
              <w:bottom w:val="single" w:sz="8" w:color="auto"/>
            </w:tcBorders>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39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340" w:type="dxa"/>
            <w:vAlign w:val="bottom"/>
          </w:tcPr>
          <w:p>
            <w:pPr>
              <w:spacing w:after="0"/>
              <w:rPr>
                <w:sz w:val="8"/>
                <w:szCs w:val="8"/>
                <w:color w:val="auto"/>
              </w:rPr>
            </w:pPr>
          </w:p>
        </w:tc>
        <w:tc>
          <w:tcPr>
            <w:tcW w:w="110" w:type="dxa"/>
            <w:vAlign w:val="bottom"/>
          </w:tcPr>
          <w:p>
            <w:pPr>
              <w:spacing w:after="0"/>
              <w:rPr>
                <w:sz w:val="8"/>
                <w:szCs w:val="8"/>
                <w:color w:val="auto"/>
              </w:rPr>
            </w:pPr>
          </w:p>
        </w:tc>
        <w:tc>
          <w:tcPr>
            <w:tcW w:w="39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Net income (loss)</w:t>
            </w:r>
          </w:p>
        </w:tc>
        <w:tc>
          <w:tcPr>
            <w:tcW w:w="11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76"/>
              </w:rPr>
              <w:t>$</w:t>
            </w:r>
          </w:p>
        </w:tc>
        <w:tc>
          <w:tcPr>
            <w:tcW w:w="39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0.66</w:t>
            </w: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gridSpan w:val="2"/>
            <w:shd w:val="clear" w:color="auto" w:fill="CCEEFF"/>
          </w:tcPr>
          <w:p>
            <w:pPr>
              <w:jc w:val="right"/>
              <w:ind w:right="600"/>
              <w:spacing w:after="0" w:line="149" w:lineRule="exact"/>
              <w:rPr>
                <w:sz w:val="20"/>
                <w:szCs w:val="20"/>
                <w:color w:val="auto"/>
              </w:rPr>
            </w:pPr>
            <w:r>
              <w:rPr>
                <w:rFonts w:ascii="Arial" w:cs="Arial" w:eastAsia="Arial" w:hAnsi="Arial"/>
                <w:sz w:val="14"/>
                <w:szCs w:val="14"/>
                <w:color w:val="auto"/>
              </w:rPr>
              <w:t>(4.01)</w:t>
            </w:r>
          </w:p>
        </w:tc>
        <w:tc>
          <w:tcPr>
            <w:tcW w:w="1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76"/>
              </w:rPr>
              <w:t>$</w:t>
            </w: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0.91</w:t>
            </w: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1.27</w:t>
            </w:r>
          </w:p>
        </w:tc>
        <w:tc>
          <w:tcPr>
            <w:tcW w:w="180" w:type="dxa"/>
            <w:vAlign w:val="bottom"/>
            <w:shd w:val="clear" w:color="auto" w:fill="CCEEFF"/>
          </w:tcPr>
          <w:p>
            <w:pPr>
              <w:spacing w:after="0"/>
              <w:rPr>
                <w:sz w:val="12"/>
                <w:szCs w:val="12"/>
                <w:color w:val="auto"/>
              </w:rPr>
            </w:pPr>
          </w:p>
        </w:tc>
        <w:tc>
          <w:tcPr>
            <w:tcW w:w="54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0.65</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340" w:type="dxa"/>
            <w:vAlign w:val="bottom"/>
          </w:tcPr>
          <w:p>
            <w:pPr>
              <w:ind w:left="420"/>
              <w:spacing w:after="0"/>
              <w:rPr>
                <w:sz w:val="20"/>
                <w:szCs w:val="20"/>
                <w:color w:val="auto"/>
              </w:rPr>
            </w:pPr>
            <w:r>
              <w:rPr>
                <w:rFonts w:ascii="Arial" w:cs="Arial" w:eastAsia="Arial" w:hAnsi="Arial"/>
                <w:sz w:val="14"/>
                <w:szCs w:val="14"/>
                <w:color w:val="auto"/>
              </w:rPr>
              <w:t>Add back amortization of goodwill</w:t>
            </w:r>
          </w:p>
        </w:tc>
        <w:tc>
          <w:tcPr>
            <w:tcW w:w="110" w:type="dxa"/>
            <w:vAlign w:val="bottom"/>
          </w:tcPr>
          <w:p>
            <w:pPr>
              <w:spacing w:after="0"/>
              <w:rPr>
                <w:sz w:val="15"/>
                <w:szCs w:val="15"/>
                <w:color w:val="auto"/>
              </w:rPr>
            </w:pPr>
          </w:p>
        </w:tc>
        <w:tc>
          <w:tcPr>
            <w:tcW w:w="101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5"/>
                <w:szCs w:val="15"/>
                <w:color w:val="auto"/>
              </w:rPr>
            </w:pPr>
          </w:p>
        </w:tc>
        <w:tc>
          <w:tcPr>
            <w:tcW w:w="1020" w:type="dxa"/>
            <w:vAlign w:val="bottom"/>
            <w:gridSpan w:val="2"/>
          </w:tcPr>
          <w:p>
            <w:pPr>
              <w:jc w:val="right"/>
              <w:ind w:right="6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0.50</w:t>
            </w: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0.17</w:t>
            </w:r>
          </w:p>
        </w:tc>
        <w:tc>
          <w:tcPr>
            <w:tcW w:w="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0.15</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6340" w:type="dxa"/>
            <w:vAlign w:val="bottom"/>
            <w:tcBorders>
              <w:bottom w:val="single" w:sz="8" w:color="auto"/>
            </w:tcBorders>
          </w:tcPr>
          <w:p>
            <w:pPr>
              <w:spacing w:after="0"/>
              <w:rPr>
                <w:sz w:val="7"/>
                <w:szCs w:val="7"/>
                <w:color w:val="auto"/>
              </w:rPr>
            </w:pPr>
          </w:p>
        </w:tc>
        <w:tc>
          <w:tcPr>
            <w:tcW w:w="110" w:type="dxa"/>
            <w:vAlign w:val="bottom"/>
            <w:tcBorders>
              <w:bottom w:val="single" w:sz="8" w:color="auto"/>
            </w:tcBorders>
          </w:tcPr>
          <w:p>
            <w:pPr>
              <w:spacing w:after="0"/>
              <w:rPr>
                <w:sz w:val="7"/>
                <w:szCs w:val="7"/>
                <w:color w:val="auto"/>
              </w:rPr>
            </w:pPr>
          </w:p>
        </w:tc>
        <w:tc>
          <w:tcPr>
            <w:tcW w:w="390" w:type="dxa"/>
            <w:vAlign w:val="bottom"/>
            <w:tcBorders>
              <w:bottom w:val="single" w:sz="8" w:color="auto"/>
            </w:tcBorders>
          </w:tcPr>
          <w:p>
            <w:pPr>
              <w:spacing w:after="0"/>
              <w:rPr>
                <w:sz w:val="7"/>
                <w:szCs w:val="7"/>
                <w:color w:val="auto"/>
              </w:rPr>
            </w:pPr>
          </w:p>
        </w:tc>
        <w:tc>
          <w:tcPr>
            <w:tcW w:w="62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64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340" w:type="dxa"/>
            <w:vAlign w:val="bottom"/>
          </w:tcPr>
          <w:p>
            <w:pPr>
              <w:spacing w:after="0"/>
              <w:rPr>
                <w:sz w:val="8"/>
                <w:szCs w:val="8"/>
                <w:color w:val="auto"/>
              </w:rPr>
            </w:pPr>
          </w:p>
        </w:tc>
        <w:tc>
          <w:tcPr>
            <w:tcW w:w="110" w:type="dxa"/>
            <w:vAlign w:val="bottom"/>
          </w:tcPr>
          <w:p>
            <w:pPr>
              <w:spacing w:after="0"/>
              <w:rPr>
                <w:sz w:val="8"/>
                <w:szCs w:val="8"/>
                <w:color w:val="auto"/>
              </w:rPr>
            </w:pPr>
          </w:p>
        </w:tc>
        <w:tc>
          <w:tcPr>
            <w:tcW w:w="39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Adjusted earnings (loss) per share</w:t>
            </w:r>
          </w:p>
        </w:tc>
        <w:tc>
          <w:tcPr>
            <w:tcW w:w="11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76"/>
              </w:rPr>
              <w:t>$</w:t>
            </w:r>
          </w:p>
        </w:tc>
        <w:tc>
          <w:tcPr>
            <w:tcW w:w="39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0.66</w:t>
            </w: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gridSpan w:val="2"/>
            <w:shd w:val="clear" w:color="auto" w:fill="CCEEFF"/>
          </w:tcPr>
          <w:p>
            <w:pPr>
              <w:jc w:val="right"/>
              <w:ind w:right="600"/>
              <w:spacing w:after="0" w:line="149" w:lineRule="exact"/>
              <w:rPr>
                <w:sz w:val="20"/>
                <w:szCs w:val="20"/>
                <w:color w:val="auto"/>
              </w:rPr>
            </w:pPr>
            <w:r>
              <w:rPr>
                <w:rFonts w:ascii="Arial" w:cs="Arial" w:eastAsia="Arial" w:hAnsi="Arial"/>
                <w:sz w:val="14"/>
                <w:szCs w:val="14"/>
                <w:color w:val="auto"/>
              </w:rPr>
              <w:t>(4.01)</w:t>
            </w:r>
          </w:p>
        </w:tc>
        <w:tc>
          <w:tcPr>
            <w:tcW w:w="1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76"/>
              </w:rPr>
              <w:t>$</w:t>
            </w: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1.41</w:t>
            </w: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1.44</w:t>
            </w:r>
          </w:p>
        </w:tc>
        <w:tc>
          <w:tcPr>
            <w:tcW w:w="180" w:type="dxa"/>
            <w:vAlign w:val="bottom"/>
            <w:shd w:val="clear" w:color="auto" w:fill="CCEEFF"/>
          </w:tcPr>
          <w:p>
            <w:pPr>
              <w:spacing w:after="0"/>
              <w:rPr>
                <w:sz w:val="12"/>
                <w:szCs w:val="12"/>
                <w:color w:val="auto"/>
              </w:rPr>
            </w:pPr>
          </w:p>
        </w:tc>
        <w:tc>
          <w:tcPr>
            <w:tcW w:w="54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0.80</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340" w:type="dxa"/>
            <w:vAlign w:val="bottom"/>
          </w:tcPr>
          <w:p>
            <w:pPr>
              <w:spacing w:after="0"/>
              <w:rPr>
                <w:sz w:val="11"/>
                <w:szCs w:val="11"/>
                <w:color w:val="auto"/>
              </w:rPr>
            </w:pPr>
          </w:p>
        </w:tc>
        <w:tc>
          <w:tcPr>
            <w:tcW w:w="110" w:type="dxa"/>
            <w:vAlign w:val="bottom"/>
            <w:tcBorders>
              <w:bottom w:val="single" w:sz="8" w:color="auto"/>
            </w:tcBorders>
          </w:tcPr>
          <w:p>
            <w:pPr>
              <w:spacing w:after="0"/>
              <w:rPr>
                <w:sz w:val="11"/>
                <w:szCs w:val="11"/>
                <w:color w:val="auto"/>
              </w:rPr>
            </w:pPr>
          </w:p>
        </w:tc>
        <w:tc>
          <w:tcPr>
            <w:tcW w:w="390" w:type="dxa"/>
            <w:vAlign w:val="bottom"/>
            <w:tcBorders>
              <w:bottom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340" w:type="dxa"/>
            <w:vAlign w:val="bottom"/>
          </w:tcPr>
          <w:p>
            <w:pPr>
              <w:spacing w:after="0"/>
              <w:rPr>
                <w:sz w:val="9"/>
                <w:szCs w:val="9"/>
                <w:color w:val="auto"/>
              </w:rPr>
            </w:pPr>
          </w:p>
        </w:tc>
        <w:tc>
          <w:tcPr>
            <w:tcW w:w="110" w:type="dxa"/>
            <w:vAlign w:val="bottom"/>
          </w:tcPr>
          <w:p>
            <w:pPr>
              <w:spacing w:after="0"/>
              <w:rPr>
                <w:sz w:val="9"/>
                <w:szCs w:val="9"/>
                <w:color w:val="auto"/>
              </w:rPr>
            </w:pPr>
          </w:p>
        </w:tc>
        <w:tc>
          <w:tcPr>
            <w:tcW w:w="39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8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dividends declared per share</w:t>
            </w:r>
          </w:p>
        </w:tc>
        <w:tc>
          <w:tcPr>
            <w:tcW w:w="11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76"/>
              </w:rPr>
              <w:t>$</w:t>
            </w:r>
          </w:p>
        </w:tc>
        <w:tc>
          <w:tcPr>
            <w:tcW w:w="39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0.75</w:t>
            </w: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0.75</w:t>
            </w:r>
          </w:p>
        </w:tc>
        <w:tc>
          <w:tcPr>
            <w:tcW w:w="640" w:type="dxa"/>
            <w:vAlign w:val="bottom"/>
            <w:shd w:val="clear" w:color="auto" w:fill="CCEEFF"/>
          </w:tcPr>
          <w:p>
            <w:pPr>
              <w:spacing w:after="0"/>
              <w:rPr>
                <w:sz w:val="12"/>
                <w:szCs w:val="12"/>
                <w:color w:val="auto"/>
              </w:rPr>
            </w:pPr>
          </w:p>
        </w:tc>
        <w:tc>
          <w:tcPr>
            <w:tcW w:w="1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76"/>
              </w:rPr>
              <w:t>$</w:t>
            </w: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0.75</w:t>
            </w: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0.75</w:t>
            </w:r>
          </w:p>
        </w:tc>
        <w:tc>
          <w:tcPr>
            <w:tcW w:w="180" w:type="dxa"/>
            <w:vAlign w:val="bottom"/>
            <w:shd w:val="clear" w:color="auto" w:fill="CCEEFF"/>
          </w:tcPr>
          <w:p>
            <w:pPr>
              <w:spacing w:after="0"/>
              <w:rPr>
                <w:sz w:val="12"/>
                <w:szCs w:val="12"/>
                <w:color w:val="auto"/>
              </w:rPr>
            </w:pPr>
          </w:p>
        </w:tc>
        <w:tc>
          <w:tcPr>
            <w:tcW w:w="54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0.75</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6360" w:type="dxa"/>
            <w:vAlign w:val="bottom"/>
            <w:gridSpan w:val="2"/>
          </w:tcPr>
          <w:p>
            <w:pPr>
              <w:spacing w:after="0"/>
              <w:rPr>
                <w:sz w:val="11"/>
                <w:szCs w:val="11"/>
                <w:color w:val="auto"/>
              </w:rPr>
            </w:pPr>
          </w:p>
        </w:tc>
        <w:tc>
          <w:tcPr>
            <w:tcW w:w="110" w:type="dxa"/>
            <w:vAlign w:val="bottom"/>
            <w:tcBorders>
              <w:bottom w:val="single" w:sz="8" w:color="auto"/>
            </w:tcBorders>
          </w:tcPr>
          <w:p>
            <w:pPr>
              <w:spacing w:after="0"/>
              <w:rPr>
                <w:sz w:val="11"/>
                <w:szCs w:val="11"/>
                <w:color w:val="auto"/>
              </w:rPr>
            </w:pPr>
          </w:p>
        </w:tc>
        <w:tc>
          <w:tcPr>
            <w:tcW w:w="390" w:type="dxa"/>
            <w:vAlign w:val="bottom"/>
            <w:tcBorders>
              <w:bottom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00" w:type="dxa"/>
            <w:vAlign w:val="bottom"/>
            <w:tcBorders>
              <w:bottom w:val="single" w:sz="8" w:color="auto"/>
            </w:tcBorders>
            <w:gridSpan w:val="3"/>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15"/>
        </w:trPr>
        <w:tc>
          <w:tcPr>
            <w:tcW w:w="6360" w:type="dxa"/>
            <w:vAlign w:val="bottom"/>
            <w:gridSpan w:val="2"/>
          </w:tcPr>
          <w:p>
            <w:pPr>
              <w:spacing w:after="0"/>
              <w:rPr>
                <w:sz w:val="20"/>
                <w:szCs w:val="20"/>
                <w:color w:val="auto"/>
              </w:rPr>
            </w:pPr>
            <w:r>
              <w:rPr>
                <w:rFonts w:ascii="Arial" w:cs="Arial" w:eastAsia="Arial" w:hAnsi="Arial"/>
                <w:sz w:val="14"/>
                <w:szCs w:val="14"/>
                <w:color w:val="auto"/>
              </w:rPr>
              <w:t>11 / SLB</w:t>
            </w:r>
          </w:p>
        </w:tc>
        <w:tc>
          <w:tcPr>
            <w:tcW w:w="110" w:type="dxa"/>
            <w:vAlign w:val="bottom"/>
          </w:tcPr>
          <w:p>
            <w:pPr>
              <w:spacing w:after="0"/>
              <w:rPr>
                <w:sz w:val="24"/>
                <w:szCs w:val="24"/>
                <w:color w:val="auto"/>
              </w:rPr>
            </w:pPr>
          </w:p>
        </w:tc>
        <w:tc>
          <w:tcPr>
            <w:tcW w:w="39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gridSpan w:val="5"/>
          </w:tcPr>
          <w:p>
            <w:pPr>
              <w:jc w:val="right"/>
              <w:spacing w:after="0"/>
              <w:rPr>
                <w:sz w:val="20"/>
                <w:szCs w:val="20"/>
                <w:color w:val="auto"/>
              </w:rPr>
            </w:pPr>
            <w:r>
              <w:rPr>
                <w:rFonts w:ascii="Arial" w:cs="Arial" w:eastAsia="Arial" w:hAnsi="Arial"/>
                <w:sz w:val="14"/>
                <w:szCs w:val="14"/>
                <w:color w:val="auto"/>
                <w:w w:val="96"/>
              </w:rPr>
              <w:t>2003 FORM 10-K</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4042410</wp:posOffset>
            </wp:positionH>
            <wp:positionV relativeFrom="paragraph">
              <wp:posOffset>-5746750</wp:posOffset>
            </wp:positionV>
            <wp:extent cx="12700"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4102100</wp:posOffset>
            </wp:positionH>
            <wp:positionV relativeFrom="paragraph">
              <wp:posOffset>-5746750</wp:posOffset>
            </wp:positionV>
            <wp:extent cx="21590"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4342130</wp:posOffset>
            </wp:positionH>
            <wp:positionV relativeFrom="paragraph">
              <wp:posOffset>-5746750</wp:posOffset>
            </wp:positionV>
            <wp:extent cx="38735"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-5746750</wp:posOffset>
            </wp:positionV>
            <wp:extent cx="12700"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-5746750</wp:posOffset>
            </wp:positionV>
            <wp:extent cx="21590"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-5746750</wp:posOffset>
            </wp:positionV>
            <wp:extent cx="38735"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5466080</wp:posOffset>
            </wp:positionH>
            <wp:positionV relativeFrom="paragraph">
              <wp:posOffset>-5746750</wp:posOffset>
            </wp:positionV>
            <wp:extent cx="12700"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-5746750</wp:posOffset>
            </wp:positionV>
            <wp:extent cx="21590"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-5746750</wp:posOffset>
            </wp:positionV>
            <wp:extent cx="38735"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6186170</wp:posOffset>
            </wp:positionH>
            <wp:positionV relativeFrom="paragraph">
              <wp:posOffset>-5746750</wp:posOffset>
            </wp:positionV>
            <wp:extent cx="12700"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6246495</wp:posOffset>
            </wp:positionH>
            <wp:positionV relativeFrom="paragraph">
              <wp:posOffset>-5746750</wp:posOffset>
            </wp:positionV>
            <wp:extent cx="21590"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-5746750</wp:posOffset>
            </wp:positionV>
            <wp:extent cx="38735"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6837680</wp:posOffset>
            </wp:positionH>
            <wp:positionV relativeFrom="paragraph">
              <wp:posOffset>-5746750</wp:posOffset>
            </wp:positionV>
            <wp:extent cx="12700"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6898005</wp:posOffset>
            </wp:positionH>
            <wp:positionV relativeFrom="paragraph">
              <wp:posOffset>-5746750</wp:posOffset>
            </wp:positionV>
            <wp:extent cx="21590"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7138035</wp:posOffset>
            </wp:positionH>
            <wp:positionV relativeFrom="paragraph">
              <wp:posOffset>-5746750</wp:posOffset>
            </wp:positionV>
            <wp:extent cx="38735"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-2685415</wp:posOffset>
            </wp:positionV>
            <wp:extent cx="12700"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4102100</wp:posOffset>
            </wp:positionH>
            <wp:positionV relativeFrom="paragraph">
              <wp:posOffset>-2685415</wp:posOffset>
            </wp:positionV>
            <wp:extent cx="21590"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4342130</wp:posOffset>
            </wp:positionH>
            <wp:positionV relativeFrom="paragraph">
              <wp:posOffset>-2685415</wp:posOffset>
            </wp:positionV>
            <wp:extent cx="38735"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-2685415</wp:posOffset>
            </wp:positionV>
            <wp:extent cx="12700"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-2685415</wp:posOffset>
            </wp:positionV>
            <wp:extent cx="21590"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-2685415</wp:posOffset>
            </wp:positionV>
            <wp:extent cx="38735"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5466080</wp:posOffset>
            </wp:positionH>
            <wp:positionV relativeFrom="paragraph">
              <wp:posOffset>-2685415</wp:posOffset>
            </wp:positionV>
            <wp:extent cx="12700"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-2685415</wp:posOffset>
            </wp:positionV>
            <wp:extent cx="21590"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-2685415</wp:posOffset>
            </wp:positionV>
            <wp:extent cx="38735"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6186170</wp:posOffset>
            </wp:positionH>
            <wp:positionV relativeFrom="paragraph">
              <wp:posOffset>-2685415</wp:posOffset>
            </wp:positionV>
            <wp:extent cx="12700"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6246495</wp:posOffset>
            </wp:positionH>
            <wp:positionV relativeFrom="paragraph">
              <wp:posOffset>-2685415</wp:posOffset>
            </wp:positionV>
            <wp:extent cx="21590"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-2685415</wp:posOffset>
            </wp:positionV>
            <wp:extent cx="38735"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6837680</wp:posOffset>
            </wp:positionH>
            <wp:positionV relativeFrom="paragraph">
              <wp:posOffset>-2685415</wp:posOffset>
            </wp:positionV>
            <wp:extent cx="12700"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6898005</wp:posOffset>
            </wp:positionH>
            <wp:positionV relativeFrom="paragraph">
              <wp:posOffset>-2685415</wp:posOffset>
            </wp:positionV>
            <wp:extent cx="21590"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7138035</wp:posOffset>
            </wp:positionH>
            <wp:positionV relativeFrom="paragraph">
              <wp:posOffset>-2685415</wp:posOffset>
            </wp:positionV>
            <wp:extent cx="38735"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-1570355</wp:posOffset>
            </wp:positionV>
            <wp:extent cx="12700"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4102100</wp:posOffset>
            </wp:positionH>
            <wp:positionV relativeFrom="paragraph">
              <wp:posOffset>-1570355</wp:posOffset>
            </wp:positionV>
            <wp:extent cx="21590"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4342130</wp:posOffset>
            </wp:positionH>
            <wp:positionV relativeFrom="paragraph">
              <wp:posOffset>-1570355</wp:posOffset>
            </wp:positionV>
            <wp:extent cx="38735"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-1570355</wp:posOffset>
            </wp:positionV>
            <wp:extent cx="12700"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-1570355</wp:posOffset>
            </wp:positionV>
            <wp:extent cx="21590"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-1570355</wp:posOffset>
            </wp:positionV>
            <wp:extent cx="38735"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5466080</wp:posOffset>
            </wp:positionH>
            <wp:positionV relativeFrom="paragraph">
              <wp:posOffset>-1570355</wp:posOffset>
            </wp:positionV>
            <wp:extent cx="12700"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-1570355</wp:posOffset>
            </wp:positionV>
            <wp:extent cx="21590"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-1570355</wp:posOffset>
            </wp:positionV>
            <wp:extent cx="38735"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6186170</wp:posOffset>
            </wp:positionH>
            <wp:positionV relativeFrom="paragraph">
              <wp:posOffset>-1570355</wp:posOffset>
            </wp:positionV>
            <wp:extent cx="12700"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6246495</wp:posOffset>
            </wp:positionH>
            <wp:positionV relativeFrom="paragraph">
              <wp:posOffset>-1570355</wp:posOffset>
            </wp:positionV>
            <wp:extent cx="21590"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-1570355</wp:posOffset>
            </wp:positionV>
            <wp:extent cx="38735"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6837680</wp:posOffset>
            </wp:positionH>
            <wp:positionV relativeFrom="paragraph">
              <wp:posOffset>-1570355</wp:posOffset>
            </wp:positionV>
            <wp:extent cx="12700"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6898005</wp:posOffset>
            </wp:positionH>
            <wp:positionV relativeFrom="paragraph">
              <wp:posOffset>-1570355</wp:posOffset>
            </wp:positionV>
            <wp:extent cx="21590"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7138035</wp:posOffset>
            </wp:positionH>
            <wp:positionV relativeFrom="paragraph">
              <wp:posOffset>-1570355</wp:posOffset>
            </wp:positionV>
            <wp:extent cx="38735"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-549910</wp:posOffset>
            </wp:positionV>
            <wp:extent cx="12700"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4102100</wp:posOffset>
            </wp:positionH>
            <wp:positionV relativeFrom="paragraph">
              <wp:posOffset>-549910</wp:posOffset>
            </wp:positionV>
            <wp:extent cx="21590"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4342130</wp:posOffset>
            </wp:positionH>
            <wp:positionV relativeFrom="paragraph">
              <wp:posOffset>-549910</wp:posOffset>
            </wp:positionV>
            <wp:extent cx="38735"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-549910</wp:posOffset>
            </wp:positionV>
            <wp:extent cx="12700"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-549910</wp:posOffset>
            </wp:positionV>
            <wp:extent cx="21590"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-549910</wp:posOffset>
            </wp:positionV>
            <wp:extent cx="38735"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5466080</wp:posOffset>
            </wp:positionH>
            <wp:positionV relativeFrom="paragraph">
              <wp:posOffset>-549910</wp:posOffset>
            </wp:positionV>
            <wp:extent cx="12700"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-549910</wp:posOffset>
            </wp:positionV>
            <wp:extent cx="21590"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-549910</wp:posOffset>
            </wp:positionV>
            <wp:extent cx="38735"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6186170</wp:posOffset>
            </wp:positionH>
            <wp:positionV relativeFrom="paragraph">
              <wp:posOffset>-549910</wp:posOffset>
            </wp:positionV>
            <wp:extent cx="12700"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6246495</wp:posOffset>
            </wp:positionH>
            <wp:positionV relativeFrom="paragraph">
              <wp:posOffset>-549910</wp:posOffset>
            </wp:positionV>
            <wp:extent cx="21590"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-549910</wp:posOffset>
            </wp:positionV>
            <wp:extent cx="38735"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6837680</wp:posOffset>
            </wp:positionH>
            <wp:positionV relativeFrom="paragraph">
              <wp:posOffset>-549910</wp:posOffset>
            </wp:positionV>
            <wp:extent cx="12700"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6898005</wp:posOffset>
            </wp:positionH>
            <wp:positionV relativeFrom="paragraph">
              <wp:posOffset>-549910</wp:posOffset>
            </wp:positionV>
            <wp:extent cx="21590"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7138035</wp:posOffset>
            </wp:positionH>
            <wp:positionV relativeFrom="paragraph">
              <wp:posOffset>-549910</wp:posOffset>
            </wp:positionV>
            <wp:extent cx="38735" cy="29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-292735</wp:posOffset>
            </wp:positionV>
            <wp:extent cx="12700" cy="298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4102100</wp:posOffset>
            </wp:positionH>
            <wp:positionV relativeFrom="paragraph">
              <wp:posOffset>-292735</wp:posOffset>
            </wp:positionV>
            <wp:extent cx="21590" cy="298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4342130</wp:posOffset>
            </wp:positionH>
            <wp:positionV relativeFrom="paragraph">
              <wp:posOffset>-292735</wp:posOffset>
            </wp:positionV>
            <wp:extent cx="38735" cy="298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-292735</wp:posOffset>
            </wp:positionV>
            <wp:extent cx="12700" cy="298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-292735</wp:posOffset>
            </wp:positionV>
            <wp:extent cx="21590" cy="298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-292735</wp:posOffset>
            </wp:positionV>
            <wp:extent cx="38735" cy="298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5466080</wp:posOffset>
            </wp:positionH>
            <wp:positionV relativeFrom="paragraph">
              <wp:posOffset>-292735</wp:posOffset>
            </wp:positionV>
            <wp:extent cx="12700" cy="298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-292735</wp:posOffset>
            </wp:positionV>
            <wp:extent cx="21590" cy="298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-292735</wp:posOffset>
            </wp:positionV>
            <wp:extent cx="38735" cy="298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6186170</wp:posOffset>
            </wp:positionH>
            <wp:positionV relativeFrom="paragraph">
              <wp:posOffset>-292735</wp:posOffset>
            </wp:positionV>
            <wp:extent cx="12700" cy="298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6246495</wp:posOffset>
            </wp:positionH>
            <wp:positionV relativeFrom="paragraph">
              <wp:posOffset>-292735</wp:posOffset>
            </wp:positionV>
            <wp:extent cx="21590" cy="298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-292735</wp:posOffset>
            </wp:positionV>
            <wp:extent cx="38735" cy="298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6837680</wp:posOffset>
            </wp:positionH>
            <wp:positionV relativeFrom="paragraph">
              <wp:posOffset>-292735</wp:posOffset>
            </wp:positionV>
            <wp:extent cx="12700" cy="298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6898005</wp:posOffset>
            </wp:positionH>
            <wp:positionV relativeFrom="paragraph">
              <wp:posOffset>-292735</wp:posOffset>
            </wp:positionV>
            <wp:extent cx="21590" cy="298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7138035</wp:posOffset>
            </wp:positionH>
            <wp:positionV relativeFrom="paragraph">
              <wp:posOffset>-292735</wp:posOffset>
            </wp:positionV>
            <wp:extent cx="38735" cy="298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4"/>
          <w:szCs w:val="14"/>
          <w:color w:val="auto"/>
        </w:rPr>
        <w:t>Part II, Item 6</w:t>
      </w:r>
    </w:p>
    <w:p>
      <w:pPr>
        <w:spacing w:after="0" w:line="13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(Stated in millions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16915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69150" cy="8890"/>
                    </a:xfrm>
                    <a:prstGeom prst="rect">
                      <a:avLst/>
                    </a:prstGeom>
                    <a:noFill/>
                  </pic:spPr>
                </pic:pic>
              </a:graphicData>
            </a:graphic>
          </wp:anchor>
        </w:drawing>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95"/>
        </w:trPr>
        <w:tc>
          <w:tcPr>
            <w:tcW w:w="5540" w:type="dxa"/>
            <w:vAlign w:val="bottom"/>
            <w:gridSpan w:val="2"/>
          </w:tcPr>
          <w:p>
            <w:pPr>
              <w:spacing w:after="0"/>
              <w:rPr>
                <w:sz w:val="20"/>
                <w:szCs w:val="20"/>
                <w:color w:val="auto"/>
              </w:rPr>
            </w:pPr>
            <w:r>
              <w:rPr>
                <w:rFonts w:ascii="Arial" w:cs="Arial" w:eastAsia="Arial" w:hAnsi="Arial"/>
                <w:sz w:val="14"/>
                <w:szCs w:val="14"/>
                <w:b w:val="1"/>
                <w:bCs w:val="1"/>
                <w:color w:val="auto"/>
              </w:rPr>
              <w:t>Year Ended December 31,</w:t>
            </w:r>
          </w:p>
        </w:tc>
        <w:tc>
          <w:tcPr>
            <w:tcW w:w="126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rPr>
              <w:t>2003</w:t>
            </w: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6"/>
              </w:rPr>
              <w:t>2002</w:t>
            </w:r>
            <w:r>
              <w:rPr>
                <w:rFonts w:ascii="Arial" w:cs="Arial" w:eastAsia="Arial" w:hAnsi="Arial"/>
                <w:sz w:val="22"/>
                <w:szCs w:val="22"/>
                <w:b w:val="1"/>
                <w:bCs w:val="1"/>
                <w:color w:val="auto"/>
                <w:w w:val="96"/>
                <w:vertAlign w:val="superscript"/>
              </w:rPr>
              <w:t>1</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96"/>
              </w:rPr>
              <w:t>2001</w:t>
            </w:r>
            <w:r>
              <w:rPr>
                <w:rFonts w:ascii="Arial" w:cs="Arial" w:eastAsia="Arial" w:hAnsi="Arial"/>
                <w:sz w:val="22"/>
                <w:szCs w:val="22"/>
                <w:b w:val="1"/>
                <w:bCs w:val="1"/>
                <w:color w:val="auto"/>
                <w:w w:val="96"/>
                <w:vertAlign w:val="superscript"/>
              </w:rPr>
              <w:t>1</w:t>
            </w:r>
          </w:p>
        </w:tc>
        <w:tc>
          <w:tcPr>
            <w:tcW w:w="100" w:type="dxa"/>
            <w:vAlign w:val="bottom"/>
          </w:tcPr>
          <w:p>
            <w:pPr>
              <w:spacing w:after="0"/>
              <w:rPr>
                <w:sz w:val="24"/>
                <w:szCs w:val="24"/>
                <w:color w:val="auto"/>
              </w:rPr>
            </w:pPr>
          </w:p>
        </w:tc>
        <w:tc>
          <w:tcPr>
            <w:tcW w:w="70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1"/>
              </w:rPr>
              <w:t>2000</w:t>
            </w:r>
            <w:r>
              <w:rPr>
                <w:rFonts w:ascii="Arial" w:cs="Arial" w:eastAsia="Arial" w:hAnsi="Arial"/>
                <w:sz w:val="22"/>
                <w:szCs w:val="22"/>
                <w:b w:val="1"/>
                <w:bCs w:val="1"/>
                <w:color w:val="auto"/>
                <w:w w:val="91"/>
                <w:vertAlign w:val="superscript"/>
              </w:rPr>
              <w:t>1</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96"/>
              </w:rPr>
              <w:t>1999</w:t>
            </w:r>
            <w:r>
              <w:rPr>
                <w:rFonts w:ascii="Arial" w:cs="Arial" w:eastAsia="Arial" w:hAnsi="Arial"/>
                <w:sz w:val="22"/>
                <w:szCs w:val="22"/>
                <w:b w:val="1"/>
                <w:bCs w:val="1"/>
                <w:color w:val="auto"/>
                <w:w w:val="96"/>
                <w:vertAlign w:val="superscript"/>
              </w:rPr>
              <w:t>1</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520" w:type="dxa"/>
            <w:vAlign w:val="bottom"/>
            <w:shd w:val="clear" w:color="auto" w:fill="CCEEFF"/>
          </w:tcPr>
          <w:p>
            <w:pPr>
              <w:spacing w:after="0" w:line="155" w:lineRule="exact"/>
              <w:rPr>
                <w:sz w:val="20"/>
                <w:szCs w:val="20"/>
                <w:color w:val="auto"/>
              </w:rPr>
            </w:pPr>
            <w:r>
              <w:rPr>
                <w:rFonts w:ascii="Arial" w:cs="Arial" w:eastAsia="Arial" w:hAnsi="Arial"/>
                <w:sz w:val="14"/>
                <w:szCs w:val="14"/>
                <w:color w:val="auto"/>
              </w:rPr>
              <w:t>SUMMARY OF FINANCIAL DATA</w:t>
            </w:r>
          </w:p>
        </w:tc>
        <w:tc>
          <w:tcPr>
            <w:tcW w:w="12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520" w:type="dxa"/>
            <w:vAlign w:val="bottom"/>
          </w:tcPr>
          <w:p>
            <w:pPr>
              <w:spacing w:after="0"/>
              <w:rPr>
                <w:sz w:val="20"/>
                <w:szCs w:val="20"/>
                <w:color w:val="auto"/>
              </w:rPr>
            </w:pPr>
            <w:r>
              <w:rPr>
                <w:rFonts w:ascii="Arial" w:cs="Arial" w:eastAsia="Arial" w:hAnsi="Arial"/>
                <w:sz w:val="14"/>
                <w:szCs w:val="14"/>
                <w:color w:val="auto"/>
              </w:rPr>
              <w:t>Income as % of operating revenue, continuing operations</w:t>
            </w:r>
          </w:p>
        </w:tc>
        <w:tc>
          <w:tcPr>
            <w:tcW w:w="1260" w:type="dxa"/>
            <w:vAlign w:val="bottom"/>
          </w:tcPr>
          <w:p>
            <w:pPr>
              <w:spacing w:after="0"/>
              <w:rPr>
                <w:sz w:val="15"/>
                <w:szCs w:val="15"/>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3%</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4"/>
                <w:szCs w:val="14"/>
                <w:color w:val="auto"/>
              </w:rPr>
              <w:t>(18)%</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5"/>
                <w:szCs w:val="15"/>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4"/>
                <w:szCs w:val="14"/>
                <w:color w:val="auto"/>
              </w:rPr>
              <w:t>8%</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gridSpan w:val="2"/>
          </w:tcPr>
          <w:p>
            <w:pPr>
              <w:jc w:val="right"/>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5520" w:type="dxa"/>
            <w:vAlign w:val="bottom"/>
            <w:tcBorders>
              <w:bottom w:val="single" w:sz="8" w:color="auto"/>
            </w:tcBorders>
          </w:tcPr>
          <w:p>
            <w:pPr>
              <w:spacing w:after="0"/>
              <w:rPr>
                <w:sz w:val="7"/>
                <w:szCs w:val="7"/>
                <w:color w:val="auto"/>
              </w:rPr>
            </w:pPr>
          </w:p>
        </w:tc>
        <w:tc>
          <w:tcPr>
            <w:tcW w:w="1260" w:type="dxa"/>
            <w:vAlign w:val="bottom"/>
            <w:tcBorders>
              <w:bottom w:val="single" w:sz="8" w:color="auto"/>
            </w:tcBorders>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3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3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52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32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520" w:type="dxa"/>
            <w:vAlign w:val="bottom"/>
          </w:tcPr>
          <w:p>
            <w:pPr>
              <w:spacing w:after="0"/>
              <w:rPr>
                <w:sz w:val="8"/>
                <w:szCs w:val="8"/>
                <w:color w:val="auto"/>
              </w:rPr>
            </w:pPr>
          </w:p>
        </w:tc>
        <w:tc>
          <w:tcPr>
            <w:tcW w:w="1260" w:type="dxa"/>
            <w:vAlign w:val="bottom"/>
          </w:tcPr>
          <w:p>
            <w:pPr>
              <w:spacing w:after="0"/>
              <w:rPr>
                <w:sz w:val="8"/>
                <w:szCs w:val="8"/>
                <w:color w:val="auto"/>
              </w:rPr>
            </w:pPr>
          </w:p>
        </w:tc>
        <w:tc>
          <w:tcPr>
            <w:tcW w:w="4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Income as % of operating revenue, continuing operations excluding charges</w:t>
            </w:r>
          </w:p>
        </w:tc>
        <w:tc>
          <w:tcPr>
            <w:tcW w:w="12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b w:val="1"/>
                <w:bCs w:val="1"/>
                <w:color w:val="auto"/>
              </w:rPr>
              <w:t>7%</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5%</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6%</w:t>
            </w: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8%</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520" w:type="dxa"/>
            <w:vAlign w:val="bottom"/>
            <w:tcBorders>
              <w:bottom w:val="single" w:sz="8" w:color="auto"/>
            </w:tcBorders>
          </w:tcPr>
          <w:p>
            <w:pPr>
              <w:spacing w:after="0"/>
              <w:rPr>
                <w:sz w:val="9"/>
                <w:szCs w:val="9"/>
                <w:color w:val="auto"/>
              </w:rPr>
            </w:pPr>
          </w:p>
        </w:tc>
        <w:tc>
          <w:tcPr>
            <w:tcW w:w="126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520" w:type="dxa"/>
            <w:vAlign w:val="bottom"/>
          </w:tcPr>
          <w:p>
            <w:pPr>
              <w:spacing w:after="0"/>
              <w:rPr>
                <w:sz w:val="8"/>
                <w:szCs w:val="8"/>
                <w:color w:val="auto"/>
              </w:rPr>
            </w:pPr>
          </w:p>
        </w:tc>
        <w:tc>
          <w:tcPr>
            <w:tcW w:w="1260" w:type="dxa"/>
            <w:vAlign w:val="bottom"/>
          </w:tcPr>
          <w:p>
            <w:pPr>
              <w:spacing w:after="0"/>
              <w:rPr>
                <w:sz w:val="8"/>
                <w:szCs w:val="8"/>
                <w:color w:val="auto"/>
              </w:rPr>
            </w:pPr>
          </w:p>
        </w:tc>
        <w:tc>
          <w:tcPr>
            <w:tcW w:w="4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5520" w:type="dxa"/>
            <w:vAlign w:val="bottom"/>
            <w:shd w:val="clear" w:color="auto" w:fill="CCEEFF"/>
          </w:tcPr>
          <w:p>
            <w:pPr>
              <w:spacing w:after="0" w:line="176" w:lineRule="exact"/>
              <w:rPr>
                <w:sz w:val="20"/>
                <w:szCs w:val="20"/>
                <w:color w:val="auto"/>
              </w:rPr>
            </w:pPr>
            <w:r>
              <w:rPr>
                <w:rFonts w:ascii="Arial" w:cs="Arial" w:eastAsia="Arial" w:hAnsi="Arial"/>
                <w:sz w:val="13"/>
                <w:szCs w:val="13"/>
                <w:color w:val="auto"/>
              </w:rPr>
              <w:t>Return on capital employed, continuing operations</w:t>
            </w:r>
            <w:r>
              <w:rPr>
                <w:rFonts w:ascii="Arial" w:cs="Arial" w:eastAsia="Arial" w:hAnsi="Arial"/>
                <w:sz w:val="20"/>
                <w:szCs w:val="20"/>
                <w:color w:val="auto"/>
                <w:vertAlign w:val="superscript"/>
              </w:rPr>
              <w:t>8</w:t>
            </w:r>
          </w:p>
        </w:tc>
        <w:tc>
          <w:tcPr>
            <w:tcW w:w="126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10%</w:t>
            </w: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6%</w:t>
            </w: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4"/>
                <w:szCs w:val="14"/>
                <w:color w:val="auto"/>
              </w:rPr>
              <w:t>8%</w:t>
            </w:r>
          </w:p>
        </w:tc>
        <w:tc>
          <w:tcPr>
            <w:tcW w:w="10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9%</w:t>
            </w: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520" w:type="dxa"/>
            <w:vAlign w:val="bottom"/>
            <w:tcBorders>
              <w:bottom w:val="single" w:sz="8" w:color="auto"/>
            </w:tcBorders>
          </w:tcPr>
          <w:p>
            <w:pPr>
              <w:spacing w:after="0"/>
              <w:rPr>
                <w:sz w:val="9"/>
                <w:szCs w:val="9"/>
                <w:color w:val="auto"/>
              </w:rPr>
            </w:pPr>
          </w:p>
        </w:tc>
        <w:tc>
          <w:tcPr>
            <w:tcW w:w="126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520" w:type="dxa"/>
            <w:vAlign w:val="bottom"/>
          </w:tcPr>
          <w:p>
            <w:pPr>
              <w:spacing w:after="0"/>
              <w:rPr>
                <w:sz w:val="8"/>
                <w:szCs w:val="8"/>
                <w:color w:val="auto"/>
              </w:rPr>
            </w:pPr>
          </w:p>
        </w:tc>
        <w:tc>
          <w:tcPr>
            <w:tcW w:w="1260" w:type="dxa"/>
            <w:vAlign w:val="bottom"/>
          </w:tcPr>
          <w:p>
            <w:pPr>
              <w:spacing w:after="0"/>
              <w:rPr>
                <w:sz w:val="8"/>
                <w:szCs w:val="8"/>
                <w:color w:val="auto"/>
              </w:rPr>
            </w:pPr>
          </w:p>
        </w:tc>
        <w:tc>
          <w:tcPr>
            <w:tcW w:w="4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Return on average stockholders’ equity, continuing operations</w:t>
            </w:r>
          </w:p>
        </w:tc>
        <w:tc>
          <w:tcPr>
            <w:tcW w:w="12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b w:val="1"/>
                <w:bCs w:val="1"/>
                <w:color w:val="auto"/>
              </w:rPr>
              <w:t>8%</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(31)%</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6%</w:t>
            </w: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9%</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520" w:type="dxa"/>
            <w:vAlign w:val="bottom"/>
            <w:tcBorders>
              <w:bottom w:val="single" w:sz="8" w:color="auto"/>
            </w:tcBorders>
          </w:tcPr>
          <w:p>
            <w:pPr>
              <w:spacing w:after="0"/>
              <w:rPr>
                <w:sz w:val="9"/>
                <w:szCs w:val="9"/>
                <w:color w:val="auto"/>
              </w:rPr>
            </w:pPr>
          </w:p>
        </w:tc>
        <w:tc>
          <w:tcPr>
            <w:tcW w:w="126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520" w:type="dxa"/>
            <w:vAlign w:val="bottom"/>
          </w:tcPr>
          <w:p>
            <w:pPr>
              <w:spacing w:after="0"/>
              <w:rPr>
                <w:sz w:val="8"/>
                <w:szCs w:val="8"/>
                <w:color w:val="auto"/>
              </w:rPr>
            </w:pPr>
          </w:p>
        </w:tc>
        <w:tc>
          <w:tcPr>
            <w:tcW w:w="1260" w:type="dxa"/>
            <w:vAlign w:val="bottom"/>
          </w:tcPr>
          <w:p>
            <w:pPr>
              <w:spacing w:after="0"/>
              <w:rPr>
                <w:sz w:val="8"/>
                <w:szCs w:val="8"/>
                <w:color w:val="auto"/>
              </w:rPr>
            </w:pPr>
          </w:p>
        </w:tc>
        <w:tc>
          <w:tcPr>
            <w:tcW w:w="4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Return on average stockholders’ equity, continuing operations excluding charges</w:t>
            </w:r>
          </w:p>
        </w:tc>
        <w:tc>
          <w:tcPr>
            <w:tcW w:w="12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b w:val="1"/>
                <w:bCs w:val="1"/>
                <w:color w:val="auto"/>
              </w:rPr>
              <w:t>16%</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9%</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10%</w:t>
            </w: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9%</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520" w:type="dxa"/>
            <w:vAlign w:val="bottom"/>
            <w:tcBorders>
              <w:bottom w:val="single" w:sz="8" w:color="auto"/>
            </w:tcBorders>
          </w:tcPr>
          <w:p>
            <w:pPr>
              <w:spacing w:after="0"/>
              <w:rPr>
                <w:sz w:val="9"/>
                <w:szCs w:val="9"/>
                <w:color w:val="auto"/>
              </w:rPr>
            </w:pPr>
          </w:p>
        </w:tc>
        <w:tc>
          <w:tcPr>
            <w:tcW w:w="126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520" w:type="dxa"/>
            <w:vAlign w:val="bottom"/>
          </w:tcPr>
          <w:p>
            <w:pPr>
              <w:spacing w:after="0"/>
              <w:rPr>
                <w:sz w:val="8"/>
                <w:szCs w:val="8"/>
                <w:color w:val="auto"/>
              </w:rPr>
            </w:pPr>
          </w:p>
        </w:tc>
        <w:tc>
          <w:tcPr>
            <w:tcW w:w="1260" w:type="dxa"/>
            <w:vAlign w:val="bottom"/>
          </w:tcPr>
          <w:p>
            <w:pPr>
              <w:spacing w:after="0"/>
              <w:rPr>
                <w:sz w:val="8"/>
                <w:szCs w:val="8"/>
                <w:color w:val="auto"/>
              </w:rPr>
            </w:pPr>
          </w:p>
        </w:tc>
        <w:tc>
          <w:tcPr>
            <w:tcW w:w="4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Fixed asset additions</w:t>
            </w:r>
          </w:p>
        </w:tc>
        <w:tc>
          <w:tcPr>
            <w:tcW w:w="12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1,025</w:t>
            </w:r>
          </w:p>
        </w:tc>
        <w:tc>
          <w:tcPr>
            <w:tcW w:w="340" w:type="dxa"/>
            <w:vAlign w:val="bottom"/>
            <w:shd w:val="clear" w:color="auto" w:fill="CCEEFF"/>
          </w:tcPr>
          <w:p>
            <w:pPr>
              <w:spacing w:after="0"/>
              <w:rPr>
                <w:sz w:val="12"/>
                <w:szCs w:val="12"/>
                <w:color w:val="auto"/>
              </w:rPr>
            </w:pPr>
          </w:p>
        </w:tc>
        <w:tc>
          <w:tcPr>
            <w:tcW w:w="2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1,358</w:t>
            </w:r>
          </w:p>
        </w:tc>
        <w:tc>
          <w:tcPr>
            <w:tcW w:w="360" w:type="dxa"/>
            <w:vAlign w:val="bottom"/>
            <w:shd w:val="clear" w:color="auto" w:fill="CCEEFF"/>
          </w:tcPr>
          <w:p>
            <w:pPr>
              <w:spacing w:after="0"/>
              <w:rPr>
                <w:sz w:val="12"/>
                <w:szCs w:val="12"/>
                <w:color w:val="auto"/>
              </w:rPr>
            </w:pPr>
          </w:p>
        </w:tc>
        <w:tc>
          <w:tcPr>
            <w:tcW w:w="3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2,037</w:t>
            </w: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1,311</w:t>
            </w:r>
          </w:p>
        </w:tc>
        <w:tc>
          <w:tcPr>
            <w:tcW w:w="3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787</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520" w:type="dxa"/>
            <w:vAlign w:val="bottom"/>
            <w:tcBorders>
              <w:bottom w:val="single" w:sz="8" w:color="auto"/>
            </w:tcBorders>
          </w:tcPr>
          <w:p>
            <w:pPr>
              <w:spacing w:after="0"/>
              <w:rPr>
                <w:sz w:val="9"/>
                <w:szCs w:val="9"/>
                <w:color w:val="auto"/>
              </w:rPr>
            </w:pPr>
          </w:p>
        </w:tc>
        <w:tc>
          <w:tcPr>
            <w:tcW w:w="126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520" w:type="dxa"/>
            <w:vAlign w:val="bottom"/>
          </w:tcPr>
          <w:p>
            <w:pPr>
              <w:spacing w:after="0"/>
              <w:rPr>
                <w:sz w:val="8"/>
                <w:szCs w:val="8"/>
                <w:color w:val="auto"/>
              </w:rPr>
            </w:pPr>
          </w:p>
        </w:tc>
        <w:tc>
          <w:tcPr>
            <w:tcW w:w="1260" w:type="dxa"/>
            <w:vAlign w:val="bottom"/>
          </w:tcPr>
          <w:p>
            <w:pPr>
              <w:spacing w:after="0"/>
              <w:rPr>
                <w:sz w:val="8"/>
                <w:szCs w:val="8"/>
                <w:color w:val="auto"/>
              </w:rPr>
            </w:pPr>
          </w:p>
        </w:tc>
        <w:tc>
          <w:tcPr>
            <w:tcW w:w="4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Depreciation expense</w:t>
            </w:r>
          </w:p>
        </w:tc>
        <w:tc>
          <w:tcPr>
            <w:tcW w:w="12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1,200</w:t>
            </w:r>
          </w:p>
        </w:tc>
        <w:tc>
          <w:tcPr>
            <w:tcW w:w="340" w:type="dxa"/>
            <w:vAlign w:val="bottom"/>
            <w:shd w:val="clear" w:color="auto" w:fill="CCEEFF"/>
          </w:tcPr>
          <w:p>
            <w:pPr>
              <w:spacing w:after="0"/>
              <w:rPr>
                <w:sz w:val="12"/>
                <w:szCs w:val="12"/>
                <w:color w:val="auto"/>
              </w:rPr>
            </w:pPr>
          </w:p>
        </w:tc>
        <w:tc>
          <w:tcPr>
            <w:tcW w:w="2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1,245</w:t>
            </w:r>
          </w:p>
        </w:tc>
        <w:tc>
          <w:tcPr>
            <w:tcW w:w="360" w:type="dxa"/>
            <w:vAlign w:val="bottom"/>
            <w:shd w:val="clear" w:color="auto" w:fill="CCEEFF"/>
          </w:tcPr>
          <w:p>
            <w:pPr>
              <w:spacing w:after="0"/>
              <w:rPr>
                <w:sz w:val="12"/>
                <w:szCs w:val="12"/>
                <w:color w:val="auto"/>
              </w:rPr>
            </w:pPr>
          </w:p>
        </w:tc>
        <w:tc>
          <w:tcPr>
            <w:tcW w:w="3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1,172</w:t>
            </w: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930</w:t>
            </w:r>
          </w:p>
        </w:tc>
        <w:tc>
          <w:tcPr>
            <w:tcW w:w="3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917</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520" w:type="dxa"/>
            <w:vAlign w:val="bottom"/>
            <w:tcBorders>
              <w:bottom w:val="single" w:sz="8" w:color="auto"/>
            </w:tcBorders>
          </w:tcPr>
          <w:p>
            <w:pPr>
              <w:spacing w:after="0"/>
              <w:rPr>
                <w:sz w:val="9"/>
                <w:szCs w:val="9"/>
                <w:color w:val="auto"/>
              </w:rPr>
            </w:pPr>
          </w:p>
        </w:tc>
        <w:tc>
          <w:tcPr>
            <w:tcW w:w="126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520" w:type="dxa"/>
            <w:vAlign w:val="bottom"/>
          </w:tcPr>
          <w:p>
            <w:pPr>
              <w:spacing w:after="0"/>
              <w:rPr>
                <w:sz w:val="8"/>
                <w:szCs w:val="8"/>
                <w:color w:val="auto"/>
              </w:rPr>
            </w:pPr>
          </w:p>
        </w:tc>
        <w:tc>
          <w:tcPr>
            <w:tcW w:w="1260" w:type="dxa"/>
            <w:vAlign w:val="bottom"/>
          </w:tcPr>
          <w:p>
            <w:pPr>
              <w:spacing w:after="0"/>
              <w:rPr>
                <w:sz w:val="8"/>
                <w:szCs w:val="8"/>
                <w:color w:val="auto"/>
              </w:rPr>
            </w:pPr>
          </w:p>
        </w:tc>
        <w:tc>
          <w:tcPr>
            <w:tcW w:w="4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Avg. number of shares outstanding:</w:t>
            </w:r>
          </w:p>
        </w:tc>
        <w:tc>
          <w:tcPr>
            <w:tcW w:w="12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520" w:type="dxa"/>
            <w:vAlign w:val="bottom"/>
          </w:tcPr>
          <w:p>
            <w:pPr>
              <w:ind w:left="420"/>
              <w:spacing w:after="0"/>
              <w:rPr>
                <w:sz w:val="20"/>
                <w:szCs w:val="20"/>
                <w:color w:val="auto"/>
              </w:rPr>
            </w:pPr>
            <w:r>
              <w:rPr>
                <w:rFonts w:ascii="Arial" w:cs="Arial" w:eastAsia="Arial" w:hAnsi="Arial"/>
                <w:sz w:val="14"/>
                <w:szCs w:val="14"/>
                <w:color w:val="auto"/>
              </w:rPr>
              <w:t>Basic</w:t>
            </w:r>
          </w:p>
        </w:tc>
        <w:tc>
          <w:tcPr>
            <w:tcW w:w="126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rPr>
              <w:t>584</w:t>
            </w: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579</w:t>
            </w:r>
          </w:p>
        </w:tc>
        <w:tc>
          <w:tcPr>
            <w:tcW w:w="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574</w:t>
            </w: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gridSpan w:val="2"/>
          </w:tcPr>
          <w:p>
            <w:pPr>
              <w:jc w:val="right"/>
              <w:ind w:right="320"/>
              <w:spacing w:after="0"/>
              <w:rPr>
                <w:sz w:val="20"/>
                <w:szCs w:val="20"/>
                <w:color w:val="auto"/>
              </w:rPr>
            </w:pPr>
            <w:r>
              <w:rPr>
                <w:rFonts w:ascii="Arial" w:cs="Arial" w:eastAsia="Arial" w:hAnsi="Arial"/>
                <w:sz w:val="14"/>
                <w:szCs w:val="14"/>
                <w:color w:val="auto"/>
              </w:rPr>
              <w:t>570</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549</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5520" w:type="dxa"/>
            <w:vAlign w:val="bottom"/>
            <w:tcBorders>
              <w:bottom w:val="single" w:sz="8" w:color="auto"/>
            </w:tcBorders>
          </w:tcPr>
          <w:p>
            <w:pPr>
              <w:spacing w:after="0"/>
              <w:rPr>
                <w:sz w:val="7"/>
                <w:szCs w:val="7"/>
                <w:color w:val="auto"/>
              </w:rPr>
            </w:pPr>
          </w:p>
        </w:tc>
        <w:tc>
          <w:tcPr>
            <w:tcW w:w="1260" w:type="dxa"/>
            <w:vAlign w:val="bottom"/>
            <w:tcBorders>
              <w:bottom w:val="single" w:sz="8" w:color="auto"/>
            </w:tcBorders>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3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3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52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32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520" w:type="dxa"/>
            <w:vAlign w:val="bottom"/>
          </w:tcPr>
          <w:p>
            <w:pPr>
              <w:spacing w:after="0"/>
              <w:rPr>
                <w:sz w:val="8"/>
                <w:szCs w:val="8"/>
                <w:color w:val="auto"/>
              </w:rPr>
            </w:pPr>
          </w:p>
        </w:tc>
        <w:tc>
          <w:tcPr>
            <w:tcW w:w="1260" w:type="dxa"/>
            <w:vAlign w:val="bottom"/>
          </w:tcPr>
          <w:p>
            <w:pPr>
              <w:spacing w:after="0"/>
              <w:rPr>
                <w:sz w:val="8"/>
                <w:szCs w:val="8"/>
                <w:color w:val="auto"/>
              </w:rPr>
            </w:pPr>
          </w:p>
        </w:tc>
        <w:tc>
          <w:tcPr>
            <w:tcW w:w="4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Assuming dilution</w:t>
            </w:r>
          </w:p>
        </w:tc>
        <w:tc>
          <w:tcPr>
            <w:tcW w:w="126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586</w:t>
            </w:r>
          </w:p>
        </w:tc>
        <w:tc>
          <w:tcPr>
            <w:tcW w:w="3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579</w:t>
            </w:r>
          </w:p>
        </w:tc>
        <w:tc>
          <w:tcPr>
            <w:tcW w:w="3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580</w:t>
            </w: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580</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564</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520" w:type="dxa"/>
            <w:vAlign w:val="bottom"/>
            <w:tcBorders>
              <w:bottom w:val="single" w:sz="8" w:color="auto"/>
            </w:tcBorders>
          </w:tcPr>
          <w:p>
            <w:pPr>
              <w:spacing w:after="0"/>
              <w:rPr>
                <w:sz w:val="9"/>
                <w:szCs w:val="9"/>
                <w:color w:val="auto"/>
              </w:rPr>
            </w:pPr>
          </w:p>
        </w:tc>
        <w:tc>
          <w:tcPr>
            <w:tcW w:w="126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520" w:type="dxa"/>
            <w:vAlign w:val="bottom"/>
          </w:tcPr>
          <w:p>
            <w:pPr>
              <w:spacing w:after="0"/>
              <w:rPr>
                <w:sz w:val="8"/>
                <w:szCs w:val="8"/>
                <w:color w:val="auto"/>
              </w:rPr>
            </w:pPr>
          </w:p>
        </w:tc>
        <w:tc>
          <w:tcPr>
            <w:tcW w:w="1260" w:type="dxa"/>
            <w:vAlign w:val="bottom"/>
          </w:tcPr>
          <w:p>
            <w:pPr>
              <w:spacing w:after="0"/>
              <w:rPr>
                <w:sz w:val="8"/>
                <w:szCs w:val="8"/>
                <w:color w:val="auto"/>
              </w:rPr>
            </w:pPr>
          </w:p>
        </w:tc>
        <w:tc>
          <w:tcPr>
            <w:tcW w:w="4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ON DECEMBER 31</w:t>
            </w:r>
          </w:p>
        </w:tc>
        <w:tc>
          <w:tcPr>
            <w:tcW w:w="12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5520" w:type="dxa"/>
            <w:vAlign w:val="bottom"/>
          </w:tcPr>
          <w:p>
            <w:pPr>
              <w:spacing w:after="0"/>
              <w:rPr>
                <w:sz w:val="20"/>
                <w:szCs w:val="20"/>
                <w:color w:val="auto"/>
              </w:rPr>
            </w:pPr>
            <w:r>
              <w:rPr>
                <w:rFonts w:ascii="Arial" w:cs="Arial" w:eastAsia="Arial" w:hAnsi="Arial"/>
                <w:sz w:val="14"/>
                <w:szCs w:val="14"/>
                <w:color w:val="auto"/>
              </w:rPr>
              <w:t>Net debt</w:t>
            </w:r>
            <w:r>
              <w:rPr>
                <w:rFonts w:ascii="Arial" w:cs="Arial" w:eastAsia="Arial" w:hAnsi="Arial"/>
                <w:sz w:val="22"/>
                <w:szCs w:val="22"/>
                <w:color w:val="auto"/>
                <w:vertAlign w:val="superscript"/>
              </w:rPr>
              <w:t>7</w:t>
            </w:r>
          </w:p>
        </w:tc>
        <w:tc>
          <w:tcPr>
            <w:tcW w:w="12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74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4"/>
              </w:rPr>
              <w:t>(4,176)</w:t>
            </w:r>
          </w:p>
        </w:tc>
        <w:tc>
          <w:tcPr>
            <w:tcW w:w="28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320"/>
              <w:spacing w:after="0"/>
              <w:rPr>
                <w:sz w:val="20"/>
                <w:szCs w:val="20"/>
                <w:color w:val="auto"/>
              </w:rPr>
            </w:pPr>
            <w:r>
              <w:rPr>
                <w:rFonts w:ascii="Arial" w:cs="Arial" w:eastAsia="Arial" w:hAnsi="Arial"/>
                <w:sz w:val="14"/>
                <w:szCs w:val="14"/>
                <w:color w:val="auto"/>
                <w:w w:val="94"/>
              </w:rPr>
              <w:t>(5,021)</w:t>
            </w:r>
          </w:p>
        </w:tc>
        <w:tc>
          <w:tcPr>
            <w:tcW w:w="30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480"/>
              <w:spacing w:after="0"/>
              <w:rPr>
                <w:sz w:val="20"/>
                <w:szCs w:val="20"/>
                <w:color w:val="auto"/>
              </w:rPr>
            </w:pPr>
            <w:r>
              <w:rPr>
                <w:rFonts w:ascii="Arial" w:cs="Arial" w:eastAsia="Arial" w:hAnsi="Arial"/>
                <w:sz w:val="14"/>
                <w:szCs w:val="14"/>
                <w:color w:val="auto"/>
                <w:w w:val="94"/>
              </w:rPr>
              <w:t>(5,037)</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tcPr>
          <w:p>
            <w:pPr>
              <w:jc w:val="right"/>
              <w:ind w:right="320"/>
              <w:spacing w:after="0"/>
              <w:rPr>
                <w:sz w:val="20"/>
                <w:szCs w:val="20"/>
                <w:color w:val="auto"/>
              </w:rPr>
            </w:pPr>
            <w:r>
              <w:rPr>
                <w:rFonts w:ascii="Arial" w:cs="Arial" w:eastAsia="Arial" w:hAnsi="Arial"/>
                <w:sz w:val="14"/>
                <w:szCs w:val="14"/>
                <w:color w:val="auto"/>
              </w:rPr>
              <w:t>422</w:t>
            </w:r>
          </w:p>
        </w:tc>
        <w:tc>
          <w:tcPr>
            <w:tcW w:w="30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400" w:type="dxa"/>
            <w:vAlign w:val="bottom"/>
          </w:tcPr>
          <w:p>
            <w:pPr>
              <w:jc w:val="right"/>
              <w:spacing w:after="0"/>
              <w:rPr>
                <w:sz w:val="20"/>
                <w:szCs w:val="20"/>
                <w:color w:val="auto"/>
              </w:rPr>
            </w:pPr>
            <w:r>
              <w:rPr>
                <w:rFonts w:ascii="Arial" w:cs="Arial" w:eastAsia="Arial" w:hAnsi="Arial"/>
                <w:sz w:val="14"/>
                <w:szCs w:val="14"/>
                <w:color w:val="auto"/>
              </w:rPr>
              <w:t>1,231</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520" w:type="dxa"/>
            <w:vAlign w:val="bottom"/>
            <w:tcBorders>
              <w:top w:val="single" w:sz="8" w:color="auto"/>
            </w:tcBorders>
          </w:tcPr>
          <w:p>
            <w:pPr>
              <w:spacing w:after="0"/>
              <w:rPr>
                <w:sz w:val="8"/>
                <w:szCs w:val="8"/>
                <w:color w:val="auto"/>
              </w:rPr>
            </w:pPr>
          </w:p>
        </w:tc>
        <w:tc>
          <w:tcPr>
            <w:tcW w:w="1260" w:type="dxa"/>
            <w:vAlign w:val="bottom"/>
            <w:tcBorders>
              <w:top w:val="single" w:sz="8" w:color="auto"/>
            </w:tcBorders>
          </w:tcPr>
          <w:p>
            <w:pPr>
              <w:spacing w:after="0"/>
              <w:rPr>
                <w:sz w:val="8"/>
                <w:szCs w:val="8"/>
                <w:color w:val="auto"/>
              </w:rPr>
            </w:pPr>
          </w:p>
        </w:tc>
        <w:tc>
          <w:tcPr>
            <w:tcW w:w="400" w:type="dxa"/>
            <w:vAlign w:val="bottom"/>
            <w:tcBorders>
              <w:top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400" w:type="dxa"/>
            <w:vAlign w:val="bottom"/>
            <w:tcBorders>
              <w:top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400" w:type="dxa"/>
            <w:vAlign w:val="bottom"/>
            <w:tcBorders>
              <w:top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380" w:type="dxa"/>
            <w:vAlign w:val="bottom"/>
            <w:tcBorders>
              <w:top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40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Working capital</w:t>
            </w:r>
          </w:p>
        </w:tc>
        <w:tc>
          <w:tcPr>
            <w:tcW w:w="12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1,554</w:t>
            </w:r>
          </w:p>
        </w:tc>
        <w:tc>
          <w:tcPr>
            <w:tcW w:w="340" w:type="dxa"/>
            <w:vAlign w:val="bottom"/>
            <w:shd w:val="clear" w:color="auto" w:fill="CCEEFF"/>
          </w:tcPr>
          <w:p>
            <w:pPr>
              <w:spacing w:after="0"/>
              <w:rPr>
                <w:sz w:val="12"/>
                <w:szCs w:val="12"/>
                <w:color w:val="auto"/>
              </w:rPr>
            </w:pPr>
          </w:p>
        </w:tc>
        <w:tc>
          <w:tcPr>
            <w:tcW w:w="2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735</w:t>
            </w:r>
          </w:p>
        </w:tc>
        <w:tc>
          <w:tcPr>
            <w:tcW w:w="360" w:type="dxa"/>
            <w:vAlign w:val="bottom"/>
            <w:shd w:val="clear" w:color="auto" w:fill="CCEEFF"/>
          </w:tcPr>
          <w:p>
            <w:pPr>
              <w:spacing w:after="0"/>
              <w:rPr>
                <w:sz w:val="12"/>
                <w:szCs w:val="12"/>
                <w:color w:val="auto"/>
              </w:rPr>
            </w:pPr>
          </w:p>
        </w:tc>
        <w:tc>
          <w:tcPr>
            <w:tcW w:w="3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1,487</w:t>
            </w: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3,502</w:t>
            </w:r>
          </w:p>
        </w:tc>
        <w:tc>
          <w:tcPr>
            <w:tcW w:w="3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4,787</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520" w:type="dxa"/>
            <w:vAlign w:val="bottom"/>
            <w:tcBorders>
              <w:bottom w:val="single" w:sz="8" w:color="auto"/>
            </w:tcBorders>
          </w:tcPr>
          <w:p>
            <w:pPr>
              <w:spacing w:after="0"/>
              <w:rPr>
                <w:sz w:val="9"/>
                <w:szCs w:val="9"/>
                <w:color w:val="auto"/>
              </w:rPr>
            </w:pPr>
          </w:p>
        </w:tc>
        <w:tc>
          <w:tcPr>
            <w:tcW w:w="126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520" w:type="dxa"/>
            <w:vAlign w:val="bottom"/>
          </w:tcPr>
          <w:p>
            <w:pPr>
              <w:spacing w:after="0"/>
              <w:rPr>
                <w:sz w:val="8"/>
                <w:szCs w:val="8"/>
                <w:color w:val="auto"/>
              </w:rPr>
            </w:pPr>
          </w:p>
        </w:tc>
        <w:tc>
          <w:tcPr>
            <w:tcW w:w="1260" w:type="dxa"/>
            <w:vAlign w:val="bottom"/>
          </w:tcPr>
          <w:p>
            <w:pPr>
              <w:spacing w:after="0"/>
              <w:rPr>
                <w:sz w:val="8"/>
                <w:szCs w:val="8"/>
                <w:color w:val="auto"/>
              </w:rPr>
            </w:pPr>
          </w:p>
        </w:tc>
        <w:tc>
          <w:tcPr>
            <w:tcW w:w="4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assets</w:t>
            </w:r>
          </w:p>
        </w:tc>
        <w:tc>
          <w:tcPr>
            <w:tcW w:w="12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88"/>
              </w:rPr>
              <w:t>20,041</w:t>
            </w:r>
          </w:p>
        </w:tc>
        <w:tc>
          <w:tcPr>
            <w:tcW w:w="340" w:type="dxa"/>
            <w:vAlign w:val="bottom"/>
            <w:shd w:val="clear" w:color="auto" w:fill="CCEEFF"/>
          </w:tcPr>
          <w:p>
            <w:pPr>
              <w:spacing w:after="0"/>
              <w:rPr>
                <w:sz w:val="12"/>
                <w:szCs w:val="12"/>
                <w:color w:val="auto"/>
              </w:rPr>
            </w:pPr>
          </w:p>
        </w:tc>
        <w:tc>
          <w:tcPr>
            <w:tcW w:w="2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8"/>
              </w:rPr>
              <w:t>19,435</w:t>
            </w:r>
          </w:p>
        </w:tc>
        <w:tc>
          <w:tcPr>
            <w:tcW w:w="360" w:type="dxa"/>
            <w:vAlign w:val="bottom"/>
            <w:shd w:val="clear" w:color="auto" w:fill="CCEEFF"/>
          </w:tcPr>
          <w:p>
            <w:pPr>
              <w:spacing w:after="0"/>
              <w:rPr>
                <w:sz w:val="12"/>
                <w:szCs w:val="12"/>
                <w:color w:val="auto"/>
              </w:rPr>
            </w:pPr>
          </w:p>
        </w:tc>
        <w:tc>
          <w:tcPr>
            <w:tcW w:w="3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8"/>
              </w:rPr>
              <w:t>22,326</w:t>
            </w: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w w:val="83"/>
              </w:rPr>
              <w:t>17,173</w:t>
            </w:r>
          </w:p>
        </w:tc>
        <w:tc>
          <w:tcPr>
            <w:tcW w:w="3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8"/>
              </w:rPr>
              <w:t>15,081</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520" w:type="dxa"/>
            <w:vAlign w:val="bottom"/>
            <w:tcBorders>
              <w:bottom w:val="single" w:sz="8" w:color="auto"/>
            </w:tcBorders>
          </w:tcPr>
          <w:p>
            <w:pPr>
              <w:spacing w:after="0"/>
              <w:rPr>
                <w:sz w:val="9"/>
                <w:szCs w:val="9"/>
                <w:color w:val="auto"/>
              </w:rPr>
            </w:pPr>
          </w:p>
        </w:tc>
        <w:tc>
          <w:tcPr>
            <w:tcW w:w="126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520" w:type="dxa"/>
            <w:vAlign w:val="bottom"/>
          </w:tcPr>
          <w:p>
            <w:pPr>
              <w:spacing w:after="0"/>
              <w:rPr>
                <w:sz w:val="8"/>
                <w:szCs w:val="8"/>
                <w:color w:val="auto"/>
              </w:rPr>
            </w:pPr>
          </w:p>
        </w:tc>
        <w:tc>
          <w:tcPr>
            <w:tcW w:w="1260" w:type="dxa"/>
            <w:vAlign w:val="bottom"/>
          </w:tcPr>
          <w:p>
            <w:pPr>
              <w:spacing w:after="0"/>
              <w:rPr>
                <w:sz w:val="8"/>
                <w:szCs w:val="8"/>
                <w:color w:val="auto"/>
              </w:rPr>
            </w:pPr>
          </w:p>
        </w:tc>
        <w:tc>
          <w:tcPr>
            <w:tcW w:w="4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Long-term debt</w:t>
            </w:r>
          </w:p>
        </w:tc>
        <w:tc>
          <w:tcPr>
            <w:tcW w:w="12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6,097</w:t>
            </w:r>
          </w:p>
        </w:tc>
        <w:tc>
          <w:tcPr>
            <w:tcW w:w="340" w:type="dxa"/>
            <w:vAlign w:val="bottom"/>
            <w:shd w:val="clear" w:color="auto" w:fill="CCEEFF"/>
          </w:tcPr>
          <w:p>
            <w:pPr>
              <w:spacing w:after="0"/>
              <w:rPr>
                <w:sz w:val="12"/>
                <w:szCs w:val="12"/>
                <w:color w:val="auto"/>
              </w:rPr>
            </w:pPr>
          </w:p>
        </w:tc>
        <w:tc>
          <w:tcPr>
            <w:tcW w:w="2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6,029</w:t>
            </w:r>
          </w:p>
        </w:tc>
        <w:tc>
          <w:tcPr>
            <w:tcW w:w="360" w:type="dxa"/>
            <w:vAlign w:val="bottom"/>
            <w:shd w:val="clear" w:color="auto" w:fill="CCEEFF"/>
          </w:tcPr>
          <w:p>
            <w:pPr>
              <w:spacing w:after="0"/>
              <w:rPr>
                <w:sz w:val="12"/>
                <w:szCs w:val="12"/>
                <w:color w:val="auto"/>
              </w:rPr>
            </w:pPr>
          </w:p>
        </w:tc>
        <w:tc>
          <w:tcPr>
            <w:tcW w:w="3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6,216</w:t>
            </w: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3,573</w:t>
            </w:r>
          </w:p>
        </w:tc>
        <w:tc>
          <w:tcPr>
            <w:tcW w:w="3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3,183</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520" w:type="dxa"/>
            <w:vAlign w:val="bottom"/>
            <w:tcBorders>
              <w:bottom w:val="single" w:sz="8" w:color="auto"/>
            </w:tcBorders>
          </w:tcPr>
          <w:p>
            <w:pPr>
              <w:spacing w:after="0"/>
              <w:rPr>
                <w:sz w:val="9"/>
                <w:szCs w:val="9"/>
                <w:color w:val="auto"/>
              </w:rPr>
            </w:pPr>
          </w:p>
        </w:tc>
        <w:tc>
          <w:tcPr>
            <w:tcW w:w="126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520" w:type="dxa"/>
            <w:vAlign w:val="bottom"/>
          </w:tcPr>
          <w:p>
            <w:pPr>
              <w:spacing w:after="0"/>
              <w:rPr>
                <w:sz w:val="8"/>
                <w:szCs w:val="8"/>
                <w:color w:val="auto"/>
              </w:rPr>
            </w:pPr>
          </w:p>
        </w:tc>
        <w:tc>
          <w:tcPr>
            <w:tcW w:w="1260" w:type="dxa"/>
            <w:vAlign w:val="bottom"/>
          </w:tcPr>
          <w:p>
            <w:pPr>
              <w:spacing w:after="0"/>
              <w:rPr>
                <w:sz w:val="8"/>
                <w:szCs w:val="8"/>
                <w:color w:val="auto"/>
              </w:rPr>
            </w:pPr>
          </w:p>
        </w:tc>
        <w:tc>
          <w:tcPr>
            <w:tcW w:w="4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Stockholders’ equity</w:t>
            </w:r>
          </w:p>
        </w:tc>
        <w:tc>
          <w:tcPr>
            <w:tcW w:w="12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5,881</w:t>
            </w:r>
          </w:p>
        </w:tc>
        <w:tc>
          <w:tcPr>
            <w:tcW w:w="340" w:type="dxa"/>
            <w:vAlign w:val="bottom"/>
            <w:shd w:val="clear" w:color="auto" w:fill="CCEEFF"/>
          </w:tcPr>
          <w:p>
            <w:pPr>
              <w:spacing w:after="0"/>
              <w:rPr>
                <w:sz w:val="12"/>
                <w:szCs w:val="12"/>
                <w:color w:val="auto"/>
              </w:rPr>
            </w:pPr>
          </w:p>
        </w:tc>
        <w:tc>
          <w:tcPr>
            <w:tcW w:w="2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5,606</w:t>
            </w:r>
          </w:p>
        </w:tc>
        <w:tc>
          <w:tcPr>
            <w:tcW w:w="360" w:type="dxa"/>
            <w:vAlign w:val="bottom"/>
            <w:shd w:val="clear" w:color="auto" w:fill="CCEEFF"/>
          </w:tcPr>
          <w:p>
            <w:pPr>
              <w:spacing w:after="0"/>
              <w:rPr>
                <w:sz w:val="12"/>
                <w:szCs w:val="12"/>
                <w:color w:val="auto"/>
              </w:rPr>
            </w:pPr>
          </w:p>
        </w:tc>
        <w:tc>
          <w:tcPr>
            <w:tcW w:w="3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8,378</w:t>
            </w: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8,295</w:t>
            </w:r>
          </w:p>
        </w:tc>
        <w:tc>
          <w:tcPr>
            <w:tcW w:w="3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7,721</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520" w:type="dxa"/>
            <w:vAlign w:val="bottom"/>
            <w:tcBorders>
              <w:bottom w:val="single" w:sz="8" w:color="auto"/>
            </w:tcBorders>
          </w:tcPr>
          <w:p>
            <w:pPr>
              <w:spacing w:after="0"/>
              <w:rPr>
                <w:sz w:val="9"/>
                <w:szCs w:val="9"/>
                <w:color w:val="auto"/>
              </w:rPr>
            </w:pPr>
          </w:p>
        </w:tc>
        <w:tc>
          <w:tcPr>
            <w:tcW w:w="126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520" w:type="dxa"/>
            <w:vAlign w:val="bottom"/>
          </w:tcPr>
          <w:p>
            <w:pPr>
              <w:spacing w:after="0"/>
              <w:rPr>
                <w:sz w:val="8"/>
                <w:szCs w:val="8"/>
                <w:color w:val="auto"/>
              </w:rPr>
            </w:pPr>
          </w:p>
        </w:tc>
        <w:tc>
          <w:tcPr>
            <w:tcW w:w="1260" w:type="dxa"/>
            <w:vAlign w:val="bottom"/>
          </w:tcPr>
          <w:p>
            <w:pPr>
              <w:spacing w:after="0"/>
              <w:rPr>
                <w:sz w:val="8"/>
                <w:szCs w:val="8"/>
                <w:color w:val="auto"/>
              </w:rPr>
            </w:pPr>
          </w:p>
        </w:tc>
        <w:tc>
          <w:tcPr>
            <w:tcW w:w="4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Number of employees continuing operations</w:t>
            </w:r>
          </w:p>
        </w:tc>
        <w:tc>
          <w:tcPr>
            <w:tcW w:w="126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88"/>
              </w:rPr>
              <w:t>77,000</w:t>
            </w:r>
          </w:p>
        </w:tc>
        <w:tc>
          <w:tcPr>
            <w:tcW w:w="3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8"/>
              </w:rPr>
              <w:t>77,500</w:t>
            </w:r>
          </w:p>
        </w:tc>
        <w:tc>
          <w:tcPr>
            <w:tcW w:w="3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8"/>
              </w:rPr>
              <w:t>79,000</w:t>
            </w: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w w:val="83"/>
              </w:rPr>
              <w:t>58,000</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8"/>
              </w:rPr>
              <w:t>53,000</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520" w:type="dxa"/>
            <w:vAlign w:val="bottom"/>
            <w:tcBorders>
              <w:bottom w:val="single" w:sz="8" w:color="auto"/>
            </w:tcBorders>
          </w:tcPr>
          <w:p>
            <w:pPr>
              <w:spacing w:after="0"/>
              <w:rPr>
                <w:sz w:val="9"/>
                <w:szCs w:val="9"/>
                <w:color w:val="auto"/>
              </w:rPr>
            </w:pPr>
          </w:p>
        </w:tc>
        <w:tc>
          <w:tcPr>
            <w:tcW w:w="126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64" w:lineRule="exact"/>
        <w:rPr>
          <w:sz w:val="20"/>
          <w:szCs w:val="20"/>
          <w:color w:val="auto"/>
        </w:rPr>
      </w:pPr>
    </w:p>
    <w:p>
      <w:pPr>
        <w:ind w:left="340" w:hanging="332"/>
        <w:spacing w:after="0"/>
        <w:tabs>
          <w:tab w:leader="none" w:pos="340" w:val="left"/>
        </w:tabs>
        <w:numPr>
          <w:ilvl w:val="0"/>
          <w:numId w:val="9"/>
        </w:numPr>
        <w:rPr>
          <w:rFonts w:ascii="Arial" w:cs="Arial" w:eastAsia="Arial" w:hAnsi="Arial"/>
          <w:sz w:val="14"/>
          <w:szCs w:val="14"/>
          <w:color w:val="auto"/>
        </w:rPr>
      </w:pPr>
      <w:r>
        <w:rPr>
          <w:rFonts w:ascii="Arial" w:cs="Arial" w:eastAsia="Arial" w:hAnsi="Arial"/>
          <w:sz w:val="14"/>
          <w:szCs w:val="14"/>
          <w:color w:val="auto"/>
        </w:rPr>
        <w:t>Reclassified, in part, for organization changes and discontinued operations.</w:t>
      </w:r>
    </w:p>
    <w:p>
      <w:pPr>
        <w:ind w:left="360" w:hanging="352"/>
        <w:spacing w:after="0" w:line="221" w:lineRule="auto"/>
        <w:tabs>
          <w:tab w:leader="none" w:pos="360" w:val="left"/>
        </w:tabs>
        <w:numPr>
          <w:ilvl w:val="0"/>
          <w:numId w:val="9"/>
        </w:numPr>
        <w:rPr>
          <w:rFonts w:ascii="Arial" w:cs="Arial" w:eastAsia="Arial" w:hAnsi="Arial"/>
          <w:sz w:val="14"/>
          <w:szCs w:val="14"/>
          <w:color w:val="auto"/>
        </w:rPr>
      </w:pPr>
      <w:r>
        <w:rPr>
          <w:rFonts w:ascii="Arial" w:cs="Arial" w:eastAsia="Arial" w:hAnsi="Arial"/>
          <w:sz w:val="14"/>
          <w:szCs w:val="14"/>
          <w:color w:val="auto"/>
        </w:rPr>
        <w:t>Acquired on April 1, 2001 and divested on January 29, 2004.</w:t>
      </w:r>
    </w:p>
    <w:p>
      <w:pPr>
        <w:ind w:left="260" w:right="540" w:hanging="252"/>
        <w:spacing w:after="0" w:line="221" w:lineRule="auto"/>
        <w:tabs>
          <w:tab w:leader="none" w:pos="260" w:val="left"/>
        </w:tabs>
        <w:numPr>
          <w:ilvl w:val="0"/>
          <w:numId w:val="9"/>
        </w:numPr>
        <w:rPr>
          <w:rFonts w:ascii="Arial" w:cs="Arial" w:eastAsia="Arial" w:hAnsi="Arial"/>
          <w:sz w:val="14"/>
          <w:szCs w:val="14"/>
          <w:color w:val="auto"/>
        </w:rPr>
      </w:pPr>
      <w:r>
        <w:rPr>
          <w:rFonts w:ascii="Arial" w:cs="Arial" w:eastAsia="Arial" w:hAnsi="Arial"/>
          <w:sz w:val="14"/>
          <w:szCs w:val="14"/>
          <w:color w:val="auto"/>
        </w:rPr>
        <w:t>Includes the Axalto (Smart Cards and Point-of-Sale Terminals), Electricity Meters, Business Continuity, Infodata, Telecom Software Products, Water Services, Essentis, Payphones and the divested Resource Management Services (sold in 2001) businesses.</w:t>
      </w:r>
    </w:p>
    <w:p>
      <w:pPr>
        <w:ind w:left="340" w:hanging="332"/>
        <w:spacing w:after="0" w:line="221" w:lineRule="auto"/>
        <w:tabs>
          <w:tab w:leader="none" w:pos="340" w:val="left"/>
        </w:tabs>
        <w:numPr>
          <w:ilvl w:val="0"/>
          <w:numId w:val="9"/>
        </w:numPr>
        <w:rPr>
          <w:rFonts w:ascii="Arial" w:cs="Arial" w:eastAsia="Arial" w:hAnsi="Arial"/>
          <w:sz w:val="14"/>
          <w:szCs w:val="14"/>
          <w:color w:val="auto"/>
        </w:rPr>
      </w:pPr>
      <w:r>
        <w:rPr>
          <w:rFonts w:ascii="Arial" w:cs="Arial" w:eastAsia="Arial" w:hAnsi="Arial"/>
          <w:sz w:val="14"/>
          <w:szCs w:val="14"/>
          <w:color w:val="auto"/>
        </w:rPr>
        <w:t>Includes amortization of goodwill and other acquisition related intangibles.</w:t>
      </w:r>
    </w:p>
    <w:p>
      <w:pPr>
        <w:ind w:left="360" w:hanging="352"/>
        <w:spacing w:after="0" w:line="221" w:lineRule="auto"/>
        <w:tabs>
          <w:tab w:leader="none" w:pos="360" w:val="left"/>
        </w:tabs>
        <w:numPr>
          <w:ilvl w:val="0"/>
          <w:numId w:val="9"/>
        </w:numPr>
        <w:rPr>
          <w:rFonts w:ascii="Arial" w:cs="Arial" w:eastAsia="Arial" w:hAnsi="Arial"/>
          <w:sz w:val="14"/>
          <w:szCs w:val="14"/>
          <w:color w:val="auto"/>
        </w:rPr>
      </w:pPr>
      <w:r>
        <w:rPr>
          <w:rFonts w:ascii="Arial" w:cs="Arial" w:eastAsia="Arial" w:hAnsi="Arial"/>
          <w:sz w:val="14"/>
          <w:szCs w:val="14"/>
          <w:color w:val="auto"/>
        </w:rPr>
        <w:t>For details of Charges, see pages 25 and 26 of this Report.</w:t>
      </w:r>
    </w:p>
    <w:p>
      <w:pPr>
        <w:ind w:left="260" w:hanging="252"/>
        <w:spacing w:after="0" w:line="258" w:lineRule="auto"/>
        <w:tabs>
          <w:tab w:leader="none" w:pos="260" w:val="left"/>
        </w:tabs>
        <w:numPr>
          <w:ilvl w:val="0"/>
          <w:numId w:val="9"/>
        </w:numPr>
        <w:rPr>
          <w:rFonts w:ascii="Arial" w:cs="Arial" w:eastAsia="Arial" w:hAnsi="Arial"/>
          <w:sz w:val="12"/>
          <w:szCs w:val="12"/>
          <w:color w:val="auto"/>
        </w:rPr>
      </w:pPr>
      <w:r>
        <w:rPr>
          <w:rFonts w:ascii="Arial" w:cs="Arial" w:eastAsia="Arial" w:hAnsi="Arial"/>
          <w:sz w:val="12"/>
          <w:szCs w:val="12"/>
          <w:color w:val="auto"/>
        </w:rPr>
        <w:t>In 2003, the provision for income tax before the tax benefit on the charges was $303 million. In 2002, the provision for income tax before the net tax expense on the charges was $249 million. In 2001, the provision for income taxes, before the tax expense on the charges was $401 million. In 2000, the provision for income taxes, before the tax benefit on the charges was $212 million. In 1999, the provision for income taxes, before the tax benefit on the charge and the tax expense on the gain on the sale of financial instruments, was $123 million.</w:t>
      </w:r>
    </w:p>
    <w:p>
      <w:pPr>
        <w:ind w:left="440" w:hanging="432"/>
        <w:spacing w:after="0" w:line="221" w:lineRule="auto"/>
        <w:tabs>
          <w:tab w:leader="none" w:pos="440" w:val="left"/>
        </w:tabs>
        <w:numPr>
          <w:ilvl w:val="0"/>
          <w:numId w:val="9"/>
        </w:numPr>
        <w:rPr>
          <w:rFonts w:ascii="Arial" w:cs="Arial" w:eastAsia="Arial" w:hAnsi="Arial"/>
          <w:sz w:val="14"/>
          <w:szCs w:val="14"/>
          <w:color w:val="auto"/>
        </w:rPr>
      </w:pPr>
      <w:r>
        <w:rPr>
          <w:rFonts w:ascii="Arial" w:cs="Arial" w:eastAsia="Arial" w:hAnsi="Arial"/>
          <w:sz w:val="14"/>
          <w:szCs w:val="14"/>
          <w:color w:val="auto"/>
        </w:rPr>
        <w:t>As defined on page 29 of this Report.</w:t>
      </w:r>
    </w:p>
    <w:p>
      <w:pPr>
        <w:ind w:left="260" w:right="180" w:hanging="252"/>
        <w:spacing w:after="0" w:line="225" w:lineRule="auto"/>
        <w:tabs>
          <w:tab w:leader="none" w:pos="260" w:val="left"/>
        </w:tabs>
        <w:numPr>
          <w:ilvl w:val="0"/>
          <w:numId w:val="9"/>
        </w:numPr>
        <w:rPr>
          <w:rFonts w:ascii="Arial" w:cs="Arial" w:eastAsia="Arial" w:hAnsi="Arial"/>
          <w:sz w:val="14"/>
          <w:szCs w:val="14"/>
          <w:color w:val="auto"/>
        </w:rPr>
      </w:pPr>
      <w:r>
        <w:rPr>
          <w:rFonts w:ascii="Arial" w:cs="Arial" w:eastAsia="Arial" w:hAnsi="Arial"/>
          <w:sz w:val="14"/>
          <w:szCs w:val="14"/>
          <w:color w:val="auto"/>
        </w:rPr>
        <w:t>Return on capital employed, continuing operations is computed as: [Net income from continuing operations excluding charges + Minority interest + Interest expense – Interest income – Tax benefit on interest expense] divided by [Shareholders’ equity + Net debt + Minority interest]. The charges excluded were 2003 – $440 million; 2002 – $3.11 billion; 2001 – $297 million; 2000 – $3 million; 1999 – $128 million. Schlumberger management believes that the exclusion of these charges, which results in a non-GAAP measure, enables it to evaluate more effectively the company’s operations, period over period, and to identify operating trends that could otherwise be masked by the excluded charges.</w:t>
      </w:r>
    </w:p>
    <w:p>
      <w:pPr>
        <w:spacing w:after="0" w:line="127" w:lineRule="exact"/>
        <w:rPr>
          <w:sz w:val="20"/>
          <w:szCs w:val="20"/>
          <w:color w:val="auto"/>
        </w:rPr>
      </w:pPr>
    </w:p>
    <w:p>
      <w:pPr>
        <w:spacing w:after="0"/>
        <w:tabs>
          <w:tab w:leader="none" w:pos="10400" w:val="left"/>
        </w:tabs>
        <w:rPr>
          <w:sz w:val="20"/>
          <w:szCs w:val="20"/>
          <w:color w:val="auto"/>
        </w:rPr>
      </w:pPr>
      <w:r>
        <w:rPr>
          <w:rFonts w:ascii="Arial" w:cs="Arial" w:eastAsia="Arial" w:hAnsi="Arial"/>
          <w:sz w:val="14"/>
          <w:szCs w:val="14"/>
          <w:color w:val="auto"/>
        </w:rPr>
        <w:t>12 / SLB</w:t>
      </w:r>
      <w:r>
        <w:rPr>
          <w:sz w:val="20"/>
          <w:szCs w:val="20"/>
          <w:color w:val="auto"/>
        </w:rPr>
        <w:tab/>
      </w:r>
      <w:r>
        <w:rPr>
          <w:rFonts w:ascii="Arial" w:cs="Arial" w:eastAsia="Arial" w:hAnsi="Arial"/>
          <w:sz w:val="12"/>
          <w:szCs w:val="12"/>
          <w:color w:val="auto"/>
        </w:rPr>
        <w:t>2003 FORM 10-K</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4"/>
          <w:szCs w:val="14"/>
          <w:color w:val="auto"/>
        </w:rPr>
        <w:t>Part II, Item 7</w:t>
      </w:r>
    </w:p>
    <w:p>
      <w:pPr>
        <w:spacing w:after="0" w:line="128" w:lineRule="exact"/>
        <w:rPr>
          <w:sz w:val="20"/>
          <w:szCs w:val="20"/>
          <w:color w:val="auto"/>
        </w:rPr>
      </w:pPr>
    </w:p>
    <w:p>
      <w:pPr>
        <w:ind w:right="3260"/>
        <w:spacing w:after="0" w:line="366" w:lineRule="auto"/>
        <w:rPr>
          <w:sz w:val="20"/>
          <w:szCs w:val="20"/>
          <w:color w:val="auto"/>
        </w:rPr>
      </w:pPr>
      <w:r>
        <w:rPr>
          <w:rFonts w:ascii="Arial" w:cs="Arial" w:eastAsia="Arial" w:hAnsi="Arial"/>
          <w:sz w:val="18"/>
          <w:szCs w:val="18"/>
          <w:b w:val="1"/>
          <w:bCs w:val="1"/>
          <w:color w:val="auto"/>
        </w:rPr>
        <w:t>Item 7 Management’s Discussion and Analysis of Financial Condition and Results of Operations 2003 Summary</w:t>
      </w:r>
    </w:p>
    <w:p>
      <w:pPr>
        <w:ind w:right="200"/>
        <w:spacing w:after="0" w:line="283" w:lineRule="auto"/>
        <w:rPr>
          <w:sz w:val="20"/>
          <w:szCs w:val="20"/>
          <w:color w:val="auto"/>
        </w:rPr>
      </w:pPr>
      <w:r>
        <w:rPr>
          <w:rFonts w:ascii="Arial" w:cs="Arial" w:eastAsia="Arial" w:hAnsi="Arial"/>
          <w:sz w:val="16"/>
          <w:szCs w:val="16"/>
          <w:color w:val="auto"/>
        </w:rPr>
        <w:t>The year 2003 marked a watershed for Schlumberger as we took the decision to focus on our core businesses in oilfield services. Our reasoning was simple. World energy needs for much of the next half-century will be met mostly by carbon-based fuels produced from an aging reserves base. Substantial investment will be needed to sustain today’s production as well as to meet tomorrow’s demand, and technology will be the key to a cleaner, more cost-effective response to this challenge. We therefore believe the future for Schlumberger is exceptionally bright.</w:t>
      </w:r>
    </w:p>
    <w:p>
      <w:pPr>
        <w:spacing w:after="0" w:line="3" w:lineRule="exact"/>
        <w:rPr>
          <w:sz w:val="20"/>
          <w:szCs w:val="20"/>
          <w:color w:val="auto"/>
        </w:rPr>
      </w:pPr>
    </w:p>
    <w:p>
      <w:pPr>
        <w:ind w:right="80" w:firstLine="228"/>
        <w:spacing w:after="0" w:line="281" w:lineRule="auto"/>
        <w:rPr>
          <w:sz w:val="20"/>
          <w:szCs w:val="20"/>
          <w:color w:val="auto"/>
        </w:rPr>
      </w:pPr>
      <w:r>
        <w:rPr>
          <w:rFonts w:ascii="Arial" w:cs="Arial" w:eastAsia="Arial" w:hAnsi="Arial"/>
          <w:sz w:val="16"/>
          <w:szCs w:val="16"/>
          <w:color w:val="auto"/>
        </w:rPr>
        <w:t>The year’s results for Oilfield Services were robust, with growth in all regions. Among the GeoMarket regions, activity was strongest in Mexico, Indonesia, India, the Caspian, and on land in the United States. Most technology segments registered double-digit gains, with records achieved by Drilling &amp; Measurements and Data &amp; Consulting Services. Much of the technology that saw increasing market penetration was associated with boosting performance in mature fields, or “brownfields”, to stem declining production. Rotary steerable systems to accurately place well trajectories to tap bypassed hydrocarbon pockets and a range of cased-hole wireline evaluation tools to analyze such zones were two particular successes.</w:t>
      </w:r>
    </w:p>
    <w:p>
      <w:pPr>
        <w:spacing w:after="0" w:line="3" w:lineRule="exact"/>
        <w:rPr>
          <w:sz w:val="20"/>
          <w:szCs w:val="20"/>
          <w:color w:val="auto"/>
        </w:rPr>
      </w:pPr>
    </w:p>
    <w:p>
      <w:pPr>
        <w:ind w:right="220" w:firstLine="228"/>
        <w:spacing w:after="0" w:line="281" w:lineRule="auto"/>
        <w:rPr>
          <w:sz w:val="20"/>
          <w:szCs w:val="20"/>
          <w:color w:val="auto"/>
        </w:rPr>
      </w:pPr>
      <w:r>
        <w:rPr>
          <w:rFonts w:ascii="Arial" w:cs="Arial" w:eastAsia="Arial" w:hAnsi="Arial"/>
          <w:sz w:val="16"/>
          <w:szCs w:val="16"/>
          <w:color w:val="auto"/>
        </w:rPr>
        <w:t>A number of technical and business highlights marked the year. Integrated Project Management (IPM) continued to grow, particularly in Mexico, where our history of successful projects led to the award of the Chicontepec contract, the most significant oil development project in Mexico in the last 20 years. In Malaysia, we signed a contract with PETRONAS Carigali Sdn. Bhd. to jointly redevelop the Bokor field that began production in the 1980s. This field, comprising more than 165 stacked sands and over 100 producing strings, has been modeled using the latest techniques and the redevelopment plan involves multiple technology segments. Such projects underline the value of our unique GeoMarket organization.</w:t>
      </w:r>
    </w:p>
    <w:p>
      <w:pPr>
        <w:spacing w:after="0" w:line="3" w:lineRule="exact"/>
        <w:rPr>
          <w:sz w:val="20"/>
          <w:szCs w:val="20"/>
          <w:color w:val="auto"/>
        </w:rPr>
      </w:pPr>
    </w:p>
    <w:p>
      <w:pPr>
        <w:ind w:right="80" w:firstLine="228"/>
        <w:spacing w:after="0" w:line="250" w:lineRule="auto"/>
        <w:rPr>
          <w:sz w:val="20"/>
          <w:szCs w:val="20"/>
          <w:color w:val="auto"/>
        </w:rPr>
      </w:pPr>
      <w:r>
        <w:rPr>
          <w:rFonts w:ascii="Arial" w:cs="Arial" w:eastAsia="Arial" w:hAnsi="Arial"/>
          <w:sz w:val="18"/>
          <w:szCs w:val="18"/>
          <w:color w:val="auto"/>
        </w:rPr>
        <w:t>In December we announced a phased agreement to acquire PetroAlliance, Russia’s largest independent oilfield service company, beginning with a minority share in 2004. PetroAlliance was formed in 1995 to provide a broad range of exploration and development services to international standards. The size and scope of activity in Russia is huge, and this type of investment will benefit Schlumberger and the Russian oil industry as that industry seeks access to technology to be applied to its particular needs for continued growth.</w:t>
      </w:r>
    </w:p>
    <w:p>
      <w:pPr>
        <w:spacing w:after="0" w:line="2" w:lineRule="exact"/>
        <w:rPr>
          <w:sz w:val="20"/>
          <w:szCs w:val="20"/>
          <w:color w:val="auto"/>
        </w:rPr>
      </w:pPr>
    </w:p>
    <w:p>
      <w:pPr>
        <w:ind w:right="140" w:firstLine="228"/>
        <w:spacing w:after="0" w:line="250" w:lineRule="auto"/>
        <w:rPr>
          <w:sz w:val="20"/>
          <w:szCs w:val="20"/>
          <w:color w:val="auto"/>
        </w:rPr>
      </w:pPr>
      <w:r>
        <w:rPr>
          <w:rFonts w:ascii="Arial" w:cs="Arial" w:eastAsia="Arial" w:hAnsi="Arial"/>
          <w:sz w:val="18"/>
          <w:szCs w:val="18"/>
          <w:color w:val="auto"/>
        </w:rPr>
        <w:t>Perhaps the most difficult challenge we set for ourselves early in 2003 was to return WesternGeco to sustainable profitability. Continued overcapacity in both the land and marine and multiclient data markets made this a daunting task. Our approach has been threefold: to bring capacity and cost down to appropriate levels, to reflect a proper carrying value for the data library, and to continue the aggressive introduction of proprietary Q* technology, for which the market has continued to grow rapidly.</w:t>
      </w:r>
    </w:p>
    <w:p>
      <w:pPr>
        <w:spacing w:after="0" w:line="2" w:lineRule="exact"/>
        <w:rPr>
          <w:sz w:val="20"/>
          <w:szCs w:val="20"/>
          <w:color w:val="auto"/>
        </w:rPr>
      </w:pPr>
    </w:p>
    <w:p>
      <w:pPr>
        <w:ind w:right="20" w:firstLine="228"/>
        <w:spacing w:after="0" w:line="250" w:lineRule="auto"/>
        <w:rPr>
          <w:sz w:val="20"/>
          <w:szCs w:val="20"/>
          <w:color w:val="auto"/>
        </w:rPr>
      </w:pPr>
      <w:r>
        <w:rPr>
          <w:rFonts w:ascii="Arial" w:cs="Arial" w:eastAsia="Arial" w:hAnsi="Arial"/>
          <w:sz w:val="18"/>
          <w:szCs w:val="18"/>
          <w:color w:val="auto"/>
        </w:rPr>
        <w:t>Last summer we acquired the first marine time-lapse Q survey for Statoil, 200 km from the western coast of Norway. Twenty-one months had elapsed between the two surveys. Initial results, produced only 11 days after acquisition, enabled Statoil to revise plans for a new well and drill a shallower trajectory to remain clear of the oil/water contact. The well was a success and is producing without making water. The reliability and extremely high repeatability of Q-Marine* technology were considered critical to achieving this result. In other applications, a Q system was commissioned in the Middle East late in the year and Q-Seabed* underwent highly successful trials in both the North Sea and Middle East.</w:t>
      </w:r>
    </w:p>
    <w:p>
      <w:pPr>
        <w:spacing w:after="0" w:line="2" w:lineRule="exact"/>
        <w:rPr>
          <w:sz w:val="20"/>
          <w:szCs w:val="20"/>
          <w:color w:val="auto"/>
        </w:rPr>
      </w:pPr>
    </w:p>
    <w:p>
      <w:pPr>
        <w:ind w:right="140" w:firstLine="228"/>
        <w:spacing w:after="0" w:line="292" w:lineRule="auto"/>
        <w:rPr>
          <w:sz w:val="20"/>
          <w:szCs w:val="20"/>
          <w:color w:val="auto"/>
        </w:rPr>
      </w:pPr>
      <w:r>
        <w:rPr>
          <w:rFonts w:ascii="Arial" w:cs="Arial" w:eastAsia="Arial" w:hAnsi="Arial"/>
          <w:sz w:val="16"/>
          <w:szCs w:val="16"/>
          <w:color w:val="auto"/>
        </w:rPr>
        <w:t>In defining the business activities sold with SchlumbergerSema, we maintained our commitment to the growing activity in oil and gas IT solutions. The natural fusion of the Schlumberger software and information management activities with the SchlumbergerSema oil &amp; gas consulting and network infrastructure businesses began in October, and by year-end business managers were in place throughout the GeoMarket organization. We have chosen to retain the Schlumberger Information Solutions name for the enlarged business, and our objective is to help customers extract more value from their core operational processes through leveraging the combination of our domain knowledge in IT and in exploration and production (E&amp;P).</w:t>
      </w:r>
    </w:p>
    <w:p>
      <w:pPr>
        <w:spacing w:after="0" w:line="101" w:lineRule="exact"/>
        <w:rPr>
          <w:sz w:val="20"/>
          <w:szCs w:val="20"/>
          <w:color w:val="auto"/>
        </w:rPr>
      </w:pPr>
    </w:p>
    <w:p>
      <w:pPr>
        <w:spacing w:after="0"/>
        <w:tabs>
          <w:tab w:leader="none" w:pos="10400" w:val="left"/>
        </w:tabs>
        <w:rPr>
          <w:sz w:val="20"/>
          <w:szCs w:val="20"/>
          <w:color w:val="auto"/>
        </w:rPr>
      </w:pPr>
      <w:r>
        <w:rPr>
          <w:rFonts w:ascii="Arial" w:cs="Arial" w:eastAsia="Arial" w:hAnsi="Arial"/>
          <w:sz w:val="14"/>
          <w:szCs w:val="14"/>
          <w:color w:val="auto"/>
        </w:rPr>
        <w:t>13 / SLB</w:t>
      </w:r>
      <w:r>
        <w:rPr>
          <w:sz w:val="20"/>
          <w:szCs w:val="20"/>
          <w:color w:val="auto"/>
        </w:rPr>
        <w:tab/>
      </w:r>
      <w:r>
        <w:rPr>
          <w:rFonts w:ascii="Arial" w:cs="Arial" w:eastAsia="Arial" w:hAnsi="Arial"/>
          <w:sz w:val="12"/>
          <w:szCs w:val="12"/>
          <w:color w:val="auto"/>
        </w:rPr>
        <w:t>2003 FORM 10-K</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4"/>
          <w:szCs w:val="14"/>
          <w:color w:val="auto"/>
        </w:rPr>
        <w:t>Part II, Item 7</w:t>
      </w:r>
    </w:p>
    <w:p>
      <w:pPr>
        <w:spacing w:after="0" w:line="139" w:lineRule="exact"/>
        <w:rPr>
          <w:sz w:val="20"/>
          <w:szCs w:val="20"/>
          <w:color w:val="auto"/>
        </w:rPr>
      </w:pPr>
    </w:p>
    <w:p>
      <w:pPr>
        <w:ind w:right="60" w:firstLine="228"/>
        <w:spacing w:after="0" w:line="283" w:lineRule="auto"/>
        <w:rPr>
          <w:sz w:val="20"/>
          <w:szCs w:val="20"/>
          <w:color w:val="auto"/>
        </w:rPr>
      </w:pPr>
      <w:r>
        <w:rPr>
          <w:rFonts w:ascii="Arial" w:cs="Arial" w:eastAsia="Arial" w:hAnsi="Arial"/>
          <w:sz w:val="16"/>
          <w:szCs w:val="16"/>
          <w:color w:val="auto"/>
        </w:rPr>
        <w:t>Early in 2003 we stated clear financial goals. By year-end we had made solid progress. Return on capital employed had risen to 12.8% in the fourth quarter, double the corresponding figure in 2002 and well in line with our intention to reach the mid-teens longer term. After-tax return on sales for Oilfield Services reached 14.2% in the same quarter—a level much more consistent with our performance in previous cycles. Net debt fell to $4.2 billion, just shy of our $4 billion target as a result of adverse currency movements. For more information regarding the purposes for which we use net debt, see page 29 of this Report.</w:t>
      </w:r>
    </w:p>
    <w:p>
      <w:pPr>
        <w:spacing w:after="0" w:line="3" w:lineRule="exact"/>
        <w:rPr>
          <w:sz w:val="20"/>
          <w:szCs w:val="20"/>
          <w:color w:val="auto"/>
        </w:rPr>
      </w:pPr>
    </w:p>
    <w:p>
      <w:pPr>
        <w:jc w:val="both"/>
        <w:ind w:right="80" w:firstLine="228"/>
        <w:spacing w:after="0" w:line="300" w:lineRule="auto"/>
        <w:rPr>
          <w:sz w:val="20"/>
          <w:szCs w:val="20"/>
          <w:color w:val="auto"/>
        </w:rPr>
      </w:pPr>
      <w:r>
        <w:rPr>
          <w:rFonts w:ascii="Arial" w:cs="Arial" w:eastAsia="Arial" w:hAnsi="Arial"/>
          <w:sz w:val="15"/>
          <w:szCs w:val="15"/>
          <w:color w:val="auto"/>
        </w:rPr>
        <w:t>In January 2004, we concluded the sale of the major part of SchlumbergerSema to Atos Origin and reduced our holding in that company to 14.5%. Total cash proceeds from the cash and stock sale amounted to $1.1 billion. With conclusion of the sale of the North American electricity meter business and the sales of the Business Continuity, Infodata, and Telecom software products businesses we expect to see net debt below the $3 billion level by the middle of 2004. Beyond that point, the only significant divestiture remaining will be the IPO of Axalto, the Schlumberger smart card business, as and when market conditions permit.</w:t>
      </w:r>
    </w:p>
    <w:p>
      <w:pPr>
        <w:spacing w:after="0" w:line="2" w:lineRule="exact"/>
        <w:rPr>
          <w:sz w:val="20"/>
          <w:szCs w:val="20"/>
          <w:color w:val="auto"/>
        </w:rPr>
      </w:pPr>
    </w:p>
    <w:p>
      <w:pPr>
        <w:ind w:right="600" w:firstLine="228"/>
        <w:spacing w:after="0" w:line="261" w:lineRule="auto"/>
        <w:rPr>
          <w:sz w:val="20"/>
          <w:szCs w:val="20"/>
          <w:color w:val="auto"/>
        </w:rPr>
      </w:pPr>
      <w:r>
        <w:rPr>
          <w:rFonts w:ascii="Arial" w:cs="Arial" w:eastAsia="Arial" w:hAnsi="Arial"/>
          <w:sz w:val="18"/>
          <w:szCs w:val="18"/>
          <w:color w:val="auto"/>
        </w:rPr>
        <w:t>In 2003, Schlumberger operated four business segments: Oilfield Services, WesternGeco, SchlumbergerSema and Other. The following discussion and analysis of results of operations should be read in conjunction with the Consolidated Financial Statements.</w:t>
      </w:r>
    </w:p>
    <w:p>
      <w:pPr>
        <w:spacing w:after="0" w:line="12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(Stated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4662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95"/>
        </w:trPr>
        <w:tc>
          <w:tcPr>
            <w:tcW w:w="486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820" w:type="dxa"/>
            <w:vAlign w:val="bottom"/>
          </w:tcPr>
          <w:p>
            <w:pPr>
              <w:jc w:val="right"/>
              <w:ind w:right="412"/>
              <w:spacing w:after="0"/>
              <w:rPr>
                <w:sz w:val="20"/>
                <w:szCs w:val="20"/>
                <w:color w:val="auto"/>
              </w:rPr>
            </w:pPr>
            <w:r>
              <w:rPr>
                <w:rFonts w:ascii="Arial" w:cs="Arial" w:eastAsia="Arial" w:hAnsi="Arial"/>
                <w:sz w:val="14"/>
                <w:szCs w:val="14"/>
                <w:b w:val="1"/>
                <w:bCs w:val="1"/>
                <w:color w:val="auto"/>
                <w:w w:val="81"/>
              </w:rPr>
              <w:t>2003</w:t>
            </w:r>
            <w:r>
              <w:rPr>
                <w:rFonts w:ascii="Arial" w:cs="Arial" w:eastAsia="Arial" w:hAnsi="Arial"/>
                <w:sz w:val="22"/>
                <w:szCs w:val="22"/>
                <w:b w:val="1"/>
                <w:bCs w:val="1"/>
                <w:color w:val="auto"/>
                <w:w w:val="81"/>
                <w:vertAlign w:val="superscript"/>
              </w:rPr>
              <w:t>2</w:t>
            </w:r>
          </w:p>
        </w:tc>
        <w:tc>
          <w:tcPr>
            <w:tcW w:w="540" w:type="dxa"/>
            <w:vAlign w:val="bottom"/>
          </w:tcPr>
          <w:p>
            <w:pPr>
              <w:spacing w:after="0"/>
              <w:rPr>
                <w:sz w:val="24"/>
                <w:szCs w:val="24"/>
                <w:color w:val="auto"/>
              </w:rPr>
            </w:pPr>
          </w:p>
        </w:tc>
        <w:tc>
          <w:tcPr>
            <w:tcW w:w="660" w:type="dxa"/>
            <w:vAlign w:val="bottom"/>
          </w:tcPr>
          <w:p>
            <w:pPr>
              <w:jc w:val="right"/>
              <w:ind w:right="252"/>
              <w:spacing w:after="0"/>
              <w:rPr>
                <w:sz w:val="20"/>
                <w:szCs w:val="20"/>
                <w:color w:val="auto"/>
              </w:rPr>
            </w:pPr>
            <w:r>
              <w:rPr>
                <w:rFonts w:ascii="Arial" w:cs="Arial" w:eastAsia="Arial" w:hAnsi="Arial"/>
                <w:sz w:val="14"/>
                <w:szCs w:val="14"/>
                <w:b w:val="1"/>
                <w:bCs w:val="1"/>
                <w:color w:val="auto"/>
                <w:w w:val="81"/>
              </w:rPr>
              <w:t>2002</w:t>
            </w:r>
            <w:r>
              <w:rPr>
                <w:rFonts w:ascii="Arial" w:cs="Arial" w:eastAsia="Arial" w:hAnsi="Arial"/>
                <w:sz w:val="22"/>
                <w:szCs w:val="22"/>
                <w:b w:val="1"/>
                <w:bCs w:val="1"/>
                <w:color w:val="auto"/>
                <w:w w:val="81"/>
                <w:vertAlign w:val="superscript"/>
              </w:rPr>
              <w:t>2</w:t>
            </w:r>
          </w:p>
        </w:tc>
        <w:tc>
          <w:tcPr>
            <w:tcW w:w="1080" w:type="dxa"/>
            <w:vAlign w:val="bottom"/>
          </w:tcPr>
          <w:p>
            <w:pPr>
              <w:jc w:val="right"/>
              <w:ind w:right="92"/>
              <w:spacing w:after="0"/>
              <w:rPr>
                <w:sz w:val="20"/>
                <w:szCs w:val="20"/>
                <w:color w:val="auto"/>
              </w:rPr>
            </w:pPr>
            <w:r>
              <w:rPr>
                <w:rFonts w:ascii="Arial" w:cs="Arial" w:eastAsia="Arial" w:hAnsi="Arial"/>
                <w:sz w:val="14"/>
                <w:szCs w:val="14"/>
                <w:b w:val="1"/>
                <w:bCs w:val="1"/>
                <w:color w:val="auto"/>
              </w:rPr>
              <w:t>% Change</w:t>
            </w:r>
          </w:p>
        </w:tc>
      </w:tr>
      <w:tr>
        <w:trPr>
          <w:trHeight w:val="155"/>
        </w:trPr>
        <w:tc>
          <w:tcPr>
            <w:tcW w:w="4860" w:type="dxa"/>
            <w:vAlign w:val="bottom"/>
            <w:shd w:val="clear" w:color="auto" w:fill="CCEEFF"/>
          </w:tcPr>
          <w:p>
            <w:pPr>
              <w:spacing w:after="0" w:line="155" w:lineRule="exact"/>
              <w:rPr>
                <w:sz w:val="20"/>
                <w:szCs w:val="20"/>
                <w:color w:val="auto"/>
              </w:rPr>
            </w:pPr>
            <w:r>
              <w:rPr>
                <w:rFonts w:ascii="Arial" w:cs="Arial" w:eastAsia="Arial" w:hAnsi="Arial"/>
                <w:sz w:val="14"/>
                <w:szCs w:val="14"/>
                <w:b w:val="1"/>
                <w:bCs w:val="1"/>
                <w:i w:val="1"/>
                <w:iCs w:val="1"/>
                <w:color w:val="auto"/>
              </w:rPr>
              <w:t>OILFIELD SERVICES</w:t>
            </w:r>
          </w:p>
        </w:tc>
        <w:tc>
          <w:tcPr>
            <w:tcW w:w="346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r>
      <w:tr>
        <w:trPr>
          <w:trHeight w:val="149"/>
        </w:trPr>
        <w:tc>
          <w:tcPr>
            <w:tcW w:w="4860" w:type="dxa"/>
            <w:vAlign w:val="bottom"/>
          </w:tcPr>
          <w:p>
            <w:pPr>
              <w:spacing w:after="0" w:line="149" w:lineRule="exact"/>
              <w:rPr>
                <w:sz w:val="20"/>
                <w:szCs w:val="20"/>
                <w:color w:val="auto"/>
              </w:rPr>
            </w:pPr>
            <w:r>
              <w:rPr>
                <w:rFonts w:ascii="Arial" w:cs="Arial" w:eastAsia="Arial" w:hAnsi="Arial"/>
                <w:sz w:val="14"/>
                <w:szCs w:val="14"/>
                <w:color w:val="auto"/>
              </w:rPr>
              <w:t>Operating Revenue</w:t>
            </w:r>
          </w:p>
        </w:tc>
        <w:tc>
          <w:tcPr>
            <w:tcW w:w="34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820" w:type="dxa"/>
            <w:vAlign w:val="bottom"/>
          </w:tcPr>
          <w:p>
            <w:pPr>
              <w:jc w:val="right"/>
              <w:ind w:right="412"/>
              <w:spacing w:after="0" w:line="149" w:lineRule="exact"/>
              <w:rPr>
                <w:sz w:val="20"/>
                <w:szCs w:val="20"/>
                <w:color w:val="auto"/>
              </w:rPr>
            </w:pPr>
            <w:r>
              <w:rPr>
                <w:rFonts w:ascii="Arial" w:cs="Arial" w:eastAsia="Arial" w:hAnsi="Arial"/>
                <w:sz w:val="14"/>
                <w:szCs w:val="14"/>
                <w:b w:val="1"/>
                <w:bCs w:val="1"/>
                <w:color w:val="auto"/>
                <w:w w:val="91"/>
              </w:rPr>
              <w:t>8,823</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ind w:right="252"/>
              <w:spacing w:after="0" w:line="149" w:lineRule="exact"/>
              <w:rPr>
                <w:sz w:val="20"/>
                <w:szCs w:val="20"/>
                <w:color w:val="auto"/>
              </w:rPr>
            </w:pPr>
            <w:r>
              <w:rPr>
                <w:rFonts w:ascii="Arial" w:cs="Arial" w:eastAsia="Arial" w:hAnsi="Arial"/>
                <w:sz w:val="14"/>
                <w:szCs w:val="14"/>
                <w:color w:val="auto"/>
                <w:w w:val="91"/>
              </w:rPr>
              <w:t>8,171</w:t>
            </w: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8%</w:t>
            </w:r>
          </w:p>
        </w:tc>
      </w:tr>
      <w:tr>
        <w:trPr>
          <w:trHeight w:val="176"/>
        </w:trPr>
        <w:tc>
          <w:tcPr>
            <w:tcW w:w="4860" w:type="dxa"/>
            <w:vAlign w:val="bottom"/>
            <w:shd w:val="clear" w:color="auto" w:fill="CCEEFF"/>
          </w:tcPr>
          <w:p>
            <w:pPr>
              <w:spacing w:after="0" w:line="176" w:lineRule="exact"/>
              <w:rPr>
                <w:sz w:val="20"/>
                <w:szCs w:val="20"/>
                <w:color w:val="auto"/>
              </w:rPr>
            </w:pPr>
            <w:r>
              <w:rPr>
                <w:rFonts w:ascii="Arial" w:cs="Arial" w:eastAsia="Arial" w:hAnsi="Arial"/>
                <w:sz w:val="13"/>
                <w:szCs w:val="13"/>
                <w:color w:val="auto"/>
              </w:rPr>
              <w:t>Pretax Segment Income</w:t>
            </w:r>
            <w:r>
              <w:rPr>
                <w:rFonts w:ascii="Arial" w:cs="Arial" w:eastAsia="Arial" w:hAnsi="Arial"/>
                <w:sz w:val="20"/>
                <w:szCs w:val="20"/>
                <w:color w:val="auto"/>
                <w:vertAlign w:val="superscript"/>
              </w:rPr>
              <w:t>1</w:t>
            </w:r>
          </w:p>
        </w:tc>
        <w:tc>
          <w:tcPr>
            <w:tcW w:w="34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20" w:type="dxa"/>
            <w:vAlign w:val="bottom"/>
            <w:shd w:val="clear" w:color="auto" w:fill="CCEEFF"/>
          </w:tcPr>
          <w:p>
            <w:pPr>
              <w:jc w:val="right"/>
              <w:ind w:right="412"/>
              <w:spacing w:after="0"/>
              <w:rPr>
                <w:sz w:val="20"/>
                <w:szCs w:val="20"/>
                <w:color w:val="auto"/>
              </w:rPr>
            </w:pPr>
            <w:r>
              <w:rPr>
                <w:rFonts w:ascii="Arial" w:cs="Arial" w:eastAsia="Arial" w:hAnsi="Arial"/>
                <w:sz w:val="14"/>
                <w:szCs w:val="14"/>
                <w:b w:val="1"/>
                <w:bCs w:val="1"/>
                <w:color w:val="auto"/>
                <w:w w:val="91"/>
              </w:rPr>
              <w:t>1,536</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252"/>
              <w:spacing w:after="0"/>
              <w:rPr>
                <w:sz w:val="20"/>
                <w:szCs w:val="20"/>
                <w:color w:val="auto"/>
              </w:rPr>
            </w:pPr>
            <w:r>
              <w:rPr>
                <w:rFonts w:ascii="Arial" w:cs="Arial" w:eastAsia="Arial" w:hAnsi="Arial"/>
                <w:sz w:val="14"/>
                <w:szCs w:val="14"/>
                <w:color w:val="auto"/>
                <w:w w:val="91"/>
              </w:rPr>
              <w:t>1,278</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w:t>
            </w:r>
          </w:p>
        </w:tc>
      </w:tr>
      <w:tr>
        <w:trPr>
          <w:trHeight w:val="257"/>
        </w:trPr>
        <w:tc>
          <w:tcPr>
            <w:tcW w:w="4860" w:type="dxa"/>
            <w:vAlign w:val="bottom"/>
          </w:tcPr>
          <w:p>
            <w:pPr>
              <w:spacing w:after="0"/>
              <w:rPr>
                <w:sz w:val="20"/>
                <w:szCs w:val="20"/>
                <w:color w:val="auto"/>
              </w:rPr>
            </w:pPr>
            <w:r>
              <w:rPr>
                <w:rFonts w:ascii="Arial" w:cs="Arial" w:eastAsia="Arial" w:hAnsi="Arial"/>
                <w:sz w:val="14"/>
                <w:szCs w:val="14"/>
                <w:b w:val="1"/>
                <w:bCs w:val="1"/>
                <w:i w:val="1"/>
                <w:iCs w:val="1"/>
                <w:color w:val="auto"/>
              </w:rPr>
              <w:t>WESTERNGECO</w:t>
            </w:r>
          </w:p>
        </w:tc>
        <w:tc>
          <w:tcPr>
            <w:tcW w:w="34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149"/>
        </w:trPr>
        <w:tc>
          <w:tcPr>
            <w:tcW w:w="48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Operating Revenue</w:t>
            </w:r>
          </w:p>
        </w:tc>
        <w:tc>
          <w:tcPr>
            <w:tcW w:w="3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820" w:type="dxa"/>
            <w:vAlign w:val="bottom"/>
            <w:shd w:val="clear" w:color="auto" w:fill="CCEEFF"/>
          </w:tcPr>
          <w:p>
            <w:pPr>
              <w:jc w:val="right"/>
              <w:ind w:right="412"/>
              <w:spacing w:after="0" w:line="149" w:lineRule="exact"/>
              <w:rPr>
                <w:sz w:val="20"/>
                <w:szCs w:val="20"/>
                <w:color w:val="auto"/>
              </w:rPr>
            </w:pPr>
            <w:r>
              <w:rPr>
                <w:rFonts w:ascii="Arial" w:cs="Arial" w:eastAsia="Arial" w:hAnsi="Arial"/>
                <w:sz w:val="14"/>
                <w:szCs w:val="14"/>
                <w:b w:val="1"/>
                <w:bCs w:val="1"/>
                <w:color w:val="auto"/>
                <w:w w:val="91"/>
              </w:rPr>
              <w:t>1,183</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252"/>
              <w:spacing w:after="0" w:line="149" w:lineRule="exact"/>
              <w:rPr>
                <w:sz w:val="20"/>
                <w:szCs w:val="20"/>
                <w:color w:val="auto"/>
              </w:rPr>
            </w:pPr>
            <w:r>
              <w:rPr>
                <w:rFonts w:ascii="Arial" w:cs="Arial" w:eastAsia="Arial" w:hAnsi="Arial"/>
                <w:sz w:val="14"/>
                <w:szCs w:val="14"/>
                <w:color w:val="auto"/>
                <w:w w:val="91"/>
              </w:rPr>
              <w:t>1,476</w:t>
            </w: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w:t>
            </w:r>
          </w:p>
        </w:tc>
      </w:tr>
      <w:tr>
        <w:trPr>
          <w:trHeight w:val="284"/>
        </w:trPr>
        <w:tc>
          <w:tcPr>
            <w:tcW w:w="4860" w:type="dxa"/>
            <w:vAlign w:val="bottom"/>
          </w:tcPr>
          <w:p>
            <w:pPr>
              <w:spacing w:after="0"/>
              <w:rPr>
                <w:sz w:val="20"/>
                <w:szCs w:val="20"/>
                <w:color w:val="auto"/>
              </w:rPr>
            </w:pPr>
            <w:r>
              <w:rPr>
                <w:rFonts w:ascii="Arial" w:cs="Arial" w:eastAsia="Arial" w:hAnsi="Arial"/>
                <w:sz w:val="14"/>
                <w:szCs w:val="14"/>
                <w:color w:val="auto"/>
              </w:rPr>
              <w:t>Pretax Segment Income</w:t>
            </w:r>
            <w:r>
              <w:rPr>
                <w:rFonts w:ascii="Arial" w:cs="Arial" w:eastAsia="Arial" w:hAnsi="Arial"/>
                <w:sz w:val="22"/>
                <w:szCs w:val="22"/>
                <w:color w:val="auto"/>
                <w:vertAlign w:val="superscript"/>
              </w:rPr>
              <w:t>1,3</w:t>
            </w:r>
          </w:p>
        </w:tc>
        <w:tc>
          <w:tcPr>
            <w:tcW w:w="34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820" w:type="dxa"/>
            <w:vAlign w:val="bottom"/>
          </w:tcPr>
          <w:p>
            <w:pPr>
              <w:jc w:val="right"/>
              <w:ind w:right="372"/>
              <w:spacing w:after="0"/>
              <w:rPr>
                <w:sz w:val="20"/>
                <w:szCs w:val="20"/>
                <w:color w:val="auto"/>
              </w:rPr>
            </w:pPr>
            <w:r>
              <w:rPr>
                <w:rFonts w:ascii="Arial" w:cs="Arial" w:eastAsia="Arial" w:hAnsi="Arial"/>
                <w:sz w:val="14"/>
                <w:szCs w:val="14"/>
                <w:b w:val="1"/>
                <w:bCs w:val="1"/>
                <w:color w:val="auto"/>
              </w:rPr>
              <w:t>(20)</w:t>
            </w:r>
          </w:p>
        </w:tc>
        <w:tc>
          <w:tcPr>
            <w:tcW w:w="54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252"/>
              <w:spacing w:after="0"/>
              <w:rPr>
                <w:sz w:val="20"/>
                <w:szCs w:val="20"/>
                <w:color w:val="auto"/>
              </w:rPr>
            </w:pPr>
            <w:r>
              <w:rPr>
                <w:rFonts w:ascii="Arial" w:cs="Arial" w:eastAsia="Arial" w:hAnsi="Arial"/>
                <w:sz w:val="14"/>
                <w:szCs w:val="14"/>
                <w:color w:val="auto"/>
              </w:rPr>
              <w:t>71</w:t>
            </w:r>
          </w:p>
        </w:tc>
        <w:tc>
          <w:tcPr>
            <w:tcW w:w="10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49"/>
        </w:trPr>
        <w:tc>
          <w:tcPr>
            <w:tcW w:w="48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i w:val="1"/>
                <w:iCs w:val="1"/>
                <w:color w:val="auto"/>
              </w:rPr>
              <w:t>SCHLUMBERGERSEMA</w:t>
            </w:r>
          </w:p>
        </w:tc>
        <w:tc>
          <w:tcPr>
            <w:tcW w:w="34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r>
      <w:tr>
        <w:trPr>
          <w:trHeight w:val="149"/>
        </w:trPr>
        <w:tc>
          <w:tcPr>
            <w:tcW w:w="4860" w:type="dxa"/>
            <w:vAlign w:val="bottom"/>
          </w:tcPr>
          <w:p>
            <w:pPr>
              <w:spacing w:after="0" w:line="149" w:lineRule="exact"/>
              <w:rPr>
                <w:sz w:val="20"/>
                <w:szCs w:val="20"/>
                <w:color w:val="auto"/>
              </w:rPr>
            </w:pPr>
            <w:r>
              <w:rPr>
                <w:rFonts w:ascii="Arial" w:cs="Arial" w:eastAsia="Arial" w:hAnsi="Arial"/>
                <w:sz w:val="14"/>
                <w:szCs w:val="14"/>
                <w:color w:val="auto"/>
              </w:rPr>
              <w:t>Operating Revenue</w:t>
            </w:r>
          </w:p>
        </w:tc>
        <w:tc>
          <w:tcPr>
            <w:tcW w:w="34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820" w:type="dxa"/>
            <w:vAlign w:val="bottom"/>
          </w:tcPr>
          <w:p>
            <w:pPr>
              <w:jc w:val="right"/>
              <w:ind w:right="412"/>
              <w:spacing w:after="0" w:line="149" w:lineRule="exact"/>
              <w:rPr>
                <w:sz w:val="20"/>
                <w:szCs w:val="20"/>
                <w:color w:val="auto"/>
              </w:rPr>
            </w:pPr>
            <w:r>
              <w:rPr>
                <w:rFonts w:ascii="Arial" w:cs="Arial" w:eastAsia="Arial" w:hAnsi="Arial"/>
                <w:sz w:val="14"/>
                <w:szCs w:val="14"/>
                <w:b w:val="1"/>
                <w:bCs w:val="1"/>
                <w:color w:val="auto"/>
                <w:w w:val="91"/>
              </w:rPr>
              <w:t>2,677</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ind w:right="252"/>
              <w:spacing w:after="0" w:line="149" w:lineRule="exact"/>
              <w:rPr>
                <w:sz w:val="20"/>
                <w:szCs w:val="20"/>
                <w:color w:val="auto"/>
              </w:rPr>
            </w:pPr>
            <w:r>
              <w:rPr>
                <w:rFonts w:ascii="Arial" w:cs="Arial" w:eastAsia="Arial" w:hAnsi="Arial"/>
                <w:sz w:val="14"/>
                <w:szCs w:val="14"/>
                <w:color w:val="auto"/>
                <w:w w:val="91"/>
              </w:rPr>
              <w:t>2,409</w:t>
            </w: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11%</w:t>
            </w:r>
          </w:p>
        </w:tc>
      </w:tr>
      <w:tr>
        <w:trPr>
          <w:trHeight w:val="176"/>
        </w:trPr>
        <w:tc>
          <w:tcPr>
            <w:tcW w:w="4860" w:type="dxa"/>
            <w:vAlign w:val="bottom"/>
            <w:shd w:val="clear" w:color="auto" w:fill="CCEEFF"/>
          </w:tcPr>
          <w:p>
            <w:pPr>
              <w:spacing w:after="0" w:line="176" w:lineRule="exact"/>
              <w:rPr>
                <w:sz w:val="20"/>
                <w:szCs w:val="20"/>
                <w:color w:val="auto"/>
              </w:rPr>
            </w:pPr>
            <w:r>
              <w:rPr>
                <w:rFonts w:ascii="Arial" w:cs="Arial" w:eastAsia="Arial" w:hAnsi="Arial"/>
                <w:sz w:val="13"/>
                <w:szCs w:val="13"/>
                <w:color w:val="auto"/>
              </w:rPr>
              <w:t>Pretax Segment Income</w:t>
            </w:r>
            <w:r>
              <w:rPr>
                <w:rFonts w:ascii="Arial" w:cs="Arial" w:eastAsia="Arial" w:hAnsi="Arial"/>
                <w:sz w:val="20"/>
                <w:szCs w:val="20"/>
                <w:color w:val="auto"/>
                <w:vertAlign w:val="superscript"/>
              </w:rPr>
              <w:t>1</w:t>
            </w:r>
          </w:p>
        </w:tc>
        <w:tc>
          <w:tcPr>
            <w:tcW w:w="34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20" w:type="dxa"/>
            <w:vAlign w:val="bottom"/>
            <w:shd w:val="clear" w:color="auto" w:fill="CCEEFF"/>
          </w:tcPr>
          <w:p>
            <w:pPr>
              <w:jc w:val="right"/>
              <w:ind w:right="412"/>
              <w:spacing w:after="0"/>
              <w:rPr>
                <w:sz w:val="20"/>
                <w:szCs w:val="20"/>
                <w:color w:val="auto"/>
              </w:rPr>
            </w:pPr>
            <w:r>
              <w:rPr>
                <w:rFonts w:ascii="Arial" w:cs="Arial" w:eastAsia="Arial" w:hAnsi="Arial"/>
                <w:sz w:val="14"/>
                <w:szCs w:val="14"/>
                <w:b w:val="1"/>
                <w:bCs w:val="1"/>
                <w:color w:val="auto"/>
              </w:rPr>
              <w:t>61</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252"/>
              <w:spacing w:after="0"/>
              <w:rPr>
                <w:sz w:val="20"/>
                <w:szCs w:val="20"/>
                <w:color w:val="auto"/>
              </w:rPr>
            </w:pPr>
            <w:r>
              <w:rPr>
                <w:rFonts w:ascii="Arial" w:cs="Arial" w:eastAsia="Arial" w:hAnsi="Arial"/>
                <w:sz w:val="14"/>
                <w:szCs w:val="14"/>
                <w:color w:val="auto"/>
              </w:rPr>
              <w:t>17</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249%</w:t>
            </w:r>
          </w:p>
        </w:tc>
      </w:tr>
      <w:tr>
        <w:trPr>
          <w:trHeight w:val="284"/>
        </w:trPr>
        <w:tc>
          <w:tcPr>
            <w:tcW w:w="4860" w:type="dxa"/>
            <w:vAlign w:val="bottom"/>
          </w:tcPr>
          <w:p>
            <w:pPr>
              <w:spacing w:after="0"/>
              <w:rPr>
                <w:sz w:val="20"/>
                <w:szCs w:val="20"/>
                <w:color w:val="auto"/>
              </w:rPr>
            </w:pPr>
            <w:r>
              <w:rPr>
                <w:rFonts w:ascii="Arial" w:cs="Arial" w:eastAsia="Arial" w:hAnsi="Arial"/>
                <w:sz w:val="14"/>
                <w:szCs w:val="14"/>
                <w:b w:val="1"/>
                <w:bCs w:val="1"/>
                <w:i w:val="1"/>
                <w:iCs w:val="1"/>
                <w:color w:val="auto"/>
              </w:rPr>
              <w:t>OTHER</w:t>
            </w:r>
            <w:r>
              <w:rPr>
                <w:rFonts w:ascii="Arial" w:cs="Arial" w:eastAsia="Arial" w:hAnsi="Arial"/>
                <w:sz w:val="22"/>
                <w:szCs w:val="22"/>
                <w:color w:val="auto"/>
                <w:vertAlign w:val="superscript"/>
              </w:rPr>
              <w:t>4</w:t>
            </w:r>
          </w:p>
        </w:tc>
        <w:tc>
          <w:tcPr>
            <w:tcW w:w="34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49"/>
        </w:trPr>
        <w:tc>
          <w:tcPr>
            <w:tcW w:w="48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Operating Revenue</w:t>
            </w:r>
          </w:p>
        </w:tc>
        <w:tc>
          <w:tcPr>
            <w:tcW w:w="3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820" w:type="dxa"/>
            <w:vAlign w:val="bottom"/>
            <w:shd w:val="clear" w:color="auto" w:fill="CCEEFF"/>
          </w:tcPr>
          <w:p>
            <w:pPr>
              <w:jc w:val="right"/>
              <w:ind w:right="412"/>
              <w:spacing w:after="0" w:line="149" w:lineRule="exact"/>
              <w:rPr>
                <w:sz w:val="20"/>
                <w:szCs w:val="20"/>
                <w:color w:val="auto"/>
              </w:rPr>
            </w:pPr>
            <w:r>
              <w:rPr>
                <w:rFonts w:ascii="Arial" w:cs="Arial" w:eastAsia="Arial" w:hAnsi="Arial"/>
                <w:sz w:val="14"/>
                <w:szCs w:val="14"/>
                <w:b w:val="1"/>
                <w:bCs w:val="1"/>
                <w:color w:val="auto"/>
                <w:w w:val="91"/>
              </w:rPr>
              <w:t>1,480</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252"/>
              <w:spacing w:after="0" w:line="149" w:lineRule="exact"/>
              <w:rPr>
                <w:sz w:val="20"/>
                <w:szCs w:val="20"/>
                <w:color w:val="auto"/>
              </w:rPr>
            </w:pPr>
            <w:r>
              <w:rPr>
                <w:rFonts w:ascii="Arial" w:cs="Arial" w:eastAsia="Arial" w:hAnsi="Arial"/>
                <w:sz w:val="14"/>
                <w:szCs w:val="14"/>
                <w:color w:val="auto"/>
                <w:w w:val="91"/>
              </w:rPr>
              <w:t>1,334</w:t>
            </w: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w:t>
            </w:r>
          </w:p>
        </w:tc>
      </w:tr>
      <w:tr>
        <w:trPr>
          <w:trHeight w:val="244"/>
        </w:trPr>
        <w:tc>
          <w:tcPr>
            <w:tcW w:w="4860" w:type="dxa"/>
            <w:vAlign w:val="bottom"/>
          </w:tcPr>
          <w:p>
            <w:pPr>
              <w:spacing w:after="0" w:line="244" w:lineRule="exact"/>
              <w:rPr>
                <w:sz w:val="20"/>
                <w:szCs w:val="20"/>
                <w:color w:val="auto"/>
              </w:rPr>
            </w:pPr>
            <w:r>
              <w:rPr>
                <w:rFonts w:ascii="Arial" w:cs="Arial" w:eastAsia="Arial" w:hAnsi="Arial"/>
                <w:sz w:val="14"/>
                <w:szCs w:val="14"/>
                <w:color w:val="auto"/>
              </w:rPr>
              <w:t>Pretax Segment Income</w:t>
            </w:r>
            <w:r>
              <w:rPr>
                <w:rFonts w:ascii="Arial" w:cs="Arial" w:eastAsia="Arial" w:hAnsi="Arial"/>
                <w:sz w:val="22"/>
                <w:szCs w:val="22"/>
                <w:color w:val="auto"/>
                <w:vertAlign w:val="superscript"/>
              </w:rPr>
              <w:t>1</w:t>
            </w:r>
          </w:p>
        </w:tc>
        <w:tc>
          <w:tcPr>
            <w:tcW w:w="34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820" w:type="dxa"/>
            <w:vAlign w:val="bottom"/>
          </w:tcPr>
          <w:p>
            <w:pPr>
              <w:jc w:val="right"/>
              <w:ind w:right="412"/>
              <w:spacing w:after="0"/>
              <w:rPr>
                <w:sz w:val="20"/>
                <w:szCs w:val="20"/>
                <w:color w:val="auto"/>
              </w:rPr>
            </w:pPr>
            <w:r>
              <w:rPr>
                <w:rFonts w:ascii="Arial" w:cs="Arial" w:eastAsia="Arial" w:hAnsi="Arial"/>
                <w:sz w:val="14"/>
                <w:szCs w:val="14"/>
                <w:b w:val="1"/>
                <w:bCs w:val="1"/>
                <w:color w:val="auto"/>
              </w:rPr>
              <w:t>109</w:t>
            </w:r>
          </w:p>
        </w:tc>
        <w:tc>
          <w:tcPr>
            <w:tcW w:w="54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252"/>
              <w:spacing w:after="0"/>
              <w:rPr>
                <w:sz w:val="20"/>
                <w:szCs w:val="20"/>
                <w:color w:val="auto"/>
              </w:rPr>
            </w:pPr>
            <w:r>
              <w:rPr>
                <w:rFonts w:ascii="Arial" w:cs="Arial" w:eastAsia="Arial" w:hAnsi="Arial"/>
                <w:sz w:val="14"/>
                <w:szCs w:val="14"/>
                <w:color w:val="auto"/>
              </w:rPr>
              <w:t>18</w:t>
            </w:r>
          </w:p>
        </w:tc>
        <w:tc>
          <w:tcPr>
            <w:tcW w:w="1080" w:type="dxa"/>
            <w:vAlign w:val="bottom"/>
          </w:tcPr>
          <w:p>
            <w:pPr>
              <w:jc w:val="right"/>
              <w:spacing w:after="0"/>
              <w:rPr>
                <w:sz w:val="20"/>
                <w:szCs w:val="20"/>
                <w:color w:val="auto"/>
              </w:rPr>
            </w:pPr>
            <w:r>
              <w:rPr>
                <w:rFonts w:ascii="Arial" w:cs="Arial" w:eastAsia="Arial" w:hAnsi="Arial"/>
                <w:sz w:val="14"/>
                <w:szCs w:val="14"/>
                <w:color w:val="auto"/>
              </w:rPr>
              <w:t>505%</w:t>
            </w:r>
          </w:p>
        </w:tc>
      </w:tr>
    </w:tbl>
    <w:p>
      <w:pPr>
        <w:ind w:left="280" w:hanging="272"/>
        <w:spacing w:after="0" w:line="221" w:lineRule="auto"/>
        <w:tabs>
          <w:tab w:leader="none" w:pos="280" w:val="left"/>
        </w:tabs>
        <w:numPr>
          <w:ilvl w:val="0"/>
          <w:numId w:val="10"/>
        </w:numPr>
        <w:rPr>
          <w:rFonts w:ascii="Arial" w:cs="Arial" w:eastAsia="Arial" w:hAnsi="Arial"/>
          <w:sz w:val="14"/>
          <w:szCs w:val="14"/>
          <w:color w:val="auto"/>
        </w:rPr>
      </w:pPr>
      <w:r>
        <w:rPr>
          <w:rFonts w:ascii="Arial" w:cs="Arial" w:eastAsia="Arial" w:hAnsi="Arial"/>
          <w:sz w:val="14"/>
          <w:szCs w:val="14"/>
          <w:color w:val="auto"/>
        </w:rPr>
        <w:t>Pretax segment income represents income before taxes and minority interest, excluding interest income, interest expense and amortization of intangibles.</w:t>
      </w:r>
    </w:p>
    <w:p>
      <w:pPr>
        <w:ind w:left="260" w:hanging="252"/>
        <w:spacing w:after="0"/>
        <w:tabs>
          <w:tab w:leader="none" w:pos="260" w:val="left"/>
        </w:tabs>
        <w:numPr>
          <w:ilvl w:val="0"/>
          <w:numId w:val="11"/>
        </w:numPr>
        <w:rPr>
          <w:rFonts w:ascii="Arial" w:cs="Arial" w:eastAsia="Arial" w:hAnsi="Arial"/>
          <w:sz w:val="12"/>
          <w:szCs w:val="12"/>
          <w:color w:val="auto"/>
        </w:rPr>
      </w:pPr>
      <w:r>
        <w:rPr>
          <w:rFonts w:ascii="Arial" w:cs="Arial" w:eastAsia="Arial" w:hAnsi="Arial"/>
          <w:sz w:val="12"/>
          <w:szCs w:val="12"/>
          <w:color w:val="auto"/>
        </w:rPr>
        <w:t>2003 excludes: a net charge of $49 million for the write-down of an investment and the gain on the sale of a note; $167 million of debt extinguishment costs; a charge of $421 million for impairment and</w:t>
      </w:r>
    </w:p>
    <w:p>
      <w:pPr>
        <w:ind w:left="260"/>
        <w:spacing w:after="0" w:line="237" w:lineRule="auto"/>
        <w:rPr>
          <w:sz w:val="20"/>
          <w:szCs w:val="20"/>
          <w:color w:val="auto"/>
        </w:rPr>
      </w:pPr>
      <w:r>
        <w:rPr>
          <w:rFonts w:ascii="Arial" w:cs="Arial" w:eastAsia="Arial" w:hAnsi="Arial"/>
          <w:sz w:val="14"/>
          <w:szCs w:val="14"/>
          <w:color w:val="auto"/>
        </w:rPr>
        <w:t>other charges/credits. 2002 excludes an aggregate $30 million charge related to the financial/economic crisis in Argentina.</w:t>
      </w:r>
    </w:p>
    <w:p>
      <w:pPr>
        <w:ind w:left="260" w:hanging="252"/>
        <w:spacing w:after="0" w:line="221" w:lineRule="auto"/>
        <w:tabs>
          <w:tab w:leader="none" w:pos="260" w:val="left"/>
        </w:tabs>
        <w:numPr>
          <w:ilvl w:val="0"/>
          <w:numId w:val="12"/>
        </w:numPr>
        <w:rPr>
          <w:rFonts w:ascii="Arial" w:cs="Arial" w:eastAsia="Arial" w:hAnsi="Arial"/>
          <w:sz w:val="14"/>
          <w:szCs w:val="14"/>
          <w:color w:val="auto"/>
        </w:rPr>
      </w:pPr>
      <w:r>
        <w:rPr>
          <w:rFonts w:ascii="Arial" w:cs="Arial" w:eastAsia="Arial" w:hAnsi="Arial"/>
          <w:sz w:val="14"/>
          <w:szCs w:val="14"/>
          <w:color w:val="auto"/>
        </w:rPr>
        <w:t>2003 excludes impairment charges of $398 million for Multiclient library and $54 million for vessels. 2002 excludes an impairment charge of $184 million for Multiclient library and charges of $117 million for severance and other costs.</w:t>
      </w:r>
    </w:p>
    <w:p>
      <w:pPr>
        <w:spacing w:after="0" w:line="1" w:lineRule="exact"/>
        <w:rPr>
          <w:sz w:val="20"/>
          <w:szCs w:val="20"/>
          <w:color w:val="auto"/>
        </w:rPr>
      </w:pPr>
    </w:p>
    <w:p>
      <w:pPr>
        <w:ind w:left="260" w:right="480" w:hanging="252"/>
        <w:spacing w:after="0" w:line="230" w:lineRule="auto"/>
        <w:tabs>
          <w:tab w:leader="none" w:pos="260" w:val="left"/>
        </w:tabs>
        <w:numPr>
          <w:ilvl w:val="0"/>
          <w:numId w:val="13"/>
        </w:numPr>
        <w:rPr>
          <w:rFonts w:ascii="Arial" w:cs="Arial" w:eastAsia="Arial" w:hAnsi="Arial"/>
          <w:sz w:val="14"/>
          <w:szCs w:val="14"/>
          <w:color w:val="auto"/>
        </w:rPr>
      </w:pPr>
      <w:r>
        <w:rPr>
          <w:rFonts w:ascii="Arial" w:cs="Arial" w:eastAsia="Arial" w:hAnsi="Arial"/>
          <w:sz w:val="14"/>
          <w:szCs w:val="14"/>
          <w:color w:val="auto"/>
        </w:rPr>
        <w:t>Principally comprises the Axalto (Smart Cards and Point-of-Sale Terminals) and Electricity Meters activities. Also included are the Business Continuity, Infodata, Telecom Software Products, Water Services, Essentis and Payphones activities.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Oilfield Services</w:t>
      </w:r>
    </w:p>
    <w:p>
      <w:pPr>
        <w:spacing w:after="0" w:line="7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World oil demand surged in 2003 due to strong economic growth in North America and China. The increase in demand from these areas accounted for almost two thirds of overall world oil demand growth. The rise in world oil production more than matched demand growth. Non-OPEC oil production accounted for one third of the increase, due to expanding production in the CIS. OPEC output increased despite supply disruptions in Venezuela and Nigeria and the loss of Iraqi production during and after the war. Oil prices remained high throughout the year, with an average Western Texas Intermediate (WTI) oil price almost 20% higher than in 2002.</w:t>
      </w:r>
    </w:p>
    <w:p>
      <w:pPr>
        <w:spacing w:after="0" w:line="127" w:lineRule="exact"/>
        <w:rPr>
          <w:sz w:val="20"/>
          <w:szCs w:val="20"/>
          <w:color w:val="auto"/>
        </w:rPr>
      </w:pPr>
    </w:p>
    <w:p>
      <w:pPr>
        <w:spacing w:after="0"/>
        <w:tabs>
          <w:tab w:leader="none" w:pos="10400" w:val="left"/>
        </w:tabs>
        <w:rPr>
          <w:sz w:val="20"/>
          <w:szCs w:val="20"/>
          <w:color w:val="auto"/>
        </w:rPr>
      </w:pPr>
      <w:r>
        <w:rPr>
          <w:rFonts w:ascii="Arial" w:cs="Arial" w:eastAsia="Arial" w:hAnsi="Arial"/>
          <w:sz w:val="14"/>
          <w:szCs w:val="14"/>
          <w:color w:val="auto"/>
        </w:rPr>
        <w:t>14 / SLB</w:t>
      </w:r>
      <w:r>
        <w:rPr>
          <w:sz w:val="20"/>
          <w:szCs w:val="20"/>
          <w:color w:val="auto"/>
        </w:rPr>
        <w:tab/>
      </w:r>
      <w:r>
        <w:rPr>
          <w:rFonts w:ascii="Arial" w:cs="Arial" w:eastAsia="Arial" w:hAnsi="Arial"/>
          <w:sz w:val="12"/>
          <w:szCs w:val="12"/>
          <w:color w:val="auto"/>
        </w:rPr>
        <w:t>2003 FORM 10-K</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4"/>
          <w:szCs w:val="14"/>
          <w:color w:val="auto"/>
        </w:rPr>
        <w:t>Part II, Item 7</w:t>
      </w:r>
    </w:p>
    <w:p>
      <w:pPr>
        <w:spacing w:after="0" w:line="139" w:lineRule="exact"/>
        <w:rPr>
          <w:sz w:val="20"/>
          <w:szCs w:val="20"/>
          <w:color w:val="auto"/>
        </w:rPr>
      </w:pPr>
    </w:p>
    <w:p>
      <w:pPr>
        <w:ind w:right="20" w:firstLine="228"/>
        <w:spacing w:after="0" w:line="252" w:lineRule="auto"/>
        <w:rPr>
          <w:sz w:val="20"/>
          <w:szCs w:val="20"/>
          <w:color w:val="auto"/>
        </w:rPr>
      </w:pPr>
      <w:r>
        <w:rPr>
          <w:rFonts w:ascii="Arial" w:cs="Arial" w:eastAsia="Arial" w:hAnsi="Arial"/>
          <w:sz w:val="18"/>
          <w:szCs w:val="18"/>
          <w:color w:val="auto"/>
        </w:rPr>
        <w:t>In 2004, the rate of global oil demand growth is expected to be similar to 2003, with oil demand projected to grow strongly in developing countries and ease in OECD countries. Non-OPEC oil production is forecast to grow at roughly similar levels to 2003 although there is more uncertainty over the level of supply in the CIS and the US. OPEC production is likely to be adjusted to maintain the price of the OPEC basket of crude in the stated target price range of $22 to $28 per barrel.</w:t>
      </w:r>
    </w:p>
    <w:p>
      <w:pPr>
        <w:spacing w:after="0" w:line="1" w:lineRule="exact"/>
        <w:rPr>
          <w:sz w:val="20"/>
          <w:szCs w:val="20"/>
          <w:color w:val="auto"/>
        </w:rPr>
      </w:pPr>
    </w:p>
    <w:p>
      <w:pPr>
        <w:jc w:val="both"/>
        <w:ind w:right="180" w:firstLine="228"/>
        <w:spacing w:after="0" w:line="281" w:lineRule="auto"/>
        <w:rPr>
          <w:sz w:val="20"/>
          <w:szCs w:val="20"/>
          <w:color w:val="auto"/>
        </w:rPr>
      </w:pPr>
      <w:r>
        <w:rPr>
          <w:rFonts w:ascii="Arial" w:cs="Arial" w:eastAsia="Arial" w:hAnsi="Arial"/>
          <w:sz w:val="16"/>
          <w:szCs w:val="16"/>
          <w:color w:val="auto"/>
        </w:rPr>
        <w:t>North American gas demand in 2003 showed little change compared to 2002, and is not expected to vary much in 2004. However, maintaining gas supply to meet demand is challenging, as production decline rates are already high and expected to increase further. The average annual US natural gas price in 2003 rose considerably compared to last year and has stimulated growth in the number of active drilling rigs in North America.</w:t>
      </w:r>
    </w:p>
    <w:p>
      <w:pPr>
        <w:spacing w:after="0" w:line="2" w:lineRule="exact"/>
        <w:rPr>
          <w:sz w:val="20"/>
          <w:szCs w:val="20"/>
          <w:color w:val="auto"/>
        </w:rPr>
      </w:pPr>
    </w:p>
    <w:p>
      <w:pPr>
        <w:ind w:right="280" w:firstLine="228"/>
        <w:spacing w:after="0" w:line="255" w:lineRule="auto"/>
        <w:rPr>
          <w:sz w:val="20"/>
          <w:szCs w:val="20"/>
          <w:color w:val="auto"/>
        </w:rPr>
      </w:pPr>
      <w:r>
        <w:rPr>
          <w:rFonts w:ascii="Arial" w:cs="Arial" w:eastAsia="Arial" w:hAnsi="Arial"/>
          <w:sz w:val="18"/>
          <w:szCs w:val="18"/>
          <w:color w:val="auto"/>
        </w:rPr>
        <w:t>Relatively high commodity prices in 2003 and increases in production have resulted in high levels of cash generation in the oil and gas industry, and a subsequent increase in the average number of active drilling rigs. Assuming demand remains strong and that OPEC manages to maintain oil prices in its target range, exploration and production (E&amp;P) spending is expected to increase in 2004.</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2003 Results</w:t>
      </w:r>
    </w:p>
    <w:p>
      <w:pPr>
        <w:spacing w:after="0" w:line="74" w:lineRule="exact"/>
        <w:rPr>
          <w:sz w:val="20"/>
          <w:szCs w:val="20"/>
          <w:color w:val="auto"/>
        </w:rPr>
      </w:pPr>
    </w:p>
    <w:p>
      <w:pPr>
        <w:ind w:right="20"/>
        <w:spacing w:after="0" w:line="283" w:lineRule="auto"/>
        <w:rPr>
          <w:sz w:val="20"/>
          <w:szCs w:val="20"/>
          <w:color w:val="auto"/>
        </w:rPr>
      </w:pPr>
      <w:r>
        <w:rPr>
          <w:rFonts w:ascii="Arial" w:cs="Arial" w:eastAsia="Arial" w:hAnsi="Arial"/>
          <w:sz w:val="16"/>
          <w:szCs w:val="16"/>
          <w:color w:val="auto"/>
        </w:rPr>
        <w:t>Revenue of $8.8 billion increased 8% in 2003 versus 2002 led by North America with an increase of 14%, followed by Latin America and Middle East &amp; Asia, which both increased 9%, and Europe/CIS/W. Africa, which was up 4%. Pretax operating income of $1.54 billion in 2003 was 20% higher than in 2002, primarily due to strong customer demand resulting from increased E&amp;P expenditures and customer acceptance of new technologies, such as PowerDrive* rotary steerable systems, LiteCRETE* coalbed methane slurry system, ABC*Analysis Behind Casing suite of services, Viscoelastic Diverting Acid (VDA*) advanced acidizing system, and ClearFRAC* polymer-free fracturing fluid. Overhead cost savings of $67 million generated from restructuring and downsizing efforts, principally in Europe/CIS/W. Africa and North &amp; South America, also contributed to the increased profitability during the year.</w:t>
      </w:r>
    </w:p>
    <w:p>
      <w:pPr>
        <w:spacing w:after="0" w:line="1" w:lineRule="exact"/>
        <w:rPr>
          <w:sz w:val="20"/>
          <w:szCs w:val="20"/>
          <w:color w:val="auto"/>
        </w:rPr>
      </w:pPr>
    </w:p>
    <w:p>
      <w:pPr>
        <w:ind w:right="60" w:firstLine="228"/>
        <w:spacing w:after="0" w:line="281" w:lineRule="auto"/>
        <w:rPr>
          <w:sz w:val="20"/>
          <w:szCs w:val="20"/>
          <w:color w:val="auto"/>
        </w:rPr>
      </w:pPr>
      <w:r>
        <w:rPr>
          <w:rFonts w:ascii="Arial" w:cs="Arial" w:eastAsia="Arial" w:hAnsi="Arial"/>
          <w:sz w:val="16"/>
          <w:szCs w:val="16"/>
          <w:color w:val="auto"/>
        </w:rPr>
        <w:t>Oilfield Services began the year with relatively flat revenue in the first quarter, then achieved modest, but continuous growth over the following three quarters due to new contracts, the introduction of new technologies, and increased demand for Integrated Project Management and Schlumberger Information Solutions (SIS) services. The results were positively impacted by an upturn in natural gas drilling in North America, and increased activity in Mexico, Russia and the Middle East, partially offset by a nationwide strike in Venezuela and ethnic unrest in Nigeria.</w:t>
      </w:r>
    </w:p>
    <w:p>
      <w:pPr>
        <w:spacing w:after="0" w:line="3" w:lineRule="exact"/>
        <w:rPr>
          <w:sz w:val="20"/>
          <w:szCs w:val="20"/>
          <w:color w:val="auto"/>
        </w:rPr>
      </w:pPr>
    </w:p>
    <w:p>
      <w:pPr>
        <w:ind w:right="40" w:firstLine="228"/>
        <w:spacing w:after="0" w:line="250" w:lineRule="auto"/>
        <w:rPr>
          <w:sz w:val="20"/>
          <w:szCs w:val="20"/>
          <w:color w:val="auto"/>
        </w:rPr>
      </w:pPr>
      <w:r>
        <w:rPr>
          <w:rFonts w:ascii="Arial" w:cs="Arial" w:eastAsia="Arial" w:hAnsi="Arial"/>
          <w:sz w:val="18"/>
          <w:szCs w:val="18"/>
          <w:color w:val="auto"/>
        </w:rPr>
        <w:t>All technology product lines helped drive revenue growth. Well Services and Drilling &amp; Measurements’ record levels of revenue contributed to more than half of the increase in Oilfield Services revenue. Data &amp; Consulting services drew the award of several contracts for reservoir modeling, field development planning, and production optimization. SIS experienced strong demand, particularly in Europe, Asia, and the Middle East. Integrated Project Management (IPM) experienced high activity levels principally fueled by Latin America.</w:t>
      </w:r>
    </w:p>
    <w:p>
      <w:pPr>
        <w:spacing w:after="0" w:line="2" w:lineRule="exact"/>
        <w:rPr>
          <w:sz w:val="20"/>
          <w:szCs w:val="20"/>
          <w:color w:val="auto"/>
        </w:rPr>
      </w:pPr>
    </w:p>
    <w:p>
      <w:pPr>
        <w:ind w:right="20" w:firstLine="228"/>
        <w:spacing w:after="0" w:line="323" w:lineRule="auto"/>
        <w:rPr>
          <w:sz w:val="20"/>
          <w:szCs w:val="20"/>
          <w:color w:val="auto"/>
        </w:rPr>
      </w:pPr>
      <w:r>
        <w:rPr>
          <w:rFonts w:ascii="Arial" w:cs="Arial" w:eastAsia="Arial" w:hAnsi="Arial"/>
          <w:sz w:val="16"/>
          <w:szCs w:val="16"/>
          <w:color w:val="auto"/>
        </w:rPr>
        <w:t>In December, Schlumberger announced a phased agreement to acquire PetroAlliance beginning with a minority share in 2004. PetroAlliance is Russia’s largest independent oilfield services company, and provides a broad range of exploration and development services throughout Russia and the Caspian.</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 America</w:t>
      </w:r>
    </w:p>
    <w:p>
      <w:pPr>
        <w:spacing w:after="0" w:line="74" w:lineRule="exact"/>
        <w:rPr>
          <w:sz w:val="20"/>
          <w:szCs w:val="20"/>
          <w:color w:val="auto"/>
        </w:rPr>
      </w:pPr>
    </w:p>
    <w:p>
      <w:pPr>
        <w:jc w:val="both"/>
        <w:ind w:right="180"/>
        <w:spacing w:after="0" w:line="256" w:lineRule="auto"/>
        <w:rPr>
          <w:sz w:val="20"/>
          <w:szCs w:val="20"/>
          <w:color w:val="auto"/>
        </w:rPr>
      </w:pPr>
      <w:r>
        <w:rPr>
          <w:rFonts w:ascii="Arial" w:cs="Arial" w:eastAsia="Arial" w:hAnsi="Arial"/>
          <w:sz w:val="18"/>
          <w:szCs w:val="18"/>
          <w:color w:val="auto"/>
        </w:rPr>
        <w:t>North America revenue of $2.6 billion increased 14% versus 2002. The growth in revenue was mainly due to increased activity in US Land, as well as Canada, which had a 31% increase in revenue to $410 million. Both markets were driven by strong commodity prices, which, in turn, were caused by the record low gas storage levels at the end of the 2003 drawdown season. This growth was not mirrored in the Gulf of Mexico where activity was essentially flat year-on-year. A combination of factors contributed to the sluggish performance</w:t>
      </w:r>
    </w:p>
    <w:p>
      <w:pPr>
        <w:spacing w:after="0" w:line="127" w:lineRule="exact"/>
        <w:rPr>
          <w:sz w:val="20"/>
          <w:szCs w:val="20"/>
          <w:color w:val="auto"/>
        </w:rPr>
      </w:pPr>
    </w:p>
    <w:p>
      <w:pPr>
        <w:spacing w:after="0"/>
        <w:tabs>
          <w:tab w:leader="none" w:pos="10400" w:val="left"/>
        </w:tabs>
        <w:rPr>
          <w:sz w:val="20"/>
          <w:szCs w:val="20"/>
          <w:color w:val="auto"/>
        </w:rPr>
      </w:pPr>
      <w:r>
        <w:rPr>
          <w:rFonts w:ascii="Arial" w:cs="Arial" w:eastAsia="Arial" w:hAnsi="Arial"/>
          <w:sz w:val="14"/>
          <w:szCs w:val="14"/>
          <w:color w:val="auto"/>
        </w:rPr>
        <w:t>15 / SLB</w:t>
      </w:r>
      <w:r>
        <w:rPr>
          <w:sz w:val="20"/>
          <w:szCs w:val="20"/>
          <w:color w:val="auto"/>
        </w:rPr>
        <w:tab/>
      </w:r>
      <w:r>
        <w:rPr>
          <w:rFonts w:ascii="Arial" w:cs="Arial" w:eastAsia="Arial" w:hAnsi="Arial"/>
          <w:sz w:val="12"/>
          <w:szCs w:val="12"/>
          <w:color w:val="auto"/>
        </w:rPr>
        <w:t>2003 FORM 10-K</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4"/>
          <w:szCs w:val="14"/>
          <w:color w:val="auto"/>
        </w:rPr>
        <w:t>Part II, Item 7</w:t>
      </w:r>
    </w:p>
    <w:p>
      <w:pPr>
        <w:spacing w:after="0" w:line="139" w:lineRule="exact"/>
        <w:rPr>
          <w:sz w:val="20"/>
          <w:szCs w:val="20"/>
          <w:color w:val="auto"/>
        </w:rPr>
      </w:pPr>
    </w:p>
    <w:p>
      <w:pPr>
        <w:ind w:right="440"/>
        <w:spacing w:after="0" w:line="254" w:lineRule="auto"/>
        <w:rPr>
          <w:sz w:val="20"/>
          <w:szCs w:val="20"/>
          <w:color w:val="auto"/>
        </w:rPr>
      </w:pPr>
      <w:r>
        <w:rPr>
          <w:rFonts w:ascii="Arial" w:cs="Arial" w:eastAsia="Arial" w:hAnsi="Arial"/>
          <w:sz w:val="18"/>
          <w:szCs w:val="18"/>
          <w:color w:val="auto"/>
        </w:rPr>
        <w:t>offshore, including higher finding and developing cost on the shelf, lack of exploration success in deepwater and unfavorable weather conditions hampering drilling and completion efficiency on a number of deepwater projects.</w:t>
      </w:r>
    </w:p>
    <w:p>
      <w:pPr>
        <w:ind w:right="100" w:firstLine="228"/>
        <w:spacing w:after="0" w:line="302" w:lineRule="auto"/>
        <w:rPr>
          <w:sz w:val="20"/>
          <w:szCs w:val="20"/>
          <w:color w:val="auto"/>
        </w:rPr>
      </w:pPr>
      <w:r>
        <w:rPr>
          <w:rFonts w:ascii="Arial" w:cs="Arial" w:eastAsia="Arial" w:hAnsi="Arial"/>
          <w:sz w:val="16"/>
          <w:szCs w:val="16"/>
          <w:color w:val="auto"/>
        </w:rPr>
        <w:t>Pretax operating income of $365 million increased 33% over 2002 primarily due to a beneficial fall-through resulting from improved equipment utilization in US Land following asset rationalization and cost containment. Increased demand for Drilling &amp; Measurements, cased hole wireline and hydraulic fracturing solutions, related to increased complexity in developing new gas reserves in US Land, also contributed to profitability improvement.</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Latin America</w:t>
      </w:r>
    </w:p>
    <w:p>
      <w:pPr>
        <w:spacing w:after="0" w:line="74" w:lineRule="exact"/>
        <w:rPr>
          <w:sz w:val="20"/>
          <w:szCs w:val="20"/>
          <w:color w:val="auto"/>
        </w:rPr>
      </w:pPr>
    </w:p>
    <w:p>
      <w:pPr>
        <w:ind w:right="280"/>
        <w:spacing w:after="0" w:line="284" w:lineRule="auto"/>
        <w:rPr>
          <w:sz w:val="20"/>
          <w:szCs w:val="20"/>
          <w:color w:val="auto"/>
        </w:rPr>
      </w:pPr>
      <w:r>
        <w:rPr>
          <w:rFonts w:ascii="Arial" w:cs="Arial" w:eastAsia="Arial" w:hAnsi="Arial"/>
          <w:sz w:val="16"/>
          <w:szCs w:val="16"/>
          <w:color w:val="auto"/>
        </w:rPr>
        <w:t>Latin America revenue of $1.4 billion increased 9% versus 2002 primarily due to substantial increases in Mexico, Brazil and Argentina, partially offset by a significant decline in Venezuela. Large-scale project management contracts substantially accounted for the growth in activity in Mexico. Growth in Brazil was driven by a strong increase in Petrobras exploration activity, and Argentina benefited from the high oil price.</w:t>
      </w:r>
    </w:p>
    <w:p>
      <w:pPr>
        <w:spacing w:after="0" w:line="1" w:lineRule="exact"/>
        <w:rPr>
          <w:sz w:val="20"/>
          <w:szCs w:val="20"/>
          <w:color w:val="auto"/>
        </w:rPr>
      </w:pPr>
    </w:p>
    <w:p>
      <w:pPr>
        <w:ind w:right="20" w:firstLine="228"/>
        <w:spacing w:after="0" w:line="250" w:lineRule="auto"/>
        <w:rPr>
          <w:sz w:val="20"/>
          <w:szCs w:val="20"/>
          <w:color w:val="auto"/>
        </w:rPr>
      </w:pPr>
      <w:r>
        <w:rPr>
          <w:rFonts w:ascii="Arial" w:cs="Arial" w:eastAsia="Arial" w:hAnsi="Arial"/>
          <w:sz w:val="18"/>
          <w:szCs w:val="18"/>
          <w:color w:val="auto"/>
        </w:rPr>
        <w:t>The political turmoil in the early part of the year substantially impacted results in Venezuela, however the focus on restoring production favorably drove the revenue in the latter half of the year. The increase in E&amp;P spending in Mexico was driven by the compelling need to satisfy the domestic demand for natural gas, increase the light oil production and ramp-up the oil production potential. Key contracts that contributed to revenue growth included project management of a four-year, $500 million integrated oilfield services project which represents the most significant oil development project in Mexico in the last 20 years, and a two-year, $60 million information management solution.</w:t>
      </w:r>
    </w:p>
    <w:p>
      <w:pPr>
        <w:spacing w:after="0" w:line="2" w:lineRule="exact"/>
        <w:rPr>
          <w:sz w:val="20"/>
          <w:szCs w:val="20"/>
          <w:color w:val="auto"/>
        </w:rPr>
      </w:pPr>
    </w:p>
    <w:p>
      <w:pPr>
        <w:ind w:right="460" w:firstLine="228"/>
        <w:spacing w:after="0" w:line="323" w:lineRule="auto"/>
        <w:rPr>
          <w:sz w:val="20"/>
          <w:szCs w:val="20"/>
          <w:color w:val="auto"/>
        </w:rPr>
      </w:pPr>
      <w:r>
        <w:rPr>
          <w:rFonts w:ascii="Arial" w:cs="Arial" w:eastAsia="Arial" w:hAnsi="Arial"/>
          <w:sz w:val="16"/>
          <w:szCs w:val="16"/>
          <w:color w:val="auto"/>
        </w:rPr>
        <w:t>Pretax operating income of $221 million was up 31% year-on-year with all areas excluding Venezuela contributing to improved profitability. There were record levels of Integrated Project Management contracts in Mexico and positive fall-through on incremental revenue in Argentina and Brazil.</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Europe/CIS/West Africa</w:t>
      </w:r>
    </w:p>
    <w:p>
      <w:pPr>
        <w:spacing w:after="0" w:line="74" w:lineRule="exact"/>
        <w:rPr>
          <w:sz w:val="20"/>
          <w:szCs w:val="20"/>
          <w:color w:val="auto"/>
        </w:rPr>
      </w:pPr>
    </w:p>
    <w:p>
      <w:pPr>
        <w:ind w:right="40"/>
        <w:spacing w:after="0" w:line="283" w:lineRule="auto"/>
        <w:rPr>
          <w:sz w:val="20"/>
          <w:szCs w:val="20"/>
          <w:color w:val="auto"/>
        </w:rPr>
      </w:pPr>
      <w:r>
        <w:rPr>
          <w:rFonts w:ascii="Arial" w:cs="Arial" w:eastAsia="Arial" w:hAnsi="Arial"/>
          <w:sz w:val="16"/>
          <w:szCs w:val="16"/>
          <w:color w:val="auto"/>
        </w:rPr>
        <w:t>Revenue of $2.6 billion increased 4% over 2002, primarily in Russia due to growth in E&amp;P spending and continued expansion of the addressable market, which drove increased fracturing activity, high sales of artificial lift pumps, and the adoption of more advanced drilling technologies. CIS reached a record revenue level of $629 million, 22% higher than 2002. An increase in the number of E&amp;P companies entering the development phase of deepwater projects in the West &amp; South Africa GeoMarket during the second half of 2003, and an offshore gas project in the Mediterranean also contributed to overall activity improvement in the Area, principally in Well Completions &amp; Productivity and Well Services technologies. These results were partially offset by lower exploration activity by the major oil companies in the North Sea and by production shutdowns in the Western Niger delta in Nigeria due to socio-political unrest.</w:t>
      </w:r>
    </w:p>
    <w:p>
      <w:pPr>
        <w:spacing w:after="0" w:line="1" w:lineRule="exact"/>
        <w:rPr>
          <w:sz w:val="20"/>
          <w:szCs w:val="20"/>
          <w:color w:val="auto"/>
        </w:rPr>
      </w:pPr>
    </w:p>
    <w:p>
      <w:pPr>
        <w:ind w:right="260" w:firstLine="228"/>
        <w:spacing w:after="0" w:line="255" w:lineRule="auto"/>
        <w:rPr>
          <w:sz w:val="20"/>
          <w:szCs w:val="20"/>
          <w:color w:val="auto"/>
        </w:rPr>
      </w:pPr>
      <w:r>
        <w:rPr>
          <w:rFonts w:ascii="Arial" w:cs="Arial" w:eastAsia="Arial" w:hAnsi="Arial"/>
          <w:sz w:val="18"/>
          <w:szCs w:val="18"/>
          <w:color w:val="auto"/>
        </w:rPr>
        <w:t>Pretax operating income of $460 million increased 20% over 2002 primarily due to cost savings generated at the beginning of the year, as well as increased activities in West &amp; South Africa due to deepwater activities moving into a more lucrative development phase. This was partially offset by appreciation of currencies against the US dollar negatively impacting the results by $4 million later in the year.</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Middle East &amp; Asia</w:t>
      </w:r>
    </w:p>
    <w:p>
      <w:pPr>
        <w:spacing w:after="0" w:line="74"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Revenue of $2.1 billion increased 9% over 2002 with more than half the growth coming from Saudi Arabia/Kuwait, Egypt and Indonesia. Despite geopolitical uncertainty in the period leading up to the war in Iraq and relative softness in Asia principally caused by the SARS outbreak, revenue showed marked improvement primarily due to higher demand for Drilling &amp; Measurements, Wireline and Well Completion &amp; Productivity technologies in Egypt, Saudi Arabia/Kuwait and Indonesia partially offset by reduced activity in Malaysia/Brunei/Philippines due to the suspension of planned deepwater development work resulting from the</w:t>
      </w:r>
    </w:p>
    <w:p>
      <w:pPr>
        <w:spacing w:after="0" w:line="127" w:lineRule="exact"/>
        <w:rPr>
          <w:sz w:val="20"/>
          <w:szCs w:val="20"/>
          <w:color w:val="auto"/>
        </w:rPr>
      </w:pPr>
    </w:p>
    <w:p>
      <w:pPr>
        <w:spacing w:after="0"/>
        <w:tabs>
          <w:tab w:leader="none" w:pos="10400" w:val="left"/>
        </w:tabs>
        <w:rPr>
          <w:sz w:val="20"/>
          <w:szCs w:val="20"/>
          <w:color w:val="auto"/>
        </w:rPr>
      </w:pPr>
      <w:r>
        <w:rPr>
          <w:rFonts w:ascii="Arial" w:cs="Arial" w:eastAsia="Arial" w:hAnsi="Arial"/>
          <w:sz w:val="14"/>
          <w:szCs w:val="14"/>
          <w:color w:val="auto"/>
        </w:rPr>
        <w:t>16 / SLB</w:t>
      </w:r>
      <w:r>
        <w:rPr>
          <w:sz w:val="20"/>
          <w:szCs w:val="20"/>
          <w:color w:val="auto"/>
        </w:rPr>
        <w:tab/>
      </w:r>
      <w:r>
        <w:rPr>
          <w:rFonts w:ascii="Arial" w:cs="Arial" w:eastAsia="Arial" w:hAnsi="Arial"/>
          <w:sz w:val="12"/>
          <w:szCs w:val="12"/>
          <w:color w:val="auto"/>
        </w:rPr>
        <w:t>2003 FORM 10-K</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4"/>
          <w:szCs w:val="14"/>
          <w:color w:val="auto"/>
        </w:rPr>
        <w:t>Part II, Item 7</w:t>
      </w:r>
    </w:p>
    <w:p>
      <w:pPr>
        <w:spacing w:after="0" w:line="139" w:lineRule="exact"/>
        <w:rPr>
          <w:sz w:val="20"/>
          <w:szCs w:val="20"/>
          <w:color w:val="auto"/>
        </w:rPr>
      </w:pPr>
    </w:p>
    <w:p>
      <w:pPr>
        <w:ind w:right="360"/>
        <w:spacing w:after="0" w:line="254" w:lineRule="auto"/>
        <w:rPr>
          <w:sz w:val="20"/>
          <w:szCs w:val="20"/>
          <w:color w:val="auto"/>
        </w:rPr>
      </w:pPr>
      <w:r>
        <w:rPr>
          <w:rFonts w:ascii="Arial" w:cs="Arial" w:eastAsia="Arial" w:hAnsi="Arial"/>
          <w:sz w:val="18"/>
          <w:szCs w:val="18"/>
          <w:color w:val="auto"/>
        </w:rPr>
        <w:t>deepwater acreage dispute between Malaysia and Brunei. Late in the year, strong year-on-year improvements across the region were tempered by reduced rig activity in Saudi Arabia due to customers’ accelerated spending in the first three quarters.</w:t>
      </w:r>
    </w:p>
    <w:p>
      <w:pPr>
        <w:ind w:right="280" w:firstLine="228"/>
        <w:spacing w:after="0" w:line="323" w:lineRule="auto"/>
        <w:rPr>
          <w:sz w:val="20"/>
          <w:szCs w:val="20"/>
          <w:color w:val="auto"/>
        </w:rPr>
      </w:pPr>
      <w:r>
        <w:rPr>
          <w:rFonts w:ascii="Arial" w:cs="Arial" w:eastAsia="Arial" w:hAnsi="Arial"/>
          <w:sz w:val="16"/>
          <w:szCs w:val="16"/>
          <w:color w:val="auto"/>
        </w:rPr>
        <w:t>Pretax operating income of $509 million increased 12%, primarily due to the operating leverage on increased revenue across most GeoMarkets, principally caused by increased activity in Indonesia’s East Kalimantan and stimulation activity and artificial lift sales in East Africa.</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2002 Results</w:t>
      </w:r>
    </w:p>
    <w:p>
      <w:pPr>
        <w:spacing w:after="0" w:line="74" w:lineRule="exact"/>
        <w:rPr>
          <w:sz w:val="20"/>
          <w:szCs w:val="20"/>
          <w:color w:val="auto"/>
        </w:rPr>
      </w:pPr>
    </w:p>
    <w:p>
      <w:pPr>
        <w:jc w:val="both"/>
        <w:ind w:right="140"/>
        <w:spacing w:after="0" w:line="253" w:lineRule="auto"/>
        <w:rPr>
          <w:sz w:val="20"/>
          <w:szCs w:val="20"/>
          <w:color w:val="auto"/>
        </w:rPr>
      </w:pPr>
      <w:r>
        <w:rPr>
          <w:rFonts w:ascii="Arial" w:cs="Arial" w:eastAsia="Arial" w:hAnsi="Arial"/>
          <w:sz w:val="18"/>
          <w:szCs w:val="18"/>
          <w:color w:val="auto"/>
        </w:rPr>
        <w:t>Revenue for 2002 was $8.2 billion versus $8.4 billion in 2001 reflecting reduced activity in North America and Latin America, which was partially mitigated by higher activity in Europe/CIS/W. Africa and the Middle East &amp; Asia. Pretax operating income of $1.3 billion decreased 19% primarily from reduced margins in Wireline and Well Services as activity declined in North America.</w:t>
      </w:r>
    </w:p>
    <w:p>
      <w:pPr>
        <w:ind w:right="100" w:firstLine="228"/>
        <w:spacing w:after="0" w:line="281" w:lineRule="auto"/>
        <w:rPr>
          <w:sz w:val="20"/>
          <w:szCs w:val="20"/>
          <w:color w:val="auto"/>
        </w:rPr>
      </w:pPr>
      <w:r>
        <w:rPr>
          <w:rFonts w:ascii="Arial" w:cs="Arial" w:eastAsia="Arial" w:hAnsi="Arial"/>
          <w:sz w:val="16"/>
          <w:szCs w:val="16"/>
          <w:color w:val="auto"/>
        </w:rPr>
        <w:t>A sharp fall in revenue at the beginning of 2002 reflected declining activity levels in North America, which remained depressed for the remainder of the year, together with political and economic uncertainty in Latin America. In the second and third quarters, robust activity in Europe/CIS/W. Africa, and signs of a possible recovery in Asia, mitigated the effects of low North American drilling levels resulting in increased revenue. However, this trend was short-lived as slower activity outside North America due mainly to seasonal influences coupled with budget cuts resulted in lower fourth quarter revenue. The Caspian, Russia and Mexico GeoMarkets posted the highest double-digit year-on-year revenue growth of 89%, 62% and 48%, respectively.</w:t>
      </w:r>
    </w:p>
    <w:p>
      <w:pPr>
        <w:spacing w:after="0" w:line="3" w:lineRule="exact"/>
        <w:rPr>
          <w:sz w:val="20"/>
          <w:szCs w:val="20"/>
          <w:color w:val="auto"/>
        </w:rPr>
      </w:pPr>
    </w:p>
    <w:p>
      <w:pPr>
        <w:ind w:right="180" w:firstLine="228"/>
        <w:spacing w:after="0" w:line="250" w:lineRule="auto"/>
        <w:rPr>
          <w:sz w:val="20"/>
          <w:szCs w:val="20"/>
          <w:color w:val="auto"/>
        </w:rPr>
      </w:pPr>
      <w:r>
        <w:rPr>
          <w:rFonts w:ascii="Arial" w:cs="Arial" w:eastAsia="Arial" w:hAnsi="Arial"/>
          <w:sz w:val="18"/>
          <w:szCs w:val="18"/>
          <w:color w:val="auto"/>
        </w:rPr>
        <w:t>From a technology standpoint, the strongest performer was Well Completions &amp; Productivity where acquisitions, testing, advanced completions systems and artificial lift technology showed market share gains.</w:t>
      </w:r>
    </w:p>
    <w:p>
      <w:pPr>
        <w:spacing w:after="0" w:line="1" w:lineRule="exact"/>
        <w:rPr>
          <w:sz w:val="20"/>
          <w:szCs w:val="20"/>
          <w:color w:val="auto"/>
        </w:rPr>
      </w:pPr>
    </w:p>
    <w:p>
      <w:pPr>
        <w:ind w:right="260" w:firstLine="228"/>
        <w:spacing w:after="0" w:line="281" w:lineRule="auto"/>
        <w:rPr>
          <w:sz w:val="20"/>
          <w:szCs w:val="20"/>
          <w:color w:val="auto"/>
        </w:rPr>
      </w:pPr>
      <w:r>
        <w:rPr>
          <w:rFonts w:ascii="Arial" w:cs="Arial" w:eastAsia="Arial" w:hAnsi="Arial"/>
          <w:sz w:val="16"/>
          <w:szCs w:val="16"/>
          <w:color w:val="auto"/>
        </w:rPr>
        <w:t>During the year, Schlumberger acquired A. Comeau &amp; Associates Limited, a leading provider of electrical engineering products and services for artificially lifted wells. This latest addition, combined with the successful integration of Sensa and Phoenix technologies into the Schlumberger Artificial Lift services portfolio, contributed to higher sales in 2002, particularly in the Eastern Hemisphere. The Drilling &amp; Measurements technology segment also recorded solid revenue growth fuelled largely by the continued penetration of the PowerDrive475* rotary steerable system into new GeoMarkets.</w:t>
      </w:r>
    </w:p>
    <w:p>
      <w:pPr>
        <w:spacing w:after="0" w:line="3" w:lineRule="exact"/>
        <w:rPr>
          <w:sz w:val="20"/>
          <w:szCs w:val="20"/>
          <w:color w:val="auto"/>
        </w:rPr>
      </w:pPr>
    </w:p>
    <w:p>
      <w:pPr>
        <w:ind w:right="60" w:firstLine="228"/>
        <w:spacing w:after="0" w:line="331" w:lineRule="auto"/>
        <w:rPr>
          <w:sz w:val="20"/>
          <w:szCs w:val="20"/>
          <w:color w:val="auto"/>
        </w:rPr>
      </w:pPr>
      <w:r>
        <w:rPr>
          <w:rFonts w:ascii="Arial" w:cs="Arial" w:eastAsia="Arial" w:hAnsi="Arial"/>
          <w:sz w:val="15"/>
          <w:szCs w:val="15"/>
          <w:color w:val="auto"/>
        </w:rPr>
        <w:t>Schlumberger made two further acquisitions during the year to bolster its real-time reservoir management suite of services. In January, Schlumberger acquired Norwegian-based Inside Reality AS providing new 3D virtual reality systems that create a unique and powerful environment for interactive well planning and real-time geosteering analysis. Schlumberger also acquired the software and services business of Technoguide AS, a leader in the reservoir modeling domain.</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 America</w:t>
      </w:r>
    </w:p>
    <w:p>
      <w:pPr>
        <w:spacing w:after="0" w:line="74" w:lineRule="exact"/>
        <w:rPr>
          <w:sz w:val="20"/>
          <w:szCs w:val="20"/>
          <w:color w:val="auto"/>
        </w:rPr>
      </w:pPr>
    </w:p>
    <w:p>
      <w:pPr>
        <w:ind w:right="280"/>
        <w:spacing w:after="0" w:line="283" w:lineRule="auto"/>
        <w:rPr>
          <w:sz w:val="20"/>
          <w:szCs w:val="20"/>
          <w:color w:val="auto"/>
        </w:rPr>
      </w:pPr>
      <w:r>
        <w:rPr>
          <w:rFonts w:ascii="Arial" w:cs="Arial" w:eastAsia="Arial" w:hAnsi="Arial"/>
          <w:sz w:val="16"/>
          <w:szCs w:val="16"/>
          <w:color w:val="auto"/>
        </w:rPr>
        <w:t>Revenue of $2.3 billion decreased 19% versus 2001. A steep revenue decline at the outset of the year reflected a continued lackluster drilling environment and unseasonably mild weather conditions. Throughout the remainder of the year activity levels remained depressed resulting in essentially flat revenue for 2002. Other factors contributing to reduced revenue included lower non-rig related activity resulting in lower Wireline, Well Services, and Well Completions &amp; Productivity revenue, the effects of the tropical storms in the third quarter and a slow pick-up in Canadian activity post spring break-up.</w:t>
      </w:r>
    </w:p>
    <w:p>
      <w:pPr>
        <w:spacing w:after="0" w:line="3" w:lineRule="exact"/>
        <w:rPr>
          <w:sz w:val="20"/>
          <w:szCs w:val="20"/>
          <w:color w:val="auto"/>
        </w:rPr>
      </w:pPr>
    </w:p>
    <w:p>
      <w:pPr>
        <w:ind w:right="280" w:firstLine="228"/>
        <w:spacing w:after="0" w:line="261" w:lineRule="auto"/>
        <w:rPr>
          <w:sz w:val="20"/>
          <w:szCs w:val="20"/>
          <w:color w:val="auto"/>
        </w:rPr>
      </w:pPr>
      <w:r>
        <w:rPr>
          <w:rFonts w:ascii="Arial" w:cs="Arial" w:eastAsia="Arial" w:hAnsi="Arial"/>
          <w:sz w:val="18"/>
          <w:szCs w:val="18"/>
          <w:color w:val="auto"/>
        </w:rPr>
        <w:t>Pretax operating income of $274 million decreased from $637 million in 2001 due to pricing pressures across all services, particularly in Well Services and Well Completions &amp; Productivity.</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Latin America</w:t>
      </w:r>
    </w:p>
    <w:p>
      <w:pPr>
        <w:spacing w:after="0" w:line="74" w:lineRule="exact"/>
        <w:rPr>
          <w:sz w:val="20"/>
          <w:szCs w:val="20"/>
          <w:color w:val="auto"/>
        </w:rPr>
      </w:pPr>
    </w:p>
    <w:p>
      <w:pPr>
        <w:ind w:right="80"/>
        <w:spacing w:after="0" w:line="332" w:lineRule="auto"/>
        <w:rPr>
          <w:sz w:val="20"/>
          <w:szCs w:val="20"/>
          <w:color w:val="auto"/>
        </w:rPr>
      </w:pPr>
      <w:r>
        <w:rPr>
          <w:rFonts w:ascii="Arial" w:cs="Arial" w:eastAsia="Arial" w:hAnsi="Arial"/>
          <w:sz w:val="16"/>
          <w:szCs w:val="16"/>
          <w:color w:val="auto"/>
        </w:rPr>
        <w:t>Revenue of $1.3 billion decreased 9% versus 2001. Ongoing political and economic uncertainty in the region continued to affect business conditions, particularly in Venezuela and Argentina. This particularly impacted results in the first half of the year. In sharp contrast, the second half of 2002 saw solid growth partly as a</w:t>
      </w:r>
    </w:p>
    <w:p>
      <w:pPr>
        <w:spacing w:after="0" w:line="69" w:lineRule="exact"/>
        <w:rPr>
          <w:sz w:val="20"/>
          <w:szCs w:val="20"/>
          <w:color w:val="auto"/>
        </w:rPr>
      </w:pPr>
    </w:p>
    <w:p>
      <w:pPr>
        <w:spacing w:after="0"/>
        <w:tabs>
          <w:tab w:leader="none" w:pos="10400" w:val="left"/>
        </w:tabs>
        <w:rPr>
          <w:sz w:val="20"/>
          <w:szCs w:val="20"/>
          <w:color w:val="auto"/>
        </w:rPr>
      </w:pPr>
      <w:r>
        <w:rPr>
          <w:rFonts w:ascii="Arial" w:cs="Arial" w:eastAsia="Arial" w:hAnsi="Arial"/>
          <w:sz w:val="14"/>
          <w:szCs w:val="14"/>
          <w:color w:val="auto"/>
        </w:rPr>
        <w:t>17 / SLB</w:t>
      </w:r>
      <w:r>
        <w:rPr>
          <w:sz w:val="20"/>
          <w:szCs w:val="20"/>
          <w:color w:val="auto"/>
        </w:rPr>
        <w:tab/>
      </w:r>
      <w:r>
        <w:rPr>
          <w:rFonts w:ascii="Arial" w:cs="Arial" w:eastAsia="Arial" w:hAnsi="Arial"/>
          <w:sz w:val="12"/>
          <w:szCs w:val="12"/>
          <w:color w:val="auto"/>
        </w:rPr>
        <w:t>2003 FORM 10-K</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4"/>
          <w:szCs w:val="14"/>
          <w:color w:val="auto"/>
        </w:rPr>
        <w:t>Part II, Item 7</w:t>
      </w:r>
    </w:p>
    <w:p>
      <w:pPr>
        <w:spacing w:after="0" w:line="139"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result of higher demand for Drilling &amp; Measurements and Well Completions technologies connected to contracts in the Burgos Basin. In addition, the completion of an IPM project that involved the sale of production facilities in Ecuador for $26.5 million in the fourth quarter contributed to end-of-year higher revenue.</w:t>
      </w:r>
    </w:p>
    <w:p>
      <w:pPr>
        <w:ind w:left="240"/>
        <w:spacing w:after="0"/>
        <w:rPr>
          <w:sz w:val="20"/>
          <w:szCs w:val="20"/>
          <w:color w:val="auto"/>
        </w:rPr>
      </w:pPr>
      <w:r>
        <w:rPr>
          <w:rFonts w:ascii="Arial" w:cs="Arial" w:eastAsia="Arial" w:hAnsi="Arial"/>
          <w:sz w:val="18"/>
          <w:szCs w:val="18"/>
          <w:color w:val="auto"/>
        </w:rPr>
        <w:t>Pretax operating income of $169 million declined 8% as a result of decreased activity in Venezuela and Argentina.</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Europe/CIS/West Africa</w:t>
      </w:r>
    </w:p>
    <w:p>
      <w:pPr>
        <w:spacing w:after="0" w:line="74" w:lineRule="exact"/>
        <w:rPr>
          <w:sz w:val="20"/>
          <w:szCs w:val="20"/>
          <w:color w:val="auto"/>
        </w:rPr>
      </w:pPr>
    </w:p>
    <w:p>
      <w:pPr>
        <w:ind w:right="60"/>
        <w:spacing w:after="0" w:line="251" w:lineRule="auto"/>
        <w:rPr>
          <w:sz w:val="20"/>
          <w:szCs w:val="20"/>
          <w:color w:val="auto"/>
        </w:rPr>
      </w:pPr>
      <w:r>
        <w:rPr>
          <w:rFonts w:ascii="Arial" w:cs="Arial" w:eastAsia="Arial" w:hAnsi="Arial"/>
          <w:sz w:val="18"/>
          <w:szCs w:val="18"/>
          <w:color w:val="auto"/>
        </w:rPr>
        <w:t>Revenue of $2.5 billion increased 17% versus 2001. Strong revenue growth was recorded in the first three quarters reflecting increased activity levels and market share gains particularly in the Caspian and Russia GeoMarkets in respect to artificial lift and drilling technologies. The Well Completions &amp; Productivity technology segment recorded the strongest growth of 27% followed by Drilling &amp; Measurements, which grew 24%. This growth was partially mitigated by a steep revenue drop in the fourth quarter due to exceptionally severe winter weather conditions in the North Sea and Russia that affected all services, particularly fracturing activities. In addition, operator budget cuts in the Nigeria GeoMarket and refocused investment decisions in the UK contributed to lower fourth quarter revenue.</w:t>
      </w:r>
    </w:p>
    <w:p>
      <w:pPr>
        <w:spacing w:after="0" w:line="4" w:lineRule="exact"/>
        <w:rPr>
          <w:sz w:val="20"/>
          <w:szCs w:val="20"/>
          <w:color w:val="auto"/>
        </w:rPr>
      </w:pPr>
    </w:p>
    <w:p>
      <w:pPr>
        <w:ind w:right="160" w:firstLine="228"/>
        <w:spacing w:after="0" w:line="261" w:lineRule="auto"/>
        <w:rPr>
          <w:sz w:val="20"/>
          <w:szCs w:val="20"/>
          <w:color w:val="auto"/>
        </w:rPr>
      </w:pPr>
      <w:r>
        <w:rPr>
          <w:rFonts w:ascii="Arial" w:cs="Arial" w:eastAsia="Arial" w:hAnsi="Arial"/>
          <w:sz w:val="18"/>
          <w:szCs w:val="18"/>
          <w:color w:val="auto"/>
        </w:rPr>
        <w:t>Pretax operating income was $383 million compared to $385 million in 2001, with the very slight decrease due to softening in pricing towards the end of the year and restructuring in the region to reduce support infrastructure to match slowing activity levels.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Middle East &amp; Asia</w:t>
      </w:r>
    </w:p>
    <w:p>
      <w:pPr>
        <w:spacing w:after="0" w:line="74"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Revenue of $1.9 billion increased 8% versus 2001. After a decline at the beginning of the year resulting from exceptional artificial lift sales at the end of 2001, the Asian market showed signs of recovery highlighted by strong revenue growth in the second quarter. Over the year, the India and Malaysia/Brunei/Philippines GeoMarkets recorded the strongest growth due to increased activity in these countries. In addition, the Wireline and Well Services technology segments posted the highest growth, up 14% and 10%, respectively. This was partly offset by a slowdown in activity in the second half of 2002 due to a number of major projects nearing completion and lower equipment sales.</w:t>
      </w:r>
    </w:p>
    <w:p>
      <w:pPr>
        <w:ind w:left="240"/>
        <w:spacing w:after="0"/>
        <w:rPr>
          <w:sz w:val="20"/>
          <w:szCs w:val="20"/>
          <w:color w:val="auto"/>
        </w:rPr>
      </w:pPr>
      <w:r>
        <w:rPr>
          <w:rFonts w:ascii="Arial" w:cs="Arial" w:eastAsia="Arial" w:hAnsi="Arial"/>
          <w:sz w:val="18"/>
          <w:szCs w:val="18"/>
          <w:color w:val="auto"/>
        </w:rPr>
        <w:t>Pretax operating income of $453 million was up 9% versus 2001.</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2001 Results</w:t>
      </w:r>
    </w:p>
    <w:p>
      <w:pPr>
        <w:spacing w:after="0" w:line="74" w:lineRule="exact"/>
        <w:rPr>
          <w:sz w:val="20"/>
          <w:szCs w:val="20"/>
          <w:color w:val="auto"/>
        </w:rPr>
      </w:pPr>
    </w:p>
    <w:p>
      <w:pPr>
        <w:ind w:right="160"/>
        <w:spacing w:after="0" w:line="291" w:lineRule="auto"/>
        <w:rPr>
          <w:sz w:val="20"/>
          <w:szCs w:val="20"/>
          <w:color w:val="auto"/>
        </w:rPr>
      </w:pPr>
      <w:r>
        <w:rPr>
          <w:rFonts w:ascii="Arial" w:cs="Arial" w:eastAsia="Arial" w:hAnsi="Arial"/>
          <w:sz w:val="16"/>
          <w:szCs w:val="16"/>
          <w:color w:val="auto"/>
        </w:rPr>
        <w:t>Revenue of $8.4 billion increased 22% over 2000. Increased non-rig related activity and higher pricing levels contributed to the growth. First quarter results reflected continued high activity in North America and increased demand internationally, but a softening in North American drilling activity in the third quarter offset international growth. Market share gains, improved pricing levels, and the introduction of new technology contributed to strong growth in the Drilling &amp; Measurements and Well Completions &amp; Productivity technology segments. Three key acquisitions were made during the year: Baker Jardine (software tools, IT consulting and integrated solutions that help operators increase oil and gas production), Sensa (fiber optic sensing technologies), and Phoenix (technologies and techniques for optimizing production from artificially lifted wells). Pretax operating income of $1.59 billion increased 49% over last year.</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 America</w:t>
      </w:r>
    </w:p>
    <w:p>
      <w:pPr>
        <w:spacing w:after="0" w:line="74" w:lineRule="exact"/>
        <w:rPr>
          <w:sz w:val="20"/>
          <w:szCs w:val="20"/>
          <w:color w:val="auto"/>
        </w:rPr>
      </w:pPr>
    </w:p>
    <w:p>
      <w:pPr>
        <w:ind w:right="260"/>
        <w:spacing w:after="0" w:line="298" w:lineRule="auto"/>
        <w:rPr>
          <w:sz w:val="20"/>
          <w:szCs w:val="20"/>
          <w:color w:val="auto"/>
        </w:rPr>
      </w:pPr>
      <w:r>
        <w:rPr>
          <w:rFonts w:ascii="Arial" w:cs="Arial" w:eastAsia="Arial" w:hAnsi="Arial"/>
          <w:sz w:val="16"/>
          <w:szCs w:val="16"/>
          <w:color w:val="auto"/>
        </w:rPr>
        <w:t>Revenue of $2.8 billion increased 17% versus 2000. The strong revenue growth in the first quarter of 2001 plateaued in the middle of the year. This was due to slower economic conditions and declining natural gas prices, which resulted in reduced activity towards the end of the year. The Alaska and Gulf Coast GeoMarkets recorded the strongest revenue growth due to increased demand for Drilling &amp; Measurements, Well Services, and Wireline technologies. Pretax operating income of $637 increased 69%, primarily due to strong demand for Well Services technology.</w:t>
      </w:r>
    </w:p>
    <w:p>
      <w:pPr>
        <w:spacing w:after="0" w:line="97" w:lineRule="exact"/>
        <w:rPr>
          <w:sz w:val="20"/>
          <w:szCs w:val="20"/>
          <w:color w:val="auto"/>
        </w:rPr>
      </w:pPr>
    </w:p>
    <w:p>
      <w:pPr>
        <w:spacing w:after="0"/>
        <w:tabs>
          <w:tab w:leader="none" w:pos="10400" w:val="left"/>
        </w:tabs>
        <w:rPr>
          <w:sz w:val="20"/>
          <w:szCs w:val="20"/>
          <w:color w:val="auto"/>
        </w:rPr>
      </w:pPr>
      <w:r>
        <w:rPr>
          <w:rFonts w:ascii="Arial" w:cs="Arial" w:eastAsia="Arial" w:hAnsi="Arial"/>
          <w:sz w:val="14"/>
          <w:szCs w:val="14"/>
          <w:color w:val="auto"/>
        </w:rPr>
        <w:t>18 / SLB</w:t>
      </w:r>
      <w:r>
        <w:rPr>
          <w:sz w:val="20"/>
          <w:szCs w:val="20"/>
          <w:color w:val="auto"/>
        </w:rPr>
        <w:tab/>
      </w:r>
      <w:r>
        <w:rPr>
          <w:rFonts w:ascii="Arial" w:cs="Arial" w:eastAsia="Arial" w:hAnsi="Arial"/>
          <w:sz w:val="12"/>
          <w:szCs w:val="12"/>
          <w:color w:val="auto"/>
        </w:rPr>
        <w:t>2003 FORM 10-K</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4"/>
          <w:szCs w:val="14"/>
          <w:color w:val="auto"/>
        </w:rPr>
        <w:t>Part II, Item 7</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Latin America</w:t>
      </w:r>
    </w:p>
    <w:p>
      <w:pPr>
        <w:spacing w:after="0" w:line="74" w:lineRule="exact"/>
        <w:rPr>
          <w:sz w:val="20"/>
          <w:szCs w:val="20"/>
          <w:color w:val="auto"/>
        </w:rPr>
      </w:pPr>
    </w:p>
    <w:p>
      <w:pPr>
        <w:ind w:right="440"/>
        <w:spacing w:after="0" w:line="306" w:lineRule="auto"/>
        <w:rPr>
          <w:sz w:val="20"/>
          <w:szCs w:val="20"/>
          <w:color w:val="auto"/>
        </w:rPr>
      </w:pPr>
      <w:r>
        <w:rPr>
          <w:rFonts w:ascii="Arial" w:cs="Arial" w:eastAsia="Arial" w:hAnsi="Arial"/>
          <w:sz w:val="16"/>
          <w:szCs w:val="16"/>
          <w:color w:val="auto"/>
        </w:rPr>
        <w:t>Revenue of $1.5 billion increased 31%, with improvements across all services contributing to double-digit growth across the GeoMarkets, which was led by Peru/Colombia/Ecuador and Latin America South as a result of increased Drilling &amp; Measurements, Well Services, and Well Completions activity. Pretax operating income of $183 million increased 131% principally as a result of increases in Integrated Project Management and Wireline services.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Europe/CIS/West Africa</w:t>
      </w:r>
    </w:p>
    <w:p>
      <w:pPr>
        <w:spacing w:after="0" w:line="74"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Revenue of $2.1 billion increased 36%. Overall moderate growth was led by high demand for Well Completions services in Nigeria, and strong growth in both Drilling &amp; Measurements and Wireline services in Russia. Growth in the West &amp; South Africa GeoMarket was partly due to an Early Production Facility Project for IPM during the year. Pretax operating income of $385 million increased 60% due mainly to the Well Completions &amp; Productivity segment, which recorded strong growth across most GeoMarkets.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Middle East &amp; Asia</w:t>
      </w:r>
    </w:p>
    <w:p>
      <w:pPr>
        <w:spacing w:after="0" w:line="74" w:lineRule="exact"/>
        <w:rPr>
          <w:sz w:val="20"/>
          <w:szCs w:val="20"/>
          <w:color w:val="auto"/>
        </w:rPr>
      </w:pPr>
    </w:p>
    <w:p>
      <w:pPr>
        <w:ind w:right="160"/>
        <w:spacing w:after="0" w:line="306" w:lineRule="auto"/>
        <w:rPr>
          <w:sz w:val="20"/>
          <w:szCs w:val="20"/>
          <w:color w:val="auto"/>
        </w:rPr>
      </w:pPr>
      <w:r>
        <w:rPr>
          <w:rFonts w:ascii="Arial" w:cs="Arial" w:eastAsia="Arial" w:hAnsi="Arial"/>
          <w:sz w:val="16"/>
          <w:szCs w:val="16"/>
          <w:color w:val="auto"/>
        </w:rPr>
        <w:t>Revenue of $1.8 billion increased 16%. Almost all GeoMarkets in the Area recorded strong double-digit growth led by Drilling &amp; Measurements and Well Services activities in the Malaysia/Brunei/Philippines GeoMarket, and as a result of new contract wins in the Gulf GeoMarket. Pretax operating income of $416 grew 34% due to increases in the Drilling &amp; Measurements and Well Completions &amp; Productivity technology segments.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WesternGeco</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2003 Results</w:t>
      </w:r>
    </w:p>
    <w:p>
      <w:pPr>
        <w:spacing w:after="0" w:line="74" w:lineRule="exact"/>
        <w:rPr>
          <w:sz w:val="20"/>
          <w:szCs w:val="20"/>
          <w:color w:val="auto"/>
        </w:rPr>
      </w:pPr>
    </w:p>
    <w:p>
      <w:pPr>
        <w:ind w:right="80"/>
        <w:spacing w:after="0" w:line="283" w:lineRule="auto"/>
        <w:rPr>
          <w:sz w:val="20"/>
          <w:szCs w:val="20"/>
          <w:color w:val="auto"/>
        </w:rPr>
      </w:pPr>
      <w:r>
        <w:rPr>
          <w:rFonts w:ascii="Arial" w:cs="Arial" w:eastAsia="Arial" w:hAnsi="Arial"/>
          <w:sz w:val="16"/>
          <w:szCs w:val="16"/>
          <w:color w:val="auto"/>
        </w:rPr>
        <w:t>Revenue for 2003 was $1.2 billion versus $1.5 billion in 2002, reflecting a 20% decrease year-on-year. This was primarily due to lower land crew activity following the exiting of the North American Land market combined with the completion of some contracts in the Middle East. The decrease in revenue was also due to declines in Multiclient sales principally in North &amp; South America, partially offset by increased Marine activity in Europe, Caspian and the Middle East. Q-Marine* continued to gain customer acceptance with 75% vessel utilization on third party contracts in the third quarter, and the first Q-on-Q time lapse survey, which was performed in the North Sea with initial processing results available after 11 days. The end of the year saw a return to traditional seasonal Multiclient revenue levels partially helped by the signing of a long-term business agreement with a major energy company that included the licensing of part of the WesternGeco data library, as well as joint R&amp;D and training on new technology for seismic data processing.</w:t>
      </w:r>
    </w:p>
    <w:p>
      <w:pPr>
        <w:ind w:firstLine="228"/>
        <w:spacing w:after="0" w:line="281" w:lineRule="auto"/>
        <w:rPr>
          <w:sz w:val="20"/>
          <w:szCs w:val="20"/>
          <w:color w:val="auto"/>
        </w:rPr>
      </w:pPr>
      <w:r>
        <w:rPr>
          <w:rFonts w:ascii="Arial" w:cs="Arial" w:eastAsia="Arial" w:hAnsi="Arial"/>
          <w:sz w:val="16"/>
          <w:szCs w:val="16"/>
          <w:color w:val="auto"/>
        </w:rPr>
        <w:t>Including Multiclient pre-commitments, the backlog at the end of 2003 reached $408 million, reflecting the award of a number of Land contracts in the Middle East and a material Multiclient volume agreement signed in the fourth quarter. During 2003, Q-Marine continued to command significant pricing premiums as a result of the added value obtained from the delivered product, but pricing across other business segments was flat to down for conventional marine, land and data processing activity due to continued overcapacity in the industry. The company’s decision to acquire only significantly prefunded multiclient surveys, along with lower amortization following the impairment charge in 2003, resulted in the Multiclient product line being in a much healthier condition at the end of the year. Q-Marine penetration continued strong, reflected by the doubling of Q revenue year-on-year.</w:t>
      </w:r>
    </w:p>
    <w:p>
      <w:pPr>
        <w:spacing w:after="0" w:line="4" w:lineRule="exact"/>
        <w:rPr>
          <w:sz w:val="20"/>
          <w:szCs w:val="20"/>
          <w:color w:val="auto"/>
        </w:rPr>
      </w:pPr>
    </w:p>
    <w:p>
      <w:pPr>
        <w:ind w:right="100" w:firstLine="228"/>
        <w:spacing w:after="0" w:line="255" w:lineRule="auto"/>
        <w:rPr>
          <w:sz w:val="20"/>
          <w:szCs w:val="20"/>
          <w:color w:val="auto"/>
        </w:rPr>
      </w:pPr>
      <w:r>
        <w:rPr>
          <w:rFonts w:ascii="Arial" w:cs="Arial" w:eastAsia="Arial" w:hAnsi="Arial"/>
          <w:sz w:val="18"/>
          <w:szCs w:val="18"/>
          <w:color w:val="auto"/>
        </w:rPr>
        <w:t>Pretax operating loss was $20 million versus a profit of $71 million in 2002 (excluding Multiclient impairment and other charges in both years) mainly due to significantly higher Multiclient amortization charges as a result of lower sales and a more conservative amortization policy in light of business conditions. The lower Multiclient sales were primarily due to an overall lessening in interest in the Gulf of Mexico from</w:t>
      </w:r>
    </w:p>
    <w:p>
      <w:pPr>
        <w:spacing w:after="0" w:line="128" w:lineRule="exact"/>
        <w:rPr>
          <w:sz w:val="20"/>
          <w:szCs w:val="20"/>
          <w:color w:val="auto"/>
        </w:rPr>
      </w:pPr>
    </w:p>
    <w:p>
      <w:pPr>
        <w:spacing w:after="0"/>
        <w:tabs>
          <w:tab w:leader="none" w:pos="10400" w:val="left"/>
        </w:tabs>
        <w:rPr>
          <w:sz w:val="20"/>
          <w:szCs w:val="20"/>
          <w:color w:val="auto"/>
        </w:rPr>
      </w:pPr>
      <w:r>
        <w:rPr>
          <w:rFonts w:ascii="Arial" w:cs="Arial" w:eastAsia="Arial" w:hAnsi="Arial"/>
          <w:sz w:val="14"/>
          <w:szCs w:val="14"/>
          <w:color w:val="auto"/>
        </w:rPr>
        <w:t>19 / SLB</w:t>
      </w:r>
      <w:r>
        <w:rPr>
          <w:sz w:val="20"/>
          <w:szCs w:val="20"/>
          <w:color w:val="auto"/>
        </w:rPr>
        <w:tab/>
      </w:r>
      <w:r>
        <w:rPr>
          <w:rFonts w:ascii="Arial" w:cs="Arial" w:eastAsia="Arial" w:hAnsi="Arial"/>
          <w:sz w:val="12"/>
          <w:szCs w:val="12"/>
          <w:color w:val="auto"/>
        </w:rPr>
        <w:t>2003 FORM 10-K</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4"/>
          <w:szCs w:val="14"/>
          <w:color w:val="auto"/>
        </w:rPr>
        <w:t>Part II, Item 7</w:t>
      </w:r>
    </w:p>
    <w:p>
      <w:pPr>
        <w:spacing w:after="0" w:line="139" w:lineRule="exact"/>
        <w:rPr>
          <w:sz w:val="20"/>
          <w:szCs w:val="20"/>
          <w:color w:val="auto"/>
        </w:rPr>
      </w:pPr>
    </w:p>
    <w:p>
      <w:pPr>
        <w:ind w:right="140"/>
        <w:spacing w:after="0" w:line="286" w:lineRule="auto"/>
        <w:rPr>
          <w:sz w:val="20"/>
          <w:szCs w:val="20"/>
          <w:color w:val="auto"/>
        </w:rPr>
      </w:pPr>
      <w:r>
        <w:rPr>
          <w:rFonts w:ascii="Arial" w:cs="Arial" w:eastAsia="Arial" w:hAnsi="Arial"/>
          <w:sz w:val="16"/>
          <w:szCs w:val="16"/>
          <w:color w:val="auto"/>
        </w:rPr>
        <w:t>the major oil companies coupled with an average price reduction of approximately 30% during the year. The deterioration in the Multiclient results was partially offset by an improvement in Land and Marine following the fourth quarter 2002 restructuring program combined with better service delivery.</w:t>
      </w:r>
    </w:p>
    <w:p>
      <w:pPr>
        <w:ind w:right="320" w:firstLine="228"/>
        <w:spacing w:after="0" w:line="261" w:lineRule="auto"/>
        <w:rPr>
          <w:sz w:val="20"/>
          <w:szCs w:val="20"/>
          <w:color w:val="auto"/>
        </w:rPr>
      </w:pPr>
      <w:r>
        <w:rPr>
          <w:rFonts w:ascii="Arial" w:cs="Arial" w:eastAsia="Arial" w:hAnsi="Arial"/>
          <w:sz w:val="18"/>
          <w:szCs w:val="18"/>
          <w:color w:val="auto"/>
        </w:rPr>
        <w:t>In the third quarter, an impairment charge of $398 million pretax was taken against the multiclient library and there was a $54 million pretax charge on the Western Trident and Western Monarch vessels.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2002 Results</w:t>
      </w:r>
    </w:p>
    <w:p>
      <w:pPr>
        <w:spacing w:after="0" w:line="74"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WesternGeco revenue of $1.5 billion decreased 13% compared to the prior year, primarily due to decreased activity in North America and Europe/CIS/W. Africa, which were partially offset by increases in Latin America and the Middle East &amp; Asia.</w:t>
      </w:r>
    </w:p>
    <w:p>
      <w:pPr>
        <w:ind w:right="100" w:firstLine="228"/>
        <w:spacing w:after="0" w:line="250" w:lineRule="auto"/>
        <w:rPr>
          <w:sz w:val="20"/>
          <w:szCs w:val="20"/>
          <w:color w:val="auto"/>
        </w:rPr>
      </w:pPr>
      <w:r>
        <w:rPr>
          <w:rFonts w:ascii="Arial" w:cs="Arial" w:eastAsia="Arial" w:hAnsi="Arial"/>
          <w:sz w:val="18"/>
          <w:szCs w:val="18"/>
          <w:color w:val="auto"/>
        </w:rPr>
        <w:t>The seismic downturn continued throughout 2002 resulting in significantly lower activity levels, a reduction in Multiclient sales, and extreme pricing pressures on all services due to large overcapacity in the seismic industry. Significant workforce reductions were made in the fourth quarter of 2002 as a result of the decision to stop Land acquisition activities in the US lower 48 states and Canada.</w:t>
      </w:r>
    </w:p>
    <w:p>
      <w:pPr>
        <w:spacing w:after="0" w:line="1" w:lineRule="exact"/>
        <w:rPr>
          <w:sz w:val="20"/>
          <w:szCs w:val="20"/>
          <w:color w:val="auto"/>
        </w:rPr>
      </w:pPr>
    </w:p>
    <w:p>
      <w:pPr>
        <w:ind w:right="40" w:firstLine="228"/>
        <w:spacing w:after="0" w:line="323" w:lineRule="auto"/>
        <w:rPr>
          <w:sz w:val="20"/>
          <w:szCs w:val="20"/>
          <w:color w:val="auto"/>
        </w:rPr>
      </w:pPr>
      <w:r>
        <w:rPr>
          <w:rFonts w:ascii="Arial" w:cs="Arial" w:eastAsia="Arial" w:hAnsi="Arial"/>
          <w:sz w:val="16"/>
          <w:szCs w:val="16"/>
          <w:color w:val="auto"/>
        </w:rPr>
        <w:t>Pretax operating income of $71 million fell 68%, primarily due to significantly lower Multiclient sales and decreased activities in North America coupled with Land seismic contract losses in Mexico and Marine seismic contract losses in India, both of which were related to production delays.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2001 Results</w:t>
      </w:r>
    </w:p>
    <w:p>
      <w:pPr>
        <w:spacing w:after="0" w:line="74" w:lineRule="exact"/>
        <w:rPr>
          <w:sz w:val="20"/>
          <w:szCs w:val="20"/>
          <w:color w:val="auto"/>
        </w:rPr>
      </w:pPr>
    </w:p>
    <w:p>
      <w:pPr>
        <w:ind w:right="440"/>
        <w:spacing w:after="0" w:line="306" w:lineRule="auto"/>
        <w:rPr>
          <w:sz w:val="20"/>
          <w:szCs w:val="20"/>
          <w:color w:val="auto"/>
        </w:rPr>
      </w:pPr>
      <w:r>
        <w:rPr>
          <w:rFonts w:ascii="Arial" w:cs="Arial" w:eastAsia="Arial" w:hAnsi="Arial"/>
          <w:sz w:val="16"/>
          <w:szCs w:val="16"/>
          <w:color w:val="auto"/>
        </w:rPr>
        <w:t>The WesternGeco joint venture was formed on November 30, 2000. Revenue in 2001 was $1.7 billion and pretax operating income was $221 million. The Malaysia/Brunei/Philippines, Alaska, Gulf Coast, and West &amp; South Africa GeoMarkets recorded the strongest results for the year. Multiclient sales of $654 million in a favorable pricing environment also contributed to the high level of activity and were the major contributor to the operating income.</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SchlumbergerSema</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2003 Results</w:t>
      </w:r>
    </w:p>
    <w:p>
      <w:pPr>
        <w:spacing w:after="0" w:line="74" w:lineRule="exact"/>
        <w:rPr>
          <w:sz w:val="20"/>
          <w:szCs w:val="20"/>
          <w:color w:val="auto"/>
        </w:rPr>
      </w:pPr>
    </w:p>
    <w:p>
      <w:pPr>
        <w:ind w:left="240" w:right="180" w:hanging="227"/>
        <w:spacing w:after="0" w:line="286" w:lineRule="auto"/>
        <w:rPr>
          <w:sz w:val="20"/>
          <w:szCs w:val="20"/>
          <w:color w:val="auto"/>
        </w:rPr>
      </w:pPr>
      <w:r>
        <w:rPr>
          <w:rFonts w:ascii="Arial" w:cs="Arial" w:eastAsia="Arial" w:hAnsi="Arial"/>
          <w:sz w:val="16"/>
          <w:szCs w:val="16"/>
          <w:color w:val="auto"/>
        </w:rPr>
        <w:t>On September 22, 2003, Schlumberger announced its intention to sell the SchlumbergerSema business to Atos Origin. The sale closed on January 29, 2004. The transaction proceeds consisted of €443 million ($550 million) in cash, which included a working capital adjustment, and 19.3 million shares of common</w:t>
      </w:r>
    </w:p>
    <w:p>
      <w:pPr>
        <w:ind w:right="220"/>
        <w:spacing w:after="0" w:line="250" w:lineRule="auto"/>
        <w:rPr>
          <w:sz w:val="20"/>
          <w:szCs w:val="20"/>
          <w:color w:val="auto"/>
        </w:rPr>
      </w:pPr>
      <w:r>
        <w:rPr>
          <w:rFonts w:ascii="Arial" w:cs="Arial" w:eastAsia="Arial" w:hAnsi="Arial"/>
          <w:sz w:val="18"/>
          <w:szCs w:val="18"/>
          <w:color w:val="auto"/>
        </w:rPr>
        <w:t>stock of Atos Origin with a value of €1.02 billion ($1.275 billion) which represented approximately 29% of the outstanding common shares of Atos Origin. On February 2, 2004, Schlumberger sold 9.6 million shares for $630 million reducing its investment in Atos Origin to approximately 15% of the outstanding common shares.</w:t>
      </w:r>
    </w:p>
    <w:p>
      <w:pPr>
        <w:spacing w:after="0" w:line="1" w:lineRule="exact"/>
        <w:rPr>
          <w:sz w:val="20"/>
          <w:szCs w:val="20"/>
          <w:color w:val="auto"/>
        </w:rPr>
      </w:pPr>
    </w:p>
    <w:p>
      <w:pPr>
        <w:ind w:right="80" w:firstLine="228"/>
        <w:spacing w:after="0" w:line="250" w:lineRule="auto"/>
        <w:rPr>
          <w:sz w:val="20"/>
          <w:szCs w:val="20"/>
          <w:color w:val="auto"/>
        </w:rPr>
      </w:pPr>
      <w:r>
        <w:rPr>
          <w:rFonts w:ascii="Arial" w:cs="Arial" w:eastAsia="Arial" w:hAnsi="Arial"/>
          <w:sz w:val="18"/>
          <w:szCs w:val="18"/>
          <w:color w:val="auto"/>
        </w:rPr>
        <w:t>Revenue of $2.7 billion was 11% higher than 2002. The increase was mainly due to the strengthening of the European currencies against the US dollar, with a positive impact of $274 million, resulting in an underlying decrease in operating revenue of $6 million.</w:t>
      </w:r>
    </w:p>
    <w:p>
      <w:pPr>
        <w:spacing w:after="0" w:line="1" w:lineRule="exact"/>
        <w:rPr>
          <w:sz w:val="20"/>
          <w:szCs w:val="20"/>
          <w:color w:val="auto"/>
        </w:rPr>
      </w:pPr>
    </w:p>
    <w:p>
      <w:pPr>
        <w:ind w:right="380" w:firstLine="228"/>
        <w:spacing w:after="0" w:line="323" w:lineRule="auto"/>
        <w:rPr>
          <w:sz w:val="20"/>
          <w:szCs w:val="20"/>
          <w:color w:val="auto"/>
        </w:rPr>
      </w:pPr>
      <w:r>
        <w:rPr>
          <w:rFonts w:ascii="Arial" w:cs="Arial" w:eastAsia="Arial" w:hAnsi="Arial"/>
          <w:sz w:val="16"/>
          <w:szCs w:val="16"/>
          <w:color w:val="auto"/>
        </w:rPr>
        <w:t>Pretax operating income of $61 million increased $44 million versus 2002. The improvement in profitability reflected the full year benefit of indirect cost reduction programs carried out in 2002 in North America, Asia, UK, and Sweden coupled with improvement in gross margins in Asia and South America.</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 &amp; South America</w:t>
      </w:r>
    </w:p>
    <w:p>
      <w:pPr>
        <w:spacing w:after="0" w:line="74"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color w:val="auto"/>
        </w:rPr>
        <w:t>Revenue of $350 million decreased 2% mainly due to the Salt Lake City Olympic Games revenue in 2002, partially offset by new contracts for Lee County, Florida; Dallas County, Texas; Sprint; and the city of Los Angeles, California.</w:t>
      </w:r>
    </w:p>
    <w:p>
      <w:pPr>
        <w:spacing w:after="0" w:line="116" w:lineRule="exact"/>
        <w:rPr>
          <w:sz w:val="20"/>
          <w:szCs w:val="20"/>
          <w:color w:val="auto"/>
        </w:rPr>
      </w:pPr>
    </w:p>
    <w:p>
      <w:pPr>
        <w:spacing w:after="0"/>
        <w:tabs>
          <w:tab w:leader="none" w:pos="10400" w:val="left"/>
        </w:tabs>
        <w:rPr>
          <w:sz w:val="20"/>
          <w:szCs w:val="20"/>
          <w:color w:val="auto"/>
        </w:rPr>
      </w:pPr>
      <w:r>
        <w:rPr>
          <w:rFonts w:ascii="Arial" w:cs="Arial" w:eastAsia="Arial" w:hAnsi="Arial"/>
          <w:sz w:val="14"/>
          <w:szCs w:val="14"/>
          <w:color w:val="auto"/>
        </w:rPr>
        <w:t>20 / SLB</w:t>
      </w:r>
      <w:r>
        <w:rPr>
          <w:sz w:val="20"/>
          <w:szCs w:val="20"/>
          <w:color w:val="auto"/>
        </w:rPr>
        <w:tab/>
      </w:r>
      <w:r>
        <w:rPr>
          <w:rFonts w:ascii="Arial" w:cs="Arial" w:eastAsia="Arial" w:hAnsi="Arial"/>
          <w:sz w:val="12"/>
          <w:szCs w:val="12"/>
          <w:color w:val="auto"/>
        </w:rPr>
        <w:t>2003 FORM 10-K</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4"/>
          <w:szCs w:val="14"/>
          <w:color w:val="auto"/>
        </w:rPr>
        <w:t>Part II, Item 7</w:t>
      </w:r>
    </w:p>
    <w:p>
      <w:pPr>
        <w:spacing w:after="0" w:line="139" w:lineRule="exact"/>
        <w:rPr>
          <w:sz w:val="20"/>
          <w:szCs w:val="20"/>
          <w:color w:val="auto"/>
        </w:rPr>
      </w:pPr>
    </w:p>
    <w:p>
      <w:pPr>
        <w:ind w:right="20" w:firstLine="228"/>
        <w:spacing w:after="0" w:line="332" w:lineRule="auto"/>
        <w:rPr>
          <w:sz w:val="20"/>
          <w:szCs w:val="20"/>
          <w:color w:val="auto"/>
        </w:rPr>
      </w:pPr>
      <w:r>
        <w:rPr>
          <w:rFonts w:ascii="Arial" w:cs="Arial" w:eastAsia="Arial" w:hAnsi="Arial"/>
          <w:sz w:val="16"/>
          <w:szCs w:val="16"/>
          <w:color w:val="auto"/>
        </w:rPr>
        <w:t>Pretax operating income of $3 million increased $57 million year-on-year. Despite the decline in revenue, operating income increased substantially mainly due to the positive impact of indirect cost reduction programs initiated in 2002, which had a full impact of $29 million in 2003.</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Europe/Middle East/Africa</w:t>
      </w:r>
    </w:p>
    <w:p>
      <w:pPr>
        <w:spacing w:after="0" w:line="74" w:lineRule="exact"/>
        <w:rPr>
          <w:sz w:val="20"/>
          <w:szCs w:val="20"/>
          <w:color w:val="auto"/>
        </w:rPr>
      </w:pPr>
    </w:p>
    <w:p>
      <w:pPr>
        <w:ind w:right="100"/>
        <w:spacing w:after="0" w:line="283" w:lineRule="auto"/>
        <w:rPr>
          <w:sz w:val="20"/>
          <w:szCs w:val="20"/>
          <w:color w:val="auto"/>
        </w:rPr>
      </w:pPr>
      <w:r>
        <w:rPr>
          <w:rFonts w:ascii="Arial" w:cs="Arial" w:eastAsia="Arial" w:hAnsi="Arial"/>
          <w:sz w:val="16"/>
          <w:szCs w:val="16"/>
          <w:color w:val="auto"/>
        </w:rPr>
        <w:t>Revenue of $2.2 billion increased 14% mainly due to the appreciation of European currencies against the US dollar. Revenue from operations declined due to a depressed IT market in Italy, a more than 20% average selling price drop in France, and a sharp downturn in the telecommunications industry in Germany. These declines were substantially offset by a significant increase in revenue in the UK due to the Metropolitan Police, Department of Works and Pension, Consignia, and Department of Trade and Industry contracts, and by the award of the All Africa Games project in Nigeria.</w:t>
      </w:r>
    </w:p>
    <w:p>
      <w:pPr>
        <w:spacing w:after="0" w:line="3" w:lineRule="exact"/>
        <w:rPr>
          <w:sz w:val="20"/>
          <w:szCs w:val="20"/>
          <w:color w:val="auto"/>
        </w:rPr>
      </w:pPr>
    </w:p>
    <w:p>
      <w:pPr>
        <w:ind w:right="140" w:firstLine="228"/>
        <w:spacing w:after="0" w:line="254" w:lineRule="auto"/>
        <w:rPr>
          <w:sz w:val="20"/>
          <w:szCs w:val="20"/>
          <w:color w:val="auto"/>
        </w:rPr>
      </w:pPr>
      <w:r>
        <w:rPr>
          <w:rFonts w:ascii="Arial" w:cs="Arial" w:eastAsia="Arial" w:hAnsi="Arial"/>
          <w:sz w:val="18"/>
          <w:szCs w:val="18"/>
          <w:color w:val="auto"/>
        </w:rPr>
        <w:t>Pretax operating income of $46 million decreased 65% year-on-year reflecting the impact of lower revenue from operations due to the major downturn in the IT industry, especially in France and Germany. Profitability also decreased due to extra service delivery costs in Sweden, and higher pension costs in France. These decreases were partially offset by the benefit of indirect cost reduction programs in the UK, as well as increased profitability from the revenue growth in the UK and Nigeria.</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Asia</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Revenue of $144 million decreased 4% mainly due to a lower activity level in India and Taiwan.</w:t>
      </w:r>
    </w:p>
    <w:p>
      <w:pPr>
        <w:spacing w:after="0" w:line="15" w:lineRule="exact"/>
        <w:rPr>
          <w:sz w:val="20"/>
          <w:szCs w:val="20"/>
          <w:color w:val="auto"/>
        </w:rPr>
      </w:pPr>
    </w:p>
    <w:p>
      <w:pPr>
        <w:ind w:right="260" w:firstLine="228"/>
        <w:spacing w:after="0" w:line="261" w:lineRule="auto"/>
        <w:rPr>
          <w:sz w:val="20"/>
          <w:szCs w:val="20"/>
          <w:color w:val="auto"/>
        </w:rPr>
      </w:pPr>
      <w:r>
        <w:rPr>
          <w:rFonts w:ascii="Arial" w:cs="Arial" w:eastAsia="Arial" w:hAnsi="Arial"/>
          <w:sz w:val="18"/>
          <w:szCs w:val="18"/>
          <w:color w:val="auto"/>
        </w:rPr>
        <w:t>Pretax operating income increased from break-even in 2002 to $34 million profit in 2003, reflecting a 10% increase in gross margins, as well as lower costs following headcount reduction programs initiated in 2001 and 2002.</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2002 Results</w:t>
      </w:r>
    </w:p>
    <w:p>
      <w:pPr>
        <w:spacing w:after="0" w:line="74" w:lineRule="exact"/>
        <w:rPr>
          <w:sz w:val="20"/>
          <w:szCs w:val="20"/>
          <w:color w:val="auto"/>
        </w:rPr>
      </w:pPr>
    </w:p>
    <w:p>
      <w:pPr>
        <w:ind w:right="320"/>
        <w:spacing w:after="0" w:line="254" w:lineRule="auto"/>
        <w:rPr>
          <w:sz w:val="20"/>
          <w:szCs w:val="20"/>
          <w:color w:val="auto"/>
        </w:rPr>
      </w:pPr>
      <w:r>
        <w:rPr>
          <w:rFonts w:ascii="Arial" w:cs="Arial" w:eastAsia="Arial" w:hAnsi="Arial"/>
          <w:sz w:val="18"/>
          <w:szCs w:val="18"/>
          <w:color w:val="auto"/>
        </w:rPr>
        <w:t>Revenue of $2.4 billion increased 31% compared to 2001 mainly due to the acquisition of Sema plc whose results were consolidated with effect from April 1, 2001.</w:t>
      </w:r>
    </w:p>
    <w:p>
      <w:pPr>
        <w:ind w:right="520" w:firstLine="228"/>
        <w:spacing w:after="0" w:line="261" w:lineRule="auto"/>
        <w:rPr>
          <w:sz w:val="20"/>
          <w:szCs w:val="20"/>
          <w:color w:val="auto"/>
        </w:rPr>
      </w:pPr>
      <w:r>
        <w:rPr>
          <w:rFonts w:ascii="Arial" w:cs="Arial" w:eastAsia="Arial" w:hAnsi="Arial"/>
          <w:sz w:val="18"/>
          <w:szCs w:val="18"/>
          <w:color w:val="auto"/>
        </w:rPr>
        <w:t>The pretax operating income was $17 million compared to a loss of $15 million in 2001, reflecting the cost reductions initiatives implemented since the integration of Sema plc into Schlumberger.</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 &amp; South America</w:t>
      </w:r>
    </w:p>
    <w:p>
      <w:pPr>
        <w:spacing w:after="0" w:line="74" w:lineRule="exact"/>
        <w:rPr>
          <w:sz w:val="20"/>
          <w:szCs w:val="20"/>
          <w:color w:val="auto"/>
        </w:rPr>
      </w:pPr>
    </w:p>
    <w:p>
      <w:pPr>
        <w:ind w:right="300"/>
        <w:spacing w:after="0" w:line="252" w:lineRule="auto"/>
        <w:rPr>
          <w:sz w:val="20"/>
          <w:szCs w:val="20"/>
          <w:color w:val="auto"/>
        </w:rPr>
      </w:pPr>
      <w:r>
        <w:rPr>
          <w:rFonts w:ascii="Arial" w:cs="Arial" w:eastAsia="Arial" w:hAnsi="Arial"/>
          <w:sz w:val="18"/>
          <w:szCs w:val="18"/>
          <w:color w:val="auto"/>
        </w:rPr>
        <w:t>Revenue of $356 million decreased 7% over 2001 primarily due a declining activity level in the telecommunications and utility industries due primarily to the weak IT services spending environment as customers faced economic challenges and continued to revise budgets downwards and delay decisions on contract awards. At the 2002 Winter Olympic Games, SchlumbergerSema led a consortium of 15 technology partners in a three-year long project to deliver the IT infrastructure needed to run the Games.</w:t>
      </w:r>
    </w:p>
    <w:p>
      <w:pPr>
        <w:spacing w:after="0" w:line="1" w:lineRule="exact"/>
        <w:rPr>
          <w:sz w:val="20"/>
          <w:szCs w:val="20"/>
          <w:color w:val="auto"/>
        </w:rPr>
      </w:pPr>
    </w:p>
    <w:p>
      <w:pPr>
        <w:ind w:right="200" w:firstLine="228"/>
        <w:spacing w:after="0" w:line="364" w:lineRule="auto"/>
        <w:rPr>
          <w:sz w:val="20"/>
          <w:szCs w:val="20"/>
          <w:color w:val="auto"/>
        </w:rPr>
      </w:pPr>
      <w:r>
        <w:rPr>
          <w:rFonts w:ascii="Arial" w:cs="Arial" w:eastAsia="Arial" w:hAnsi="Arial"/>
          <w:sz w:val="18"/>
          <w:szCs w:val="18"/>
          <w:color w:val="auto"/>
        </w:rPr>
        <w:t xml:space="preserve">Pretax operating loss of $54 million improved by $4 million over 2001, mainly attributable to the cost reduction programs implemented throughout the area. </w:t>
      </w:r>
      <w:r>
        <w:rPr>
          <w:rFonts w:ascii="Arial" w:cs="Arial" w:eastAsia="Arial" w:hAnsi="Arial"/>
          <w:sz w:val="18"/>
          <w:szCs w:val="18"/>
          <w:b w:val="1"/>
          <w:bCs w:val="1"/>
          <w:color w:val="auto"/>
        </w:rPr>
        <w:t>Europe/Middle East/Africa</w:t>
      </w:r>
    </w:p>
    <w:p>
      <w:pPr>
        <w:spacing w:after="0" w:line="1"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Revenue of $1.9 billion increased 33% over 2002 mainly due to the inclusion of a full year’s revenue from the acquisition of Sema plc compared to nine months in 2001. Additionally, the main growth contributor was the Public Sector mainly in the UK where SchlumbergerSema won large outsourcing contracts with the Association of Train Operating Companies, the Department of Works and Pension, and the Vehicle Inspectorate, and a health and welfare services project to Consignia’s 220,000 employees.</w:t>
      </w:r>
    </w:p>
    <w:p>
      <w:pPr>
        <w:spacing w:after="0" w:line="1" w:lineRule="exact"/>
        <w:rPr>
          <w:sz w:val="20"/>
          <w:szCs w:val="20"/>
          <w:color w:val="auto"/>
        </w:rPr>
      </w:pPr>
    </w:p>
    <w:p>
      <w:pPr>
        <w:ind w:right="180" w:firstLine="228"/>
        <w:spacing w:after="0" w:line="261" w:lineRule="auto"/>
        <w:rPr>
          <w:sz w:val="20"/>
          <w:szCs w:val="20"/>
          <w:color w:val="auto"/>
        </w:rPr>
      </w:pPr>
      <w:r>
        <w:rPr>
          <w:rFonts w:ascii="Arial" w:cs="Arial" w:eastAsia="Arial" w:hAnsi="Arial"/>
          <w:sz w:val="18"/>
          <w:szCs w:val="18"/>
          <w:color w:val="auto"/>
        </w:rPr>
        <w:t>Pretax operating income of $132 million increased 33% due mainly to the cost cutting program implemented throughout the year and higher activity level in the UK.</w:t>
      </w:r>
    </w:p>
    <w:p>
      <w:pPr>
        <w:spacing w:after="0" w:line="122" w:lineRule="exact"/>
        <w:rPr>
          <w:sz w:val="20"/>
          <w:szCs w:val="20"/>
          <w:color w:val="auto"/>
        </w:rPr>
      </w:pPr>
    </w:p>
    <w:p>
      <w:pPr>
        <w:spacing w:after="0"/>
        <w:tabs>
          <w:tab w:leader="none" w:pos="10400" w:val="left"/>
        </w:tabs>
        <w:rPr>
          <w:sz w:val="20"/>
          <w:szCs w:val="20"/>
          <w:color w:val="auto"/>
        </w:rPr>
      </w:pPr>
      <w:r>
        <w:rPr>
          <w:rFonts w:ascii="Arial" w:cs="Arial" w:eastAsia="Arial" w:hAnsi="Arial"/>
          <w:sz w:val="14"/>
          <w:szCs w:val="14"/>
          <w:color w:val="auto"/>
        </w:rPr>
        <w:t>21 / SLB</w:t>
      </w:r>
      <w:r>
        <w:rPr>
          <w:sz w:val="20"/>
          <w:szCs w:val="20"/>
          <w:color w:val="auto"/>
        </w:rPr>
        <w:tab/>
      </w:r>
      <w:r>
        <w:rPr>
          <w:rFonts w:ascii="Arial" w:cs="Arial" w:eastAsia="Arial" w:hAnsi="Arial"/>
          <w:sz w:val="12"/>
          <w:szCs w:val="12"/>
          <w:color w:val="auto"/>
        </w:rPr>
        <w:t>2003 FORM 10-K</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4"/>
          <w:szCs w:val="14"/>
          <w:color w:val="auto"/>
        </w:rPr>
        <w:t>Part II, Item 7</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Asia</w:t>
      </w:r>
    </w:p>
    <w:p>
      <w:pPr>
        <w:spacing w:after="0" w:line="74"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Revenue of $150 million increased 36% mainly due to the inclusion of a full year’s revenue from the acquisition of Sema plc compared to nine months in 2001. The decreased activity in telecommunications, mainly in China and Taiwan, was offset by the increase in the finance segment on new outsourcing contracts in the insurance sector in Japan and delivery of payment systems in China.</w:t>
      </w:r>
    </w:p>
    <w:p>
      <w:pPr>
        <w:ind w:left="240"/>
        <w:spacing w:after="0"/>
        <w:rPr>
          <w:sz w:val="20"/>
          <w:szCs w:val="20"/>
          <w:color w:val="auto"/>
        </w:rPr>
      </w:pPr>
      <w:r>
        <w:rPr>
          <w:rFonts w:ascii="Arial" w:cs="Arial" w:eastAsia="Arial" w:hAnsi="Arial"/>
          <w:sz w:val="16"/>
          <w:szCs w:val="16"/>
          <w:color w:val="auto"/>
        </w:rPr>
        <w:t>Pretax operating income decreased 94% mainly attributable to pricing pressure and economic declines in the telecommunications IT services industry.</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2001 Results</w:t>
      </w:r>
    </w:p>
    <w:p>
      <w:pPr>
        <w:spacing w:after="0" w:line="74" w:lineRule="exact"/>
        <w:rPr>
          <w:sz w:val="20"/>
          <w:szCs w:val="20"/>
          <w:color w:val="auto"/>
        </w:rPr>
      </w:pPr>
    </w:p>
    <w:p>
      <w:pPr>
        <w:spacing w:after="0"/>
        <w:rPr>
          <w:sz w:val="20"/>
          <w:szCs w:val="20"/>
          <w:color w:val="auto"/>
        </w:rPr>
      </w:pPr>
      <w:r>
        <w:rPr>
          <w:rFonts w:ascii="Arial" w:cs="Arial" w:eastAsia="Arial" w:hAnsi="Arial"/>
          <w:sz w:val="16"/>
          <w:szCs w:val="16"/>
          <w:color w:val="auto"/>
        </w:rPr>
        <w:t>On April 6, 2001, Schlumberger completed the acquisition of Sema plc, an IT and technical services company with a strong European presence, for $5.15 billion.</w:t>
      </w:r>
    </w:p>
    <w:p>
      <w:pPr>
        <w:spacing w:after="0" w:line="38" w:lineRule="exact"/>
        <w:rPr>
          <w:sz w:val="20"/>
          <w:szCs w:val="20"/>
          <w:color w:val="auto"/>
        </w:rPr>
      </w:pPr>
    </w:p>
    <w:p>
      <w:pPr>
        <w:ind w:left="240"/>
        <w:spacing w:after="0"/>
        <w:rPr>
          <w:sz w:val="20"/>
          <w:szCs w:val="20"/>
          <w:color w:val="auto"/>
        </w:rPr>
      </w:pPr>
      <w:r>
        <w:rPr>
          <w:rFonts w:ascii="Arial" w:cs="Arial" w:eastAsia="Arial" w:hAnsi="Arial"/>
          <w:sz w:val="18"/>
          <w:szCs w:val="18"/>
          <w:color w:val="auto"/>
        </w:rPr>
        <w:t>Revenue of $1.8 billion compared to $70 million in 2000 reflecting the acquisition of Sema plc.</w:t>
      </w:r>
    </w:p>
    <w:p>
      <w:pPr>
        <w:spacing w:after="0" w:line="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Pretax operating loss of $15 million improved $69 million over the prior year due to the addition of Sema plc.</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 &amp; South America</w:t>
      </w:r>
    </w:p>
    <w:p>
      <w:pPr>
        <w:spacing w:after="0" w:line="74"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Revenue of $381 million increased from $70 million in 2000 essentially due to the inclusion of SchlumbergerSema and the full year’s activity of the Convergent Group, acquired in November 2000 and CellNet Data Systems, acquired in June 2000.</w:t>
      </w:r>
    </w:p>
    <w:p>
      <w:pPr>
        <w:ind w:right="220" w:firstLine="228"/>
        <w:spacing w:after="0" w:line="261" w:lineRule="auto"/>
        <w:rPr>
          <w:sz w:val="20"/>
          <w:szCs w:val="20"/>
          <w:color w:val="auto"/>
        </w:rPr>
      </w:pPr>
      <w:r>
        <w:rPr>
          <w:rFonts w:ascii="Arial" w:cs="Arial" w:eastAsia="Arial" w:hAnsi="Arial"/>
          <w:sz w:val="18"/>
          <w:szCs w:val="18"/>
          <w:color w:val="auto"/>
        </w:rPr>
        <w:t>Pretax operating loss of $58 million improved $12 million compared to the previous year due to the inclusion of SchlumbergerSema and the new businesses acquired the previous year.</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Europe/Middle East/Africa</w:t>
      </w:r>
    </w:p>
    <w:p>
      <w:pPr>
        <w:spacing w:after="0" w:line="74" w:lineRule="exact"/>
        <w:rPr>
          <w:sz w:val="20"/>
          <w:szCs w:val="20"/>
          <w:color w:val="auto"/>
        </w:rPr>
      </w:pPr>
    </w:p>
    <w:p>
      <w:pPr>
        <w:ind w:right="440"/>
        <w:spacing w:after="0" w:line="254" w:lineRule="auto"/>
        <w:rPr>
          <w:sz w:val="20"/>
          <w:szCs w:val="20"/>
          <w:color w:val="auto"/>
        </w:rPr>
      </w:pPr>
      <w:r>
        <w:rPr>
          <w:rFonts w:ascii="Arial" w:cs="Arial" w:eastAsia="Arial" w:hAnsi="Arial"/>
          <w:sz w:val="18"/>
          <w:szCs w:val="18"/>
          <w:color w:val="auto"/>
        </w:rPr>
        <w:t>Revenue of $1.4 billion in 2001 compared to no activity in 2000 due to the inclusion of Sema plc. Main contracts included the award of multi-million dollar contracts in France for Banque de France and in the UK for Metropolitan Police.</w:t>
      </w:r>
    </w:p>
    <w:p>
      <w:pPr>
        <w:ind w:left="240"/>
        <w:spacing w:after="0"/>
        <w:rPr>
          <w:sz w:val="20"/>
          <w:szCs w:val="20"/>
          <w:color w:val="auto"/>
        </w:rPr>
      </w:pPr>
      <w:r>
        <w:rPr>
          <w:rFonts w:ascii="Arial" w:cs="Arial" w:eastAsia="Arial" w:hAnsi="Arial"/>
          <w:sz w:val="18"/>
          <w:szCs w:val="18"/>
          <w:color w:val="auto"/>
        </w:rPr>
        <w:t>Pretax operating income was $99 million due to the inclusion of Sema plc.</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Asia</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Revenue of $110 million compared to no activity in 2000 due to the inclusion of Sema plc.</w:t>
      </w:r>
    </w:p>
    <w:p>
      <w:pPr>
        <w:spacing w:after="0" w:line="15" w:lineRule="exact"/>
        <w:rPr>
          <w:sz w:val="20"/>
          <w:szCs w:val="20"/>
          <w:color w:val="auto"/>
        </w:rPr>
      </w:pPr>
    </w:p>
    <w:p>
      <w:pPr>
        <w:ind w:left="240"/>
        <w:spacing w:after="0"/>
        <w:rPr>
          <w:sz w:val="20"/>
          <w:szCs w:val="20"/>
          <w:color w:val="auto"/>
        </w:rPr>
      </w:pPr>
      <w:r>
        <w:rPr>
          <w:rFonts w:ascii="Arial" w:cs="Arial" w:eastAsia="Arial" w:hAnsi="Arial"/>
          <w:sz w:val="18"/>
          <w:szCs w:val="18"/>
          <w:color w:val="auto"/>
        </w:rPr>
        <w:t>Pretax operating income was $8 million due to the inclusion of Sema plc.</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w:t>
      </w:r>
    </w:p>
    <w:p>
      <w:pPr>
        <w:spacing w:after="0" w:line="72" w:lineRule="exact"/>
        <w:rPr>
          <w:sz w:val="20"/>
          <w:szCs w:val="20"/>
          <w:color w:val="auto"/>
        </w:rPr>
      </w:pPr>
    </w:p>
    <w:p>
      <w:pPr>
        <w:ind w:right="660"/>
        <w:spacing w:after="0" w:line="332" w:lineRule="auto"/>
        <w:rPr>
          <w:sz w:val="20"/>
          <w:szCs w:val="20"/>
          <w:color w:val="auto"/>
        </w:rPr>
      </w:pPr>
      <w:r>
        <w:rPr>
          <w:rFonts w:ascii="Arial" w:cs="Arial" w:eastAsia="Arial" w:hAnsi="Arial"/>
          <w:sz w:val="16"/>
          <w:szCs w:val="16"/>
          <w:color w:val="auto"/>
        </w:rPr>
        <w:t>The activities included in this segment are Axalto (Smart Cards and Point-of-Sale Terminals), Electricity Meters, Business Continuity, Infodata, Telecom Software Products, Payphones, and Essentis. Active divestiture negotiations are currently ongoing for each of these activities.</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2003 Results</w:t>
      </w:r>
    </w:p>
    <w:p>
      <w:pPr>
        <w:spacing w:after="0" w:line="74" w:lineRule="exact"/>
        <w:rPr>
          <w:sz w:val="20"/>
          <w:szCs w:val="20"/>
          <w:color w:val="auto"/>
        </w:rPr>
      </w:pPr>
    </w:p>
    <w:p>
      <w:pPr>
        <w:ind w:right="480"/>
        <w:spacing w:after="0" w:line="286" w:lineRule="auto"/>
        <w:rPr>
          <w:sz w:val="20"/>
          <w:szCs w:val="20"/>
          <w:color w:val="auto"/>
        </w:rPr>
      </w:pPr>
      <w:r>
        <w:rPr>
          <w:rFonts w:ascii="Arial" w:cs="Arial" w:eastAsia="Arial" w:hAnsi="Arial"/>
          <w:sz w:val="16"/>
          <w:szCs w:val="16"/>
          <w:color w:val="auto"/>
        </w:rPr>
        <w:t>In July 2003, Schlumberger entered into an agreement to sell the Electricity Meters activity to Itron Inc. for $255 million in cash. The deal is expected to be completed in the first half of 2004 depending upon the successful completion of the Hart-Scott-Rodino review process and other conditions.</w:t>
      </w:r>
    </w:p>
    <w:p>
      <w:pPr>
        <w:ind w:right="100" w:firstLine="228"/>
        <w:spacing w:after="0" w:line="254" w:lineRule="auto"/>
        <w:rPr>
          <w:sz w:val="20"/>
          <w:szCs w:val="20"/>
          <w:color w:val="auto"/>
        </w:rPr>
      </w:pPr>
      <w:r>
        <w:rPr>
          <w:rFonts w:ascii="Arial" w:cs="Arial" w:eastAsia="Arial" w:hAnsi="Arial"/>
          <w:sz w:val="18"/>
          <w:szCs w:val="18"/>
          <w:color w:val="auto"/>
        </w:rPr>
        <w:t>Revenue of $1.5 billion increased 11% over 2002. Electricity Meters had a 25% improvement on revenue of $294 million partially as a result of the transition from electro-mechanical meters to solid-state meters. Also contributing to revenue growth, Smart Cards and Point-of-Sale Terminals revenue of $776 million increased 8% principally due to strong demand for Subscriber Identity Module (SIM) cards for the mobile communications sector, particularly in North &amp; South America and Eastern Europe.</w:t>
      </w:r>
    </w:p>
    <w:p>
      <w:pPr>
        <w:spacing w:after="0" w:line="128" w:lineRule="exact"/>
        <w:rPr>
          <w:sz w:val="20"/>
          <w:szCs w:val="20"/>
          <w:color w:val="auto"/>
        </w:rPr>
      </w:pPr>
    </w:p>
    <w:p>
      <w:pPr>
        <w:spacing w:after="0"/>
        <w:tabs>
          <w:tab w:leader="none" w:pos="10400" w:val="left"/>
        </w:tabs>
        <w:rPr>
          <w:sz w:val="20"/>
          <w:szCs w:val="20"/>
          <w:color w:val="auto"/>
        </w:rPr>
      </w:pPr>
      <w:r>
        <w:rPr>
          <w:rFonts w:ascii="Arial" w:cs="Arial" w:eastAsia="Arial" w:hAnsi="Arial"/>
          <w:sz w:val="14"/>
          <w:szCs w:val="14"/>
          <w:color w:val="auto"/>
        </w:rPr>
        <w:t>22 / SLB</w:t>
      </w:r>
      <w:r>
        <w:rPr>
          <w:sz w:val="20"/>
          <w:szCs w:val="20"/>
          <w:color w:val="auto"/>
        </w:rPr>
        <w:tab/>
      </w:r>
      <w:r>
        <w:rPr>
          <w:rFonts w:ascii="Arial" w:cs="Arial" w:eastAsia="Arial" w:hAnsi="Arial"/>
          <w:sz w:val="12"/>
          <w:szCs w:val="12"/>
          <w:color w:val="auto"/>
        </w:rPr>
        <w:t>2003 FORM 10-K</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4"/>
          <w:szCs w:val="14"/>
          <w:color w:val="auto"/>
        </w:rPr>
        <w:t>Part II, Item 7</w:t>
      </w:r>
    </w:p>
    <w:p>
      <w:pPr>
        <w:spacing w:after="0" w:line="139" w:lineRule="exact"/>
        <w:rPr>
          <w:sz w:val="20"/>
          <w:szCs w:val="20"/>
          <w:color w:val="auto"/>
        </w:rPr>
      </w:pPr>
    </w:p>
    <w:p>
      <w:pPr>
        <w:ind w:right="340" w:firstLine="228"/>
        <w:spacing w:after="0" w:line="306" w:lineRule="auto"/>
        <w:rPr>
          <w:sz w:val="20"/>
          <w:szCs w:val="20"/>
          <w:color w:val="auto"/>
        </w:rPr>
      </w:pPr>
      <w:r>
        <w:rPr>
          <w:rFonts w:ascii="Arial" w:cs="Arial" w:eastAsia="Arial" w:hAnsi="Arial"/>
          <w:sz w:val="16"/>
          <w:szCs w:val="16"/>
          <w:color w:val="auto"/>
        </w:rPr>
        <w:t>Pretax operating income of $109 million increased six fold. Electricity Meters pretax operating income of $61 million increased 132% primarily due to improved manufacturing efficiencies, changes in product mix, and cost reductions. Smart Cards pretax operating income of $58 million increased 68% due to better growth margins as a result of increased volume and a more favorable product mix, partially offset by lower average selling prices.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2002 Results</w:t>
      </w:r>
    </w:p>
    <w:p>
      <w:pPr>
        <w:spacing w:after="0" w:line="74" w:lineRule="exact"/>
        <w:rPr>
          <w:sz w:val="20"/>
          <w:szCs w:val="20"/>
          <w:color w:val="auto"/>
        </w:rPr>
      </w:pPr>
    </w:p>
    <w:p>
      <w:pPr>
        <w:ind w:right="300"/>
        <w:spacing w:after="0" w:line="254" w:lineRule="auto"/>
        <w:rPr>
          <w:sz w:val="20"/>
          <w:szCs w:val="20"/>
          <w:color w:val="auto"/>
        </w:rPr>
      </w:pPr>
      <w:r>
        <w:rPr>
          <w:rFonts w:ascii="Arial" w:cs="Arial" w:eastAsia="Arial" w:hAnsi="Arial"/>
          <w:sz w:val="18"/>
          <w:szCs w:val="18"/>
          <w:color w:val="auto"/>
        </w:rPr>
        <w:t>Revenue of $1.3 billion decreased 34% reflecting the divestiture of the Resource Management Services’ North American water metering activities, non-North American electricity and water meter, and worldwide gas meter businesses in November 2001.</w:t>
      </w:r>
    </w:p>
    <w:p>
      <w:pPr>
        <w:jc w:val="both"/>
        <w:ind w:right="140" w:firstLine="228"/>
        <w:spacing w:after="0" w:line="250" w:lineRule="auto"/>
        <w:rPr>
          <w:sz w:val="20"/>
          <w:szCs w:val="20"/>
          <w:color w:val="auto"/>
        </w:rPr>
      </w:pPr>
      <w:r>
        <w:rPr>
          <w:rFonts w:ascii="Arial" w:cs="Arial" w:eastAsia="Arial" w:hAnsi="Arial"/>
          <w:sz w:val="18"/>
          <w:szCs w:val="18"/>
          <w:color w:val="auto"/>
        </w:rPr>
        <w:t>Cards activity remained flat despite the continuing slump in the telecommunications industry and the continued pricing pressure. This was partially offset by higher activity in banking and IT cards. Electricity Meters activity improved 13% on revenue of $235 million as a result of the market penetration of Automated Meter Reading (AMR) technologies.</w:t>
      </w:r>
    </w:p>
    <w:p>
      <w:pPr>
        <w:spacing w:after="0" w:line="1" w:lineRule="exact"/>
        <w:rPr>
          <w:sz w:val="20"/>
          <w:szCs w:val="20"/>
          <w:color w:val="auto"/>
        </w:rPr>
      </w:pPr>
    </w:p>
    <w:p>
      <w:pPr>
        <w:ind w:right="820" w:firstLine="228"/>
        <w:spacing w:after="0" w:line="261" w:lineRule="auto"/>
        <w:rPr>
          <w:sz w:val="20"/>
          <w:szCs w:val="20"/>
          <w:color w:val="auto"/>
        </w:rPr>
      </w:pPr>
      <w:r>
        <w:rPr>
          <w:rFonts w:ascii="Arial" w:cs="Arial" w:eastAsia="Arial" w:hAnsi="Arial"/>
          <w:sz w:val="18"/>
          <w:szCs w:val="18"/>
          <w:color w:val="auto"/>
        </w:rPr>
        <w:t>Pretax operating income of $18 million decreased 80% mainly due to the divestiture of most of the Resource Management Services businesses, and significantly lower growth margins in the Cards business.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2001 Results</w:t>
      </w:r>
    </w:p>
    <w:p>
      <w:pPr>
        <w:spacing w:after="0" w:line="74"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Revenue of $2.0 billion decreased 4% reflecting mainly the divestiture of most of the Resource Management Services businesses, which were sold in November 2001.</w:t>
      </w:r>
    </w:p>
    <w:p>
      <w:pPr>
        <w:ind w:right="40" w:firstLine="228"/>
        <w:spacing w:after="0" w:line="250" w:lineRule="auto"/>
        <w:rPr>
          <w:sz w:val="20"/>
          <w:szCs w:val="20"/>
          <w:color w:val="auto"/>
        </w:rPr>
      </w:pPr>
      <w:r>
        <w:rPr>
          <w:rFonts w:ascii="Arial" w:cs="Arial" w:eastAsia="Arial" w:hAnsi="Arial"/>
          <w:sz w:val="18"/>
          <w:szCs w:val="18"/>
          <w:color w:val="auto"/>
        </w:rPr>
        <w:t>Cards revenue grew by 8% reflecting the acquisition of Bull CP8 in March 2001, partially offset by a decline in SIM card activity related to a slowdown in the telecommunications industry. Electricity Meters activity grew 29% on revenue of $208 million as a result of the acquisition of CellNet and participation in network projects.</w:t>
      </w:r>
    </w:p>
    <w:p>
      <w:pPr>
        <w:spacing w:after="0" w:line="1" w:lineRule="exact"/>
        <w:rPr>
          <w:sz w:val="20"/>
          <w:szCs w:val="20"/>
          <w:color w:val="auto"/>
        </w:rPr>
      </w:pPr>
    </w:p>
    <w:p>
      <w:pPr>
        <w:ind w:right="500" w:firstLine="228"/>
        <w:spacing w:after="0" w:line="361" w:lineRule="auto"/>
        <w:rPr>
          <w:sz w:val="20"/>
          <w:szCs w:val="20"/>
          <w:color w:val="auto"/>
        </w:rPr>
      </w:pPr>
      <w:r>
        <w:rPr>
          <w:rFonts w:ascii="Arial" w:cs="Arial" w:eastAsia="Arial" w:hAnsi="Arial"/>
          <w:sz w:val="18"/>
          <w:szCs w:val="18"/>
          <w:color w:val="auto"/>
        </w:rPr>
        <w:t xml:space="preserve">Pretax operating income of $88 million decreased 42% due mainly to lower growth margins and higher operating expenses in the Smart Cards business. </w:t>
      </w:r>
      <w:r>
        <w:rPr>
          <w:rFonts w:ascii="Arial" w:cs="Arial" w:eastAsia="Arial" w:hAnsi="Arial"/>
          <w:sz w:val="18"/>
          <w:szCs w:val="18"/>
          <w:b w:val="1"/>
          <w:bCs w:val="1"/>
          <w:i w:val="1"/>
          <w:iCs w:val="1"/>
          <w:color w:val="auto"/>
        </w:rPr>
        <w:t>Income – Continuing Operations</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(Stated in millions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17804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8040" cy="8890"/>
                    </a:xfrm>
                    <a:prstGeom prst="rect">
                      <a:avLst/>
                    </a:prstGeom>
                    <a:noFill/>
                  </pic:spPr>
                </pic:pic>
              </a:graphicData>
            </a:graphic>
          </wp:anchor>
        </w:drawing>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600" w:type="dxa"/>
            <w:vAlign w:val="bottom"/>
          </w:tcPr>
          <w:p>
            <w:pPr>
              <w:spacing w:after="0"/>
              <w:rPr>
                <w:sz w:val="15"/>
                <w:szCs w:val="15"/>
                <w:color w:val="auto"/>
              </w:rPr>
            </w:pPr>
          </w:p>
        </w:tc>
        <w:tc>
          <w:tcPr>
            <w:tcW w:w="3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80" w:type="dxa"/>
            <w:vAlign w:val="bottom"/>
            <w:gridSpan w:val="2"/>
            <w:vMerge w:val="restart"/>
          </w:tcPr>
          <w:p>
            <w:pPr>
              <w:jc w:val="right"/>
              <w:ind w:right="680"/>
              <w:spacing w:after="0"/>
              <w:rPr>
                <w:sz w:val="20"/>
                <w:szCs w:val="20"/>
                <w:color w:val="auto"/>
              </w:rPr>
            </w:pPr>
            <w:r>
              <w:rPr>
                <w:rFonts w:ascii="Arial" w:cs="Arial" w:eastAsia="Arial" w:hAnsi="Arial"/>
                <w:sz w:val="14"/>
                <w:szCs w:val="14"/>
                <w:b w:val="1"/>
                <w:bCs w:val="1"/>
                <w:color w:val="auto"/>
                <w:w w:val="97"/>
              </w:rPr>
              <w:t>Income (loss)</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20" w:type="dxa"/>
            <w:vAlign w:val="bottom"/>
            <w:gridSpan w:val="4"/>
          </w:tcPr>
          <w:p>
            <w:pPr>
              <w:jc w:val="right"/>
              <w:ind w:right="60"/>
              <w:spacing w:after="0"/>
              <w:rPr>
                <w:sz w:val="20"/>
                <w:szCs w:val="20"/>
                <w:color w:val="auto"/>
              </w:rPr>
            </w:pPr>
            <w:r>
              <w:rPr>
                <w:rFonts w:ascii="Arial" w:cs="Arial" w:eastAsia="Arial" w:hAnsi="Arial"/>
                <w:sz w:val="14"/>
                <w:szCs w:val="14"/>
                <w:b w:val="1"/>
                <w:bCs w:val="1"/>
                <w:color w:val="auto"/>
                <w:w w:val="91"/>
              </w:rPr>
              <w:t>Earnings (loss) per share</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3600" w:type="dxa"/>
            <w:vAlign w:val="bottom"/>
          </w:tcPr>
          <w:p>
            <w:pPr>
              <w:spacing w:after="0"/>
              <w:rPr>
                <w:sz w:val="5"/>
                <w:szCs w:val="5"/>
                <w:color w:val="auto"/>
              </w:rPr>
            </w:pPr>
          </w:p>
        </w:tc>
        <w:tc>
          <w:tcPr>
            <w:tcW w:w="3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580" w:type="dxa"/>
            <w:vAlign w:val="bottom"/>
            <w:gridSpan w:val="2"/>
            <w:vMerge w:val="continue"/>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80" w:type="dxa"/>
            <w:vAlign w:val="bottom"/>
          </w:tcPr>
          <w:p>
            <w:pPr>
              <w:spacing w:after="0"/>
              <w:rPr>
                <w:sz w:val="5"/>
                <w:szCs w:val="5"/>
                <w:color w:val="auto"/>
              </w:rPr>
            </w:pPr>
          </w:p>
        </w:tc>
        <w:tc>
          <w:tcPr>
            <w:tcW w:w="480" w:type="dxa"/>
            <w:vAlign w:val="bottom"/>
          </w:tcPr>
          <w:p>
            <w:pPr>
              <w:spacing w:after="0"/>
              <w:rPr>
                <w:sz w:val="5"/>
                <w:szCs w:val="5"/>
                <w:color w:val="auto"/>
              </w:rPr>
            </w:pPr>
          </w:p>
        </w:tc>
        <w:tc>
          <w:tcPr>
            <w:tcW w:w="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3600" w:type="dxa"/>
            <w:vAlign w:val="bottom"/>
          </w:tcPr>
          <w:p>
            <w:pPr>
              <w:spacing w:after="0"/>
              <w:rPr>
                <w:sz w:val="2"/>
                <w:szCs w:val="2"/>
                <w:color w:val="auto"/>
              </w:rPr>
            </w:pPr>
          </w:p>
        </w:tc>
        <w:tc>
          <w:tcPr>
            <w:tcW w:w="3200" w:type="dxa"/>
            <w:vAlign w:val="bottom"/>
            <w:vMerge w:val="restart"/>
          </w:tcPr>
          <w:p>
            <w:pPr>
              <w:spacing w:after="0"/>
              <w:rPr>
                <w:sz w:val="2"/>
                <w:szCs w:val="2"/>
                <w:color w:val="auto"/>
              </w:rPr>
            </w:pPr>
          </w:p>
        </w:tc>
        <w:tc>
          <w:tcPr>
            <w:tcW w:w="1680" w:type="dxa"/>
            <w:vAlign w:val="bottom"/>
            <w:gridSpan w:val="3"/>
            <w:vMerge w:val="restart"/>
          </w:tcPr>
          <w:p>
            <w:pPr>
              <w:jc w:val="right"/>
              <w:ind w:right="680"/>
              <w:spacing w:after="0" w:line="149" w:lineRule="exact"/>
              <w:rPr>
                <w:sz w:val="20"/>
                <w:szCs w:val="20"/>
                <w:color w:val="auto"/>
              </w:rPr>
            </w:pPr>
            <w:r>
              <w:rPr>
                <w:rFonts w:ascii="Arial" w:cs="Arial" w:eastAsia="Arial" w:hAnsi="Arial"/>
                <w:sz w:val="14"/>
                <w:szCs w:val="14"/>
                <w:b w:val="1"/>
                <w:bCs w:val="1"/>
                <w:color w:val="auto"/>
                <w:w w:val="89"/>
              </w:rPr>
              <w:t>from Continuing</w:t>
            </w: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600" w:type="dxa"/>
            <w:vAlign w:val="bottom"/>
          </w:tcPr>
          <w:p>
            <w:pPr>
              <w:spacing w:after="0"/>
              <w:rPr>
                <w:sz w:val="8"/>
                <w:szCs w:val="8"/>
                <w:color w:val="auto"/>
              </w:rPr>
            </w:pPr>
          </w:p>
        </w:tc>
        <w:tc>
          <w:tcPr>
            <w:tcW w:w="3200" w:type="dxa"/>
            <w:vAlign w:val="bottom"/>
            <w:vMerge w:val="continue"/>
          </w:tcPr>
          <w:p>
            <w:pPr>
              <w:spacing w:after="0"/>
              <w:rPr>
                <w:sz w:val="8"/>
                <w:szCs w:val="8"/>
                <w:color w:val="auto"/>
              </w:rPr>
            </w:pPr>
          </w:p>
        </w:tc>
        <w:tc>
          <w:tcPr>
            <w:tcW w:w="1680" w:type="dxa"/>
            <w:vAlign w:val="bottom"/>
            <w:gridSpan w:val="3"/>
            <w:vMerge w:val="continue"/>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gridSpan w:val="3"/>
            <w:vMerge w:val="restart"/>
          </w:tcPr>
          <w:p>
            <w:pPr>
              <w:jc w:val="right"/>
              <w:ind w:right="100"/>
              <w:spacing w:after="0"/>
              <w:rPr>
                <w:sz w:val="20"/>
                <w:szCs w:val="20"/>
                <w:color w:val="auto"/>
              </w:rPr>
            </w:pPr>
            <w:r>
              <w:rPr>
                <w:rFonts w:ascii="Arial" w:cs="Arial" w:eastAsia="Arial" w:hAnsi="Arial"/>
                <w:sz w:val="14"/>
                <w:szCs w:val="14"/>
                <w:b w:val="1"/>
                <w:bCs w:val="1"/>
                <w:color w:val="auto"/>
                <w:w w:val="88"/>
              </w:rPr>
              <w:t>Adjusted</w:t>
            </w:r>
            <w:r>
              <w:rPr>
                <w:rFonts w:ascii="Arial" w:cs="Arial" w:eastAsia="Arial" w:hAnsi="Arial"/>
                <w:sz w:val="22"/>
                <w:szCs w:val="22"/>
                <w:b w:val="1"/>
                <w:bCs w:val="1"/>
                <w:color w:val="auto"/>
                <w:w w:val="88"/>
                <w:vertAlign w:val="superscript"/>
              </w:rPr>
              <w:t>5</w:t>
            </w:r>
          </w:p>
        </w:tc>
        <w:tc>
          <w:tcPr>
            <w:tcW w:w="0" w:type="dxa"/>
            <w:vAlign w:val="bottom"/>
          </w:tcPr>
          <w:p>
            <w:pPr>
              <w:spacing w:after="0"/>
              <w:rPr>
                <w:sz w:val="1"/>
                <w:szCs w:val="1"/>
                <w:color w:val="auto"/>
              </w:rPr>
            </w:pPr>
          </w:p>
        </w:tc>
      </w:tr>
      <w:tr>
        <w:trPr>
          <w:trHeight w:val="276"/>
        </w:trPr>
        <w:tc>
          <w:tcPr>
            <w:tcW w:w="2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Operations</w:t>
            </w:r>
          </w:p>
        </w:tc>
        <w:tc>
          <w:tcPr>
            <w:tcW w:w="60" w:type="dxa"/>
            <w:vAlign w:val="bottom"/>
          </w:tcPr>
          <w:p>
            <w:pPr>
              <w:spacing w:after="0"/>
              <w:rPr>
                <w:sz w:val="24"/>
                <w:szCs w:val="24"/>
                <w:color w:val="auto"/>
              </w:rPr>
            </w:pPr>
          </w:p>
        </w:tc>
        <w:tc>
          <w:tcPr>
            <w:tcW w:w="50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w w:val="80"/>
              </w:rPr>
              <w:t>Basic</w:t>
            </w:r>
          </w:p>
        </w:tc>
        <w:tc>
          <w:tcPr>
            <w:tcW w:w="480" w:type="dxa"/>
            <w:vAlign w:val="bottom"/>
          </w:tcPr>
          <w:p>
            <w:pPr>
              <w:spacing w:after="0"/>
              <w:rPr>
                <w:sz w:val="24"/>
                <w:szCs w:val="24"/>
                <w:color w:val="auto"/>
              </w:rPr>
            </w:pPr>
          </w:p>
        </w:tc>
        <w:tc>
          <w:tcPr>
            <w:tcW w:w="1140" w:type="dxa"/>
            <w:vAlign w:val="bottom"/>
            <w:gridSpan w:val="3"/>
          </w:tcPr>
          <w:p>
            <w:pPr>
              <w:jc w:val="right"/>
              <w:ind w:right="660"/>
              <w:spacing w:after="0"/>
              <w:rPr>
                <w:sz w:val="20"/>
                <w:szCs w:val="20"/>
                <w:color w:val="auto"/>
              </w:rPr>
            </w:pPr>
            <w:r>
              <w:rPr>
                <w:rFonts w:ascii="Arial" w:cs="Arial" w:eastAsia="Arial" w:hAnsi="Arial"/>
                <w:sz w:val="14"/>
                <w:szCs w:val="14"/>
                <w:b w:val="1"/>
                <w:bCs w:val="1"/>
                <w:color w:val="auto"/>
                <w:w w:val="96"/>
              </w:rPr>
              <w:t>Diluted</w:t>
            </w:r>
          </w:p>
        </w:tc>
        <w:tc>
          <w:tcPr>
            <w:tcW w:w="20" w:type="dxa"/>
            <w:vAlign w:val="bottom"/>
          </w:tcPr>
          <w:p>
            <w:pPr>
              <w:spacing w:after="0"/>
              <w:rPr>
                <w:sz w:val="24"/>
                <w:szCs w:val="24"/>
                <w:color w:val="auto"/>
              </w:rPr>
            </w:pPr>
          </w:p>
        </w:tc>
        <w:tc>
          <w:tcPr>
            <w:tcW w:w="720" w:type="dxa"/>
            <w:vAlign w:val="bottom"/>
            <w:gridSpan w:val="3"/>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600" w:type="dxa"/>
            <w:vAlign w:val="bottom"/>
            <w:shd w:val="clear" w:color="auto" w:fill="CCEEFF"/>
          </w:tcPr>
          <w:p>
            <w:pPr>
              <w:spacing w:after="0" w:line="183" w:lineRule="exact"/>
              <w:rPr>
                <w:sz w:val="20"/>
                <w:szCs w:val="20"/>
                <w:color w:val="auto"/>
              </w:rPr>
            </w:pPr>
            <w:r>
              <w:rPr>
                <w:rFonts w:ascii="Arial" w:cs="Arial" w:eastAsia="Arial" w:hAnsi="Arial"/>
                <w:sz w:val="13"/>
                <w:szCs w:val="13"/>
                <w:b w:val="1"/>
                <w:bCs w:val="1"/>
                <w:color w:val="auto"/>
              </w:rPr>
              <w:t>2003</w:t>
            </w:r>
            <w:r>
              <w:rPr>
                <w:rFonts w:ascii="Arial" w:cs="Arial" w:eastAsia="Arial" w:hAnsi="Arial"/>
                <w:sz w:val="21"/>
                <w:szCs w:val="21"/>
                <w:b w:val="1"/>
                <w:bCs w:val="1"/>
                <w:color w:val="auto"/>
                <w:vertAlign w:val="superscript"/>
              </w:rPr>
              <w:t>1</w:t>
            </w:r>
          </w:p>
        </w:tc>
        <w:tc>
          <w:tcPr>
            <w:tcW w:w="330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560" w:type="dxa"/>
            <w:vAlign w:val="bottom"/>
            <w:shd w:val="clear" w:color="auto" w:fill="CCEEFF"/>
          </w:tcPr>
          <w:p>
            <w:pPr>
              <w:jc w:val="right"/>
              <w:ind w:right="592"/>
              <w:spacing w:after="0"/>
              <w:rPr>
                <w:sz w:val="20"/>
                <w:szCs w:val="20"/>
                <w:color w:val="auto"/>
              </w:rPr>
            </w:pPr>
            <w:r>
              <w:rPr>
                <w:rFonts w:ascii="Arial" w:cs="Arial" w:eastAsia="Arial" w:hAnsi="Arial"/>
                <w:sz w:val="14"/>
                <w:szCs w:val="14"/>
                <w:b w:val="1"/>
                <w:bCs w:val="1"/>
                <w:color w:val="auto"/>
              </w:rPr>
              <w:t>473</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0.81</w:t>
            </w:r>
          </w:p>
        </w:tc>
        <w:tc>
          <w:tcPr>
            <w:tcW w:w="18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0.81</w:t>
            </w:r>
          </w:p>
        </w:tc>
        <w:tc>
          <w:tcPr>
            <w:tcW w:w="640" w:type="dxa"/>
            <w:vAlign w:val="bottom"/>
            <w:shd w:val="clear" w:color="auto" w:fill="CCEEFF"/>
          </w:tcPr>
          <w:p>
            <w:pPr>
              <w:spacing w:after="0"/>
              <w:rPr>
                <w:sz w:val="15"/>
                <w:szCs w:val="15"/>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0.81</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600" w:type="dxa"/>
            <w:vAlign w:val="bottom"/>
          </w:tcPr>
          <w:p>
            <w:pPr>
              <w:spacing w:after="0"/>
              <w:rPr>
                <w:sz w:val="11"/>
                <w:szCs w:val="11"/>
                <w:color w:val="auto"/>
              </w:rPr>
            </w:pPr>
          </w:p>
        </w:tc>
        <w:tc>
          <w:tcPr>
            <w:tcW w:w="32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5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600" w:type="dxa"/>
            <w:vAlign w:val="bottom"/>
          </w:tcPr>
          <w:p>
            <w:pPr>
              <w:spacing w:after="0"/>
              <w:rPr>
                <w:sz w:val="9"/>
                <w:szCs w:val="9"/>
                <w:color w:val="auto"/>
              </w:rPr>
            </w:pPr>
          </w:p>
        </w:tc>
        <w:tc>
          <w:tcPr>
            <w:tcW w:w="3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3600" w:type="dxa"/>
            <w:vAlign w:val="bottom"/>
            <w:shd w:val="clear" w:color="auto" w:fill="CCEEFF"/>
          </w:tcPr>
          <w:p>
            <w:pPr>
              <w:spacing w:after="0" w:line="176" w:lineRule="exact"/>
              <w:rPr>
                <w:sz w:val="20"/>
                <w:szCs w:val="20"/>
                <w:color w:val="auto"/>
              </w:rPr>
            </w:pPr>
            <w:r>
              <w:rPr>
                <w:rFonts w:ascii="Arial" w:cs="Arial" w:eastAsia="Arial" w:hAnsi="Arial"/>
                <w:sz w:val="13"/>
                <w:szCs w:val="13"/>
                <w:color w:val="auto"/>
              </w:rPr>
              <w:t>2002</w:t>
            </w:r>
            <w:r>
              <w:rPr>
                <w:rFonts w:ascii="Arial" w:cs="Arial" w:eastAsia="Arial" w:hAnsi="Arial"/>
                <w:sz w:val="20"/>
                <w:szCs w:val="20"/>
                <w:color w:val="auto"/>
                <w:vertAlign w:val="superscript"/>
              </w:rPr>
              <w:t>2,4</w:t>
            </w:r>
          </w:p>
        </w:tc>
        <w:tc>
          <w:tcPr>
            <w:tcW w:w="33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60" w:type="dxa"/>
            <w:vAlign w:val="bottom"/>
            <w:shd w:val="clear" w:color="auto" w:fill="CCEEFF"/>
          </w:tcPr>
          <w:p>
            <w:pPr>
              <w:jc w:val="right"/>
              <w:ind w:right="532"/>
              <w:spacing w:after="0"/>
              <w:rPr>
                <w:sz w:val="20"/>
                <w:szCs w:val="20"/>
                <w:color w:val="auto"/>
              </w:rPr>
            </w:pPr>
            <w:r>
              <w:rPr>
                <w:rFonts w:ascii="Arial" w:cs="Arial" w:eastAsia="Arial" w:hAnsi="Arial"/>
                <w:sz w:val="14"/>
                <w:szCs w:val="14"/>
                <w:color w:val="auto"/>
              </w:rPr>
              <w:t>(2,417)</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w w:val="92"/>
              </w:rPr>
              <w:t>(4.18)</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600"/>
              <w:spacing w:after="0"/>
              <w:rPr>
                <w:sz w:val="20"/>
                <w:szCs w:val="20"/>
                <w:color w:val="auto"/>
              </w:rPr>
            </w:pPr>
            <w:r>
              <w:rPr>
                <w:rFonts w:ascii="Arial" w:cs="Arial" w:eastAsia="Arial" w:hAnsi="Arial"/>
                <w:sz w:val="14"/>
                <w:szCs w:val="14"/>
                <w:color w:val="auto"/>
              </w:rPr>
              <w:t>(4.18)</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(4.18)</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600" w:type="dxa"/>
            <w:vAlign w:val="bottom"/>
          </w:tcPr>
          <w:p>
            <w:pPr>
              <w:spacing w:after="0"/>
              <w:rPr>
                <w:sz w:val="11"/>
                <w:szCs w:val="11"/>
                <w:color w:val="auto"/>
              </w:rPr>
            </w:pPr>
          </w:p>
        </w:tc>
        <w:tc>
          <w:tcPr>
            <w:tcW w:w="32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3600" w:type="dxa"/>
            <w:vAlign w:val="bottom"/>
          </w:tcPr>
          <w:p>
            <w:pPr>
              <w:spacing w:after="0"/>
              <w:rPr>
                <w:sz w:val="9"/>
                <w:szCs w:val="9"/>
                <w:color w:val="auto"/>
              </w:rPr>
            </w:pPr>
          </w:p>
        </w:tc>
        <w:tc>
          <w:tcPr>
            <w:tcW w:w="3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3600" w:type="dxa"/>
            <w:vAlign w:val="bottom"/>
            <w:shd w:val="clear" w:color="auto" w:fill="CCEEFF"/>
          </w:tcPr>
          <w:p>
            <w:pPr>
              <w:spacing w:after="0" w:line="176" w:lineRule="exact"/>
              <w:rPr>
                <w:sz w:val="20"/>
                <w:szCs w:val="20"/>
                <w:color w:val="auto"/>
              </w:rPr>
            </w:pPr>
            <w:r>
              <w:rPr>
                <w:rFonts w:ascii="Arial" w:cs="Arial" w:eastAsia="Arial" w:hAnsi="Arial"/>
                <w:sz w:val="13"/>
                <w:szCs w:val="13"/>
                <w:color w:val="auto"/>
              </w:rPr>
              <w:t>2001</w:t>
            </w:r>
            <w:r>
              <w:rPr>
                <w:rFonts w:ascii="Arial" w:cs="Arial" w:eastAsia="Arial" w:hAnsi="Arial"/>
                <w:sz w:val="20"/>
                <w:szCs w:val="20"/>
                <w:color w:val="auto"/>
                <w:vertAlign w:val="superscript"/>
              </w:rPr>
              <w:t>3,4</w:t>
            </w:r>
          </w:p>
        </w:tc>
        <w:tc>
          <w:tcPr>
            <w:tcW w:w="33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60" w:type="dxa"/>
            <w:vAlign w:val="bottom"/>
            <w:shd w:val="clear" w:color="auto" w:fill="CCEEFF"/>
          </w:tcPr>
          <w:p>
            <w:pPr>
              <w:jc w:val="right"/>
              <w:ind w:right="592"/>
              <w:spacing w:after="0"/>
              <w:rPr>
                <w:sz w:val="20"/>
                <w:szCs w:val="20"/>
                <w:color w:val="auto"/>
              </w:rPr>
            </w:pPr>
            <w:r>
              <w:rPr>
                <w:rFonts w:ascii="Arial" w:cs="Arial" w:eastAsia="Arial" w:hAnsi="Arial"/>
                <w:sz w:val="14"/>
                <w:szCs w:val="14"/>
                <w:color w:val="auto"/>
              </w:rPr>
              <w:t>494</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0.86</w:t>
            </w:r>
          </w:p>
        </w:tc>
        <w:tc>
          <w:tcPr>
            <w:tcW w:w="18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0.85</w:t>
            </w:r>
          </w:p>
        </w:tc>
        <w:tc>
          <w:tcPr>
            <w:tcW w:w="640" w:type="dxa"/>
            <w:vAlign w:val="bottom"/>
            <w:shd w:val="clear" w:color="auto" w:fill="CCEEFF"/>
          </w:tcPr>
          <w:p>
            <w:pPr>
              <w:spacing w:after="0"/>
              <w:rPr>
                <w:sz w:val="15"/>
                <w:szCs w:val="15"/>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1.35</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600" w:type="dxa"/>
            <w:vAlign w:val="bottom"/>
          </w:tcPr>
          <w:p>
            <w:pPr>
              <w:spacing w:after="0"/>
              <w:rPr>
                <w:sz w:val="11"/>
                <w:szCs w:val="11"/>
                <w:color w:val="auto"/>
              </w:rPr>
            </w:pPr>
          </w:p>
        </w:tc>
        <w:tc>
          <w:tcPr>
            <w:tcW w:w="32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5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4324985</wp:posOffset>
            </wp:positionH>
            <wp:positionV relativeFrom="paragraph">
              <wp:posOffset>-577850</wp:posOffset>
            </wp:positionV>
            <wp:extent cx="673100" cy="298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73100" cy="2984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-577850</wp:posOffset>
            </wp:positionV>
            <wp:extent cx="12700" cy="298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5448935</wp:posOffset>
            </wp:positionH>
            <wp:positionV relativeFrom="paragraph">
              <wp:posOffset>-577850</wp:posOffset>
            </wp:positionV>
            <wp:extent cx="21590" cy="298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-577850</wp:posOffset>
            </wp:positionV>
            <wp:extent cx="38735" cy="298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-577850</wp:posOffset>
            </wp:positionV>
            <wp:extent cx="12700" cy="298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6117590</wp:posOffset>
            </wp:positionH>
            <wp:positionV relativeFrom="paragraph">
              <wp:posOffset>-577850</wp:posOffset>
            </wp:positionV>
            <wp:extent cx="21590" cy="298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6357620</wp:posOffset>
            </wp:positionH>
            <wp:positionV relativeFrom="paragraph">
              <wp:posOffset>-577850</wp:posOffset>
            </wp:positionV>
            <wp:extent cx="38735" cy="298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6786245</wp:posOffset>
            </wp:positionH>
            <wp:positionV relativeFrom="paragraph">
              <wp:posOffset>-577850</wp:posOffset>
            </wp:positionV>
            <wp:extent cx="424180" cy="298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424180" cy="29845"/>
                    </a:xfrm>
                    <a:prstGeom prst="rect">
                      <a:avLst/>
                    </a:prstGeom>
                    <a:noFill/>
                  </pic:spPr>
                </pic:pic>
              </a:graphicData>
            </a:graphic>
          </wp:anchor>
        </w:drawing>
        <w:drawing>
          <wp:anchor simplePos="0" relativeHeight="251657728" behindDoc="1" locked="0" layoutInCell="0" allowOverlap="1">
            <wp:simplePos x="0" y="0"/>
            <wp:positionH relativeFrom="column">
              <wp:posOffset>4324985</wp:posOffset>
            </wp:positionH>
            <wp:positionV relativeFrom="paragraph">
              <wp:posOffset>-303530</wp:posOffset>
            </wp:positionV>
            <wp:extent cx="673100" cy="298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73100" cy="2984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-303530</wp:posOffset>
            </wp:positionV>
            <wp:extent cx="278765" cy="298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278765" cy="2984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-303530</wp:posOffset>
            </wp:positionV>
            <wp:extent cx="338455" cy="298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338455" cy="29845"/>
                    </a:xfrm>
                    <a:prstGeom prst="rect">
                      <a:avLst/>
                    </a:prstGeom>
                    <a:noFill/>
                  </pic:spPr>
                </pic:pic>
              </a:graphicData>
            </a:graphic>
          </wp:anchor>
        </w:drawing>
        <w:drawing>
          <wp:anchor simplePos="0" relativeHeight="251657728" behindDoc="1" locked="0" layoutInCell="0" allowOverlap="1">
            <wp:simplePos x="0" y="0"/>
            <wp:positionH relativeFrom="column">
              <wp:posOffset>6786245</wp:posOffset>
            </wp:positionH>
            <wp:positionV relativeFrom="paragraph">
              <wp:posOffset>-303530</wp:posOffset>
            </wp:positionV>
            <wp:extent cx="424180" cy="298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424180" cy="29845"/>
                    </a:xfrm>
                    <a:prstGeom prst="rect">
                      <a:avLst/>
                    </a:prstGeom>
                    <a:noFill/>
                  </pic:spPr>
                </pic:pic>
              </a:graphicData>
            </a:graphic>
          </wp:anchor>
        </w:drawing>
        <w:drawing>
          <wp:anchor simplePos="0" relativeHeight="251657728" behindDoc="1" locked="0" layoutInCell="0" allowOverlap="1">
            <wp:simplePos x="0" y="0"/>
            <wp:positionH relativeFrom="column">
              <wp:posOffset>4324985</wp:posOffset>
            </wp:positionH>
            <wp:positionV relativeFrom="paragraph">
              <wp:posOffset>-29210</wp:posOffset>
            </wp:positionV>
            <wp:extent cx="673100" cy="298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73100" cy="2984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-29210</wp:posOffset>
            </wp:positionV>
            <wp:extent cx="12700" cy="298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5448935</wp:posOffset>
            </wp:positionH>
            <wp:positionV relativeFrom="paragraph">
              <wp:posOffset>-29210</wp:posOffset>
            </wp:positionV>
            <wp:extent cx="21590" cy="298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-29210</wp:posOffset>
            </wp:positionV>
            <wp:extent cx="38735" cy="298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-29210</wp:posOffset>
            </wp:positionV>
            <wp:extent cx="338455" cy="298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338455" cy="29845"/>
                    </a:xfrm>
                    <a:prstGeom prst="rect">
                      <a:avLst/>
                    </a:prstGeom>
                    <a:noFill/>
                  </pic:spPr>
                </pic:pic>
              </a:graphicData>
            </a:graphic>
          </wp:anchor>
        </w:drawing>
        <w:drawing>
          <wp:anchor simplePos="0" relativeHeight="251657728" behindDoc="1" locked="0" layoutInCell="0" allowOverlap="1">
            <wp:simplePos x="0" y="0"/>
            <wp:positionH relativeFrom="column">
              <wp:posOffset>6786245</wp:posOffset>
            </wp:positionH>
            <wp:positionV relativeFrom="paragraph">
              <wp:posOffset>-29210</wp:posOffset>
            </wp:positionV>
            <wp:extent cx="12700" cy="298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6846570</wp:posOffset>
            </wp:positionH>
            <wp:positionV relativeFrom="paragraph">
              <wp:posOffset>-29210</wp:posOffset>
            </wp:positionV>
            <wp:extent cx="21590" cy="298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-29210</wp:posOffset>
            </wp:positionV>
            <wp:extent cx="38735" cy="298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142" w:lineRule="exact"/>
        <w:rPr>
          <w:sz w:val="20"/>
          <w:szCs w:val="20"/>
          <w:color w:val="auto"/>
        </w:rPr>
      </w:pPr>
    </w:p>
    <w:p>
      <w:pPr>
        <w:ind w:left="260" w:right="140" w:hanging="252"/>
        <w:spacing w:after="0" w:line="230" w:lineRule="auto"/>
        <w:tabs>
          <w:tab w:leader="none" w:pos="260" w:val="left"/>
        </w:tabs>
        <w:numPr>
          <w:ilvl w:val="0"/>
          <w:numId w:val="14"/>
        </w:numPr>
        <w:rPr>
          <w:rFonts w:ascii="Arial" w:cs="Arial" w:eastAsia="Arial" w:hAnsi="Arial"/>
          <w:sz w:val="14"/>
          <w:szCs w:val="14"/>
          <w:color w:val="auto"/>
        </w:rPr>
      </w:pPr>
      <w:r>
        <w:rPr>
          <w:rFonts w:ascii="Arial" w:cs="Arial" w:eastAsia="Arial" w:hAnsi="Arial"/>
          <w:sz w:val="14"/>
          <w:szCs w:val="14"/>
          <w:color w:val="auto"/>
        </w:rPr>
        <w:t xml:space="preserve">Includes a net, after-tax and minority interest charge of $440 million ($0.74 per share – diluted). See </w:t>
      </w:r>
      <w:r>
        <w:rPr>
          <w:rFonts w:ascii="Arial" w:cs="Arial" w:eastAsia="Arial" w:hAnsi="Arial"/>
          <w:sz w:val="14"/>
          <w:szCs w:val="14"/>
          <w:i w:val="1"/>
          <w:iCs w:val="1"/>
          <w:color w:val="auto"/>
        </w:rPr>
        <w:t>Charges – Continuing Operations</w:t>
      </w:r>
      <w:r>
        <w:rPr>
          <w:rFonts w:ascii="Arial" w:cs="Arial" w:eastAsia="Arial" w:hAnsi="Arial"/>
          <w:sz w:val="14"/>
          <w:szCs w:val="14"/>
          <w:color w:val="auto"/>
        </w:rPr>
        <w:t xml:space="preserve"> on page 47 of this Report in the </w:t>
      </w:r>
      <w:r>
        <w:rPr>
          <w:rFonts w:ascii="Arial" w:cs="Arial" w:eastAsia="Arial" w:hAnsi="Arial"/>
          <w:sz w:val="14"/>
          <w:szCs w:val="14"/>
          <w:i w:val="1"/>
          <w:iCs w:val="1"/>
          <w:color w:val="auto"/>
        </w:rPr>
        <w:t>Notes to the Consolidated Financial</w:t>
      </w:r>
      <w:r>
        <w:rPr>
          <w:rFonts w:ascii="Arial" w:cs="Arial" w:eastAsia="Arial" w:hAnsi="Arial"/>
          <w:sz w:val="14"/>
          <w:szCs w:val="14"/>
          <w:color w:val="auto"/>
        </w:rPr>
        <w:t xml:space="preserve"> </w:t>
      </w:r>
      <w:r>
        <w:rPr>
          <w:rFonts w:ascii="Arial" w:cs="Arial" w:eastAsia="Arial" w:hAnsi="Arial"/>
          <w:sz w:val="14"/>
          <w:szCs w:val="14"/>
          <w:i w:val="1"/>
          <w:iCs w:val="1"/>
          <w:color w:val="auto"/>
        </w:rPr>
        <w:t>Statements.</w:t>
      </w:r>
    </w:p>
    <w:p>
      <w:pPr>
        <w:ind w:left="260" w:right="140" w:hanging="252"/>
        <w:spacing w:after="0" w:line="221" w:lineRule="auto"/>
        <w:tabs>
          <w:tab w:leader="none" w:pos="260" w:val="left"/>
        </w:tabs>
        <w:numPr>
          <w:ilvl w:val="0"/>
          <w:numId w:val="14"/>
        </w:numPr>
        <w:rPr>
          <w:rFonts w:ascii="Arial" w:cs="Arial" w:eastAsia="Arial" w:hAnsi="Arial"/>
          <w:sz w:val="14"/>
          <w:szCs w:val="14"/>
          <w:color w:val="auto"/>
        </w:rPr>
      </w:pPr>
      <w:r>
        <w:rPr>
          <w:rFonts w:ascii="Arial" w:cs="Arial" w:eastAsia="Arial" w:hAnsi="Arial"/>
          <w:sz w:val="14"/>
          <w:szCs w:val="14"/>
          <w:color w:val="auto"/>
        </w:rPr>
        <w:t xml:space="preserve">Includes a net, after-tax and minority interest charge of $3.11 billion ($5.38 per share – diluted). See </w:t>
      </w:r>
      <w:r>
        <w:rPr>
          <w:rFonts w:ascii="Arial" w:cs="Arial" w:eastAsia="Arial" w:hAnsi="Arial"/>
          <w:sz w:val="14"/>
          <w:szCs w:val="14"/>
          <w:i w:val="1"/>
          <w:iCs w:val="1"/>
          <w:color w:val="auto"/>
        </w:rPr>
        <w:t>Charges – Continuing Operations</w:t>
      </w:r>
      <w:r>
        <w:rPr>
          <w:rFonts w:ascii="Arial" w:cs="Arial" w:eastAsia="Arial" w:hAnsi="Arial"/>
          <w:sz w:val="14"/>
          <w:szCs w:val="14"/>
          <w:color w:val="auto"/>
        </w:rPr>
        <w:t xml:space="preserve"> on page 47 of this Report in the </w:t>
      </w:r>
      <w:r>
        <w:rPr>
          <w:rFonts w:ascii="Arial" w:cs="Arial" w:eastAsia="Arial" w:hAnsi="Arial"/>
          <w:sz w:val="14"/>
          <w:szCs w:val="14"/>
          <w:i w:val="1"/>
          <w:iCs w:val="1"/>
          <w:color w:val="auto"/>
        </w:rPr>
        <w:t>Notes to the Consolidated Financial</w:t>
      </w:r>
      <w:r>
        <w:rPr>
          <w:rFonts w:ascii="Arial" w:cs="Arial" w:eastAsia="Arial" w:hAnsi="Arial"/>
          <w:sz w:val="14"/>
          <w:szCs w:val="14"/>
          <w:color w:val="auto"/>
        </w:rPr>
        <w:t xml:space="preserve"> </w:t>
      </w:r>
      <w:r>
        <w:rPr>
          <w:rFonts w:ascii="Arial" w:cs="Arial" w:eastAsia="Arial" w:hAnsi="Arial"/>
          <w:sz w:val="14"/>
          <w:szCs w:val="14"/>
          <w:i w:val="1"/>
          <w:iCs w:val="1"/>
          <w:color w:val="auto"/>
        </w:rPr>
        <w:t>Statements.</w:t>
      </w:r>
    </w:p>
    <w:p>
      <w:pPr>
        <w:ind w:left="260" w:right="140" w:hanging="252"/>
        <w:spacing w:after="0" w:line="221" w:lineRule="auto"/>
        <w:tabs>
          <w:tab w:leader="none" w:pos="260" w:val="left"/>
        </w:tabs>
        <w:numPr>
          <w:ilvl w:val="0"/>
          <w:numId w:val="14"/>
        </w:numPr>
        <w:rPr>
          <w:rFonts w:ascii="Arial" w:cs="Arial" w:eastAsia="Arial" w:hAnsi="Arial"/>
          <w:sz w:val="14"/>
          <w:szCs w:val="14"/>
          <w:color w:val="auto"/>
        </w:rPr>
      </w:pPr>
      <w:r>
        <w:rPr>
          <w:rFonts w:ascii="Arial" w:cs="Arial" w:eastAsia="Arial" w:hAnsi="Arial"/>
          <w:sz w:val="14"/>
          <w:szCs w:val="14"/>
          <w:color w:val="auto"/>
        </w:rPr>
        <w:t xml:space="preserve">Includes a net, after-tax and minority interest charge of $297 million ($0.51 per share – diluted). See </w:t>
      </w:r>
      <w:r>
        <w:rPr>
          <w:rFonts w:ascii="Arial" w:cs="Arial" w:eastAsia="Arial" w:hAnsi="Arial"/>
          <w:sz w:val="14"/>
          <w:szCs w:val="14"/>
          <w:i w:val="1"/>
          <w:iCs w:val="1"/>
          <w:color w:val="auto"/>
        </w:rPr>
        <w:t>Charges – Continuing Operations</w:t>
      </w:r>
      <w:r>
        <w:rPr>
          <w:rFonts w:ascii="Arial" w:cs="Arial" w:eastAsia="Arial" w:hAnsi="Arial"/>
          <w:sz w:val="14"/>
          <w:szCs w:val="14"/>
          <w:color w:val="auto"/>
        </w:rPr>
        <w:t xml:space="preserve"> on page 47 of this Report in the </w:t>
      </w:r>
      <w:r>
        <w:rPr>
          <w:rFonts w:ascii="Arial" w:cs="Arial" w:eastAsia="Arial" w:hAnsi="Arial"/>
          <w:sz w:val="14"/>
          <w:szCs w:val="14"/>
          <w:i w:val="1"/>
          <w:iCs w:val="1"/>
          <w:color w:val="auto"/>
        </w:rPr>
        <w:t>Notes to the Consolidated Financial</w:t>
      </w:r>
      <w:r>
        <w:rPr>
          <w:rFonts w:ascii="Arial" w:cs="Arial" w:eastAsia="Arial" w:hAnsi="Arial"/>
          <w:sz w:val="14"/>
          <w:szCs w:val="14"/>
          <w:color w:val="auto"/>
        </w:rPr>
        <w:t xml:space="preserve"> </w:t>
      </w:r>
      <w:r>
        <w:rPr>
          <w:rFonts w:ascii="Arial" w:cs="Arial" w:eastAsia="Arial" w:hAnsi="Arial"/>
          <w:sz w:val="14"/>
          <w:szCs w:val="14"/>
          <w:i w:val="1"/>
          <w:iCs w:val="1"/>
          <w:color w:val="auto"/>
        </w:rPr>
        <w:t>Statements.</w:t>
      </w:r>
    </w:p>
    <w:p>
      <w:pPr>
        <w:ind w:left="440" w:hanging="432"/>
        <w:spacing w:after="0" w:line="221" w:lineRule="auto"/>
        <w:tabs>
          <w:tab w:leader="none" w:pos="440" w:val="left"/>
        </w:tabs>
        <w:numPr>
          <w:ilvl w:val="0"/>
          <w:numId w:val="14"/>
        </w:numPr>
        <w:rPr>
          <w:rFonts w:ascii="Arial" w:cs="Arial" w:eastAsia="Arial" w:hAnsi="Arial"/>
          <w:sz w:val="14"/>
          <w:szCs w:val="14"/>
          <w:color w:val="auto"/>
        </w:rPr>
      </w:pPr>
      <w:r>
        <w:rPr>
          <w:rFonts w:ascii="Arial" w:cs="Arial" w:eastAsia="Arial" w:hAnsi="Arial"/>
          <w:sz w:val="14"/>
          <w:szCs w:val="14"/>
          <w:color w:val="auto"/>
        </w:rPr>
        <w:t>Restated for discontinued operations.</w:t>
      </w:r>
    </w:p>
    <w:p>
      <w:pPr>
        <w:ind w:left="460" w:hanging="452"/>
        <w:spacing w:after="0"/>
        <w:tabs>
          <w:tab w:leader="none" w:pos="460" w:val="left"/>
        </w:tabs>
        <w:numPr>
          <w:ilvl w:val="0"/>
          <w:numId w:val="14"/>
        </w:numPr>
        <w:rPr>
          <w:rFonts w:ascii="Arial" w:cs="Arial" w:eastAsia="Arial" w:hAnsi="Arial"/>
          <w:sz w:val="14"/>
          <w:szCs w:val="14"/>
          <w:color w:val="auto"/>
        </w:rPr>
      </w:pPr>
      <w:r>
        <w:rPr>
          <w:rFonts w:ascii="Arial" w:cs="Arial" w:eastAsia="Arial" w:hAnsi="Arial"/>
          <w:sz w:val="14"/>
          <w:szCs w:val="14"/>
          <w:color w:val="auto"/>
        </w:rPr>
        <w:t>Excludes amortization of goodwill.</w:t>
      </w:r>
    </w:p>
    <w:p>
      <w:pPr>
        <w:spacing w:after="0" w:line="46" w:lineRule="exact"/>
        <w:rPr>
          <w:sz w:val="20"/>
          <w:szCs w:val="20"/>
          <w:color w:val="auto"/>
        </w:rPr>
      </w:pPr>
    </w:p>
    <w:p>
      <w:pPr>
        <w:ind w:right="20" w:firstLine="228"/>
        <w:spacing w:after="0" w:line="256" w:lineRule="auto"/>
        <w:rPr>
          <w:sz w:val="20"/>
          <w:szCs w:val="20"/>
          <w:color w:val="auto"/>
        </w:rPr>
      </w:pPr>
      <w:r>
        <w:rPr>
          <w:rFonts w:ascii="Arial" w:cs="Arial" w:eastAsia="Arial" w:hAnsi="Arial"/>
          <w:sz w:val="18"/>
          <w:szCs w:val="18"/>
          <w:color w:val="auto"/>
        </w:rPr>
        <w:t>In 2003, Oilfield Services segment net income increased $196 million, or 20%, to $1.19 billion as revenue increased 8%, with increases in all geographic areas, particularly North America where revenue was up 14%. WesternGeco segment net loss of $17 million compared to a $4 million profit in 2002 as revenue decreased 20% reflecting lower land crew activity following the decision to exit the North American Land market and lower Multiclient sales principally in North &amp; South America. SchlumbergerSema net income of $38 million improved</w:t>
      </w:r>
    </w:p>
    <w:p>
      <w:pPr>
        <w:spacing w:after="0" w:line="127" w:lineRule="exact"/>
        <w:rPr>
          <w:sz w:val="20"/>
          <w:szCs w:val="20"/>
          <w:color w:val="auto"/>
        </w:rPr>
      </w:pPr>
    </w:p>
    <w:p>
      <w:pPr>
        <w:spacing w:after="0"/>
        <w:tabs>
          <w:tab w:leader="none" w:pos="10400" w:val="left"/>
        </w:tabs>
        <w:rPr>
          <w:sz w:val="20"/>
          <w:szCs w:val="20"/>
          <w:color w:val="auto"/>
        </w:rPr>
      </w:pPr>
      <w:r>
        <w:rPr>
          <w:rFonts w:ascii="Arial" w:cs="Arial" w:eastAsia="Arial" w:hAnsi="Arial"/>
          <w:sz w:val="14"/>
          <w:szCs w:val="14"/>
          <w:color w:val="auto"/>
        </w:rPr>
        <w:t>23 / SLB</w:t>
      </w:r>
      <w:r>
        <w:rPr>
          <w:sz w:val="20"/>
          <w:szCs w:val="20"/>
          <w:color w:val="auto"/>
        </w:rPr>
        <w:tab/>
      </w:r>
      <w:r>
        <w:rPr>
          <w:rFonts w:ascii="Arial" w:cs="Arial" w:eastAsia="Arial" w:hAnsi="Arial"/>
          <w:sz w:val="12"/>
          <w:szCs w:val="12"/>
          <w:color w:val="auto"/>
        </w:rPr>
        <w:t>2003 FORM 10-K</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4"/>
          <w:szCs w:val="14"/>
          <w:color w:val="auto"/>
        </w:rPr>
        <w:t>Part II, Item 7</w:t>
      </w:r>
    </w:p>
    <w:p>
      <w:pPr>
        <w:spacing w:after="0" w:line="139" w:lineRule="exact"/>
        <w:rPr>
          <w:sz w:val="20"/>
          <w:szCs w:val="20"/>
          <w:color w:val="auto"/>
        </w:rPr>
      </w:pPr>
    </w:p>
    <w:p>
      <w:pPr>
        <w:ind w:right="220"/>
        <w:spacing w:after="0" w:line="254" w:lineRule="auto"/>
        <w:rPr>
          <w:sz w:val="20"/>
          <w:szCs w:val="20"/>
          <w:color w:val="auto"/>
        </w:rPr>
      </w:pPr>
      <w:r>
        <w:rPr>
          <w:rFonts w:ascii="Arial" w:cs="Arial" w:eastAsia="Arial" w:hAnsi="Arial"/>
          <w:sz w:val="18"/>
          <w:szCs w:val="18"/>
          <w:color w:val="auto"/>
        </w:rPr>
        <w:t>from $9 million in 2002, as revenue increased 11%. In the Other segment, net income of $72 million increased $61 million as revenue increased 11% reflecting strong improvement in the Smart Cards and Electricity Meters activities.</w:t>
      </w:r>
    </w:p>
    <w:p>
      <w:pPr>
        <w:ind w:right="20" w:firstLine="228"/>
        <w:spacing w:after="0" w:line="250" w:lineRule="auto"/>
        <w:rPr>
          <w:sz w:val="20"/>
          <w:szCs w:val="20"/>
          <w:color w:val="auto"/>
        </w:rPr>
      </w:pPr>
      <w:r>
        <w:rPr>
          <w:rFonts w:ascii="Arial" w:cs="Arial" w:eastAsia="Arial" w:hAnsi="Arial"/>
          <w:sz w:val="18"/>
          <w:szCs w:val="18"/>
          <w:color w:val="auto"/>
        </w:rPr>
        <w:t>In 2002, Oilfield Services segment net income decreased $179 million, or 15%, to $998 million as revenue declined 3%. North America registered the most significant decline as revenue decreased 19%. WesternGeco segment net income of $4 million decreased from $79 million in 2001, as revenue decreased 13% in the declining seismic market. SchlumbergerSema segment net income of $9 million improved from a loss of $5 million in 2001, reflecting the revenue increase of 31% (7% on a pro forma basis – assuming the Sema plc acquisition took place on January 1, 2001) and the effect of the previously announced cost reduction program. In the Other segment, net income declined to $11 million, from $71 million in 2001 which included the divested Resource Management Services businesses.</w:t>
      </w:r>
    </w:p>
    <w:p>
      <w:pPr>
        <w:spacing w:after="0" w:line="3" w:lineRule="exact"/>
        <w:rPr>
          <w:sz w:val="20"/>
          <w:szCs w:val="20"/>
          <w:color w:val="auto"/>
        </w:rPr>
      </w:pPr>
    </w:p>
    <w:p>
      <w:pPr>
        <w:ind w:right="160" w:firstLine="228"/>
        <w:spacing w:after="0" w:line="292" w:lineRule="auto"/>
        <w:rPr>
          <w:sz w:val="20"/>
          <w:szCs w:val="20"/>
          <w:color w:val="auto"/>
        </w:rPr>
      </w:pPr>
      <w:r>
        <w:rPr>
          <w:rFonts w:ascii="Arial" w:cs="Arial" w:eastAsia="Arial" w:hAnsi="Arial"/>
          <w:sz w:val="16"/>
          <w:szCs w:val="16"/>
          <w:color w:val="auto"/>
        </w:rPr>
        <w:t>In 2001, Oilfield Services segment net income increased $387 million, or 49%, to $1.18 billion reflecting the 22% growth in revenue. Higher pricing levels and increased non-rig related activity were the major contributing factors. WesternGeco segment net income of $79 million improved from a loss of $37 million in 2000 as revenue increased to $1.7 billion, from $0.5 billion, attributable to the new venture with Baker Hughes Incorporated, formed in November 2000. SchlumbergerSema segment net loss of $5 million improved $44 million reflecting the incremental income from the newly acquired Sema plc. In the Other segment, net income of $71 million declined $42 million from the prior year with declines in the semiconductor-related and Smart Cards activities.</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Currency Risks</w:t>
      </w:r>
    </w:p>
    <w:p>
      <w:pPr>
        <w:spacing w:after="0" w:line="72" w:lineRule="exact"/>
        <w:rPr>
          <w:sz w:val="20"/>
          <w:szCs w:val="20"/>
          <w:color w:val="auto"/>
        </w:rPr>
      </w:pPr>
    </w:p>
    <w:p>
      <w:pPr>
        <w:ind w:right="440"/>
        <w:spacing w:after="0" w:line="303" w:lineRule="auto"/>
        <w:rPr>
          <w:sz w:val="20"/>
          <w:szCs w:val="20"/>
          <w:color w:val="auto"/>
        </w:rPr>
      </w:pPr>
      <w:r>
        <w:rPr>
          <w:rFonts w:ascii="Arial" w:cs="Arial" w:eastAsia="Arial" w:hAnsi="Arial"/>
          <w:sz w:val="15"/>
          <w:szCs w:val="15"/>
          <w:color w:val="auto"/>
        </w:rPr>
        <w:t xml:space="preserve">Refer to page 42 of this Report, </w:t>
      </w:r>
      <w:r>
        <w:rPr>
          <w:rFonts w:ascii="Arial" w:cs="Arial" w:eastAsia="Arial" w:hAnsi="Arial"/>
          <w:sz w:val="15"/>
          <w:szCs w:val="15"/>
          <w:i w:val="1"/>
          <w:iCs w:val="1"/>
          <w:color w:val="auto"/>
        </w:rPr>
        <w:t>Translation of Non-US Currencies</w:t>
      </w:r>
      <w:r>
        <w:rPr>
          <w:rFonts w:ascii="Arial" w:cs="Arial" w:eastAsia="Arial" w:hAnsi="Arial"/>
          <w:sz w:val="15"/>
          <w:szCs w:val="15"/>
          <w:color w:val="auto"/>
        </w:rPr>
        <w:t xml:space="preserve"> in the </w:t>
      </w:r>
      <w:r>
        <w:rPr>
          <w:rFonts w:ascii="Arial" w:cs="Arial" w:eastAsia="Arial" w:hAnsi="Arial"/>
          <w:sz w:val="15"/>
          <w:szCs w:val="15"/>
          <w:i w:val="1"/>
          <w:iCs w:val="1"/>
          <w:color w:val="auto"/>
        </w:rPr>
        <w:t>Notes to Consolidated Financial Statements</w:t>
      </w:r>
      <w:r>
        <w:rPr>
          <w:rFonts w:ascii="Arial" w:cs="Arial" w:eastAsia="Arial" w:hAnsi="Arial"/>
          <w:sz w:val="15"/>
          <w:szCs w:val="15"/>
          <w:color w:val="auto"/>
        </w:rPr>
        <w:t>, for a description of the Schlumberger policy on currency hedging. There are no material unhedged assets, liabilities or commitments which are denominated in other than a business’ functional currency. Schlumberger businesses operate principally in US dollars, the euro and most other European currencies and most South American currencies.</w:t>
      </w:r>
    </w:p>
    <w:p>
      <w:pPr>
        <w:spacing w:after="0" w:line="1" w:lineRule="exact"/>
        <w:rPr>
          <w:sz w:val="20"/>
          <w:szCs w:val="20"/>
          <w:color w:val="auto"/>
        </w:rPr>
      </w:pPr>
    </w:p>
    <w:p>
      <w:pPr>
        <w:ind w:right="260" w:firstLine="228"/>
        <w:spacing w:after="0" w:line="261" w:lineRule="auto"/>
        <w:rPr>
          <w:sz w:val="20"/>
          <w:szCs w:val="20"/>
          <w:color w:val="auto"/>
        </w:rPr>
      </w:pPr>
      <w:r>
        <w:rPr>
          <w:rFonts w:ascii="Arial" w:cs="Arial" w:eastAsia="Arial" w:hAnsi="Arial"/>
          <w:sz w:val="18"/>
          <w:szCs w:val="18"/>
          <w:color w:val="auto"/>
        </w:rPr>
        <w:t>A 5% change in average exchange rates in 2003 would have changed revenue by about 1% and income from continuing operations before charges by about 7%.</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&amp; Engineering</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Expenditures by business segment were as follows:</w:t>
      </w:r>
    </w:p>
    <w:p>
      <w:pPr>
        <w:spacing w:after="0" w:line="7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(Stated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4662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700" w:type="dxa"/>
            <w:vAlign w:val="bottom"/>
          </w:tcPr>
          <w:p>
            <w:pPr>
              <w:spacing w:after="0"/>
              <w:rPr>
                <w:sz w:val="15"/>
                <w:szCs w:val="15"/>
                <w:color w:val="auto"/>
              </w:rPr>
            </w:pPr>
          </w:p>
        </w:tc>
        <w:tc>
          <w:tcPr>
            <w:tcW w:w="320" w:type="dxa"/>
            <w:vAlign w:val="bottom"/>
          </w:tcPr>
          <w:p>
            <w:pPr>
              <w:jc w:val="right"/>
              <w:spacing w:after="0"/>
              <w:rPr>
                <w:sz w:val="20"/>
                <w:szCs w:val="20"/>
                <w:color w:val="auto"/>
              </w:rPr>
            </w:pPr>
            <w:r>
              <w:rPr>
                <w:rFonts w:ascii="Arial" w:cs="Arial" w:eastAsia="Arial" w:hAnsi="Arial"/>
                <w:sz w:val="14"/>
                <w:szCs w:val="14"/>
                <w:b w:val="1"/>
                <w:bCs w:val="1"/>
                <w:color w:val="auto"/>
                <w:w w:val="96"/>
              </w:rPr>
              <w:t>2003</w:t>
            </w: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jc w:val="right"/>
              <w:spacing w:after="0"/>
              <w:rPr>
                <w:sz w:val="20"/>
                <w:szCs w:val="20"/>
                <w:color w:val="auto"/>
              </w:rPr>
            </w:pPr>
            <w:r>
              <w:rPr>
                <w:rFonts w:ascii="Arial" w:cs="Arial" w:eastAsia="Arial" w:hAnsi="Arial"/>
                <w:sz w:val="14"/>
                <w:szCs w:val="14"/>
                <w:b w:val="1"/>
                <w:bCs w:val="1"/>
                <w:color w:val="auto"/>
                <w:w w:val="96"/>
              </w:rPr>
              <w:t>2002</w:t>
            </w:r>
          </w:p>
        </w:tc>
        <w:tc>
          <w:tcPr>
            <w:tcW w:w="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96"/>
              </w:rPr>
              <w:t>2001</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9060" w:type="dxa"/>
            <w:vAlign w:val="bottom"/>
            <w:gridSpan w:val="2"/>
          </w:tcPr>
          <w:p>
            <w:pPr>
              <w:spacing w:after="0"/>
              <w:rPr>
                <w:sz w:val="8"/>
                <w:szCs w:val="8"/>
                <w:color w:val="auto"/>
              </w:rPr>
            </w:pPr>
          </w:p>
        </w:tc>
        <w:tc>
          <w:tcPr>
            <w:tcW w:w="3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90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Oilfield Services</w:t>
            </w: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85"/>
              </w:rPr>
              <w:t>$ 375</w:t>
            </w: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370</w:t>
            </w:r>
          </w:p>
        </w:tc>
        <w:tc>
          <w:tcPr>
            <w:tcW w:w="70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362</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60" w:type="dxa"/>
            <w:vAlign w:val="bottom"/>
            <w:gridSpan w:val="2"/>
          </w:tcPr>
          <w:p>
            <w:pPr>
              <w:spacing w:after="0" w:line="149" w:lineRule="exact"/>
              <w:rPr>
                <w:sz w:val="20"/>
                <w:szCs w:val="20"/>
                <w:color w:val="auto"/>
              </w:rPr>
            </w:pPr>
            <w:r>
              <w:rPr>
                <w:rFonts w:ascii="Arial" w:cs="Arial" w:eastAsia="Arial" w:hAnsi="Arial"/>
                <w:sz w:val="14"/>
                <w:szCs w:val="14"/>
                <w:color w:val="auto"/>
              </w:rPr>
              <w:t>WesternGeco</w:t>
            </w:r>
          </w:p>
        </w:tc>
        <w:tc>
          <w:tcPr>
            <w:tcW w:w="3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52</w:t>
            </w: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jc w:val="right"/>
              <w:spacing w:after="0" w:line="149" w:lineRule="exact"/>
              <w:rPr>
                <w:sz w:val="20"/>
                <w:szCs w:val="20"/>
                <w:color w:val="auto"/>
              </w:rPr>
            </w:pPr>
            <w:r>
              <w:rPr>
                <w:rFonts w:ascii="Arial" w:cs="Arial" w:eastAsia="Arial" w:hAnsi="Arial"/>
                <w:sz w:val="14"/>
                <w:szCs w:val="14"/>
                <w:color w:val="auto"/>
              </w:rPr>
              <w:t>68</w:t>
            </w: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jc w:val="right"/>
              <w:spacing w:after="0" w:line="149" w:lineRule="exact"/>
              <w:rPr>
                <w:sz w:val="20"/>
                <w:szCs w:val="20"/>
                <w:color w:val="auto"/>
              </w:rPr>
            </w:pPr>
            <w:r>
              <w:rPr>
                <w:rFonts w:ascii="Arial" w:cs="Arial" w:eastAsia="Arial" w:hAnsi="Arial"/>
                <w:sz w:val="14"/>
                <w:szCs w:val="14"/>
                <w:color w:val="auto"/>
              </w:rPr>
              <w:t>63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SchlumbergerSema</w:t>
            </w: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55</w:t>
            </w: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84</w:t>
            </w:r>
          </w:p>
        </w:tc>
        <w:tc>
          <w:tcPr>
            <w:tcW w:w="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line="149" w:lineRule="exact"/>
              <w:rPr>
                <w:sz w:val="20"/>
                <w:szCs w:val="20"/>
                <w:color w:val="auto"/>
              </w:rPr>
            </w:pPr>
            <w:r>
              <w:rPr>
                <w:rFonts w:ascii="Arial" w:cs="Arial" w:eastAsia="Arial" w:hAnsi="Arial"/>
                <w:sz w:val="14"/>
                <w:szCs w:val="14"/>
                <w:color w:val="auto"/>
                <w:w w:val="96"/>
              </w:rPr>
              <w:t>Other</w:t>
            </w:r>
          </w:p>
        </w:tc>
        <w:tc>
          <w:tcPr>
            <w:tcW w:w="8700" w:type="dxa"/>
            <w:vAlign w:val="bottom"/>
          </w:tcPr>
          <w:p>
            <w:pPr>
              <w:spacing w:after="0"/>
              <w:rPr>
                <w:sz w:val="12"/>
                <w:szCs w:val="12"/>
                <w:color w:val="auto"/>
              </w:rPr>
            </w:pPr>
          </w:p>
        </w:tc>
        <w:tc>
          <w:tcPr>
            <w:tcW w:w="3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74</w:t>
            </w: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jc w:val="right"/>
              <w:spacing w:after="0" w:line="149" w:lineRule="exact"/>
              <w:rPr>
                <w:sz w:val="20"/>
                <w:szCs w:val="20"/>
                <w:color w:val="auto"/>
              </w:rPr>
            </w:pPr>
            <w:r>
              <w:rPr>
                <w:rFonts w:ascii="Arial" w:cs="Arial" w:eastAsia="Arial" w:hAnsi="Arial"/>
                <w:sz w:val="14"/>
                <w:szCs w:val="14"/>
                <w:color w:val="auto"/>
              </w:rPr>
              <w:t>74</w:t>
            </w: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jc w:val="right"/>
              <w:spacing w:after="0" w:line="149" w:lineRule="exact"/>
              <w:rPr>
                <w:sz w:val="20"/>
                <w:szCs w:val="20"/>
                <w:color w:val="auto"/>
              </w:rPr>
            </w:pPr>
            <w:r>
              <w:rPr>
                <w:rFonts w:ascii="Arial" w:cs="Arial" w:eastAsia="Arial" w:hAnsi="Arial"/>
                <w:sz w:val="14"/>
                <w:szCs w:val="14"/>
                <w:color w:val="auto"/>
              </w:rPr>
              <w:t>118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9060" w:type="dxa"/>
            <w:vAlign w:val="bottom"/>
            <w:gridSpan w:val="2"/>
            <w:shd w:val="clear" w:color="auto" w:fill="CCEEFF"/>
          </w:tcPr>
          <w:p>
            <w:pPr>
              <w:spacing w:after="0" w:line="176" w:lineRule="exact"/>
              <w:rPr>
                <w:sz w:val="20"/>
                <w:szCs w:val="20"/>
                <w:color w:val="auto"/>
              </w:rPr>
            </w:pPr>
            <w:r>
              <w:rPr>
                <w:rFonts w:ascii="Arial" w:cs="Arial" w:eastAsia="Arial" w:hAnsi="Arial"/>
                <w:sz w:val="13"/>
                <w:szCs w:val="13"/>
                <w:color w:val="auto"/>
              </w:rPr>
              <w:t>In-process R&amp;D charge</w:t>
            </w:r>
            <w:r>
              <w:rPr>
                <w:rFonts w:ascii="Arial" w:cs="Arial" w:eastAsia="Arial" w:hAnsi="Arial"/>
                <w:sz w:val="20"/>
                <w:szCs w:val="20"/>
                <w:color w:val="auto"/>
                <w:vertAlign w:val="superscript"/>
              </w:rPr>
              <w:t>1</w:t>
            </w:r>
          </w:p>
        </w:tc>
        <w:tc>
          <w:tcPr>
            <w:tcW w:w="880" w:type="dxa"/>
            <w:vAlign w:val="bottom"/>
            <w:gridSpan w:val="2"/>
            <w:shd w:val="clear" w:color="auto" w:fill="CCEEFF"/>
          </w:tcPr>
          <w:p>
            <w:pPr>
              <w:jc w:val="right"/>
              <w:ind w:right="5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870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8700" w:type="dxa"/>
            <w:vAlign w:val="bottom"/>
          </w:tcPr>
          <w:p>
            <w:pPr>
              <w:spacing w:after="0"/>
              <w:rPr>
                <w:sz w:val="8"/>
                <w:szCs w:val="8"/>
                <w:color w:val="auto"/>
              </w:rPr>
            </w:pPr>
          </w:p>
        </w:tc>
        <w:tc>
          <w:tcPr>
            <w:tcW w:w="3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70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85"/>
              </w:rPr>
              <w:t>$ 556</w:t>
            </w: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596</w:t>
            </w:r>
          </w:p>
        </w:tc>
        <w:tc>
          <w:tcPr>
            <w:tcW w:w="70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654</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380" w:type="dxa"/>
            <w:vAlign w:val="bottom"/>
            <w:gridSpan w:val="2"/>
          </w:tcPr>
          <w:p>
            <w:pPr>
              <w:spacing w:after="0"/>
              <w:rPr>
                <w:sz w:val="11"/>
                <w:szCs w:val="11"/>
                <w:color w:val="auto"/>
              </w:rPr>
            </w:pPr>
          </w:p>
        </w:tc>
        <w:tc>
          <w:tcPr>
            <w:tcW w:w="8700" w:type="dxa"/>
            <w:vAlign w:val="bottom"/>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334"/>
        </w:trPr>
        <w:tc>
          <w:tcPr>
            <w:tcW w:w="380" w:type="dxa"/>
            <w:vAlign w:val="bottom"/>
            <w:gridSpan w:val="2"/>
          </w:tcPr>
          <w:p>
            <w:pPr>
              <w:spacing w:after="0"/>
              <w:rPr>
                <w:sz w:val="20"/>
                <w:szCs w:val="20"/>
                <w:color w:val="auto"/>
              </w:rPr>
            </w:pPr>
            <w:r>
              <w:rPr>
                <w:rFonts w:ascii="Arial" w:cs="Arial" w:eastAsia="Arial" w:hAnsi="Arial"/>
                <w:sz w:val="14"/>
                <w:szCs w:val="14"/>
                <w:color w:val="auto"/>
              </w:rPr>
              <w:t>1</w:t>
            </w:r>
          </w:p>
        </w:tc>
        <w:tc>
          <w:tcPr>
            <w:tcW w:w="8700" w:type="dxa"/>
            <w:vAlign w:val="bottom"/>
          </w:tcPr>
          <w:p>
            <w:pPr>
              <w:ind w:left="60"/>
              <w:spacing w:after="0"/>
              <w:rPr>
                <w:sz w:val="20"/>
                <w:szCs w:val="20"/>
                <w:color w:val="auto"/>
              </w:rPr>
            </w:pPr>
            <w:r>
              <w:rPr>
                <w:rFonts w:ascii="Arial" w:cs="Arial" w:eastAsia="Arial" w:hAnsi="Arial"/>
                <w:sz w:val="14"/>
                <w:szCs w:val="14"/>
                <w:color w:val="auto"/>
              </w:rPr>
              <w:t>Relating to the Bull CP8 acquisition.</w:t>
            </w:r>
          </w:p>
        </w:tc>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0"/>
        </w:trPr>
        <w:tc>
          <w:tcPr>
            <w:tcW w:w="908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Interest Expense</w:t>
            </w:r>
          </w:p>
        </w:tc>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5765800</wp:posOffset>
            </wp:positionH>
            <wp:positionV relativeFrom="paragraph">
              <wp:posOffset>-463550</wp:posOffset>
            </wp:positionV>
            <wp:extent cx="12700" cy="298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-463550</wp:posOffset>
            </wp:positionV>
            <wp:extent cx="12700" cy="298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5826125</wp:posOffset>
            </wp:positionH>
            <wp:positionV relativeFrom="paragraph">
              <wp:posOffset>-463550</wp:posOffset>
            </wp:positionV>
            <wp:extent cx="21590" cy="298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-463550</wp:posOffset>
            </wp:positionV>
            <wp:extent cx="12700" cy="298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6597650</wp:posOffset>
            </wp:positionH>
            <wp:positionV relativeFrom="paragraph">
              <wp:posOffset>-463550</wp:posOffset>
            </wp:positionV>
            <wp:extent cx="12700" cy="298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6383655</wp:posOffset>
            </wp:positionH>
            <wp:positionV relativeFrom="paragraph">
              <wp:posOffset>-463550</wp:posOffset>
            </wp:positionV>
            <wp:extent cx="21590" cy="298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6966585</wp:posOffset>
            </wp:positionH>
            <wp:positionV relativeFrom="paragraph">
              <wp:posOffset>-463550</wp:posOffset>
            </wp:positionV>
            <wp:extent cx="12700" cy="298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-463550</wp:posOffset>
            </wp:positionV>
            <wp:extent cx="12700" cy="298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7026910</wp:posOffset>
            </wp:positionH>
            <wp:positionV relativeFrom="paragraph">
              <wp:posOffset>-463550</wp:posOffset>
            </wp:positionV>
            <wp:extent cx="21590" cy="298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28"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Interest expense decreased $34 million, to $334 million due to a decrease in average debt balances and a decrease in average borrowing rates from 4.9% to 4.6%. The decrease in 2002 of $17 million, to $368 million, was due to a decrease in average borrowing rates from 5.8% to 4.9% which more than offset a $1 billion increase in average debt balances. The increase in 2001 of $109 million, to $385 million, reflected the significantly higher debt balances incurred, relating to the acquisition of Sema plc, which were only partially offset by a reduction in average borrowing rate from 6.9% to 5.8%.</w:t>
      </w:r>
    </w:p>
    <w:p>
      <w:pPr>
        <w:spacing w:after="0" w:line="97" w:lineRule="exact"/>
        <w:rPr>
          <w:sz w:val="20"/>
          <w:szCs w:val="20"/>
          <w:color w:val="auto"/>
        </w:rPr>
      </w:pPr>
    </w:p>
    <w:p>
      <w:pPr>
        <w:spacing w:after="0"/>
        <w:tabs>
          <w:tab w:leader="none" w:pos="10400" w:val="left"/>
        </w:tabs>
        <w:rPr>
          <w:sz w:val="20"/>
          <w:szCs w:val="20"/>
          <w:color w:val="auto"/>
        </w:rPr>
      </w:pPr>
      <w:r>
        <w:rPr>
          <w:rFonts w:ascii="Arial" w:cs="Arial" w:eastAsia="Arial" w:hAnsi="Arial"/>
          <w:sz w:val="14"/>
          <w:szCs w:val="14"/>
          <w:color w:val="auto"/>
        </w:rPr>
        <w:t>24 / SLB</w:t>
      </w:r>
      <w:r>
        <w:rPr>
          <w:sz w:val="20"/>
          <w:szCs w:val="20"/>
          <w:color w:val="auto"/>
        </w:rPr>
        <w:tab/>
      </w:r>
      <w:r>
        <w:rPr>
          <w:rFonts w:ascii="Arial" w:cs="Arial" w:eastAsia="Arial" w:hAnsi="Arial"/>
          <w:sz w:val="12"/>
          <w:szCs w:val="12"/>
          <w:color w:val="auto"/>
        </w:rPr>
        <w:t>2003 FORM 10-K</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4"/>
          <w:szCs w:val="14"/>
          <w:color w:val="auto"/>
        </w:rPr>
        <w:t>Part II, Item 7</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Hanover Compressor Company</w:t>
      </w:r>
    </w:p>
    <w:p>
      <w:pPr>
        <w:spacing w:after="0" w:line="72"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In August 2001, Schlumberger sold its Oilfield Services worldwide gas compression activity to Hanover Compressor Company. The proceeds included 8.7 million shares of Hanover Compressor common stock, with a value at closing of $173 million, which is restricted from marketability until August 30, 2004, and a $150 million long-term subordinated note maturing December 15, 2005.</w:t>
      </w:r>
    </w:p>
    <w:p>
      <w:pPr>
        <w:ind w:right="80" w:firstLine="228"/>
        <w:spacing w:after="0" w:line="250" w:lineRule="auto"/>
        <w:rPr>
          <w:sz w:val="20"/>
          <w:szCs w:val="20"/>
          <w:color w:val="auto"/>
        </w:rPr>
      </w:pPr>
      <w:r>
        <w:rPr>
          <w:rFonts w:ascii="Arial" w:cs="Arial" w:eastAsia="Arial" w:hAnsi="Arial"/>
          <w:sz w:val="18"/>
          <w:szCs w:val="18"/>
          <w:color w:val="auto"/>
        </w:rPr>
        <w:t>In the fourth quarter of 2003, Schlumberger sold the subordinated note for $177 million and realized a pretax gain of $32 million ($20 million after-tax; $0.03 per share).</w:t>
      </w:r>
    </w:p>
    <w:p>
      <w:pPr>
        <w:spacing w:after="0" w:line="1" w:lineRule="exact"/>
        <w:rPr>
          <w:sz w:val="20"/>
          <w:szCs w:val="20"/>
          <w:color w:val="auto"/>
        </w:rPr>
      </w:pPr>
    </w:p>
    <w:p>
      <w:pPr>
        <w:jc w:val="both"/>
        <w:ind w:right="240" w:firstLine="228"/>
        <w:spacing w:after="0" w:line="250" w:lineRule="auto"/>
        <w:rPr>
          <w:sz w:val="20"/>
          <w:szCs w:val="20"/>
          <w:color w:val="auto"/>
        </w:rPr>
      </w:pPr>
      <w:r>
        <w:rPr>
          <w:rFonts w:ascii="Arial" w:cs="Arial" w:eastAsia="Arial" w:hAnsi="Arial"/>
          <w:sz w:val="18"/>
          <w:szCs w:val="18"/>
          <w:color w:val="auto"/>
        </w:rPr>
        <w:t>At December 31, 2003, the carrying value of Schlumberger’s investment in Hanover Compressor common stock exceeded the market value. As required by generally accepted accounting principles (SFAS 115), Schlumberger wrote down its investment to the fair market value of $91.4 million at December 31, 2003 and recorded a charge of $81.2 million (before and after-tax; $0.13 per share).</w:t>
      </w:r>
    </w:p>
    <w:p>
      <w:pPr>
        <w:spacing w:after="0" w:line="1" w:lineRule="exact"/>
        <w:rPr>
          <w:sz w:val="20"/>
          <w:szCs w:val="20"/>
          <w:color w:val="auto"/>
        </w:rPr>
      </w:pPr>
    </w:p>
    <w:p>
      <w:pPr>
        <w:ind w:right="40" w:firstLine="228"/>
        <w:spacing w:after="0" w:line="261" w:lineRule="auto"/>
        <w:rPr>
          <w:sz w:val="20"/>
          <w:szCs w:val="20"/>
          <w:color w:val="auto"/>
        </w:rPr>
      </w:pPr>
      <w:r>
        <w:rPr>
          <w:rFonts w:ascii="Arial" w:cs="Arial" w:eastAsia="Arial" w:hAnsi="Arial"/>
          <w:sz w:val="18"/>
          <w:szCs w:val="18"/>
          <w:color w:val="auto"/>
        </w:rPr>
        <w:t>As part of the sale agreement, Hanover Compressor had an option to put its interest in the PIGAP II joint venture in Venezuela back to Schlumberger if certain financing conditions were not met. Hanover Compressor did not exercise this option.</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Charges – Continuing Operations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Schlumberger recorded the following after-tax and minority interest charges/credits for continuing operations in 2003, 2002 and 2001:</w:t>
      </w:r>
    </w:p>
    <w:p>
      <w:pPr>
        <w:spacing w:after="0" w:line="77" w:lineRule="exact"/>
        <w:rPr>
          <w:sz w:val="20"/>
          <w:szCs w:val="20"/>
          <w:color w:val="auto"/>
        </w:rPr>
      </w:pPr>
    </w:p>
    <w:p>
      <w:pPr>
        <w:ind w:left="780" w:hanging="326"/>
        <w:spacing w:after="0"/>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 December 2003, a gain of $20 million on the sale of the Hanover Compressor note.</w:t>
      </w:r>
    </w:p>
    <w:p>
      <w:pPr>
        <w:spacing w:after="0" w:line="103" w:lineRule="exact"/>
        <w:rPr>
          <w:rFonts w:ascii="Arial" w:cs="Arial" w:eastAsia="Arial" w:hAnsi="Arial"/>
          <w:sz w:val="18"/>
          <w:szCs w:val="18"/>
          <w:color w:val="auto"/>
        </w:rPr>
      </w:pPr>
    </w:p>
    <w:p>
      <w:pPr>
        <w:ind w:left="780" w:right="360" w:hanging="326"/>
        <w:spacing w:after="0" w:line="325" w:lineRule="auto"/>
        <w:tabs>
          <w:tab w:leader="none" w:pos="7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In December 2003, a charge of $81 million relating to the write-down, to fair market value, of Schlumberger’s investment in Hanover Compressor common stock. The write-down was required by SFAS 115 as the decline in the market value of the stock is “other than temporary”.</w:t>
      </w:r>
    </w:p>
    <w:p>
      <w:pPr>
        <w:spacing w:after="0" w:line="1" w:lineRule="exact"/>
        <w:rPr>
          <w:rFonts w:ascii="Arial" w:cs="Arial" w:eastAsia="Arial" w:hAnsi="Arial"/>
          <w:sz w:val="16"/>
          <w:szCs w:val="16"/>
          <w:color w:val="auto"/>
        </w:rPr>
      </w:pPr>
    </w:p>
    <w:p>
      <w:pPr>
        <w:ind w:left="780" w:right="40" w:hanging="326"/>
        <w:spacing w:after="0" w:line="325" w:lineRule="auto"/>
        <w:tabs>
          <w:tab w:leader="none" w:pos="7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In September 2003, a $205 million multiclient library impairment charge following an evaluation of current and expected future business conditions in the seismic sector, a $38 million seismic vessel impairment charge and a $31 million gain on the sale of a drilling rig.</w:t>
      </w:r>
    </w:p>
    <w:p>
      <w:pPr>
        <w:spacing w:after="0" w:line="1" w:lineRule="exact"/>
        <w:rPr>
          <w:rFonts w:ascii="Arial" w:cs="Arial" w:eastAsia="Arial" w:hAnsi="Arial"/>
          <w:sz w:val="16"/>
          <w:szCs w:val="16"/>
          <w:color w:val="auto"/>
        </w:rPr>
      </w:pPr>
    </w:p>
    <w:p>
      <w:pPr>
        <w:ind w:left="780" w:right="20" w:hanging="326"/>
        <w:spacing w:after="0" w:line="256" w:lineRule="auto"/>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Between June 12 and July 22, 2003, subsidiaries of Schlumberger launched and concluded tender offers to acquire three series of outstanding European bonds; $1.3 billion of principal was repurchased for a total cost of $1.5 billion, which included the premium, and issuing and tender costs. The total charge on the tenders was $168 million, of which $81.5 million was recorded in the second quarter of 2003, when the first tender closed, with the balance of $86.3 million recorded in the third quarter of 2003.</w:t>
      </w:r>
    </w:p>
    <w:p>
      <w:pPr>
        <w:spacing w:after="0" w:line="48" w:lineRule="exact"/>
        <w:rPr>
          <w:rFonts w:ascii="Arial" w:cs="Arial" w:eastAsia="Arial" w:hAnsi="Arial"/>
          <w:sz w:val="18"/>
          <w:szCs w:val="18"/>
          <w:color w:val="auto"/>
        </w:rPr>
      </w:pPr>
    </w:p>
    <w:p>
      <w:pPr>
        <w:ind w:left="780" w:right="60" w:hanging="326"/>
        <w:spacing w:after="0" w:line="287" w:lineRule="auto"/>
        <w:tabs>
          <w:tab w:leader="none" w:pos="7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On December 10, 2002, Schlumberger announced that the Board of Directors had approved an updated strategy for its SchlumbergerSema business segment. The new strategic plan outlook, current business values and the reorganization of SchlumbergerSema constitute significant events that required an impairment analysis to be performed in accordance with SFAS 142. SchlumbergerSema was ‘valued’ on a stand-alone basis; each reporting unit within SchlumbergerSema was valued using a discounted cash flow analysis based on a long-term forecast prepared by SchlumbergerSema management with the assistance of a third party valuation expert. The implied multiples yielded by the discounted cash flow analysis were compared to observed trading multiples of comparable companies and recent transactions in the IT services industry to assess the fair value of the reporting units. The fair value was below the book value. As a result, goodwill was written down to its estimated fair value based on Schlumberger’s valuation. The impairment of goodwill mainly reflected the prevailing difficulties of the telecommunications industry and the severely depressed market values of the IT companies serving SchlumbergerSema’s sector. Certain intangible assets were also identified and written down as part of this process.</w:t>
      </w:r>
    </w:p>
    <w:p>
      <w:pPr>
        <w:spacing w:after="0" w:line="107" w:lineRule="exact"/>
        <w:rPr>
          <w:sz w:val="20"/>
          <w:szCs w:val="20"/>
          <w:color w:val="auto"/>
        </w:rPr>
      </w:pPr>
    </w:p>
    <w:p>
      <w:pPr>
        <w:spacing w:after="0"/>
        <w:tabs>
          <w:tab w:leader="none" w:pos="10400" w:val="left"/>
        </w:tabs>
        <w:rPr>
          <w:sz w:val="20"/>
          <w:szCs w:val="20"/>
          <w:color w:val="auto"/>
        </w:rPr>
      </w:pPr>
      <w:r>
        <w:rPr>
          <w:rFonts w:ascii="Arial" w:cs="Arial" w:eastAsia="Arial" w:hAnsi="Arial"/>
          <w:sz w:val="14"/>
          <w:szCs w:val="14"/>
          <w:color w:val="auto"/>
        </w:rPr>
        <w:t>25 / SLB</w:t>
      </w:r>
      <w:r>
        <w:rPr>
          <w:sz w:val="20"/>
          <w:szCs w:val="20"/>
          <w:color w:val="auto"/>
        </w:rPr>
        <w:tab/>
      </w:r>
      <w:r>
        <w:rPr>
          <w:rFonts w:ascii="Arial" w:cs="Arial" w:eastAsia="Arial" w:hAnsi="Arial"/>
          <w:sz w:val="12"/>
          <w:szCs w:val="12"/>
          <w:color w:val="auto"/>
        </w:rPr>
        <w:t>2003 FORM 10-K</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4"/>
          <w:szCs w:val="14"/>
          <w:color w:val="auto"/>
        </w:rPr>
        <w:t>Part II, Item 7</w:t>
      </w:r>
    </w:p>
    <w:p>
      <w:pPr>
        <w:spacing w:after="0" w:line="139" w:lineRule="exact"/>
        <w:rPr>
          <w:sz w:val="20"/>
          <w:szCs w:val="20"/>
          <w:color w:val="auto"/>
        </w:rPr>
      </w:pPr>
    </w:p>
    <w:p>
      <w:pPr>
        <w:ind w:left="800" w:right="60" w:firstLine="212"/>
        <w:spacing w:after="0" w:line="252" w:lineRule="auto"/>
        <w:rPr>
          <w:sz w:val="20"/>
          <w:szCs w:val="20"/>
          <w:color w:val="auto"/>
        </w:rPr>
      </w:pPr>
      <w:r>
        <w:rPr>
          <w:rFonts w:ascii="Arial" w:cs="Arial" w:eastAsia="Arial" w:hAnsi="Arial"/>
          <w:sz w:val="18"/>
          <w:szCs w:val="18"/>
          <w:color w:val="auto"/>
        </w:rPr>
        <w:t>Schlumberger recorded severance, facility and other costs in an effort to reduce costs at SchlumbergerSema and WesternGeco. These costs related to expenses that offer no future benefit to the ongoing operations of these businesses. During the fourth quarter, Schlumberger also recorded an impairment charge, to reflect a change in the business projections of the WesternGeco business, related to capitalized multiclient seismic library costs, a deferred tax valuation allowance and other costs.</w:t>
      </w:r>
    </w:p>
    <w:p>
      <w:pPr>
        <w:spacing w:after="0" w:line="1" w:lineRule="exact"/>
        <w:rPr>
          <w:sz w:val="20"/>
          <w:szCs w:val="20"/>
          <w:color w:val="auto"/>
        </w:rPr>
      </w:pPr>
    </w:p>
    <w:p>
      <w:pPr>
        <w:ind w:left="800" w:right="60" w:firstLine="212"/>
        <w:spacing w:after="0" w:line="253" w:lineRule="auto"/>
        <w:rPr>
          <w:sz w:val="20"/>
          <w:szCs w:val="20"/>
          <w:color w:val="auto"/>
        </w:rPr>
      </w:pPr>
      <w:r>
        <w:rPr>
          <w:rFonts w:ascii="Arial" w:cs="Arial" w:eastAsia="Arial" w:hAnsi="Arial"/>
          <w:sz w:val="18"/>
          <w:szCs w:val="18"/>
          <w:color w:val="auto"/>
        </w:rPr>
        <w:t>The total of the above charges was $3,168 million and consisted of (1) a goodwill impairment charge of $2,638 million; (2) an intangible assets impairment charge of $132 million; (3) SchlumbergerSema severance and other charges of $77 million in response to current business conditions; (4) WesternGeco severance and other charges of $72 million in response to current business conditions; (5) a WesternGeco multiclient library impairment charge of $129 million following a valuation of the library; (6) environmental related charges of $26 million; and (7) a deferred tax valuation allowance charge of $94 million.</w:t>
      </w:r>
    </w:p>
    <w:p>
      <w:pPr>
        <w:spacing w:after="0" w:line="51" w:lineRule="exact"/>
        <w:rPr>
          <w:sz w:val="20"/>
          <w:szCs w:val="20"/>
          <w:color w:val="auto"/>
        </w:rPr>
      </w:pPr>
    </w:p>
    <w:p>
      <w:pPr>
        <w:ind w:left="780" w:hanging="326"/>
        <w:spacing w:after="0"/>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 December 2002, a credit of $87 million reflecting the gain on the sale of two drilling rigs.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 March 2002, a charge of $29 million related to the financial/economic crisis in Argentina.</w:t>
      </w:r>
    </w:p>
    <w:p>
      <w:pPr>
        <w:spacing w:after="0" w:line="103" w:lineRule="exact"/>
        <w:rPr>
          <w:rFonts w:ascii="Arial" w:cs="Arial" w:eastAsia="Arial" w:hAnsi="Arial"/>
          <w:sz w:val="18"/>
          <w:szCs w:val="18"/>
          <w:color w:val="auto"/>
        </w:rPr>
      </w:pPr>
    </w:p>
    <w:p>
      <w:pPr>
        <w:ind w:left="780" w:right="140" w:hanging="326"/>
        <w:spacing w:after="0" w:line="291" w:lineRule="auto"/>
        <w:tabs>
          <w:tab w:leader="none" w:pos="7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In December 2001, a net credit of $5 million, including an after-tax gain on the sale of the former Resource Management Services North American Water division ($117 million). This gain was partially offset by certain charges: (1) a provision of $37 million for employee termination costs, principally in Europe and the US, related to Oilfield Services and SchlumbergerSema in response to the prevailing business conditions; (2) tax reorganization costs of $29 million; (3) a further $20 million charge related to the second quarter estimated loss on the divestiture of certain Resource Management Services businesses following the actual closing in the fourth quarter; and (4) asset write-down of $23 million for technological impairment related to certain Land seismic assets in the newly formed WesternGeco Joint Venture.</w:t>
      </w:r>
    </w:p>
    <w:p>
      <w:pPr>
        <w:spacing w:after="0" w:line="25" w:lineRule="exact"/>
        <w:rPr>
          <w:rFonts w:ascii="Arial" w:cs="Arial" w:eastAsia="Arial" w:hAnsi="Arial"/>
          <w:sz w:val="16"/>
          <w:szCs w:val="16"/>
          <w:color w:val="auto"/>
        </w:rPr>
      </w:pPr>
    </w:p>
    <w:p>
      <w:pPr>
        <w:ind w:left="780" w:right="540" w:hanging="326"/>
        <w:spacing w:after="0" w:line="268" w:lineRule="auto"/>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 September 2001, a net credit of $3 million representing the gain on the sale of the worldwide gas compression business, partially offset by an impairment charge relating to the expected disposition of certain activities.</w:t>
      </w:r>
    </w:p>
    <w:p>
      <w:pPr>
        <w:spacing w:after="0" w:line="37" w:lineRule="exact"/>
        <w:rPr>
          <w:rFonts w:ascii="Arial" w:cs="Arial" w:eastAsia="Arial" w:hAnsi="Arial"/>
          <w:sz w:val="18"/>
          <w:szCs w:val="18"/>
          <w:color w:val="auto"/>
        </w:rPr>
      </w:pPr>
    </w:p>
    <w:p>
      <w:pPr>
        <w:ind w:left="780" w:hanging="326"/>
        <w:spacing w:after="0"/>
        <w:tabs>
          <w:tab w:leader="none" w:pos="780" w:val="left"/>
        </w:tabs>
        <w:numPr>
          <w:ilvl w:val="0"/>
          <w:numId w:val="16"/>
        </w:numPr>
        <w:rPr>
          <w:rFonts w:ascii="Arial" w:cs="Arial" w:eastAsia="Arial" w:hAnsi="Arial"/>
          <w:sz w:val="15"/>
          <w:szCs w:val="15"/>
          <w:color w:val="auto"/>
        </w:rPr>
      </w:pPr>
      <w:r>
        <w:rPr>
          <w:rFonts w:ascii="Arial" w:cs="Arial" w:eastAsia="Arial" w:hAnsi="Arial"/>
          <w:sz w:val="15"/>
          <w:szCs w:val="15"/>
          <w:color w:val="auto"/>
        </w:rPr>
        <w:t>In June 2001, a charge of $280 million for the estimated impairment charge from the disposition of certain Resource Management Services businesses.</w:t>
      </w:r>
    </w:p>
    <w:p>
      <w:pPr>
        <w:spacing w:after="0" w:line="138" w:lineRule="exact"/>
        <w:rPr>
          <w:rFonts w:ascii="Arial" w:cs="Arial" w:eastAsia="Arial" w:hAnsi="Arial"/>
          <w:sz w:val="15"/>
          <w:szCs w:val="15"/>
          <w:color w:val="auto"/>
        </w:rPr>
      </w:pPr>
    </w:p>
    <w:p>
      <w:pPr>
        <w:ind w:left="780" w:hanging="326"/>
        <w:spacing w:after="0"/>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 March 2001, a charge of $25 million for in-process R&amp;D related to the Bull CP8 acquisition.</w:t>
      </w:r>
    </w:p>
    <w:p>
      <w:pPr>
        <w:spacing w:after="0" w:line="104"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An analysis of the fourth quarter 2002 pretax severance and facility charges as of December 31, 2003 is as follows:</w:t>
      </w:r>
    </w:p>
    <w:p>
      <w:pPr>
        <w:spacing w:after="0" w:line="7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stated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4662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8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gridSpan w:val="2"/>
          </w:tcPr>
          <w:p>
            <w:pPr>
              <w:ind w:left="280"/>
              <w:spacing w:after="0"/>
              <w:rPr>
                <w:sz w:val="20"/>
                <w:szCs w:val="20"/>
                <w:color w:val="auto"/>
              </w:rPr>
            </w:pPr>
            <w:r>
              <w:rPr>
                <w:rFonts w:ascii="Arial" w:cs="Arial" w:eastAsia="Arial" w:hAnsi="Arial"/>
                <w:sz w:val="14"/>
                <w:szCs w:val="14"/>
                <w:b w:val="1"/>
                <w:bCs w:val="1"/>
                <w:color w:val="auto"/>
                <w:w w:val="85"/>
              </w:rPr>
              <w:t>Severance</w:t>
            </w:r>
          </w:p>
        </w:tc>
        <w:tc>
          <w:tcPr>
            <w:tcW w:w="4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7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gridSpan w:val="2"/>
            <w:vMerge w:val="restart"/>
          </w:tcPr>
          <w:p>
            <w:pPr>
              <w:jc w:val="right"/>
              <w:ind w:right="20"/>
              <w:spacing w:after="0"/>
              <w:rPr>
                <w:sz w:val="20"/>
                <w:szCs w:val="20"/>
                <w:color w:val="auto"/>
              </w:rPr>
            </w:pPr>
            <w:r>
              <w:rPr>
                <w:rFonts w:ascii="Arial" w:cs="Arial" w:eastAsia="Arial" w:hAnsi="Arial"/>
                <w:sz w:val="14"/>
                <w:szCs w:val="14"/>
                <w:b w:val="1"/>
                <w:bCs w:val="1"/>
                <w:color w:val="auto"/>
                <w:w w:val="90"/>
              </w:rPr>
              <w:t>Facilities</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700" w:type="dxa"/>
            <w:vAlign w:val="bottom"/>
          </w:tcPr>
          <w:p>
            <w:pPr>
              <w:spacing w:after="0"/>
              <w:rPr>
                <w:sz w:val="7"/>
                <w:szCs w:val="7"/>
                <w:color w:val="auto"/>
              </w:rPr>
            </w:pPr>
          </w:p>
        </w:tc>
        <w:tc>
          <w:tcPr>
            <w:tcW w:w="160" w:type="dxa"/>
            <w:vAlign w:val="bottom"/>
          </w:tcPr>
          <w:p>
            <w:pPr>
              <w:spacing w:after="0"/>
              <w:rPr>
                <w:sz w:val="7"/>
                <w:szCs w:val="7"/>
                <w:color w:val="auto"/>
              </w:rPr>
            </w:pPr>
          </w:p>
        </w:tc>
        <w:tc>
          <w:tcPr>
            <w:tcW w:w="340" w:type="dxa"/>
            <w:vAlign w:val="bottom"/>
          </w:tcPr>
          <w:p>
            <w:pPr>
              <w:spacing w:after="0"/>
              <w:rPr>
                <w:sz w:val="7"/>
                <w:szCs w:val="7"/>
                <w:color w:val="auto"/>
              </w:rPr>
            </w:pPr>
          </w:p>
        </w:tc>
        <w:tc>
          <w:tcPr>
            <w:tcW w:w="560" w:type="dxa"/>
            <w:vAlign w:val="bottom"/>
          </w:tcPr>
          <w:p>
            <w:pPr>
              <w:spacing w:after="0"/>
              <w:rPr>
                <w:sz w:val="7"/>
                <w:szCs w:val="7"/>
                <w:color w:val="auto"/>
              </w:rPr>
            </w:pPr>
          </w:p>
        </w:tc>
        <w:tc>
          <w:tcPr>
            <w:tcW w:w="400" w:type="dxa"/>
            <w:vAlign w:val="bottom"/>
          </w:tcPr>
          <w:p>
            <w:pPr>
              <w:spacing w:after="0"/>
              <w:rPr>
                <w:sz w:val="7"/>
                <w:szCs w:val="7"/>
                <w:color w:val="auto"/>
              </w:rPr>
            </w:pPr>
          </w:p>
        </w:tc>
        <w:tc>
          <w:tcPr>
            <w:tcW w:w="5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700" w:type="dxa"/>
            <w:vAlign w:val="bottom"/>
          </w:tcPr>
          <w:p>
            <w:pPr>
              <w:spacing w:after="0"/>
              <w:rPr>
                <w:sz w:val="15"/>
                <w:szCs w:val="15"/>
                <w:color w:val="auto"/>
              </w:rPr>
            </w:pPr>
          </w:p>
        </w:tc>
        <w:tc>
          <w:tcPr>
            <w:tcW w:w="1060" w:type="dxa"/>
            <w:vAlign w:val="bottom"/>
            <w:gridSpan w:val="3"/>
          </w:tcPr>
          <w:p>
            <w:pPr>
              <w:ind w:left="20"/>
              <w:spacing w:after="0"/>
              <w:rPr>
                <w:sz w:val="20"/>
                <w:szCs w:val="20"/>
                <w:color w:val="auto"/>
              </w:rPr>
            </w:pPr>
            <w:r>
              <w:rPr>
                <w:rFonts w:ascii="Arial" w:cs="Arial" w:eastAsia="Arial" w:hAnsi="Arial"/>
                <w:sz w:val="14"/>
                <w:szCs w:val="14"/>
                <w:b w:val="1"/>
                <w:bCs w:val="1"/>
                <w:color w:val="auto"/>
              </w:rPr>
              <w:t>Amount</w:t>
            </w: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w w:val="82"/>
              </w:rPr>
              <w:t>People</w:t>
            </w: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8700" w:type="dxa"/>
            <w:vAlign w:val="bottom"/>
          </w:tcPr>
          <w:p>
            <w:pPr>
              <w:spacing w:after="0"/>
              <w:rPr>
                <w:sz w:val="8"/>
                <w:szCs w:val="8"/>
                <w:color w:val="auto"/>
              </w:rPr>
            </w:pPr>
          </w:p>
        </w:tc>
        <w:tc>
          <w:tcPr>
            <w:tcW w:w="160" w:type="dxa"/>
            <w:vAlign w:val="bottom"/>
          </w:tcPr>
          <w:p>
            <w:pPr>
              <w:spacing w:after="0"/>
              <w:rPr>
                <w:sz w:val="8"/>
                <w:szCs w:val="8"/>
                <w:color w:val="auto"/>
              </w:rPr>
            </w:pPr>
          </w:p>
        </w:tc>
        <w:tc>
          <w:tcPr>
            <w:tcW w:w="34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87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Charges</w:t>
            </w:r>
          </w:p>
        </w:tc>
        <w:tc>
          <w:tcPr>
            <w:tcW w:w="160" w:type="dxa"/>
            <w:vAlign w:val="bottom"/>
            <w:shd w:val="clear" w:color="auto" w:fill="CCEEFF"/>
          </w:tcPr>
          <w:p>
            <w:pPr>
              <w:jc w:val="right"/>
              <w:ind w:right="44"/>
              <w:spacing w:after="0"/>
              <w:rPr>
                <w:sz w:val="20"/>
                <w:szCs w:val="20"/>
                <w:color w:val="auto"/>
              </w:rPr>
            </w:pPr>
            <w:r>
              <w:rPr>
                <w:rFonts w:ascii="Arial" w:cs="Arial" w:eastAsia="Arial" w:hAnsi="Arial"/>
                <w:sz w:val="10"/>
                <w:szCs w:val="10"/>
                <w:color w:val="auto"/>
                <w:w w:val="71"/>
              </w:rPr>
              <w:t>$</w:t>
            </w: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94.5</w:t>
            </w:r>
          </w:p>
        </w:tc>
        <w:tc>
          <w:tcPr>
            <w:tcW w:w="56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3,492</w:t>
            </w:r>
          </w:p>
        </w:tc>
        <w:tc>
          <w:tcPr>
            <w:tcW w:w="6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42.8</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700" w:type="dxa"/>
            <w:vAlign w:val="bottom"/>
          </w:tcPr>
          <w:p>
            <w:pPr>
              <w:spacing w:after="0"/>
              <w:rPr>
                <w:sz w:val="20"/>
                <w:szCs w:val="20"/>
                <w:color w:val="auto"/>
              </w:rPr>
            </w:pPr>
            <w:r>
              <w:rPr>
                <w:rFonts w:ascii="Arial" w:cs="Arial" w:eastAsia="Arial" w:hAnsi="Arial"/>
                <w:sz w:val="14"/>
                <w:szCs w:val="14"/>
                <w:color w:val="auto"/>
              </w:rPr>
              <w:t>Paid in December 2002</w:t>
            </w:r>
          </w:p>
        </w:tc>
        <w:tc>
          <w:tcPr>
            <w:tcW w:w="16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32.9</w:t>
            </w:r>
          </w:p>
        </w:tc>
        <w:tc>
          <w:tcPr>
            <w:tcW w:w="56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1,643</w:t>
            </w: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6.6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870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560" w:type="dxa"/>
            <w:vAlign w:val="bottom"/>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56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56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700" w:type="dxa"/>
            <w:vAlign w:val="bottom"/>
          </w:tcPr>
          <w:p>
            <w:pPr>
              <w:spacing w:after="0"/>
              <w:rPr>
                <w:sz w:val="8"/>
                <w:szCs w:val="8"/>
                <w:color w:val="auto"/>
              </w:rPr>
            </w:pPr>
          </w:p>
        </w:tc>
        <w:tc>
          <w:tcPr>
            <w:tcW w:w="160" w:type="dxa"/>
            <w:vAlign w:val="bottom"/>
          </w:tcPr>
          <w:p>
            <w:pPr>
              <w:spacing w:after="0"/>
              <w:rPr>
                <w:sz w:val="8"/>
                <w:szCs w:val="8"/>
                <w:color w:val="auto"/>
              </w:rPr>
            </w:pPr>
          </w:p>
        </w:tc>
        <w:tc>
          <w:tcPr>
            <w:tcW w:w="34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87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Balance December 31, 2002</w:t>
            </w:r>
          </w:p>
        </w:tc>
        <w:tc>
          <w:tcPr>
            <w:tcW w:w="16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61.6</w:t>
            </w:r>
          </w:p>
        </w:tc>
        <w:tc>
          <w:tcPr>
            <w:tcW w:w="56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1,849</w:t>
            </w: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36.2</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700" w:type="dxa"/>
            <w:vAlign w:val="bottom"/>
          </w:tcPr>
          <w:p>
            <w:pPr>
              <w:spacing w:after="0"/>
              <w:rPr>
                <w:sz w:val="20"/>
                <w:szCs w:val="20"/>
                <w:color w:val="auto"/>
              </w:rPr>
            </w:pPr>
            <w:r>
              <w:rPr>
                <w:rFonts w:ascii="Arial" w:cs="Arial" w:eastAsia="Arial" w:hAnsi="Arial"/>
                <w:sz w:val="14"/>
                <w:szCs w:val="14"/>
                <w:color w:val="auto"/>
              </w:rPr>
              <w:t>Paid/reversed in 2003</w:t>
            </w:r>
          </w:p>
        </w:tc>
        <w:tc>
          <w:tcPr>
            <w:tcW w:w="16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60.6</w:t>
            </w:r>
          </w:p>
        </w:tc>
        <w:tc>
          <w:tcPr>
            <w:tcW w:w="56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1,841</w:t>
            </w: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25.1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870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560" w:type="dxa"/>
            <w:vAlign w:val="bottom"/>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56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56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700" w:type="dxa"/>
            <w:vAlign w:val="bottom"/>
          </w:tcPr>
          <w:p>
            <w:pPr>
              <w:spacing w:after="0"/>
              <w:rPr>
                <w:sz w:val="8"/>
                <w:szCs w:val="8"/>
                <w:color w:val="auto"/>
              </w:rPr>
            </w:pPr>
          </w:p>
        </w:tc>
        <w:tc>
          <w:tcPr>
            <w:tcW w:w="160" w:type="dxa"/>
            <w:vAlign w:val="bottom"/>
          </w:tcPr>
          <w:p>
            <w:pPr>
              <w:spacing w:after="0"/>
              <w:rPr>
                <w:sz w:val="8"/>
                <w:szCs w:val="8"/>
                <w:color w:val="auto"/>
              </w:rPr>
            </w:pPr>
          </w:p>
        </w:tc>
        <w:tc>
          <w:tcPr>
            <w:tcW w:w="34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87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Balance December 31, 2003</w:t>
            </w:r>
          </w:p>
        </w:tc>
        <w:tc>
          <w:tcPr>
            <w:tcW w:w="160" w:type="dxa"/>
            <w:vAlign w:val="bottom"/>
            <w:shd w:val="clear" w:color="auto" w:fill="CCEEFF"/>
          </w:tcPr>
          <w:p>
            <w:pPr>
              <w:jc w:val="right"/>
              <w:ind w:right="44"/>
              <w:spacing w:after="0"/>
              <w:rPr>
                <w:sz w:val="20"/>
                <w:szCs w:val="20"/>
                <w:color w:val="auto"/>
              </w:rPr>
            </w:pPr>
            <w:r>
              <w:rPr>
                <w:rFonts w:ascii="Arial" w:cs="Arial" w:eastAsia="Arial" w:hAnsi="Arial"/>
                <w:sz w:val="10"/>
                <w:szCs w:val="10"/>
                <w:color w:val="auto"/>
                <w:w w:val="71"/>
              </w:rPr>
              <w:t>$</w:t>
            </w: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w:t>
            </w:r>
          </w:p>
        </w:tc>
        <w:tc>
          <w:tcPr>
            <w:tcW w:w="56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w:t>
            </w:r>
          </w:p>
        </w:tc>
        <w:tc>
          <w:tcPr>
            <w:tcW w:w="6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11.1</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70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5534660</wp:posOffset>
            </wp:positionH>
            <wp:positionV relativeFrom="paragraph">
              <wp:posOffset>-29210</wp:posOffset>
            </wp:positionV>
            <wp:extent cx="12700" cy="298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5843270</wp:posOffset>
            </wp:positionH>
            <wp:positionV relativeFrom="paragraph">
              <wp:posOffset>-29210</wp:posOffset>
            </wp:positionV>
            <wp:extent cx="12700" cy="298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5603240</wp:posOffset>
            </wp:positionH>
            <wp:positionV relativeFrom="paragraph">
              <wp:posOffset>-29210</wp:posOffset>
            </wp:positionV>
            <wp:extent cx="21590" cy="298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6452235</wp:posOffset>
            </wp:positionH>
            <wp:positionV relativeFrom="paragraph">
              <wp:posOffset>-29210</wp:posOffset>
            </wp:positionV>
            <wp:extent cx="12700" cy="298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6212205</wp:posOffset>
            </wp:positionH>
            <wp:positionV relativeFrom="paragraph">
              <wp:posOffset>-29210</wp:posOffset>
            </wp:positionV>
            <wp:extent cx="12700" cy="298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6820535</wp:posOffset>
            </wp:positionH>
            <wp:positionV relativeFrom="paragraph">
              <wp:posOffset>-29210</wp:posOffset>
            </wp:positionV>
            <wp:extent cx="12700" cy="298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6880860</wp:posOffset>
            </wp:positionH>
            <wp:positionV relativeFrom="paragraph">
              <wp:posOffset>-29210</wp:posOffset>
            </wp:positionV>
            <wp:extent cx="21590" cy="298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144" w:lineRule="exact"/>
        <w:rPr>
          <w:sz w:val="20"/>
          <w:szCs w:val="20"/>
          <w:color w:val="auto"/>
        </w:rPr>
      </w:pPr>
    </w:p>
    <w:p>
      <w:pPr>
        <w:ind w:right="340" w:firstLine="228"/>
        <w:spacing w:after="0" w:line="254" w:lineRule="auto"/>
        <w:rPr>
          <w:sz w:val="20"/>
          <w:szCs w:val="20"/>
          <w:color w:val="auto"/>
        </w:rPr>
      </w:pPr>
      <w:r>
        <w:rPr>
          <w:rFonts w:ascii="Arial" w:cs="Arial" w:eastAsia="Arial" w:hAnsi="Arial"/>
          <w:sz w:val="18"/>
          <w:szCs w:val="18"/>
          <w:color w:val="auto"/>
        </w:rPr>
        <w:t xml:space="preserve">At December 31, 2003, the Severance balance of $1.0 million is classified as </w:t>
      </w:r>
      <w:r>
        <w:rPr>
          <w:rFonts w:ascii="Arial" w:cs="Arial" w:eastAsia="Arial" w:hAnsi="Arial"/>
          <w:sz w:val="18"/>
          <w:szCs w:val="18"/>
          <w:i w:val="1"/>
          <w:iCs w:val="1"/>
          <w:color w:val="auto"/>
        </w:rPr>
        <w:t>Accounts Payable and Accrued Liabilities</w:t>
      </w:r>
      <w:r>
        <w:rPr>
          <w:rFonts w:ascii="Arial" w:cs="Arial" w:eastAsia="Arial" w:hAnsi="Arial"/>
          <w:sz w:val="18"/>
          <w:szCs w:val="18"/>
          <w:color w:val="auto"/>
        </w:rPr>
        <w:t xml:space="preserve"> and the Facilities balance of $11.1 million is classified in </w:t>
      </w:r>
      <w:r>
        <w:rPr>
          <w:rFonts w:ascii="Arial" w:cs="Arial" w:eastAsia="Arial" w:hAnsi="Arial"/>
          <w:sz w:val="18"/>
          <w:szCs w:val="18"/>
          <w:i w:val="1"/>
          <w:iCs w:val="1"/>
          <w:color w:val="auto"/>
        </w:rPr>
        <w:t>Liabilities held for sale</w:t>
      </w:r>
      <w:r>
        <w:rPr>
          <w:rFonts w:ascii="Arial" w:cs="Arial" w:eastAsia="Arial" w:hAnsi="Arial"/>
          <w:sz w:val="18"/>
          <w:szCs w:val="18"/>
          <w:color w:val="auto"/>
        </w:rPr>
        <w:t xml:space="preserve"> on the </w:t>
      </w:r>
      <w:r>
        <w:rPr>
          <w:rFonts w:ascii="Arial" w:cs="Arial" w:eastAsia="Arial" w:hAnsi="Arial"/>
          <w:sz w:val="18"/>
          <w:szCs w:val="18"/>
          <w:i w:val="1"/>
          <w:iCs w:val="1"/>
          <w:color w:val="auto"/>
        </w:rPr>
        <w:t>Consolidated Balance Sheet</w:t>
      </w:r>
      <w:r>
        <w:rPr>
          <w:rFonts w:ascii="Arial" w:cs="Arial" w:eastAsia="Arial" w:hAnsi="Arial"/>
          <w:sz w:val="18"/>
          <w:szCs w:val="18"/>
          <w:color w:val="auto"/>
        </w:rPr>
        <w:t>.</w:t>
      </w:r>
    </w:p>
    <w:p>
      <w:pPr>
        <w:ind w:left="240"/>
        <w:spacing w:after="0"/>
        <w:rPr>
          <w:sz w:val="20"/>
          <w:szCs w:val="20"/>
          <w:color w:val="auto"/>
        </w:rPr>
      </w:pPr>
      <w:r>
        <w:rPr>
          <w:rFonts w:ascii="Arial" w:cs="Arial" w:eastAsia="Arial" w:hAnsi="Arial"/>
          <w:sz w:val="18"/>
          <w:szCs w:val="18"/>
          <w:color w:val="auto"/>
        </w:rPr>
        <w:t>The December 2001 charge included severance costs of $41 million (775 people), which have been paid.</w:t>
      </w:r>
    </w:p>
    <w:p>
      <w:pPr>
        <w:spacing w:after="0" w:line="149" w:lineRule="exact"/>
        <w:rPr>
          <w:sz w:val="20"/>
          <w:szCs w:val="20"/>
          <w:color w:val="auto"/>
        </w:rPr>
      </w:pPr>
    </w:p>
    <w:p>
      <w:pPr>
        <w:spacing w:after="0"/>
        <w:tabs>
          <w:tab w:leader="none" w:pos="10400" w:val="left"/>
        </w:tabs>
        <w:rPr>
          <w:sz w:val="20"/>
          <w:szCs w:val="20"/>
          <w:color w:val="auto"/>
        </w:rPr>
      </w:pPr>
      <w:r>
        <w:rPr>
          <w:rFonts w:ascii="Arial" w:cs="Arial" w:eastAsia="Arial" w:hAnsi="Arial"/>
          <w:sz w:val="14"/>
          <w:szCs w:val="14"/>
          <w:color w:val="auto"/>
        </w:rPr>
        <w:t>26 / SLB</w:t>
      </w:r>
      <w:r>
        <w:rPr>
          <w:sz w:val="20"/>
          <w:szCs w:val="20"/>
          <w:color w:val="auto"/>
        </w:rPr>
        <w:tab/>
      </w:r>
      <w:r>
        <w:rPr>
          <w:rFonts w:ascii="Arial" w:cs="Arial" w:eastAsia="Arial" w:hAnsi="Arial"/>
          <w:sz w:val="12"/>
          <w:szCs w:val="12"/>
          <w:color w:val="auto"/>
        </w:rPr>
        <w:t>2003 FORM 10-K</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4"/>
          <w:szCs w:val="14"/>
          <w:color w:val="auto"/>
        </w:rPr>
        <w:t>Part II, Item 7</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Accounting Policies and Estimates</w:t>
      </w:r>
    </w:p>
    <w:p>
      <w:pPr>
        <w:spacing w:after="0" w:line="72"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Schlumberger’s discussion and analysis of its financial condition and results of operations are based upon Schlumberger’s consolidated financial statements, which have been prepared in accordance with accounting principles generally accepted in the United States. The preparation of these financial statements requires Schlumberger to make estimates and judgments that affect the reported amounts of assets, liabilities, revenues and expenses, and related disclosure of contingent assets and liabilities.</w:t>
      </w:r>
    </w:p>
    <w:p>
      <w:pPr>
        <w:spacing w:after="0" w:line="1" w:lineRule="exact"/>
        <w:rPr>
          <w:sz w:val="20"/>
          <w:szCs w:val="20"/>
          <w:color w:val="auto"/>
        </w:rPr>
      </w:pPr>
    </w:p>
    <w:p>
      <w:pPr>
        <w:ind w:right="80" w:firstLine="228"/>
        <w:spacing w:after="0" w:line="281" w:lineRule="auto"/>
        <w:rPr>
          <w:sz w:val="20"/>
          <w:szCs w:val="20"/>
          <w:color w:val="auto"/>
        </w:rPr>
      </w:pPr>
      <w:r>
        <w:rPr>
          <w:rFonts w:ascii="Arial" w:cs="Arial" w:eastAsia="Arial" w:hAnsi="Arial"/>
          <w:sz w:val="16"/>
          <w:szCs w:val="16"/>
          <w:color w:val="auto"/>
        </w:rPr>
        <w:t>On an on-going basis, Schlumberger evaluates its estimates, including those related to bad debts, valuation of inventories and investments, recoverability of long-lived assets, income tax provision and deferred taxes, profit assumptions on long-term percentage-of-completion contracts, contingencies and litigation and actuarial assumptions for employee benefit plans. Schlumberger bases its estimates on historical experience and on various other assumptions that are believed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spacing w:after="0" w:line="3" w:lineRule="exact"/>
        <w:rPr>
          <w:sz w:val="20"/>
          <w:szCs w:val="20"/>
          <w:color w:val="auto"/>
        </w:rPr>
      </w:pPr>
    </w:p>
    <w:p>
      <w:pPr>
        <w:ind w:right="540" w:firstLine="228"/>
        <w:spacing w:after="0" w:line="250" w:lineRule="auto"/>
        <w:rPr>
          <w:sz w:val="20"/>
          <w:szCs w:val="20"/>
          <w:color w:val="auto"/>
        </w:rPr>
      </w:pPr>
      <w:r>
        <w:rPr>
          <w:rFonts w:ascii="Arial" w:cs="Arial" w:eastAsia="Arial" w:hAnsi="Arial"/>
          <w:sz w:val="18"/>
          <w:szCs w:val="18"/>
          <w:color w:val="auto"/>
        </w:rPr>
        <w:t>Schlumberger believes the critical accounting policies described below affect its more significant judgments and estimates used in the preparation of its consolidated financial statements.</w:t>
      </w:r>
    </w:p>
    <w:p>
      <w:pPr>
        <w:spacing w:after="0" w:line="1" w:lineRule="exact"/>
        <w:rPr>
          <w:sz w:val="20"/>
          <w:szCs w:val="20"/>
          <w:color w:val="auto"/>
        </w:rPr>
      </w:pPr>
    </w:p>
    <w:p>
      <w:pPr>
        <w:ind w:right="100" w:firstLine="228"/>
        <w:spacing w:after="0" w:line="281" w:lineRule="auto"/>
        <w:rPr>
          <w:sz w:val="20"/>
          <w:szCs w:val="20"/>
          <w:color w:val="auto"/>
        </w:rPr>
      </w:pPr>
      <w:r>
        <w:rPr>
          <w:rFonts w:ascii="Arial" w:cs="Arial" w:eastAsia="Arial" w:hAnsi="Arial"/>
          <w:sz w:val="16"/>
          <w:szCs w:val="16"/>
          <w:color w:val="auto"/>
        </w:rPr>
        <w:t>Schlumberger recognizes revenue and profit as work progresses on long-term, fixed price contracts using the percentage-of-completion method, which relies on estimates of total expected contract revenue and costs. Schlumberger follows this method since reasonably dependable estimates of the revenue and costs applicable to various stages of a contract can be made. Recognized revenue and profit are subject to revisions as the contract progresses to completion. Revisions in profit estimates are charged or credited to income in the period in which the facts that give rise to the revision become known as a change in estimate. Losses on long-term contracts are provided for when such losses are known and reasonably estimated.</w:t>
      </w:r>
    </w:p>
    <w:p>
      <w:pPr>
        <w:spacing w:after="0" w:line="3" w:lineRule="exact"/>
        <w:rPr>
          <w:sz w:val="20"/>
          <w:szCs w:val="20"/>
          <w:color w:val="auto"/>
        </w:rPr>
      </w:pPr>
    </w:p>
    <w:p>
      <w:pPr>
        <w:jc w:val="both"/>
        <w:ind w:right="180" w:firstLine="228"/>
        <w:spacing w:after="0" w:line="250" w:lineRule="auto"/>
        <w:rPr>
          <w:sz w:val="20"/>
          <w:szCs w:val="20"/>
          <w:color w:val="auto"/>
        </w:rPr>
      </w:pPr>
      <w:r>
        <w:rPr>
          <w:rFonts w:ascii="Arial" w:cs="Arial" w:eastAsia="Arial" w:hAnsi="Arial"/>
          <w:sz w:val="18"/>
          <w:szCs w:val="18"/>
          <w:color w:val="auto"/>
        </w:rPr>
        <w:t>Schlumberger recognizes revenue from the sale of software licenses when persuasive evidence of an arrangement exists, the product has been delivered, the fee is fixed and determinable and collection of the resulting receivable is reasonably assured. Whether the fee is fixed and determinable is assessed based on the payment terms associated with the transaction. Collection is assessed based on a number of factors, including past transaction history with the customer and the credit-worthiness of the customer.</w:t>
      </w:r>
    </w:p>
    <w:p>
      <w:pPr>
        <w:spacing w:after="0" w:line="2" w:lineRule="exact"/>
        <w:rPr>
          <w:sz w:val="20"/>
          <w:szCs w:val="20"/>
          <w:color w:val="auto"/>
        </w:rPr>
      </w:pPr>
    </w:p>
    <w:p>
      <w:pPr>
        <w:jc w:val="both"/>
        <w:ind w:right="180" w:firstLine="228"/>
        <w:spacing w:after="0" w:line="281" w:lineRule="auto"/>
        <w:rPr>
          <w:sz w:val="20"/>
          <w:szCs w:val="20"/>
          <w:color w:val="auto"/>
        </w:rPr>
      </w:pPr>
      <w:r>
        <w:rPr>
          <w:rFonts w:ascii="Arial" w:cs="Arial" w:eastAsia="Arial" w:hAnsi="Arial"/>
          <w:sz w:val="16"/>
          <w:szCs w:val="16"/>
          <w:color w:val="auto"/>
        </w:rPr>
        <w:t>Revenues from contracts with multiple element arrangements, such as those including installation and integration services, are recognized as each element is earned based on the relative fair value of each element and when the delivered elements have stand alone value to the customers.</w:t>
      </w:r>
    </w:p>
    <w:p>
      <w:pPr>
        <w:spacing w:after="0" w:line="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For sales, either a binding purchase order, signed license agreement or a written contract is used as evidence of an arrangement.</w:t>
      </w:r>
    </w:p>
    <w:p>
      <w:pPr>
        <w:spacing w:after="0" w:line="9" w:lineRule="exact"/>
        <w:rPr>
          <w:sz w:val="20"/>
          <w:szCs w:val="20"/>
          <w:color w:val="auto"/>
        </w:rPr>
      </w:pPr>
    </w:p>
    <w:p>
      <w:pPr>
        <w:ind w:right="100" w:firstLine="228"/>
        <w:spacing w:after="0" w:line="250" w:lineRule="auto"/>
        <w:rPr>
          <w:sz w:val="20"/>
          <w:szCs w:val="20"/>
          <w:color w:val="auto"/>
        </w:rPr>
      </w:pPr>
      <w:r>
        <w:rPr>
          <w:rFonts w:ascii="Arial" w:cs="Arial" w:eastAsia="Arial" w:hAnsi="Arial"/>
          <w:sz w:val="18"/>
          <w:szCs w:val="18"/>
          <w:color w:val="auto"/>
        </w:rPr>
        <w:t>Revenue from maintenance services is recognized ratably over the contract term. The training and consulting services (time and materials) are billed based on hourly rates, and revenue is generally recognized as these services are performed. Revenue from outsourcing services is generally recognized as services are performed.</w:t>
      </w:r>
    </w:p>
    <w:p>
      <w:pPr>
        <w:spacing w:after="0" w:line="1" w:lineRule="exact"/>
        <w:rPr>
          <w:sz w:val="20"/>
          <w:szCs w:val="20"/>
          <w:color w:val="auto"/>
        </w:rPr>
      </w:pPr>
    </w:p>
    <w:p>
      <w:pPr>
        <w:ind w:right="260" w:firstLine="228"/>
        <w:spacing w:after="0" w:line="281" w:lineRule="auto"/>
        <w:rPr>
          <w:sz w:val="20"/>
          <w:szCs w:val="20"/>
          <w:color w:val="auto"/>
        </w:rPr>
      </w:pPr>
      <w:r>
        <w:rPr>
          <w:rFonts w:ascii="Arial" w:cs="Arial" w:eastAsia="Arial" w:hAnsi="Arial"/>
          <w:sz w:val="16"/>
          <w:szCs w:val="16"/>
          <w:color w:val="auto"/>
        </w:rPr>
        <w:t xml:space="preserve">The WesternGeco segment capitalizes the cost associated with obtaining multiclient seismic data. Such costs are charged to </w:t>
      </w:r>
      <w:r>
        <w:rPr>
          <w:rFonts w:ascii="Arial" w:cs="Arial" w:eastAsia="Arial" w:hAnsi="Arial"/>
          <w:sz w:val="16"/>
          <w:szCs w:val="16"/>
          <w:i w:val="1"/>
          <w:iCs w:val="1"/>
          <w:color w:val="auto"/>
        </w:rPr>
        <w:t>Cost of goods sold and services</w:t>
      </w:r>
      <w:r>
        <w:rPr>
          <w:rFonts w:ascii="Arial" w:cs="Arial" w:eastAsia="Arial" w:hAnsi="Arial"/>
          <w:sz w:val="16"/>
          <w:szCs w:val="16"/>
          <w:color w:val="auto"/>
        </w:rPr>
        <w:t xml:space="preserve"> based on a percentage of estimated total revenue that Schlumberger estimates that it will receive from the sales of such data. The carrying value of individual surveys is reviewed at least annually and adjustments to the value are made based upon the revised estimated revenues for the surveys.</w:t>
      </w:r>
    </w:p>
    <w:p>
      <w:pPr>
        <w:spacing w:after="0" w:line="2" w:lineRule="exact"/>
        <w:rPr>
          <w:sz w:val="20"/>
          <w:szCs w:val="20"/>
          <w:color w:val="auto"/>
        </w:rPr>
      </w:pPr>
    </w:p>
    <w:p>
      <w:pPr>
        <w:jc w:val="both"/>
        <w:ind w:right="140" w:firstLine="228"/>
        <w:spacing w:after="0" w:line="255" w:lineRule="auto"/>
        <w:rPr>
          <w:sz w:val="20"/>
          <w:szCs w:val="20"/>
          <w:color w:val="auto"/>
        </w:rPr>
      </w:pPr>
      <w:r>
        <w:rPr>
          <w:rFonts w:ascii="Arial" w:cs="Arial" w:eastAsia="Arial" w:hAnsi="Arial"/>
          <w:sz w:val="18"/>
          <w:szCs w:val="18"/>
          <w:color w:val="auto"/>
        </w:rPr>
        <w:t>Schlumberger maintains allowances for doubtful accounts for estimated losses resulting from the inability of its customers to make required payments. If the financial condition of Schlumberger’s customers were to deteriorate, resulting in an impairment of their ability to make payments, additional allowances may be required.</w:t>
      </w:r>
    </w:p>
    <w:p>
      <w:pPr>
        <w:spacing w:after="0" w:line="128" w:lineRule="exact"/>
        <w:rPr>
          <w:sz w:val="20"/>
          <w:szCs w:val="20"/>
          <w:color w:val="auto"/>
        </w:rPr>
      </w:pPr>
    </w:p>
    <w:p>
      <w:pPr>
        <w:spacing w:after="0"/>
        <w:tabs>
          <w:tab w:leader="none" w:pos="10400" w:val="left"/>
        </w:tabs>
        <w:rPr>
          <w:sz w:val="20"/>
          <w:szCs w:val="20"/>
          <w:color w:val="auto"/>
        </w:rPr>
      </w:pPr>
      <w:r>
        <w:rPr>
          <w:rFonts w:ascii="Arial" w:cs="Arial" w:eastAsia="Arial" w:hAnsi="Arial"/>
          <w:sz w:val="14"/>
          <w:szCs w:val="14"/>
          <w:color w:val="auto"/>
        </w:rPr>
        <w:t>27 / SLB</w:t>
      </w:r>
      <w:r>
        <w:rPr>
          <w:sz w:val="20"/>
          <w:szCs w:val="20"/>
          <w:color w:val="auto"/>
        </w:rPr>
        <w:tab/>
      </w:r>
      <w:r>
        <w:rPr>
          <w:rFonts w:ascii="Arial" w:cs="Arial" w:eastAsia="Arial" w:hAnsi="Arial"/>
          <w:sz w:val="12"/>
          <w:szCs w:val="12"/>
          <w:color w:val="auto"/>
        </w:rPr>
        <w:t>2003 FORM 10-K</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4"/>
          <w:szCs w:val="14"/>
          <w:color w:val="auto"/>
        </w:rPr>
        <w:t>Part II, Item 7</w:t>
      </w:r>
    </w:p>
    <w:p>
      <w:pPr>
        <w:spacing w:after="0" w:line="139" w:lineRule="exact"/>
        <w:rPr>
          <w:sz w:val="20"/>
          <w:szCs w:val="20"/>
          <w:color w:val="auto"/>
        </w:rPr>
      </w:pPr>
    </w:p>
    <w:p>
      <w:pPr>
        <w:ind w:firstLine="228"/>
        <w:spacing w:after="0" w:line="253" w:lineRule="auto"/>
        <w:rPr>
          <w:sz w:val="20"/>
          <w:szCs w:val="20"/>
          <w:color w:val="auto"/>
        </w:rPr>
      </w:pPr>
      <w:r>
        <w:rPr>
          <w:rFonts w:ascii="Arial" w:cs="Arial" w:eastAsia="Arial" w:hAnsi="Arial"/>
          <w:sz w:val="18"/>
          <w:szCs w:val="18"/>
          <w:color w:val="auto"/>
        </w:rPr>
        <w:t>Schlumberger writes down its inventory for estimated obsolescence or unmarketable inventory equal to the difference between the cost of inventory and the estimated market value based upon assumptions about future demand and market conditions. If actual market conditions are less favorable than those projected by management, additional inventory writedowns may be required.</w:t>
      </w:r>
    </w:p>
    <w:p>
      <w:pPr>
        <w:ind w:right="260" w:firstLine="228"/>
        <w:spacing w:after="0" w:line="255" w:lineRule="auto"/>
        <w:rPr>
          <w:sz w:val="20"/>
          <w:szCs w:val="20"/>
          <w:color w:val="auto"/>
        </w:rPr>
      </w:pPr>
      <w:r>
        <w:rPr>
          <w:rFonts w:ascii="Arial" w:cs="Arial" w:eastAsia="Arial" w:hAnsi="Arial"/>
          <w:sz w:val="18"/>
          <w:szCs w:val="18"/>
          <w:color w:val="auto"/>
        </w:rPr>
        <w:t>Schlumberger assesses the impairment of identifiable intangibles, long-lived assets and related goodwill at least annually, or whenever events or changes in circumstances indicate that the carrying value may not be recoverable. Factors considered important, which could trigger an impairment review, include the following:</w:t>
      </w:r>
    </w:p>
    <w:p>
      <w:pPr>
        <w:spacing w:after="0" w:line="50" w:lineRule="exact"/>
        <w:rPr>
          <w:sz w:val="20"/>
          <w:szCs w:val="20"/>
          <w:color w:val="auto"/>
        </w:rPr>
      </w:pPr>
    </w:p>
    <w:p>
      <w:pPr>
        <w:ind w:left="780" w:hanging="326"/>
        <w:spacing w:after="0"/>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significant underperformance relative to expected historical or projected future operating results;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significant changes in the manner of our use of the acquired assets or the strategy for our overall business;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significant negative industry or economic trends;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significant decline in Schlumberger’s stock price and our market capitalization relative to net book value, for a sustained period.</w:t>
      </w:r>
    </w:p>
    <w:p>
      <w:pPr>
        <w:spacing w:after="0" w:line="104" w:lineRule="exact"/>
        <w:rPr>
          <w:sz w:val="20"/>
          <w:szCs w:val="20"/>
          <w:color w:val="auto"/>
        </w:rPr>
      </w:pPr>
    </w:p>
    <w:p>
      <w:pPr>
        <w:jc w:val="both"/>
        <w:ind w:right="60" w:firstLine="228"/>
        <w:spacing w:after="0" w:line="253" w:lineRule="auto"/>
        <w:rPr>
          <w:sz w:val="20"/>
          <w:szCs w:val="20"/>
          <w:color w:val="auto"/>
        </w:rPr>
      </w:pPr>
      <w:r>
        <w:rPr>
          <w:rFonts w:ascii="Arial" w:cs="Arial" w:eastAsia="Arial" w:hAnsi="Arial"/>
          <w:sz w:val="18"/>
          <w:szCs w:val="18"/>
          <w:color w:val="auto"/>
        </w:rPr>
        <w:t>When Schlumberger determines that the carrying value of intangibles, long-lived assets and related goodwill may not be recoverable based upon the existence of one or more of the above indicators of impairment, any impairment is measured based on projected net cash flows expected to result from that asset, including eventual disposition.</w:t>
      </w:r>
    </w:p>
    <w:p>
      <w:pPr>
        <w:jc w:val="both"/>
        <w:ind w:right="60" w:firstLine="228"/>
        <w:spacing w:after="0" w:line="250" w:lineRule="auto"/>
        <w:rPr>
          <w:sz w:val="20"/>
          <w:szCs w:val="20"/>
          <w:color w:val="auto"/>
        </w:rPr>
      </w:pPr>
      <w:r>
        <w:rPr>
          <w:rFonts w:ascii="Arial" w:cs="Arial" w:eastAsia="Arial" w:hAnsi="Arial"/>
          <w:sz w:val="18"/>
          <w:szCs w:val="18"/>
          <w:color w:val="auto"/>
        </w:rPr>
        <w:t>Schlumberger had net deferred tax assets of $632 million at December 31, 2003 which excluded $325 million relating to a certain European net operating loss for which there is a valuation allowance. In assessing the need for valuation allowances, Schlumberger considers the probable likelihood of future taxable income and available tax planning strategies.</w:t>
      </w:r>
    </w:p>
    <w:p>
      <w:pPr>
        <w:spacing w:after="0" w:line="1" w:lineRule="exact"/>
        <w:rPr>
          <w:sz w:val="20"/>
          <w:szCs w:val="20"/>
          <w:color w:val="auto"/>
        </w:rPr>
      </w:pPr>
    </w:p>
    <w:p>
      <w:pPr>
        <w:ind w:right="160" w:firstLine="228"/>
        <w:spacing w:after="0" w:line="361" w:lineRule="auto"/>
        <w:rPr>
          <w:sz w:val="20"/>
          <w:szCs w:val="20"/>
          <w:color w:val="auto"/>
        </w:rPr>
      </w:pPr>
      <w:r>
        <w:rPr>
          <w:rFonts w:ascii="Arial" w:cs="Arial" w:eastAsia="Arial" w:hAnsi="Arial"/>
          <w:sz w:val="15"/>
          <w:szCs w:val="15"/>
          <w:color w:val="auto"/>
        </w:rPr>
        <w:t>With regard to pension and postretirement benefits, Schlumberger evaluates the appropriateness of assumptions used by an independent actuary, in particular assumptions as to discount rate, return on plan assets and medical cost trend rates. The assumptions are revised at least annually as circumstances require.</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w:t>
      </w:r>
    </w:p>
    <w:p>
      <w:pPr>
        <w:spacing w:after="0" w:line="72"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In 2003, cash provided by operations was $2.11 billion as net income plus depreciation/amortization and net charges including the extinguishment of European debt and multiclient and vessel impairments, were only partially offset by increases in customer receivables, due to higher revenue, and decrease in accounts payable and accrued liabilities. Cash used in investing activities was $1.49 billion and included investments in fixed assets ($1.03 billion) and multiclient seismic data ($150 million), the purchase of short-term investments ($1.15 billion), the net proceeds ($106 million) from the sale of Schlumberger’s investment of 9.7 million shares in Grant Prideco Inc., the proceeds from the sales of NPTest ($220 million) and e-City ($79 million) activities and the net proceeds ($177 million) from the sale of the Hanover Compressor note. Cash used by financing activities was $558 million with the proceeds from employee stock plans ($172 million) offset by the payment of dividends to shareholders ($437 million), the costs related to the extinguishment of certain European debt ($168 million) and an overall reduction in debt of $126 million.</w:t>
      </w:r>
    </w:p>
    <w:p>
      <w:pPr>
        <w:spacing w:after="0" w:line="102" w:lineRule="exact"/>
        <w:rPr>
          <w:sz w:val="20"/>
          <w:szCs w:val="20"/>
          <w:color w:val="auto"/>
        </w:rPr>
      </w:pPr>
    </w:p>
    <w:p>
      <w:pPr>
        <w:spacing w:after="0"/>
        <w:tabs>
          <w:tab w:leader="none" w:pos="10400" w:val="left"/>
        </w:tabs>
        <w:rPr>
          <w:sz w:val="20"/>
          <w:szCs w:val="20"/>
          <w:color w:val="auto"/>
        </w:rPr>
      </w:pPr>
      <w:r>
        <w:rPr>
          <w:rFonts w:ascii="Arial" w:cs="Arial" w:eastAsia="Arial" w:hAnsi="Arial"/>
          <w:sz w:val="14"/>
          <w:szCs w:val="14"/>
          <w:color w:val="auto"/>
        </w:rPr>
        <w:t>28 / SLB</w:t>
      </w:r>
      <w:r>
        <w:rPr>
          <w:sz w:val="20"/>
          <w:szCs w:val="20"/>
          <w:color w:val="auto"/>
        </w:rPr>
        <w:tab/>
      </w:r>
      <w:r>
        <w:rPr>
          <w:rFonts w:ascii="Arial" w:cs="Arial" w:eastAsia="Arial" w:hAnsi="Arial"/>
          <w:sz w:val="12"/>
          <w:szCs w:val="12"/>
          <w:color w:val="auto"/>
        </w:rPr>
        <w:t>2003 FORM 10-K</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4"/>
          <w:szCs w:val="14"/>
          <w:color w:val="auto"/>
        </w:rPr>
        <w:t>Part II, Item 7</w:t>
      </w:r>
    </w:p>
    <w:p>
      <w:pPr>
        <w:spacing w:after="0" w:line="139" w:lineRule="exact"/>
        <w:rPr>
          <w:sz w:val="20"/>
          <w:szCs w:val="20"/>
          <w:color w:val="auto"/>
        </w:rPr>
      </w:pPr>
    </w:p>
    <w:p>
      <w:pPr>
        <w:jc w:val="both"/>
        <w:ind w:right="60" w:firstLine="228"/>
        <w:spacing w:after="0" w:line="306" w:lineRule="auto"/>
        <w:rPr>
          <w:sz w:val="20"/>
          <w:szCs w:val="20"/>
          <w:color w:val="auto"/>
        </w:rPr>
      </w:pPr>
      <w:r>
        <w:rPr>
          <w:rFonts w:ascii="Arial" w:cs="Arial" w:eastAsia="Arial" w:hAnsi="Arial"/>
          <w:sz w:val="16"/>
          <w:szCs w:val="16"/>
          <w:color w:val="auto"/>
        </w:rPr>
        <w:t>“Net Debt” is gross debt less cash, short-term investments and fixed income investments held to maturity. Management believes that Net Debt provides useful information regarding the level of Schlumberger’s indebtedness by reflecting cash and investments that could be used to repay debt, and that the level of net debt provides useful information as to the results of Schlumberger’s deleveraging efforts. Details of the Net Debt follows:</w:t>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(Stated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17804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78040" cy="8890"/>
                    </a:xfrm>
                    <a:prstGeom prst="rect">
                      <a:avLst/>
                    </a:prstGeom>
                    <a:noFill/>
                  </pic:spPr>
                </pic:pic>
              </a:graphicData>
            </a:graphic>
          </wp:anchor>
        </w:drawing>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580" w:type="dxa"/>
            <w:vAlign w:val="bottom"/>
          </w:tcPr>
          <w:p>
            <w:pPr>
              <w:spacing w:after="0"/>
              <w:rPr>
                <w:sz w:val="15"/>
                <w:szCs w:val="15"/>
                <w:color w:val="auto"/>
              </w:rPr>
            </w:pPr>
          </w:p>
        </w:tc>
        <w:tc>
          <w:tcPr>
            <w:tcW w:w="2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gridSpan w:val="4"/>
          </w:tcPr>
          <w:p>
            <w:pPr>
              <w:jc w:val="right"/>
              <w:spacing w:after="0"/>
              <w:rPr>
                <w:sz w:val="20"/>
                <w:szCs w:val="20"/>
                <w:color w:val="auto"/>
              </w:rPr>
            </w:pPr>
            <w:r>
              <w:rPr>
                <w:rFonts w:ascii="Arial" w:cs="Arial" w:eastAsia="Arial" w:hAnsi="Arial"/>
                <w:sz w:val="14"/>
                <w:szCs w:val="14"/>
                <w:b w:val="1"/>
                <w:bCs w:val="1"/>
                <w:color w:val="auto"/>
              </w:rPr>
              <w:t>2003</w:t>
            </w: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gridSpan w:val="3"/>
          </w:tcPr>
          <w:p>
            <w:pPr>
              <w:jc w:val="right"/>
              <w:spacing w:after="0"/>
              <w:rPr>
                <w:sz w:val="20"/>
                <w:szCs w:val="20"/>
                <w:color w:val="auto"/>
              </w:rPr>
            </w:pPr>
            <w:r>
              <w:rPr>
                <w:rFonts w:ascii="Arial" w:cs="Arial" w:eastAsia="Arial" w:hAnsi="Arial"/>
                <w:sz w:val="14"/>
                <w:szCs w:val="14"/>
                <w:b w:val="1"/>
                <w:bCs w:val="1"/>
                <w:color w:val="auto"/>
              </w:rPr>
              <w:t>2002</w:t>
            </w: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4"/>
                <w:szCs w:val="14"/>
                <w:b w:val="1"/>
                <w:bCs w:val="1"/>
                <w:color w:val="auto"/>
              </w:rPr>
              <w:t>2001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5780" w:type="dxa"/>
            <w:vAlign w:val="bottom"/>
            <w:gridSpan w:val="2"/>
          </w:tcPr>
          <w:p>
            <w:pPr>
              <w:spacing w:after="0"/>
              <w:rPr>
                <w:sz w:val="8"/>
                <w:szCs w:val="8"/>
                <w:color w:val="auto"/>
              </w:rPr>
            </w:pPr>
          </w:p>
        </w:tc>
        <w:tc>
          <w:tcPr>
            <w:tcW w:w="282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7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Net Debt, beginning of year</w:t>
            </w:r>
          </w:p>
        </w:tc>
        <w:tc>
          <w:tcPr>
            <w:tcW w:w="28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60" w:type="dxa"/>
            <w:vAlign w:val="bottom"/>
            <w:gridSpan w:val="5"/>
            <w:shd w:val="clear" w:color="auto" w:fill="CCEEFF"/>
          </w:tcPr>
          <w:p>
            <w:pPr>
              <w:jc w:val="right"/>
              <w:ind w:right="300"/>
              <w:spacing w:after="0" w:line="149" w:lineRule="exact"/>
              <w:rPr>
                <w:sz w:val="20"/>
                <w:szCs w:val="20"/>
                <w:color w:val="auto"/>
              </w:rPr>
            </w:pPr>
            <w:r>
              <w:rPr>
                <w:rFonts w:ascii="Arial" w:cs="Arial" w:eastAsia="Arial" w:hAnsi="Arial"/>
                <w:sz w:val="14"/>
                <w:szCs w:val="14"/>
                <w:b w:val="1"/>
                <w:bCs w:val="1"/>
                <w:color w:val="auto"/>
              </w:rPr>
              <w:t>$ (5,021)</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gridSpan w:val="4"/>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w w:val="99"/>
              </w:rPr>
              <w:t>$ (5,037)</w:t>
            </w:r>
          </w:p>
        </w:tc>
        <w:tc>
          <w:tcPr>
            <w:tcW w:w="1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422</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580" w:type="dxa"/>
            <w:vAlign w:val="bottom"/>
          </w:tcPr>
          <w:p>
            <w:pPr>
              <w:ind w:left="120"/>
              <w:spacing w:after="0" w:line="149" w:lineRule="exact"/>
              <w:rPr>
                <w:sz w:val="20"/>
                <w:szCs w:val="20"/>
                <w:color w:val="auto"/>
              </w:rPr>
            </w:pPr>
            <w:r>
              <w:rPr>
                <w:rFonts w:ascii="Arial" w:cs="Arial" w:eastAsia="Arial" w:hAnsi="Arial"/>
                <w:sz w:val="14"/>
                <w:szCs w:val="14"/>
                <w:color w:val="auto"/>
              </w:rPr>
              <w:t>Income/(loss) from continuing operations</w:t>
            </w:r>
          </w:p>
        </w:tc>
        <w:tc>
          <w:tcPr>
            <w:tcW w:w="2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gridSpan w:val="4"/>
          </w:tcPr>
          <w:p>
            <w:pPr>
              <w:jc w:val="right"/>
              <w:spacing w:after="0" w:line="149" w:lineRule="exact"/>
              <w:rPr>
                <w:sz w:val="20"/>
                <w:szCs w:val="20"/>
                <w:color w:val="auto"/>
              </w:rPr>
            </w:pPr>
            <w:r>
              <w:rPr>
                <w:rFonts w:ascii="Arial" w:cs="Arial" w:eastAsia="Arial" w:hAnsi="Arial"/>
                <w:sz w:val="14"/>
                <w:szCs w:val="14"/>
                <w:b w:val="1"/>
                <w:bCs w:val="1"/>
                <w:color w:val="auto"/>
              </w:rPr>
              <w:t>473</w:t>
            </w: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4"/>
          </w:tcPr>
          <w:p>
            <w:pPr>
              <w:jc w:val="right"/>
              <w:ind w:right="420"/>
              <w:spacing w:after="0" w:line="149" w:lineRule="exact"/>
              <w:rPr>
                <w:sz w:val="20"/>
                <w:szCs w:val="20"/>
                <w:color w:val="auto"/>
              </w:rPr>
            </w:pPr>
            <w:r>
              <w:rPr>
                <w:rFonts w:ascii="Arial" w:cs="Arial" w:eastAsia="Arial" w:hAnsi="Arial"/>
                <w:sz w:val="14"/>
                <w:szCs w:val="14"/>
                <w:color w:val="auto"/>
              </w:rPr>
              <w:t>(2,417)</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494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58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Gain on sale of drilling rigs</w:t>
            </w:r>
          </w:p>
        </w:tc>
        <w:tc>
          <w:tcPr>
            <w:tcW w:w="28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60" w:type="dxa"/>
            <w:vAlign w:val="bottom"/>
            <w:gridSpan w:val="3"/>
            <w:shd w:val="clear" w:color="auto" w:fill="CCEEFF"/>
          </w:tcPr>
          <w:p>
            <w:pPr>
              <w:jc w:val="right"/>
              <w:ind w:right="360"/>
              <w:spacing w:after="0" w:line="149" w:lineRule="exact"/>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12"/>
                <w:szCs w:val="12"/>
                <w:color w:val="auto"/>
              </w:rPr>
            </w:pPr>
          </w:p>
        </w:tc>
        <w:tc>
          <w:tcPr>
            <w:tcW w:w="1000" w:type="dxa"/>
            <w:vAlign w:val="bottom"/>
            <w:gridSpan w:val="4"/>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(87)</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580" w:type="dxa"/>
            <w:vAlign w:val="bottom"/>
          </w:tcPr>
          <w:p>
            <w:pPr>
              <w:ind w:left="120"/>
              <w:spacing w:after="0" w:line="149" w:lineRule="exact"/>
              <w:rPr>
                <w:sz w:val="20"/>
                <w:szCs w:val="20"/>
                <w:color w:val="auto"/>
              </w:rPr>
            </w:pPr>
            <w:r>
              <w:rPr>
                <w:rFonts w:ascii="Arial" w:cs="Arial" w:eastAsia="Arial" w:hAnsi="Arial"/>
                <w:sz w:val="14"/>
                <w:szCs w:val="14"/>
                <w:color w:val="auto"/>
              </w:rPr>
              <w:t>Net charges</w:t>
            </w:r>
          </w:p>
        </w:tc>
        <w:tc>
          <w:tcPr>
            <w:tcW w:w="2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gridSpan w:val="4"/>
          </w:tcPr>
          <w:p>
            <w:pPr>
              <w:jc w:val="right"/>
              <w:spacing w:after="0" w:line="149" w:lineRule="exact"/>
              <w:rPr>
                <w:sz w:val="20"/>
                <w:szCs w:val="20"/>
                <w:color w:val="auto"/>
              </w:rPr>
            </w:pPr>
            <w:r>
              <w:rPr>
                <w:rFonts w:ascii="Arial" w:cs="Arial" w:eastAsia="Arial" w:hAnsi="Arial"/>
                <w:sz w:val="14"/>
                <w:szCs w:val="14"/>
                <w:b w:val="1"/>
                <w:bCs w:val="1"/>
                <w:color w:val="auto"/>
              </w:rPr>
              <w:t>440</w:t>
            </w: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3,197</w:t>
            </w: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272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580" w:type="dxa"/>
            <w:vAlign w:val="bottom"/>
            <w:shd w:val="clear" w:color="auto" w:fill="CCEEFF"/>
          </w:tcPr>
          <w:p>
            <w:pPr>
              <w:ind w:left="120"/>
              <w:spacing w:after="0" w:line="176" w:lineRule="exact"/>
              <w:rPr>
                <w:sz w:val="20"/>
                <w:szCs w:val="20"/>
                <w:color w:val="auto"/>
              </w:rPr>
            </w:pPr>
            <w:r>
              <w:rPr>
                <w:rFonts w:ascii="Arial" w:cs="Arial" w:eastAsia="Arial" w:hAnsi="Arial"/>
                <w:sz w:val="13"/>
                <w:szCs w:val="13"/>
                <w:color w:val="auto"/>
              </w:rPr>
              <w:t>Depreciation &amp; amortization</w:t>
            </w:r>
            <w:r>
              <w:rPr>
                <w:rFonts w:ascii="Arial" w:cs="Arial" w:eastAsia="Arial" w:hAnsi="Arial"/>
                <w:sz w:val="20"/>
                <w:szCs w:val="20"/>
                <w:color w:val="auto"/>
                <w:vertAlign w:val="superscript"/>
              </w:rPr>
              <w:t>1</w:t>
            </w:r>
          </w:p>
        </w:tc>
        <w:tc>
          <w:tcPr>
            <w:tcW w:w="28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20" w:type="dxa"/>
            <w:vAlign w:val="bottom"/>
            <w:gridSpan w:val="4"/>
            <w:shd w:val="clear" w:color="auto" w:fill="CCEEFF"/>
          </w:tcPr>
          <w:p>
            <w:pPr>
              <w:jc w:val="right"/>
              <w:spacing w:after="0"/>
              <w:rPr>
                <w:sz w:val="20"/>
                <w:szCs w:val="20"/>
                <w:color w:val="auto"/>
              </w:rPr>
            </w:pPr>
            <w:r>
              <w:rPr>
                <w:rFonts w:ascii="Arial" w:cs="Arial" w:eastAsia="Arial" w:hAnsi="Arial"/>
                <w:sz w:val="14"/>
                <w:szCs w:val="14"/>
                <w:b w:val="1"/>
                <w:bCs w:val="1"/>
                <w:color w:val="auto"/>
              </w:rPr>
              <w:t>1,571</w:t>
            </w:r>
          </w:p>
        </w:tc>
        <w:tc>
          <w:tcPr>
            <w:tcW w:w="3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1,533</w:t>
            </w:r>
          </w:p>
        </w:tc>
        <w:tc>
          <w:tcPr>
            <w:tcW w:w="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1,876</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580" w:type="dxa"/>
            <w:vAlign w:val="bottom"/>
          </w:tcPr>
          <w:p>
            <w:pPr>
              <w:ind w:left="120"/>
              <w:spacing w:after="0" w:line="149" w:lineRule="exact"/>
              <w:rPr>
                <w:sz w:val="20"/>
                <w:szCs w:val="20"/>
                <w:color w:val="auto"/>
              </w:rPr>
            </w:pPr>
            <w:r>
              <w:rPr>
                <w:rFonts w:ascii="Arial" w:cs="Arial" w:eastAsia="Arial" w:hAnsi="Arial"/>
                <w:sz w:val="14"/>
                <w:szCs w:val="14"/>
                <w:color w:val="auto"/>
              </w:rPr>
              <w:t>(Increase) decrease in working capital</w:t>
            </w:r>
          </w:p>
        </w:tc>
        <w:tc>
          <w:tcPr>
            <w:tcW w:w="2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gridSpan w:val="5"/>
          </w:tcPr>
          <w:p>
            <w:pPr>
              <w:jc w:val="right"/>
              <w:ind w:right="300"/>
              <w:spacing w:after="0" w:line="149" w:lineRule="exact"/>
              <w:rPr>
                <w:sz w:val="20"/>
                <w:szCs w:val="20"/>
                <w:color w:val="auto"/>
              </w:rPr>
            </w:pPr>
            <w:r>
              <w:rPr>
                <w:rFonts w:ascii="Arial" w:cs="Arial" w:eastAsia="Arial" w:hAnsi="Arial"/>
                <w:sz w:val="14"/>
                <w:szCs w:val="14"/>
                <w:b w:val="1"/>
                <w:bCs w:val="1"/>
                <w:color w:val="auto"/>
              </w:rPr>
              <w:t>(228)</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165</w:t>
            </w: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(839)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58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Proceeds from business divestitures</w:t>
            </w:r>
          </w:p>
        </w:tc>
        <w:tc>
          <w:tcPr>
            <w:tcW w:w="28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299</w:t>
            </w:r>
          </w:p>
        </w:tc>
        <w:tc>
          <w:tcPr>
            <w:tcW w:w="3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354</w:t>
            </w: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896</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580" w:type="dxa"/>
            <w:vAlign w:val="bottom"/>
          </w:tcPr>
          <w:p>
            <w:pPr>
              <w:ind w:left="120"/>
              <w:spacing w:after="0" w:line="176" w:lineRule="exact"/>
              <w:rPr>
                <w:sz w:val="20"/>
                <w:szCs w:val="20"/>
                <w:color w:val="auto"/>
              </w:rPr>
            </w:pPr>
            <w:r>
              <w:rPr>
                <w:rFonts w:ascii="Arial" w:cs="Arial" w:eastAsia="Arial" w:hAnsi="Arial"/>
                <w:sz w:val="13"/>
                <w:szCs w:val="13"/>
                <w:color w:val="auto"/>
              </w:rPr>
              <w:t>Fixed asset additions</w:t>
            </w:r>
            <w:r>
              <w:rPr>
                <w:rFonts w:ascii="Arial" w:cs="Arial" w:eastAsia="Arial" w:hAnsi="Arial"/>
                <w:sz w:val="20"/>
                <w:szCs w:val="20"/>
                <w:color w:val="auto"/>
                <w:vertAlign w:val="superscript"/>
              </w:rPr>
              <w:t>1</w:t>
            </w:r>
          </w:p>
        </w:tc>
        <w:tc>
          <w:tcPr>
            <w:tcW w:w="2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60" w:type="dxa"/>
            <w:vAlign w:val="bottom"/>
            <w:gridSpan w:val="5"/>
          </w:tcPr>
          <w:p>
            <w:pPr>
              <w:jc w:val="right"/>
              <w:ind w:right="300"/>
              <w:spacing w:after="0"/>
              <w:rPr>
                <w:sz w:val="20"/>
                <w:szCs w:val="20"/>
                <w:color w:val="auto"/>
              </w:rPr>
            </w:pPr>
            <w:r>
              <w:rPr>
                <w:rFonts w:ascii="Arial" w:cs="Arial" w:eastAsia="Arial" w:hAnsi="Arial"/>
                <w:sz w:val="14"/>
                <w:szCs w:val="14"/>
                <w:b w:val="1"/>
                <w:bCs w:val="1"/>
                <w:color w:val="auto"/>
              </w:rPr>
              <w:t>(1,175)</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gridSpan w:val="4"/>
          </w:tcPr>
          <w:p>
            <w:pPr>
              <w:jc w:val="right"/>
              <w:ind w:right="420"/>
              <w:spacing w:after="0"/>
              <w:rPr>
                <w:sz w:val="20"/>
                <w:szCs w:val="20"/>
                <w:color w:val="auto"/>
              </w:rPr>
            </w:pPr>
            <w:r>
              <w:rPr>
                <w:rFonts w:ascii="Arial" w:cs="Arial" w:eastAsia="Arial" w:hAnsi="Arial"/>
                <w:sz w:val="14"/>
                <w:szCs w:val="14"/>
                <w:color w:val="auto"/>
              </w:rPr>
              <w:t>(1,702)</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4"/>
                <w:szCs w:val="14"/>
                <w:color w:val="auto"/>
                <w:w w:val="90"/>
              </w:rPr>
              <w:t>(2,453)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58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Dividends paid</w:t>
            </w:r>
          </w:p>
        </w:tc>
        <w:tc>
          <w:tcPr>
            <w:tcW w:w="28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60" w:type="dxa"/>
            <w:vAlign w:val="bottom"/>
            <w:gridSpan w:val="5"/>
            <w:shd w:val="clear" w:color="auto" w:fill="CCEEFF"/>
          </w:tcPr>
          <w:p>
            <w:pPr>
              <w:jc w:val="right"/>
              <w:ind w:right="300"/>
              <w:spacing w:after="0" w:line="149" w:lineRule="exact"/>
              <w:rPr>
                <w:sz w:val="20"/>
                <w:szCs w:val="20"/>
                <w:color w:val="auto"/>
              </w:rPr>
            </w:pPr>
            <w:r>
              <w:rPr>
                <w:rFonts w:ascii="Arial" w:cs="Arial" w:eastAsia="Arial" w:hAnsi="Arial"/>
                <w:sz w:val="14"/>
                <w:szCs w:val="14"/>
                <w:b w:val="1"/>
                <w:bCs w:val="1"/>
                <w:color w:val="auto"/>
              </w:rPr>
              <w:t>(437)</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gridSpan w:val="4"/>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(433)</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(430)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580" w:type="dxa"/>
            <w:vAlign w:val="bottom"/>
          </w:tcPr>
          <w:p>
            <w:pPr>
              <w:ind w:left="120"/>
              <w:spacing w:after="0" w:line="149" w:lineRule="exact"/>
              <w:rPr>
                <w:sz w:val="20"/>
                <w:szCs w:val="20"/>
                <w:color w:val="auto"/>
              </w:rPr>
            </w:pPr>
            <w:r>
              <w:rPr>
                <w:rFonts w:ascii="Arial" w:cs="Arial" w:eastAsia="Arial" w:hAnsi="Arial"/>
                <w:sz w:val="14"/>
                <w:szCs w:val="14"/>
                <w:color w:val="auto"/>
              </w:rPr>
              <w:t>Proceeds from employee stock plans</w:t>
            </w:r>
          </w:p>
        </w:tc>
        <w:tc>
          <w:tcPr>
            <w:tcW w:w="2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gridSpan w:val="4"/>
          </w:tcPr>
          <w:p>
            <w:pPr>
              <w:jc w:val="right"/>
              <w:spacing w:after="0" w:line="149" w:lineRule="exact"/>
              <w:rPr>
                <w:sz w:val="20"/>
                <w:szCs w:val="20"/>
                <w:color w:val="auto"/>
              </w:rPr>
            </w:pPr>
            <w:r>
              <w:rPr>
                <w:rFonts w:ascii="Arial" w:cs="Arial" w:eastAsia="Arial" w:hAnsi="Arial"/>
                <w:sz w:val="14"/>
                <w:szCs w:val="14"/>
                <w:b w:val="1"/>
                <w:bCs w:val="1"/>
                <w:color w:val="auto"/>
              </w:rPr>
              <w:t>172</w:t>
            </w: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175</w:t>
            </w: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122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58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Debt extinguishment costs</w:t>
            </w:r>
          </w:p>
        </w:tc>
        <w:tc>
          <w:tcPr>
            <w:tcW w:w="28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60" w:type="dxa"/>
            <w:vAlign w:val="bottom"/>
            <w:gridSpan w:val="5"/>
            <w:shd w:val="clear" w:color="auto" w:fill="CCEEFF"/>
          </w:tcPr>
          <w:p>
            <w:pPr>
              <w:jc w:val="right"/>
              <w:ind w:right="300"/>
              <w:spacing w:after="0" w:line="149" w:lineRule="exact"/>
              <w:rPr>
                <w:sz w:val="20"/>
                <w:szCs w:val="20"/>
                <w:color w:val="auto"/>
              </w:rPr>
            </w:pPr>
            <w:r>
              <w:rPr>
                <w:rFonts w:ascii="Arial" w:cs="Arial" w:eastAsia="Arial" w:hAnsi="Arial"/>
                <w:sz w:val="14"/>
                <w:szCs w:val="14"/>
                <w:b w:val="1"/>
                <w:bCs w:val="1"/>
                <w:color w:val="auto"/>
              </w:rPr>
              <w:t>(168)</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580" w:type="dxa"/>
            <w:vAlign w:val="bottom"/>
          </w:tcPr>
          <w:p>
            <w:pPr>
              <w:ind w:left="120"/>
              <w:spacing w:after="0" w:line="149" w:lineRule="exact"/>
              <w:rPr>
                <w:sz w:val="20"/>
                <w:szCs w:val="20"/>
                <w:color w:val="auto"/>
              </w:rPr>
            </w:pPr>
            <w:r>
              <w:rPr>
                <w:rFonts w:ascii="Arial" w:cs="Arial" w:eastAsia="Arial" w:hAnsi="Arial"/>
                <w:sz w:val="14"/>
                <w:szCs w:val="14"/>
                <w:color w:val="auto"/>
              </w:rPr>
              <w:t>Sale of Grant Prideco stock</w:t>
            </w:r>
          </w:p>
        </w:tc>
        <w:tc>
          <w:tcPr>
            <w:tcW w:w="2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gridSpan w:val="4"/>
          </w:tcPr>
          <w:p>
            <w:pPr>
              <w:jc w:val="right"/>
              <w:spacing w:after="0" w:line="149" w:lineRule="exact"/>
              <w:rPr>
                <w:sz w:val="20"/>
                <w:szCs w:val="20"/>
                <w:color w:val="auto"/>
              </w:rPr>
            </w:pPr>
            <w:r>
              <w:rPr>
                <w:rFonts w:ascii="Arial" w:cs="Arial" w:eastAsia="Arial" w:hAnsi="Arial"/>
                <w:sz w:val="14"/>
                <w:szCs w:val="14"/>
                <w:b w:val="1"/>
                <w:bCs w:val="1"/>
                <w:color w:val="auto"/>
              </w:rPr>
              <w:t>106</w:t>
            </w: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6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58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Sale of Hanover Compressor note</w:t>
            </w:r>
          </w:p>
        </w:tc>
        <w:tc>
          <w:tcPr>
            <w:tcW w:w="28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177</w:t>
            </w:r>
          </w:p>
        </w:tc>
        <w:tc>
          <w:tcPr>
            <w:tcW w:w="3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580" w:type="dxa"/>
            <w:vAlign w:val="bottom"/>
          </w:tcPr>
          <w:p>
            <w:pPr>
              <w:ind w:left="120"/>
              <w:spacing w:after="0" w:line="149" w:lineRule="exact"/>
              <w:rPr>
                <w:sz w:val="20"/>
                <w:szCs w:val="20"/>
                <w:color w:val="auto"/>
              </w:rPr>
            </w:pPr>
            <w:r>
              <w:rPr>
                <w:rFonts w:ascii="Arial" w:cs="Arial" w:eastAsia="Arial" w:hAnsi="Arial"/>
                <w:sz w:val="14"/>
                <w:szCs w:val="14"/>
                <w:color w:val="auto"/>
              </w:rPr>
              <w:t>Acquisition of Sema plc</w:t>
            </w:r>
          </w:p>
        </w:tc>
        <w:tc>
          <w:tcPr>
            <w:tcW w:w="2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60" w:type="dxa"/>
            <w:vAlign w:val="bottom"/>
            <w:gridSpan w:val="3"/>
          </w:tcPr>
          <w:p>
            <w:pPr>
              <w:jc w:val="right"/>
              <w:ind w:right="360"/>
              <w:spacing w:after="0" w:line="149"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2"/>
                <w:szCs w:val="12"/>
                <w:color w:val="auto"/>
              </w:rPr>
            </w:pPr>
          </w:p>
        </w:tc>
        <w:tc>
          <w:tcPr>
            <w:tcW w:w="1000" w:type="dxa"/>
            <w:vAlign w:val="bottom"/>
            <w:gridSpan w:val="4"/>
          </w:tcPr>
          <w:p>
            <w:pPr>
              <w:jc w:val="right"/>
              <w:ind w:right="420"/>
              <w:spacing w:after="0" w:line="149" w:lineRule="exact"/>
              <w:rPr>
                <w:sz w:val="20"/>
                <w:szCs w:val="20"/>
                <w:color w:val="auto"/>
              </w:rPr>
            </w:pPr>
            <w:r>
              <w:rPr>
                <w:rFonts w:ascii="Arial" w:cs="Arial" w:eastAsia="Arial" w:hAnsi="Arial"/>
                <w:sz w:val="14"/>
                <w:szCs w:val="14"/>
                <w:color w:val="auto"/>
              </w:rPr>
              <w:t>(132)</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w w:val="90"/>
              </w:rPr>
              <w:t>(4,853)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58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Other business acquisitions</w:t>
            </w:r>
          </w:p>
        </w:tc>
        <w:tc>
          <w:tcPr>
            <w:tcW w:w="28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60" w:type="dxa"/>
            <w:vAlign w:val="bottom"/>
            <w:gridSpan w:val="3"/>
            <w:shd w:val="clear" w:color="auto" w:fill="CCEEFF"/>
          </w:tcPr>
          <w:p>
            <w:pPr>
              <w:jc w:val="right"/>
              <w:ind w:right="360"/>
              <w:spacing w:after="0" w:line="149" w:lineRule="exact"/>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12"/>
                <w:szCs w:val="12"/>
                <w:color w:val="auto"/>
              </w:rPr>
            </w:pPr>
          </w:p>
        </w:tc>
        <w:tc>
          <w:tcPr>
            <w:tcW w:w="1000" w:type="dxa"/>
            <w:vAlign w:val="bottom"/>
            <w:gridSpan w:val="4"/>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(44)</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(453)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580" w:type="dxa"/>
            <w:vAlign w:val="bottom"/>
          </w:tcPr>
          <w:p>
            <w:pPr>
              <w:ind w:left="120"/>
              <w:spacing w:after="0" w:line="149" w:lineRule="exact"/>
              <w:rPr>
                <w:sz w:val="20"/>
                <w:szCs w:val="20"/>
                <w:color w:val="auto"/>
              </w:rPr>
            </w:pPr>
            <w:r>
              <w:rPr>
                <w:rFonts w:ascii="Arial" w:cs="Arial" w:eastAsia="Arial" w:hAnsi="Arial"/>
                <w:sz w:val="14"/>
                <w:szCs w:val="14"/>
                <w:color w:val="auto"/>
              </w:rPr>
              <w:t>Acquisition related payments</w:t>
            </w:r>
          </w:p>
        </w:tc>
        <w:tc>
          <w:tcPr>
            <w:tcW w:w="2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60" w:type="dxa"/>
            <w:vAlign w:val="bottom"/>
            <w:gridSpan w:val="3"/>
          </w:tcPr>
          <w:p>
            <w:pPr>
              <w:jc w:val="right"/>
              <w:ind w:right="360"/>
              <w:spacing w:after="0" w:line="149"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2"/>
                <w:szCs w:val="12"/>
                <w:color w:val="auto"/>
              </w:rPr>
            </w:pPr>
          </w:p>
        </w:tc>
        <w:tc>
          <w:tcPr>
            <w:tcW w:w="1000" w:type="dxa"/>
            <w:vAlign w:val="bottom"/>
            <w:gridSpan w:val="4"/>
          </w:tcPr>
          <w:p>
            <w:pPr>
              <w:jc w:val="right"/>
              <w:ind w:right="420"/>
              <w:spacing w:after="0" w:line="149" w:lineRule="exact"/>
              <w:rPr>
                <w:sz w:val="20"/>
                <w:szCs w:val="20"/>
                <w:color w:val="auto"/>
              </w:rPr>
            </w:pPr>
            <w:r>
              <w:rPr>
                <w:rFonts w:ascii="Arial" w:cs="Arial" w:eastAsia="Arial" w:hAnsi="Arial"/>
                <w:sz w:val="14"/>
                <w:szCs w:val="14"/>
                <w:color w:val="auto"/>
              </w:rPr>
              <w:t>(70)</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58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Translation effect on net debt</w:t>
            </w:r>
          </w:p>
        </w:tc>
        <w:tc>
          <w:tcPr>
            <w:tcW w:w="28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60" w:type="dxa"/>
            <w:vAlign w:val="bottom"/>
            <w:gridSpan w:val="5"/>
            <w:shd w:val="clear" w:color="auto" w:fill="CCEEFF"/>
          </w:tcPr>
          <w:p>
            <w:pPr>
              <w:jc w:val="right"/>
              <w:ind w:right="300"/>
              <w:spacing w:after="0" w:line="149" w:lineRule="exact"/>
              <w:rPr>
                <w:sz w:val="20"/>
                <w:szCs w:val="20"/>
                <w:color w:val="auto"/>
              </w:rPr>
            </w:pPr>
            <w:r>
              <w:rPr>
                <w:rFonts w:ascii="Arial" w:cs="Arial" w:eastAsia="Arial" w:hAnsi="Arial"/>
                <w:sz w:val="14"/>
                <w:szCs w:val="14"/>
                <w:b w:val="1"/>
                <w:bCs w:val="1"/>
                <w:color w:val="auto"/>
              </w:rPr>
              <w:t>(461)</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gridSpan w:val="4"/>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(507)</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580" w:type="dxa"/>
            <w:vAlign w:val="bottom"/>
          </w:tcPr>
          <w:p>
            <w:pPr>
              <w:ind w:left="120"/>
              <w:spacing w:after="0"/>
              <w:rPr>
                <w:sz w:val="20"/>
                <w:szCs w:val="20"/>
                <w:color w:val="auto"/>
              </w:rPr>
            </w:pPr>
            <w:r>
              <w:rPr>
                <w:rFonts w:ascii="Arial" w:cs="Arial" w:eastAsia="Arial" w:hAnsi="Arial"/>
                <w:sz w:val="14"/>
                <w:szCs w:val="14"/>
                <w:color w:val="auto"/>
              </w:rPr>
              <w:t>Other</w:t>
            </w:r>
          </w:p>
        </w:tc>
        <w:tc>
          <w:tcPr>
            <w:tcW w:w="2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gridSpan w:val="4"/>
          </w:tcPr>
          <w:p>
            <w:pPr>
              <w:jc w:val="right"/>
              <w:spacing w:after="0"/>
              <w:rPr>
                <w:sz w:val="20"/>
                <w:szCs w:val="20"/>
                <w:color w:val="auto"/>
              </w:rPr>
            </w:pPr>
            <w:r>
              <w:rPr>
                <w:rFonts w:ascii="Arial" w:cs="Arial" w:eastAsia="Arial" w:hAnsi="Arial"/>
                <w:sz w:val="14"/>
                <w:szCs w:val="14"/>
                <w:b w:val="1"/>
                <w:bCs w:val="1"/>
                <w:color w:val="auto"/>
              </w:rPr>
              <w:t>76</w:t>
            </w: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gridSpan w:val="4"/>
          </w:tcPr>
          <w:p>
            <w:pPr>
              <w:jc w:val="right"/>
              <w:ind w:right="420"/>
              <w:spacing w:after="0"/>
              <w:rPr>
                <w:sz w:val="20"/>
                <w:szCs w:val="20"/>
                <w:color w:val="auto"/>
              </w:rPr>
            </w:pPr>
            <w:r>
              <w:rPr>
                <w:rFonts w:ascii="Arial" w:cs="Arial" w:eastAsia="Arial" w:hAnsi="Arial"/>
                <w:sz w:val="14"/>
                <w:szCs w:val="14"/>
                <w:color w:val="auto"/>
              </w:rPr>
              <w:t>(16)</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4"/>
                <w:szCs w:val="14"/>
                <w:color w:val="auto"/>
              </w:rPr>
              <w:t>(85)</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5780" w:type="dxa"/>
            <w:vAlign w:val="bottom"/>
            <w:tcBorders>
              <w:bottom w:val="single" w:sz="8" w:color="auto"/>
            </w:tcBorders>
            <w:gridSpan w:val="2"/>
          </w:tcPr>
          <w:p>
            <w:pPr>
              <w:spacing w:after="0"/>
              <w:rPr>
                <w:sz w:val="7"/>
                <w:szCs w:val="7"/>
                <w:color w:val="auto"/>
              </w:rPr>
            </w:pPr>
          </w:p>
        </w:tc>
        <w:tc>
          <w:tcPr>
            <w:tcW w:w="28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3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46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Borders>
              <w:bottom w:val="single" w:sz="8" w:color="auto"/>
            </w:tcBorders>
            <w:gridSpan w:val="2"/>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00" w:type="dxa"/>
            <w:vAlign w:val="bottom"/>
          </w:tcPr>
          <w:p>
            <w:pPr>
              <w:spacing w:after="0"/>
              <w:rPr>
                <w:sz w:val="8"/>
                <w:szCs w:val="8"/>
                <w:color w:val="auto"/>
              </w:rPr>
            </w:pPr>
          </w:p>
        </w:tc>
        <w:tc>
          <w:tcPr>
            <w:tcW w:w="5580" w:type="dxa"/>
            <w:vAlign w:val="bottom"/>
          </w:tcPr>
          <w:p>
            <w:pPr>
              <w:spacing w:after="0"/>
              <w:rPr>
                <w:sz w:val="8"/>
                <w:szCs w:val="8"/>
                <w:color w:val="auto"/>
              </w:rPr>
            </w:pPr>
          </w:p>
        </w:tc>
        <w:tc>
          <w:tcPr>
            <w:tcW w:w="282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7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Net Debt, end of year</w:t>
            </w:r>
          </w:p>
        </w:tc>
        <w:tc>
          <w:tcPr>
            <w:tcW w:w="28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60" w:type="dxa"/>
            <w:vAlign w:val="bottom"/>
            <w:gridSpan w:val="5"/>
            <w:shd w:val="clear" w:color="auto" w:fill="CCEEFF"/>
          </w:tcPr>
          <w:p>
            <w:pPr>
              <w:jc w:val="right"/>
              <w:ind w:right="300"/>
              <w:spacing w:after="0" w:line="149" w:lineRule="exact"/>
              <w:rPr>
                <w:sz w:val="20"/>
                <w:szCs w:val="20"/>
                <w:color w:val="auto"/>
              </w:rPr>
            </w:pPr>
            <w:r>
              <w:rPr>
                <w:rFonts w:ascii="Arial" w:cs="Arial" w:eastAsia="Arial" w:hAnsi="Arial"/>
                <w:sz w:val="14"/>
                <w:szCs w:val="14"/>
                <w:b w:val="1"/>
                <w:bCs w:val="1"/>
                <w:color w:val="auto"/>
              </w:rPr>
              <w:t>$ (4,176)</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gridSpan w:val="4"/>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w w:val="99"/>
              </w:rPr>
              <w:t>$ (5,021)</w:t>
            </w:r>
          </w:p>
        </w:tc>
        <w:tc>
          <w:tcPr>
            <w:tcW w:w="660" w:type="dxa"/>
            <w:vAlign w:val="bottom"/>
            <w:gridSpan w:val="5"/>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 (5,037)</w:t>
            </w:r>
          </w:p>
        </w:tc>
        <w:tc>
          <w:tcPr>
            <w:tcW w:w="0" w:type="dxa"/>
            <w:vAlign w:val="bottom"/>
          </w:tcPr>
          <w:p>
            <w:pPr>
              <w:spacing w:after="0"/>
              <w:rPr>
                <w:sz w:val="1"/>
                <w:szCs w:val="1"/>
                <w:color w:val="auto"/>
              </w:rPr>
            </w:pPr>
          </w:p>
        </w:tc>
      </w:tr>
      <w:tr>
        <w:trPr>
          <w:trHeight w:val="132"/>
        </w:trPr>
        <w:tc>
          <w:tcPr>
            <w:tcW w:w="220" w:type="dxa"/>
            <w:vAlign w:val="bottom"/>
            <w:gridSpan w:val="2"/>
            <w:vMerge w:val="restart"/>
          </w:tcPr>
          <w:p>
            <w:pPr>
              <w:spacing w:after="0"/>
              <w:rPr>
                <w:sz w:val="20"/>
                <w:szCs w:val="20"/>
                <w:color w:val="auto"/>
              </w:rPr>
            </w:pPr>
            <w:r>
              <w:rPr>
                <w:rFonts w:ascii="Arial" w:cs="Arial" w:eastAsia="Arial" w:hAnsi="Arial"/>
                <w:sz w:val="14"/>
                <w:szCs w:val="14"/>
                <w:color w:val="auto"/>
              </w:rPr>
              <w:t>1.</w:t>
            </w:r>
          </w:p>
        </w:tc>
        <w:tc>
          <w:tcPr>
            <w:tcW w:w="5580" w:type="dxa"/>
            <w:vAlign w:val="bottom"/>
            <w:vMerge w:val="restart"/>
          </w:tcPr>
          <w:p>
            <w:pPr>
              <w:ind w:left="200"/>
              <w:spacing w:after="0"/>
              <w:rPr>
                <w:sz w:val="20"/>
                <w:szCs w:val="20"/>
                <w:color w:val="auto"/>
              </w:rPr>
            </w:pPr>
            <w:r>
              <w:rPr>
                <w:rFonts w:ascii="Arial" w:cs="Arial" w:eastAsia="Arial" w:hAnsi="Arial"/>
                <w:sz w:val="14"/>
                <w:szCs w:val="14"/>
                <w:color w:val="auto"/>
              </w:rPr>
              <w:t>Includes Multiclient seismic data costs.</w:t>
            </w:r>
          </w:p>
        </w:tc>
        <w:tc>
          <w:tcPr>
            <w:tcW w:w="2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66"/>
        </w:trPr>
        <w:tc>
          <w:tcPr>
            <w:tcW w:w="220" w:type="dxa"/>
            <w:vAlign w:val="bottom"/>
            <w:gridSpan w:val="2"/>
            <w:vMerge w:val="continue"/>
          </w:tcPr>
          <w:p>
            <w:pPr>
              <w:spacing w:after="0"/>
              <w:rPr>
                <w:sz w:val="23"/>
                <w:szCs w:val="23"/>
                <w:color w:val="auto"/>
              </w:rPr>
            </w:pPr>
          </w:p>
        </w:tc>
        <w:tc>
          <w:tcPr>
            <w:tcW w:w="5580" w:type="dxa"/>
            <w:vAlign w:val="bottom"/>
            <w:vMerge w:val="continue"/>
          </w:tcPr>
          <w:p>
            <w:pPr>
              <w:spacing w:after="0"/>
              <w:rPr>
                <w:sz w:val="23"/>
                <w:szCs w:val="23"/>
                <w:color w:val="auto"/>
              </w:rPr>
            </w:pPr>
          </w:p>
        </w:tc>
        <w:tc>
          <w:tcPr>
            <w:tcW w:w="28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58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80" w:type="dxa"/>
            <w:vAlign w:val="bottom"/>
            <w:gridSpan w:val="6"/>
          </w:tcPr>
          <w:p>
            <w:pPr>
              <w:spacing w:after="0"/>
              <w:rPr>
                <w:sz w:val="20"/>
                <w:szCs w:val="20"/>
                <w:color w:val="auto"/>
              </w:rPr>
            </w:pPr>
            <w:r>
              <w:rPr>
                <w:rFonts w:ascii="Arial" w:cs="Arial" w:eastAsia="Arial" w:hAnsi="Arial"/>
                <w:sz w:val="14"/>
                <w:szCs w:val="14"/>
                <w:b w:val="1"/>
                <w:bCs w:val="1"/>
                <w:color w:val="auto"/>
              </w:rPr>
              <w:t>Dec. 31</w:t>
            </w:r>
          </w:p>
        </w:tc>
        <w:tc>
          <w:tcPr>
            <w:tcW w:w="100" w:type="dxa"/>
            <w:vAlign w:val="bottom"/>
          </w:tcPr>
          <w:p>
            <w:pPr>
              <w:spacing w:after="0"/>
              <w:rPr>
                <w:sz w:val="16"/>
                <w:szCs w:val="16"/>
                <w:color w:val="auto"/>
              </w:rPr>
            </w:pPr>
          </w:p>
        </w:tc>
        <w:tc>
          <w:tcPr>
            <w:tcW w:w="1000" w:type="dxa"/>
            <w:vAlign w:val="bottom"/>
            <w:gridSpan w:val="4"/>
          </w:tcPr>
          <w:p>
            <w:pPr>
              <w:jc w:val="right"/>
              <w:ind w:right="560"/>
              <w:spacing w:after="0"/>
              <w:rPr>
                <w:sz w:val="20"/>
                <w:szCs w:val="20"/>
                <w:color w:val="auto"/>
              </w:rPr>
            </w:pPr>
            <w:r>
              <w:rPr>
                <w:rFonts w:ascii="Arial" w:cs="Arial" w:eastAsia="Arial" w:hAnsi="Arial"/>
                <w:sz w:val="14"/>
                <w:szCs w:val="14"/>
                <w:b w:val="1"/>
                <w:bCs w:val="1"/>
                <w:color w:val="auto"/>
                <w:w w:val="85"/>
              </w:rPr>
              <w:t>Dec. 31</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6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89"/>
              </w:rPr>
              <w:t>Dec. 31</w:t>
            </w:r>
          </w:p>
        </w:tc>
        <w:tc>
          <w:tcPr>
            <w:tcW w:w="0" w:type="dxa"/>
            <w:vAlign w:val="bottom"/>
          </w:tcPr>
          <w:p>
            <w:pPr>
              <w:spacing w:after="0"/>
              <w:rPr>
                <w:sz w:val="1"/>
                <w:szCs w:val="1"/>
                <w:color w:val="auto"/>
              </w:rPr>
            </w:pPr>
          </w:p>
        </w:tc>
      </w:tr>
      <w:tr>
        <w:trPr>
          <w:trHeight w:val="174"/>
        </w:trPr>
        <w:tc>
          <w:tcPr>
            <w:tcW w:w="58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Components of Net Debt</w:t>
            </w:r>
          </w:p>
        </w:tc>
        <w:tc>
          <w:tcPr>
            <w:tcW w:w="2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gridSpan w:val="3"/>
          </w:tcPr>
          <w:p>
            <w:pPr>
              <w:jc w:val="right"/>
              <w:spacing w:after="0"/>
              <w:rPr>
                <w:sz w:val="20"/>
                <w:szCs w:val="20"/>
                <w:color w:val="auto"/>
              </w:rPr>
            </w:pPr>
            <w:r>
              <w:rPr>
                <w:rFonts w:ascii="Arial" w:cs="Arial" w:eastAsia="Arial" w:hAnsi="Arial"/>
                <w:sz w:val="14"/>
                <w:szCs w:val="14"/>
                <w:b w:val="1"/>
                <w:bCs w:val="1"/>
                <w:color w:val="auto"/>
              </w:rPr>
              <w:t>2003</w:t>
            </w: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2002</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4"/>
                <w:szCs w:val="14"/>
                <w:b w:val="1"/>
                <w:bCs w:val="1"/>
                <w:color w:val="auto"/>
              </w:rPr>
              <w:t>2001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5800" w:type="dxa"/>
            <w:vAlign w:val="bottom"/>
            <w:gridSpan w:val="3"/>
            <w:vMerge w:val="continue"/>
          </w:tcPr>
          <w:p>
            <w:pPr>
              <w:spacing w:after="0"/>
              <w:rPr>
                <w:sz w:val="14"/>
                <w:szCs w:val="14"/>
                <w:color w:val="auto"/>
              </w:rPr>
            </w:pPr>
          </w:p>
        </w:tc>
        <w:tc>
          <w:tcPr>
            <w:tcW w:w="2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580" w:type="dxa"/>
            <w:vAlign w:val="bottom"/>
          </w:tcPr>
          <w:p>
            <w:pPr>
              <w:spacing w:after="0"/>
              <w:rPr>
                <w:sz w:val="8"/>
                <w:szCs w:val="8"/>
                <w:color w:val="auto"/>
              </w:rPr>
            </w:pPr>
          </w:p>
        </w:tc>
        <w:tc>
          <w:tcPr>
            <w:tcW w:w="282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380" w:type="dxa"/>
            <w:vAlign w:val="bottom"/>
            <w:gridSpan w:val="2"/>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gridSpan w:val="2"/>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58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Cash and short term investments</w:t>
            </w:r>
          </w:p>
        </w:tc>
        <w:tc>
          <w:tcPr>
            <w:tcW w:w="28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42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3,109</w:t>
            </w: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1,736</w:t>
            </w: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1,618</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580" w:type="dxa"/>
            <w:vAlign w:val="bottom"/>
          </w:tcPr>
          <w:p>
            <w:pPr>
              <w:ind w:left="120"/>
              <w:spacing w:after="0" w:line="149" w:lineRule="exact"/>
              <w:rPr>
                <w:sz w:val="20"/>
                <w:szCs w:val="20"/>
                <w:color w:val="auto"/>
              </w:rPr>
            </w:pPr>
            <w:r>
              <w:rPr>
                <w:rFonts w:ascii="Arial" w:cs="Arial" w:eastAsia="Arial" w:hAnsi="Arial"/>
                <w:sz w:val="14"/>
                <w:szCs w:val="14"/>
                <w:color w:val="auto"/>
              </w:rPr>
              <w:t>Fixed income investments, held to maturity</w:t>
            </w:r>
          </w:p>
        </w:tc>
        <w:tc>
          <w:tcPr>
            <w:tcW w:w="2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gridSpan w:val="3"/>
          </w:tcPr>
          <w:p>
            <w:pPr>
              <w:jc w:val="right"/>
              <w:spacing w:after="0" w:line="149" w:lineRule="exact"/>
              <w:rPr>
                <w:sz w:val="20"/>
                <w:szCs w:val="20"/>
                <w:color w:val="auto"/>
              </w:rPr>
            </w:pPr>
            <w:r>
              <w:rPr>
                <w:rFonts w:ascii="Arial" w:cs="Arial" w:eastAsia="Arial" w:hAnsi="Arial"/>
                <w:sz w:val="14"/>
                <w:szCs w:val="14"/>
                <w:b w:val="1"/>
                <w:bCs w:val="1"/>
                <w:color w:val="auto"/>
              </w:rPr>
              <w:t>223</w:t>
            </w: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408</w:t>
            </w: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576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58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Bank loans and current portion of long-term debt</w:t>
            </w:r>
          </w:p>
        </w:tc>
        <w:tc>
          <w:tcPr>
            <w:tcW w:w="28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gridSpan w:val="4"/>
            <w:shd w:val="clear" w:color="auto" w:fill="CCEEFF"/>
          </w:tcPr>
          <w:p>
            <w:pPr>
              <w:jc w:val="right"/>
              <w:ind w:right="92"/>
              <w:spacing w:after="0" w:line="149" w:lineRule="exact"/>
              <w:rPr>
                <w:sz w:val="20"/>
                <w:szCs w:val="20"/>
                <w:color w:val="auto"/>
              </w:rPr>
            </w:pPr>
            <w:r>
              <w:rPr>
                <w:rFonts w:ascii="Arial" w:cs="Arial" w:eastAsia="Arial" w:hAnsi="Arial"/>
                <w:sz w:val="14"/>
                <w:szCs w:val="14"/>
                <w:b w:val="1"/>
                <w:bCs w:val="1"/>
                <w:color w:val="auto"/>
                <w:w w:val="99"/>
              </w:rPr>
              <w:t>(1,411)</w:t>
            </w:r>
          </w:p>
        </w:tc>
        <w:tc>
          <w:tcPr>
            <w:tcW w:w="3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(1,136)</w:t>
            </w: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90"/>
              </w:rPr>
              <w:t>(1,015)</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580" w:type="dxa"/>
            <w:vAlign w:val="bottom"/>
          </w:tcPr>
          <w:p>
            <w:pPr>
              <w:ind w:left="120"/>
              <w:spacing w:after="0"/>
              <w:rPr>
                <w:sz w:val="20"/>
                <w:szCs w:val="20"/>
                <w:color w:val="auto"/>
              </w:rPr>
            </w:pPr>
            <w:r>
              <w:rPr>
                <w:rFonts w:ascii="Arial" w:cs="Arial" w:eastAsia="Arial" w:hAnsi="Arial"/>
                <w:sz w:val="14"/>
                <w:szCs w:val="14"/>
                <w:color w:val="auto"/>
              </w:rPr>
              <w:t>Long-term debt</w:t>
            </w:r>
          </w:p>
        </w:tc>
        <w:tc>
          <w:tcPr>
            <w:tcW w:w="2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gridSpan w:val="4"/>
          </w:tcPr>
          <w:p>
            <w:pPr>
              <w:jc w:val="right"/>
              <w:ind w:right="92"/>
              <w:spacing w:after="0"/>
              <w:rPr>
                <w:sz w:val="20"/>
                <w:szCs w:val="20"/>
                <w:color w:val="auto"/>
              </w:rPr>
            </w:pPr>
            <w:r>
              <w:rPr>
                <w:rFonts w:ascii="Arial" w:cs="Arial" w:eastAsia="Arial" w:hAnsi="Arial"/>
                <w:sz w:val="14"/>
                <w:szCs w:val="14"/>
                <w:b w:val="1"/>
                <w:bCs w:val="1"/>
                <w:color w:val="auto"/>
                <w:w w:val="99"/>
              </w:rPr>
              <w:t>(6,097)</w:t>
            </w: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gridSpan w:val="3"/>
          </w:tcPr>
          <w:p>
            <w:pPr>
              <w:jc w:val="right"/>
              <w:spacing w:after="0"/>
              <w:rPr>
                <w:sz w:val="20"/>
                <w:szCs w:val="20"/>
                <w:color w:val="auto"/>
              </w:rPr>
            </w:pPr>
            <w:r>
              <w:rPr>
                <w:rFonts w:ascii="Arial" w:cs="Arial" w:eastAsia="Arial" w:hAnsi="Arial"/>
                <w:sz w:val="14"/>
                <w:szCs w:val="14"/>
                <w:color w:val="auto"/>
              </w:rPr>
              <w:t>(6,029)</w:t>
            </w: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4"/>
                <w:szCs w:val="14"/>
                <w:color w:val="auto"/>
                <w:w w:val="90"/>
              </w:rPr>
              <w:t>(6,216)</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580" w:type="dxa"/>
            <w:vAlign w:val="bottom"/>
          </w:tcPr>
          <w:p>
            <w:pPr>
              <w:spacing w:after="0"/>
              <w:rPr>
                <w:sz w:val="7"/>
                <w:szCs w:val="7"/>
                <w:color w:val="auto"/>
              </w:rPr>
            </w:pPr>
          </w:p>
        </w:tc>
        <w:tc>
          <w:tcPr>
            <w:tcW w:w="282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380" w:type="dxa"/>
            <w:vAlign w:val="bottom"/>
            <w:gridSpan w:val="2"/>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40" w:type="dxa"/>
            <w:vAlign w:val="bottom"/>
            <w:gridSpan w:val="2"/>
          </w:tcPr>
          <w:p>
            <w:pPr>
              <w:spacing w:after="0"/>
              <w:rPr>
                <w:sz w:val="7"/>
                <w:szCs w:val="7"/>
                <w:color w:val="auto"/>
              </w:rPr>
            </w:pPr>
          </w:p>
        </w:tc>
        <w:tc>
          <w:tcPr>
            <w:tcW w:w="100" w:type="dxa"/>
            <w:vAlign w:val="bottom"/>
          </w:tcPr>
          <w:p>
            <w:pPr>
              <w:spacing w:after="0"/>
              <w:rPr>
                <w:sz w:val="7"/>
                <w:szCs w:val="7"/>
                <w:color w:val="auto"/>
              </w:rPr>
            </w:pPr>
          </w:p>
        </w:tc>
        <w:tc>
          <w:tcPr>
            <w:tcW w:w="46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gridSpan w:val="2"/>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0" w:type="dxa"/>
            <w:vAlign w:val="bottom"/>
            <w:tcBorders>
              <w:top w:val="single" w:sz="8" w:color="auto"/>
            </w:tcBorders>
          </w:tcPr>
          <w:p>
            <w:pPr>
              <w:spacing w:after="0"/>
              <w:rPr>
                <w:sz w:val="8"/>
                <w:szCs w:val="8"/>
                <w:color w:val="auto"/>
              </w:rPr>
            </w:pPr>
          </w:p>
        </w:tc>
        <w:tc>
          <w:tcPr>
            <w:tcW w:w="5580" w:type="dxa"/>
            <w:vAlign w:val="bottom"/>
            <w:tcBorders>
              <w:top w:val="single" w:sz="8" w:color="auto"/>
            </w:tcBorders>
          </w:tcPr>
          <w:p>
            <w:pPr>
              <w:spacing w:after="0"/>
              <w:rPr>
                <w:sz w:val="8"/>
                <w:szCs w:val="8"/>
                <w:color w:val="auto"/>
              </w:rPr>
            </w:pPr>
          </w:p>
        </w:tc>
        <w:tc>
          <w:tcPr>
            <w:tcW w:w="2820" w:type="dxa"/>
            <w:vAlign w:val="bottom"/>
            <w:tcBorders>
              <w:top w:val="single" w:sz="8" w:color="auto"/>
            </w:tcBorders>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4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260" w:type="dxa"/>
            <w:vAlign w:val="bottom"/>
            <w:tcBorders>
              <w:top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36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38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580" w:type="dxa"/>
            <w:vAlign w:val="bottom"/>
            <w:shd w:val="clear" w:color="auto" w:fill="CCEEFF"/>
          </w:tcPr>
          <w:p>
            <w:pPr>
              <w:spacing w:after="0"/>
              <w:rPr>
                <w:sz w:val="12"/>
                <w:szCs w:val="12"/>
                <w:color w:val="auto"/>
              </w:rPr>
            </w:pPr>
          </w:p>
        </w:tc>
        <w:tc>
          <w:tcPr>
            <w:tcW w:w="28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620" w:type="dxa"/>
            <w:vAlign w:val="bottom"/>
            <w:gridSpan w:val="4"/>
            <w:shd w:val="clear" w:color="auto" w:fill="CCEEFF"/>
          </w:tcPr>
          <w:p>
            <w:pPr>
              <w:jc w:val="right"/>
              <w:ind w:right="92"/>
              <w:spacing w:after="0" w:line="149" w:lineRule="exact"/>
              <w:rPr>
                <w:sz w:val="20"/>
                <w:szCs w:val="20"/>
                <w:color w:val="auto"/>
              </w:rPr>
            </w:pPr>
            <w:r>
              <w:rPr>
                <w:rFonts w:ascii="Arial" w:cs="Arial" w:eastAsia="Arial" w:hAnsi="Arial"/>
                <w:sz w:val="14"/>
                <w:szCs w:val="14"/>
                <w:b w:val="1"/>
                <w:bCs w:val="1"/>
                <w:color w:val="auto"/>
                <w:w w:val="99"/>
              </w:rPr>
              <w:t>(4,176)</w:t>
            </w:r>
          </w:p>
        </w:tc>
        <w:tc>
          <w:tcPr>
            <w:tcW w:w="3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(5,021)</w:t>
            </w: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90"/>
              </w:rPr>
              <w:t>(5,037)</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580" w:type="dxa"/>
            <w:vAlign w:val="bottom"/>
          </w:tcPr>
          <w:p>
            <w:pPr>
              <w:spacing w:after="0"/>
              <w:rPr>
                <w:sz w:val="11"/>
                <w:szCs w:val="11"/>
                <w:color w:val="auto"/>
              </w:rPr>
            </w:pPr>
          </w:p>
        </w:tc>
        <w:tc>
          <w:tcPr>
            <w:tcW w:w="282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5611495</wp:posOffset>
            </wp:positionH>
            <wp:positionV relativeFrom="paragraph">
              <wp:posOffset>-1306830</wp:posOffset>
            </wp:positionV>
            <wp:extent cx="12700" cy="298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5671820</wp:posOffset>
            </wp:positionH>
            <wp:positionV relativeFrom="paragraph">
              <wp:posOffset>-1306830</wp:posOffset>
            </wp:positionV>
            <wp:extent cx="21590" cy="298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5894705</wp:posOffset>
            </wp:positionH>
            <wp:positionV relativeFrom="paragraph">
              <wp:posOffset>-1306830</wp:posOffset>
            </wp:positionV>
            <wp:extent cx="38735" cy="298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6246495</wp:posOffset>
            </wp:positionH>
            <wp:positionV relativeFrom="paragraph">
              <wp:posOffset>-1306830</wp:posOffset>
            </wp:positionV>
            <wp:extent cx="12700" cy="298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6306185</wp:posOffset>
            </wp:positionH>
            <wp:positionV relativeFrom="paragraph">
              <wp:posOffset>-1306830</wp:posOffset>
            </wp:positionV>
            <wp:extent cx="21590" cy="298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6529070</wp:posOffset>
            </wp:positionH>
            <wp:positionV relativeFrom="paragraph">
              <wp:posOffset>-1306830</wp:posOffset>
            </wp:positionV>
            <wp:extent cx="38735" cy="298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6889115</wp:posOffset>
            </wp:positionH>
            <wp:positionV relativeFrom="paragraph">
              <wp:posOffset>-1306830</wp:posOffset>
            </wp:positionV>
            <wp:extent cx="12700" cy="298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6949440</wp:posOffset>
            </wp:positionH>
            <wp:positionV relativeFrom="paragraph">
              <wp:posOffset>-1306830</wp:posOffset>
            </wp:positionV>
            <wp:extent cx="21590" cy="298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-1306830</wp:posOffset>
            </wp:positionV>
            <wp:extent cx="38735" cy="298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5466080</wp:posOffset>
            </wp:positionH>
            <wp:positionV relativeFrom="paragraph">
              <wp:posOffset>-29210</wp:posOffset>
            </wp:positionV>
            <wp:extent cx="338455" cy="298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338455" cy="29845"/>
                    </a:xfrm>
                    <a:prstGeom prst="rect">
                      <a:avLst/>
                    </a:prstGeom>
                    <a:noFill/>
                  </pic:spPr>
                </pic:pic>
              </a:graphicData>
            </a:graphic>
          </wp:anchor>
        </w:drawing>
        <w:drawing>
          <wp:anchor simplePos="0" relativeHeight="251657728" behindDoc="1" locked="0" layoutInCell="0" allowOverlap="1">
            <wp:simplePos x="0" y="0"/>
            <wp:positionH relativeFrom="column">
              <wp:posOffset>6126480</wp:posOffset>
            </wp:positionH>
            <wp:positionV relativeFrom="paragraph">
              <wp:posOffset>-29210</wp:posOffset>
            </wp:positionV>
            <wp:extent cx="12700" cy="298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6186170</wp:posOffset>
            </wp:positionH>
            <wp:positionV relativeFrom="paragraph">
              <wp:posOffset>-29210</wp:posOffset>
            </wp:positionV>
            <wp:extent cx="21590" cy="298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-29210</wp:posOffset>
            </wp:positionV>
            <wp:extent cx="38735" cy="298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6829425</wp:posOffset>
            </wp:positionH>
            <wp:positionV relativeFrom="paragraph">
              <wp:posOffset>-29210</wp:posOffset>
            </wp:positionV>
            <wp:extent cx="12700" cy="298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6889115</wp:posOffset>
            </wp:positionH>
            <wp:positionV relativeFrom="paragraph">
              <wp:posOffset>-29210</wp:posOffset>
            </wp:positionV>
            <wp:extent cx="21590" cy="298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-29210</wp:posOffset>
            </wp:positionV>
            <wp:extent cx="38735" cy="298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144" w:lineRule="exact"/>
        <w:rPr>
          <w:sz w:val="20"/>
          <w:szCs w:val="20"/>
          <w:color w:val="auto"/>
        </w:rPr>
      </w:pPr>
    </w:p>
    <w:p>
      <w:pPr>
        <w:ind w:right="300" w:firstLine="228"/>
        <w:spacing w:after="0" w:line="254" w:lineRule="auto"/>
        <w:rPr>
          <w:sz w:val="20"/>
          <w:szCs w:val="20"/>
          <w:color w:val="auto"/>
        </w:rPr>
      </w:pPr>
      <w:r>
        <w:rPr>
          <w:rFonts w:ascii="Arial" w:cs="Arial" w:eastAsia="Arial" w:hAnsi="Arial"/>
          <w:sz w:val="18"/>
          <w:szCs w:val="18"/>
          <w:color w:val="auto"/>
        </w:rPr>
        <w:t>At December 31, 2003, the cash and short-term investments of $3.1 billion and the remaining facilities of $2.6 billion are sufficient to meet future business requirements.</w:t>
      </w:r>
    </w:p>
    <w:p>
      <w:pPr>
        <w:ind w:right="60" w:firstLine="228"/>
        <w:spacing w:after="0" w:line="250" w:lineRule="auto"/>
        <w:rPr>
          <w:sz w:val="20"/>
          <w:szCs w:val="20"/>
          <w:color w:val="auto"/>
        </w:rPr>
      </w:pPr>
      <w:r>
        <w:rPr>
          <w:rFonts w:ascii="Arial" w:cs="Arial" w:eastAsia="Arial" w:hAnsi="Arial"/>
          <w:sz w:val="18"/>
          <w:szCs w:val="18"/>
          <w:color w:val="auto"/>
        </w:rPr>
        <w:t>Based on forecast 2004 net income, depreciation/amortization estimates, cash from the sale of SchlumbergerSema ($550 million) and Atos Origin stock ($625 million) and other possible business and asset divestitures, and other cash flow components, Schlumberger expects to improve cash flow with an objective of reducing the net debt to $3 billion by mid-year and $2 billion by year-end 2004. This will largely be dependent upon the business segments operating results and the successful completion of certain business divestitures.</w:t>
      </w:r>
    </w:p>
    <w:p>
      <w:pPr>
        <w:spacing w:after="0" w:line="2" w:lineRule="exact"/>
        <w:rPr>
          <w:sz w:val="20"/>
          <w:szCs w:val="20"/>
          <w:color w:val="auto"/>
        </w:rPr>
      </w:pPr>
    </w:p>
    <w:p>
      <w:pPr>
        <w:ind w:right="260" w:firstLine="228"/>
        <w:spacing w:after="0" w:line="255" w:lineRule="auto"/>
        <w:rPr>
          <w:sz w:val="20"/>
          <w:szCs w:val="20"/>
          <w:color w:val="auto"/>
        </w:rPr>
      </w:pPr>
      <w:r>
        <w:rPr>
          <w:rFonts w:ascii="Arial" w:cs="Arial" w:eastAsia="Arial" w:hAnsi="Arial"/>
          <w:sz w:val="18"/>
          <w:szCs w:val="18"/>
          <w:color w:val="auto"/>
        </w:rPr>
        <w:t>In addition, Schlumberger is currently reviewing the feasibility and cost of a buyback of all, or a portion of, the remaining European long-term debt and the continued appropriateness of maintaining the effectiveness of its US interest rate derivative. A buyback of the debt and the interest rate derivative becoming ineffective would result in a charge to income from continuing operations in 2004.</w:t>
      </w:r>
    </w:p>
    <w:p>
      <w:pPr>
        <w:spacing w:after="0" w:line="128" w:lineRule="exact"/>
        <w:rPr>
          <w:sz w:val="20"/>
          <w:szCs w:val="20"/>
          <w:color w:val="auto"/>
        </w:rPr>
      </w:pPr>
    </w:p>
    <w:p>
      <w:pPr>
        <w:spacing w:after="0"/>
        <w:tabs>
          <w:tab w:leader="none" w:pos="10400" w:val="left"/>
        </w:tabs>
        <w:rPr>
          <w:sz w:val="20"/>
          <w:szCs w:val="20"/>
          <w:color w:val="auto"/>
        </w:rPr>
      </w:pPr>
      <w:r>
        <w:rPr>
          <w:rFonts w:ascii="Arial" w:cs="Arial" w:eastAsia="Arial" w:hAnsi="Arial"/>
          <w:sz w:val="14"/>
          <w:szCs w:val="14"/>
          <w:color w:val="auto"/>
        </w:rPr>
        <w:t>29 / SLB</w:t>
      </w:r>
      <w:r>
        <w:rPr>
          <w:sz w:val="20"/>
          <w:szCs w:val="20"/>
          <w:color w:val="auto"/>
        </w:rPr>
        <w:tab/>
      </w:r>
      <w:r>
        <w:rPr>
          <w:rFonts w:ascii="Arial" w:cs="Arial" w:eastAsia="Arial" w:hAnsi="Arial"/>
          <w:sz w:val="12"/>
          <w:szCs w:val="12"/>
          <w:color w:val="auto"/>
        </w:rPr>
        <w:t>2003 FORM 10-K</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4"/>
          <w:szCs w:val="14"/>
          <w:color w:val="auto"/>
        </w:rPr>
        <w:t>Part II, Item 7</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w:t>
      </w:r>
    </w:p>
    <w:p>
      <w:pPr>
        <w:spacing w:after="0" w:line="72" w:lineRule="exact"/>
        <w:rPr>
          <w:sz w:val="20"/>
          <w:szCs w:val="20"/>
          <w:color w:val="auto"/>
        </w:rPr>
      </w:pPr>
    </w:p>
    <w:p>
      <w:pPr>
        <w:jc w:val="both"/>
        <w:ind w:right="260"/>
        <w:spacing w:after="0" w:line="284" w:lineRule="auto"/>
        <w:rPr>
          <w:sz w:val="20"/>
          <w:szCs w:val="20"/>
          <w:color w:val="auto"/>
        </w:rPr>
      </w:pPr>
      <w:r>
        <w:rPr>
          <w:rFonts w:ascii="Arial" w:cs="Arial" w:eastAsia="Arial" w:hAnsi="Arial"/>
          <w:sz w:val="16"/>
          <w:szCs w:val="16"/>
          <w:color w:val="auto"/>
        </w:rPr>
        <w:t>On June 9, 2003, Schlumberger Limited issued $850 million aggregate principal amount of 1.5% Series A Convertible Debentures due June 1, 2023 and $450 million aggregate principal amount of 2.125% Series B Convertible Debentures due June 1, 2023. On July 2, 2003, Schlumberger Limited issued an additional $125 million aggregate principal amount of the Series A debentures pursuant to an option granted to the initial purchasers.</w:t>
      </w:r>
    </w:p>
    <w:p>
      <w:pPr>
        <w:spacing w:after="0" w:line="1" w:lineRule="exact"/>
        <w:rPr>
          <w:sz w:val="20"/>
          <w:szCs w:val="20"/>
          <w:color w:val="auto"/>
        </w:rPr>
      </w:pPr>
    </w:p>
    <w:p>
      <w:pPr>
        <w:ind w:right="60" w:firstLine="228"/>
        <w:spacing w:after="0" w:line="250" w:lineRule="auto"/>
        <w:rPr>
          <w:sz w:val="20"/>
          <w:szCs w:val="20"/>
          <w:color w:val="auto"/>
        </w:rPr>
      </w:pPr>
      <w:r>
        <w:rPr>
          <w:rFonts w:ascii="Arial" w:cs="Arial" w:eastAsia="Arial" w:hAnsi="Arial"/>
          <w:sz w:val="18"/>
          <w:szCs w:val="18"/>
          <w:color w:val="auto"/>
        </w:rPr>
        <w:t>The debentures were sold to Citigroup Global Markets Inc. and Goldman, Sachs &amp; Co. pursuant to an exemption from registration under Section 4(2) of the Securities Act of 1933. The debentures were resold, with registration rights, by the initial purchasers in transactions exempt from registration under Rule 144A of the Securities Act. The aggregate offering price of the debentures was $1.425 billion, the initial purchasers’ discount was $25.4 million and the net proceeds to Schlumberger Limited were $1.4 billion.</w:t>
      </w:r>
    </w:p>
    <w:p>
      <w:pPr>
        <w:spacing w:after="0" w:line="2" w:lineRule="exact"/>
        <w:rPr>
          <w:sz w:val="20"/>
          <w:szCs w:val="20"/>
          <w:color w:val="auto"/>
        </w:rPr>
      </w:pPr>
    </w:p>
    <w:p>
      <w:pPr>
        <w:ind w:firstLine="228"/>
        <w:spacing w:after="0" w:line="281" w:lineRule="auto"/>
        <w:rPr>
          <w:sz w:val="20"/>
          <w:szCs w:val="20"/>
          <w:color w:val="auto"/>
        </w:rPr>
      </w:pPr>
      <w:r>
        <w:rPr>
          <w:rFonts w:ascii="Arial" w:cs="Arial" w:eastAsia="Arial" w:hAnsi="Arial"/>
          <w:sz w:val="16"/>
          <w:szCs w:val="16"/>
          <w:color w:val="auto"/>
        </w:rPr>
        <w:t>The Series A debentures and the Series B debentures are convertible, at the holders’ option, into shares of common stock of Schlumberger Limited. Holders of the Series A debentures may convert their debentures into common stock at a conversion rate of 13.8255 shares for each $1,000 principal amount of Series A debentures (equivalent to an initial conversion price of $72.33 per share). Holders of the Series B debentures may convert their debentures into common stock at a conversion rate of 12.5 shares for each $1,000 principal amount of Series B debentures (equivalent to an initial conversion price of $80.00 per share). Each conversion rate may be adjusted for certain events, but it will not be adjusted for accrued interest.</w:t>
      </w:r>
    </w:p>
    <w:p>
      <w:pPr>
        <w:spacing w:after="0" w:line="3" w:lineRule="exact"/>
        <w:rPr>
          <w:sz w:val="20"/>
          <w:szCs w:val="20"/>
          <w:color w:val="auto"/>
        </w:rPr>
      </w:pPr>
    </w:p>
    <w:p>
      <w:pPr>
        <w:ind w:right="20" w:firstLine="228"/>
        <w:spacing w:after="0" w:line="281" w:lineRule="auto"/>
        <w:rPr>
          <w:sz w:val="20"/>
          <w:szCs w:val="20"/>
          <w:color w:val="auto"/>
        </w:rPr>
      </w:pPr>
      <w:r>
        <w:rPr>
          <w:rFonts w:ascii="Arial" w:cs="Arial" w:eastAsia="Arial" w:hAnsi="Arial"/>
          <w:sz w:val="16"/>
          <w:szCs w:val="16"/>
          <w:color w:val="auto"/>
        </w:rPr>
        <w:t>On or after June 6, 2008 (in the case of the Series A debentures) or June 6, 2010 (in the case of the Series B debentures), Schlumberger may redeem for cash all or part of the applicable series of debentures, upon notice to the holders, at the redemption prices of 100% of the principal amount of the debentures, plus accrued and unpaid interest to the date of redemption. On June 1, 2008, June 1, 2013, and June 1, 2018, holders of Series A debentures may require Schlumberger to repurchase their Series A debentures. On June 1, 2010, June 1, 2013 and June 1, 2018, holders of Series B debentures may require Schlumberger to repurchase their Series B debentures. The repurchase price will be 100% of the principal amount of the debentures plus accrued and unpaid interest to the repurchase date. The repurchase price for repurchases on June 1, 2008 (in the case of the Series A debentures) and June 1, 2010 (in the case of the Series B debentures) will be paid in cash. On the other repurchase dates, Schlumberger may choose to pay the repurchase price in cash or common stock or any combination of cash and common stock. In addition, upon the occurrence of a Fundamental Change, holders may require Schlumberger to repurchase all or a portion of their debentures, in cash or, at Schlumberger’s election, common stock valued at 99% of its market price or any combination of cash and common stock, at a repurchase price equal to 100% of the principal amount of the debentures plus accrued and unpaid interest to the redemption date. The debentures will mature on June 1, 2023 unless earlier redeemed or repurchased.</w:t>
      </w:r>
    </w:p>
    <w:p>
      <w:pPr>
        <w:spacing w:after="0" w:line="7" w:lineRule="exact"/>
        <w:rPr>
          <w:sz w:val="20"/>
          <w:szCs w:val="20"/>
          <w:color w:val="auto"/>
        </w:rPr>
      </w:pPr>
    </w:p>
    <w:p>
      <w:pPr>
        <w:ind w:right="80" w:firstLine="228"/>
        <w:spacing w:after="0" w:line="255" w:lineRule="auto"/>
        <w:rPr>
          <w:sz w:val="20"/>
          <w:szCs w:val="20"/>
          <w:color w:val="auto"/>
        </w:rPr>
      </w:pPr>
      <w:r>
        <w:rPr>
          <w:rFonts w:ascii="Arial" w:cs="Arial" w:eastAsia="Arial" w:hAnsi="Arial"/>
          <w:sz w:val="18"/>
          <w:szCs w:val="18"/>
          <w:color w:val="auto"/>
        </w:rPr>
        <w:t>Between June 12 and July 22, 2003, certain subsidiaries of Schlumberger launched and concluded tender offers to acquire three series of their outstanding European bonds. The companies bought back $1.3 billion of principal of these bonds for a total cost of $1.5 billion, which includes the premium, and issuing and tender costs. The total charge on the tender was $168 million.</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 of SchlumbergerSema to Atos Origin</w:t>
      </w:r>
    </w:p>
    <w:p>
      <w:pPr>
        <w:spacing w:after="0" w:line="72" w:lineRule="exact"/>
        <w:rPr>
          <w:sz w:val="20"/>
          <w:szCs w:val="20"/>
          <w:color w:val="auto"/>
        </w:rPr>
      </w:pPr>
    </w:p>
    <w:p>
      <w:pPr>
        <w:spacing w:after="0"/>
        <w:rPr>
          <w:sz w:val="20"/>
          <w:szCs w:val="20"/>
          <w:color w:val="auto"/>
        </w:rPr>
      </w:pPr>
      <w:r>
        <w:rPr>
          <w:rFonts w:ascii="Arial" w:cs="Arial" w:eastAsia="Arial" w:hAnsi="Arial"/>
          <w:sz w:val="16"/>
          <w:szCs w:val="16"/>
          <w:color w:val="auto"/>
        </w:rPr>
        <w:t>On September 22, 2003, Schlumberger announced the signing of an agreement with Atos Origin for the sale of the SchlumbergerSema business.</w:t>
      </w:r>
    </w:p>
    <w:p>
      <w:pPr>
        <w:spacing w:after="0" w:line="38" w:lineRule="exact"/>
        <w:rPr>
          <w:sz w:val="20"/>
          <w:szCs w:val="20"/>
          <w:color w:val="auto"/>
        </w:rPr>
      </w:pPr>
    </w:p>
    <w:p>
      <w:pPr>
        <w:ind w:right="40" w:firstLine="228"/>
        <w:spacing w:after="0" w:line="254" w:lineRule="auto"/>
        <w:rPr>
          <w:sz w:val="20"/>
          <w:szCs w:val="20"/>
          <w:color w:val="auto"/>
        </w:rPr>
      </w:pPr>
      <w:r>
        <w:rPr>
          <w:rFonts w:ascii="Arial" w:cs="Arial" w:eastAsia="Arial" w:hAnsi="Arial"/>
          <w:sz w:val="18"/>
          <w:szCs w:val="18"/>
          <w:color w:val="auto"/>
        </w:rPr>
        <w:t>On the January 29, 2004 the sale transaction was completed. As consideration for the transaction Schlumberger received €443 million ($550 million) in cash which included a working capital adjustment, and 19.3 million shares of common stock of Atos Origin with a value of €1.02 billion ($1.275 billion), which represented approximately 29% of the outstanding common shares of Atos Origin after the transaction was completed. Schlumberger expects the result of the sale will be a gain.</w:t>
      </w:r>
    </w:p>
    <w:p>
      <w:pPr>
        <w:spacing w:after="0" w:line="128" w:lineRule="exact"/>
        <w:rPr>
          <w:sz w:val="20"/>
          <w:szCs w:val="20"/>
          <w:color w:val="auto"/>
        </w:rPr>
      </w:pPr>
    </w:p>
    <w:p>
      <w:pPr>
        <w:spacing w:after="0"/>
        <w:tabs>
          <w:tab w:leader="none" w:pos="10400" w:val="left"/>
        </w:tabs>
        <w:rPr>
          <w:sz w:val="20"/>
          <w:szCs w:val="20"/>
          <w:color w:val="auto"/>
        </w:rPr>
      </w:pPr>
      <w:r>
        <w:rPr>
          <w:rFonts w:ascii="Arial" w:cs="Arial" w:eastAsia="Arial" w:hAnsi="Arial"/>
          <w:sz w:val="14"/>
          <w:szCs w:val="14"/>
          <w:color w:val="auto"/>
        </w:rPr>
        <w:t>30 / SLB</w:t>
      </w:r>
      <w:r>
        <w:rPr>
          <w:sz w:val="20"/>
          <w:szCs w:val="20"/>
          <w:color w:val="auto"/>
        </w:rPr>
        <w:tab/>
      </w:r>
      <w:r>
        <w:rPr>
          <w:rFonts w:ascii="Arial" w:cs="Arial" w:eastAsia="Arial" w:hAnsi="Arial"/>
          <w:sz w:val="12"/>
          <w:szCs w:val="12"/>
          <w:color w:val="auto"/>
        </w:rPr>
        <w:t>2003 FORM 10-K</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4"/>
          <w:szCs w:val="14"/>
          <w:color w:val="auto"/>
        </w:rPr>
        <w:t>Part II, Item 7</w:t>
      </w:r>
    </w:p>
    <w:p>
      <w:pPr>
        <w:spacing w:after="0" w:line="139" w:lineRule="exact"/>
        <w:rPr>
          <w:sz w:val="20"/>
          <w:szCs w:val="20"/>
          <w:color w:val="auto"/>
        </w:rPr>
      </w:pPr>
    </w:p>
    <w:p>
      <w:pPr>
        <w:jc w:val="both"/>
        <w:ind w:right="220" w:firstLine="228"/>
        <w:spacing w:after="0" w:line="259" w:lineRule="auto"/>
        <w:rPr>
          <w:sz w:val="20"/>
          <w:szCs w:val="20"/>
          <w:color w:val="auto"/>
        </w:rPr>
      </w:pPr>
      <w:r>
        <w:rPr>
          <w:rFonts w:ascii="Arial" w:cs="Arial" w:eastAsia="Arial" w:hAnsi="Arial"/>
          <w:sz w:val="18"/>
          <w:szCs w:val="18"/>
          <w:color w:val="auto"/>
        </w:rPr>
        <w:t>On February 2, 2004 Schlumberger sold 9.6 million of the Atos Origin shares for a net consideration of €500 million ($625 million). As a result of this sale, Schlumberger’s investment was reduced to approximately 15% of the outstanding common shares of Atos Origin. Schlumberger will account for the remaining investment in Atos Origin on the cost method.</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Divestitures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During 2003, Schlumberger divested the following businesses:</w:t>
      </w:r>
    </w:p>
    <w:p>
      <w:pPr>
        <w:spacing w:after="0" w:line="77" w:lineRule="exact"/>
        <w:rPr>
          <w:sz w:val="20"/>
          <w:szCs w:val="20"/>
          <w:color w:val="auto"/>
        </w:rPr>
      </w:pPr>
    </w:p>
    <w:p>
      <w:pPr>
        <w:jc w:val="both"/>
        <w:ind w:left="780" w:right="80" w:hanging="326"/>
        <w:spacing w:after="0" w:line="298" w:lineRule="auto"/>
        <w:tabs>
          <w:tab w:leader="none" w:pos="7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 xml:space="preserve">In July, the NPTest semiconductor testing business to a partnership led by Francisco Partners and Shah Management. The proceeds were $220 million in cash. Additionally, the partnership has a contingent obligation to make a further payment to Schlumberger upon a subsequent qualifying disposition or an initial public offering of NPTest by the partnership, under certain circumstances. The results of NPTest are reported as </w:t>
      </w:r>
      <w:r>
        <w:rPr>
          <w:rFonts w:ascii="Arial" w:cs="Arial" w:eastAsia="Arial" w:hAnsi="Arial"/>
          <w:sz w:val="16"/>
          <w:szCs w:val="16"/>
          <w:i w:val="1"/>
          <w:iCs w:val="1"/>
          <w:color w:val="auto"/>
        </w:rPr>
        <w:t>Discontinued Operations</w:t>
      </w:r>
      <w:r>
        <w:rPr>
          <w:rFonts w:ascii="Arial" w:cs="Arial" w:eastAsia="Arial" w:hAnsi="Arial"/>
          <w:sz w:val="16"/>
          <w:szCs w:val="16"/>
          <w:color w:val="auto"/>
        </w:rPr>
        <w:t xml:space="preserve"> in the </w:t>
      </w:r>
      <w:r>
        <w:rPr>
          <w:rFonts w:ascii="Arial" w:cs="Arial" w:eastAsia="Arial" w:hAnsi="Arial"/>
          <w:sz w:val="16"/>
          <w:szCs w:val="16"/>
          <w:i w:val="1"/>
          <w:iCs w:val="1"/>
          <w:color w:val="auto"/>
        </w:rPr>
        <w:t>Consolidated Statement of Income</w:t>
      </w:r>
      <w:r>
        <w:rPr>
          <w:rFonts w:ascii="Arial" w:cs="Arial" w:eastAsia="Arial" w:hAnsi="Arial"/>
          <w:sz w:val="16"/>
          <w:szCs w:val="16"/>
          <w:color w:val="auto"/>
        </w:rPr>
        <w:t xml:space="preserve"> and include a net loss of $12 million on the sale. The net assets were $202 million.</w:t>
      </w:r>
    </w:p>
    <w:p>
      <w:pPr>
        <w:spacing w:after="0" w:line="18" w:lineRule="exact"/>
        <w:rPr>
          <w:rFonts w:ascii="Arial" w:cs="Arial" w:eastAsia="Arial" w:hAnsi="Arial"/>
          <w:sz w:val="16"/>
          <w:szCs w:val="16"/>
          <w:color w:val="auto"/>
        </w:rPr>
      </w:pPr>
    </w:p>
    <w:p>
      <w:pPr>
        <w:ind w:left="780" w:right="140" w:hanging="326"/>
        <w:spacing w:after="0" w:line="325" w:lineRule="auto"/>
        <w:tabs>
          <w:tab w:leader="none" w:pos="7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 xml:space="preserve">In August, the Verification Systems business by a proceed-free management buyout. The results of Verification Systems are reported as </w:t>
      </w:r>
      <w:r>
        <w:rPr>
          <w:rFonts w:ascii="Arial" w:cs="Arial" w:eastAsia="Arial" w:hAnsi="Arial"/>
          <w:sz w:val="16"/>
          <w:szCs w:val="16"/>
          <w:i w:val="1"/>
          <w:iCs w:val="1"/>
          <w:color w:val="auto"/>
        </w:rPr>
        <w:t>Discontinued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Operations </w:t>
      </w:r>
      <w:r>
        <w:rPr>
          <w:rFonts w:ascii="Arial" w:cs="Arial" w:eastAsia="Arial" w:hAnsi="Arial"/>
          <w:sz w:val="16"/>
          <w:szCs w:val="16"/>
          <w:color w:val="auto"/>
        </w:rPr>
        <w:t>in the</w:t>
      </w:r>
      <w:r>
        <w:rPr>
          <w:rFonts w:ascii="Arial" w:cs="Arial" w:eastAsia="Arial" w:hAnsi="Arial"/>
          <w:sz w:val="16"/>
          <w:szCs w:val="16"/>
          <w:i w:val="1"/>
          <w:iCs w:val="1"/>
          <w:color w:val="auto"/>
        </w:rPr>
        <w:t xml:space="preserve"> Consolidated Statement of Income </w:t>
      </w:r>
      <w:r>
        <w:rPr>
          <w:rFonts w:ascii="Arial" w:cs="Arial" w:eastAsia="Arial" w:hAnsi="Arial"/>
          <w:sz w:val="16"/>
          <w:szCs w:val="16"/>
          <w:color w:val="auto"/>
        </w:rPr>
        <w:t>and include a net loss of $18 million on the sale. The net assets were $17 million.</w:t>
      </w:r>
    </w:p>
    <w:p>
      <w:pPr>
        <w:spacing w:after="0" w:line="1" w:lineRule="exact"/>
        <w:rPr>
          <w:rFonts w:ascii="Arial" w:cs="Arial" w:eastAsia="Arial" w:hAnsi="Arial"/>
          <w:sz w:val="16"/>
          <w:szCs w:val="16"/>
          <w:color w:val="auto"/>
        </w:rPr>
      </w:pPr>
    </w:p>
    <w:p>
      <w:pPr>
        <w:ind w:left="780" w:right="240" w:hanging="326"/>
        <w:spacing w:after="0" w:line="259" w:lineRule="auto"/>
        <w:tabs>
          <w:tab w:leader="none" w:pos="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 xml:space="preserve">In October, the e-City ‘pay &amp; display’ parking solutions business to Apax Partners. The proceeds were $84 million in cash. The results of e-City are reported as </w:t>
      </w:r>
      <w:r>
        <w:rPr>
          <w:rFonts w:ascii="Arial" w:cs="Arial" w:eastAsia="Arial" w:hAnsi="Arial"/>
          <w:sz w:val="18"/>
          <w:szCs w:val="18"/>
          <w:i w:val="1"/>
          <w:iCs w:val="1"/>
          <w:color w:val="auto"/>
        </w:rPr>
        <w:t>Discontinued Operations</w:t>
      </w:r>
      <w:r>
        <w:rPr>
          <w:rFonts w:ascii="Arial" w:cs="Arial" w:eastAsia="Arial" w:hAnsi="Arial"/>
          <w:sz w:val="18"/>
          <w:szCs w:val="18"/>
          <w:color w:val="auto"/>
        </w:rPr>
        <w:t xml:space="preserve"> in the </w:t>
      </w:r>
      <w:r>
        <w:rPr>
          <w:rFonts w:ascii="Arial" w:cs="Arial" w:eastAsia="Arial" w:hAnsi="Arial"/>
          <w:sz w:val="18"/>
          <w:szCs w:val="18"/>
          <w:i w:val="1"/>
          <w:iCs w:val="1"/>
          <w:color w:val="auto"/>
        </w:rPr>
        <w:t>Consolidated Statement of Income</w:t>
      </w:r>
      <w:r>
        <w:rPr>
          <w:rFonts w:ascii="Arial" w:cs="Arial" w:eastAsia="Arial" w:hAnsi="Arial"/>
          <w:sz w:val="18"/>
          <w:szCs w:val="18"/>
          <w:color w:val="auto"/>
        </w:rPr>
        <w:t xml:space="preserve"> and include a net loss of $56 million on the sale. The net assets were $120 million, including a $65 million allocation of goodwill.</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During 2002, Schlumberger divested the following businesses:</w:t>
      </w:r>
    </w:p>
    <w:p>
      <w:pPr>
        <w:spacing w:after="0" w:line="77" w:lineRule="exact"/>
        <w:rPr>
          <w:sz w:val="20"/>
          <w:szCs w:val="20"/>
          <w:color w:val="auto"/>
        </w:rPr>
      </w:pPr>
    </w:p>
    <w:p>
      <w:pPr>
        <w:ind w:left="780" w:right="120" w:hanging="326"/>
        <w:spacing w:after="0" w:line="259" w:lineRule="auto"/>
        <w:tabs>
          <w:tab w:leader="none" w:pos="7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 xml:space="preserve">In December, the Reed Hycalog drillbits business. The proceeds included $259 million in cash and 9.7 million shares of Grant Prideco common stock with a value of $103 million. The after-tax gain was $66 million. The results of Reed Hycalog are reported as </w:t>
      </w:r>
      <w:r>
        <w:rPr>
          <w:rFonts w:ascii="Arial" w:cs="Arial" w:eastAsia="Arial" w:hAnsi="Arial"/>
          <w:sz w:val="18"/>
          <w:szCs w:val="18"/>
          <w:i w:val="1"/>
          <w:iCs w:val="1"/>
          <w:color w:val="auto"/>
        </w:rPr>
        <w:t>Discontinued Operations</w:t>
      </w:r>
      <w:r>
        <w:rPr>
          <w:rFonts w:ascii="Arial" w:cs="Arial" w:eastAsia="Arial" w:hAnsi="Arial"/>
          <w:sz w:val="18"/>
          <w:szCs w:val="18"/>
          <w:color w:val="auto"/>
        </w:rPr>
        <w:t xml:space="preserve"> in the </w:t>
      </w:r>
      <w:r>
        <w:rPr>
          <w:rFonts w:ascii="Arial" w:cs="Arial" w:eastAsia="Arial" w:hAnsi="Arial"/>
          <w:sz w:val="18"/>
          <w:szCs w:val="18"/>
          <w:i w:val="1"/>
          <w:iCs w:val="1"/>
          <w:color w:val="auto"/>
        </w:rPr>
        <w:t>Consolidated Statement of Income.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During 2001, Schlumberger divested the following businesses:</w:t>
      </w:r>
    </w:p>
    <w:p>
      <w:pPr>
        <w:spacing w:after="0" w:line="77" w:lineRule="exact"/>
        <w:rPr>
          <w:sz w:val="20"/>
          <w:szCs w:val="20"/>
          <w:color w:val="auto"/>
        </w:rPr>
      </w:pPr>
    </w:p>
    <w:p>
      <w:pPr>
        <w:ind w:left="780" w:right="160" w:hanging="326"/>
        <w:spacing w:after="0" w:line="306" w:lineRule="auto"/>
        <w:tabs>
          <w:tab w:leader="none" w:pos="7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In August, the Oilfield Services worldwide gas compression activity primarily consisting of the Production Operators Corp. subsidiary. The proceeds included $274 million in cash, a $150 million long-term subordinated note and newly issued Hanover Compressor Company shares with a value of $173 million. The shares have a three year marketability restriction. The after-tax gain was $52 million.</w:t>
      </w:r>
    </w:p>
    <w:p>
      <w:pPr>
        <w:spacing w:after="0" w:line="12" w:lineRule="exact"/>
        <w:rPr>
          <w:rFonts w:ascii="Arial" w:cs="Arial" w:eastAsia="Arial" w:hAnsi="Arial"/>
          <w:sz w:val="16"/>
          <w:szCs w:val="16"/>
          <w:color w:val="auto"/>
        </w:rPr>
      </w:pPr>
    </w:p>
    <w:p>
      <w:pPr>
        <w:ind w:left="780" w:right="180" w:hanging="326"/>
        <w:spacing w:after="0" w:line="268" w:lineRule="auto"/>
        <w:tabs>
          <w:tab w:leader="none" w:pos="7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 November, the Resource Management Services North American water metering activities. Cash proceeds were $304 million and the after-tax gain was $117 million.</w:t>
      </w:r>
    </w:p>
    <w:p>
      <w:pPr>
        <w:spacing w:after="0" w:line="37" w:lineRule="exact"/>
        <w:rPr>
          <w:rFonts w:ascii="Arial" w:cs="Arial" w:eastAsia="Arial" w:hAnsi="Arial"/>
          <w:sz w:val="18"/>
          <w:szCs w:val="18"/>
          <w:color w:val="auto"/>
        </w:rPr>
      </w:pPr>
    </w:p>
    <w:p>
      <w:pPr>
        <w:ind w:left="780" w:right="80" w:hanging="326"/>
        <w:spacing w:after="0" w:line="259" w:lineRule="auto"/>
        <w:tabs>
          <w:tab w:leader="none" w:pos="7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 xml:space="preserve">In November, the Resource Management Services non-North American electricity and water meter, and worldwide gas meter businesses. The net cash proceeds were $256 million and the after-tax loss was $300 million, of which $280 million had been recorded as an impairment charge in June (See </w:t>
      </w:r>
      <w:r>
        <w:rPr>
          <w:rFonts w:ascii="Arial" w:cs="Arial" w:eastAsia="Arial" w:hAnsi="Arial"/>
          <w:sz w:val="18"/>
          <w:szCs w:val="18"/>
          <w:i w:val="1"/>
          <w:iCs w:val="1"/>
          <w:color w:val="auto"/>
        </w:rPr>
        <w:t>Charges-Continuing Operations</w:t>
      </w:r>
      <w:r>
        <w:rPr>
          <w:rFonts w:ascii="Arial" w:cs="Arial" w:eastAsia="Arial" w:hAnsi="Arial"/>
          <w:sz w:val="18"/>
          <w:szCs w:val="18"/>
          <w:color w:val="auto"/>
        </w:rPr>
        <w:t>).</w:t>
      </w:r>
    </w:p>
    <w:p>
      <w:pPr>
        <w:spacing w:after="0" w:line="45" w:lineRule="exact"/>
        <w:rPr>
          <w:rFonts w:ascii="Arial" w:cs="Arial" w:eastAsia="Arial" w:hAnsi="Arial"/>
          <w:sz w:val="18"/>
          <w:szCs w:val="18"/>
          <w:color w:val="auto"/>
        </w:rPr>
      </w:pPr>
    </w:p>
    <w:p>
      <w:pPr>
        <w:ind w:left="780" w:right="240" w:hanging="326"/>
        <w:spacing w:after="0" w:line="268" w:lineRule="auto"/>
        <w:tabs>
          <w:tab w:leader="none" w:pos="7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 November, the Yield Enhancement Systems division of Semiconductor Solutions. Cash proceeds were $62 million and the after-tax gain was $12 million.</w:t>
      </w:r>
    </w:p>
    <w:p>
      <w:pPr>
        <w:spacing w:after="0" w:line="116" w:lineRule="exact"/>
        <w:rPr>
          <w:sz w:val="20"/>
          <w:szCs w:val="20"/>
          <w:color w:val="auto"/>
        </w:rPr>
      </w:pPr>
    </w:p>
    <w:p>
      <w:pPr>
        <w:spacing w:after="0"/>
        <w:tabs>
          <w:tab w:leader="none" w:pos="10400" w:val="left"/>
        </w:tabs>
        <w:rPr>
          <w:sz w:val="20"/>
          <w:szCs w:val="20"/>
          <w:color w:val="auto"/>
        </w:rPr>
      </w:pPr>
      <w:r>
        <w:rPr>
          <w:rFonts w:ascii="Arial" w:cs="Arial" w:eastAsia="Arial" w:hAnsi="Arial"/>
          <w:sz w:val="14"/>
          <w:szCs w:val="14"/>
          <w:color w:val="auto"/>
        </w:rPr>
        <w:t>31 / SLB</w:t>
      </w:r>
      <w:r>
        <w:rPr>
          <w:sz w:val="20"/>
          <w:szCs w:val="20"/>
          <w:color w:val="auto"/>
        </w:rPr>
        <w:tab/>
      </w:r>
      <w:r>
        <w:rPr>
          <w:rFonts w:ascii="Arial" w:cs="Arial" w:eastAsia="Arial" w:hAnsi="Arial"/>
          <w:sz w:val="12"/>
          <w:szCs w:val="12"/>
          <w:color w:val="auto"/>
        </w:rPr>
        <w:t>2003 FORM 10-K</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4"/>
          <w:szCs w:val="14"/>
          <w:color w:val="auto"/>
        </w:rPr>
        <w:t>Part II, Item 7</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of Major Contractual Commitments</w:t>
      </w:r>
    </w:p>
    <w:p>
      <w:pPr>
        <w:spacing w:after="0" w:line="6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(Stated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4662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800" w:type="dxa"/>
            <w:vAlign w:val="bottom"/>
          </w:tcPr>
          <w:p>
            <w:pPr>
              <w:spacing w:after="0"/>
              <w:rPr>
                <w:sz w:val="15"/>
                <w:szCs w:val="15"/>
                <w:color w:val="auto"/>
              </w:rPr>
            </w:pPr>
          </w:p>
        </w:tc>
        <w:tc>
          <w:tcPr>
            <w:tcW w:w="30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0" w:type="dxa"/>
            <w:vAlign w:val="bottom"/>
            <w:gridSpan w:val="2"/>
          </w:tcPr>
          <w:p>
            <w:pPr>
              <w:jc w:val="right"/>
              <w:ind w:right="12"/>
              <w:spacing w:after="0"/>
              <w:rPr>
                <w:sz w:val="20"/>
                <w:szCs w:val="20"/>
                <w:color w:val="auto"/>
              </w:rPr>
            </w:pPr>
            <w:r>
              <w:rPr>
                <w:rFonts w:ascii="Arial" w:cs="Arial" w:eastAsia="Arial" w:hAnsi="Arial"/>
                <w:sz w:val="14"/>
                <w:szCs w:val="14"/>
                <w:b w:val="1"/>
                <w:bCs w:val="1"/>
                <w:color w:val="auto"/>
              </w:rPr>
              <w:t>Payment Period</w:t>
            </w:r>
          </w:p>
        </w:tc>
        <w:tc>
          <w:tcPr>
            <w:tcW w:w="7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800" w:type="dxa"/>
            <w:vAlign w:val="bottom"/>
          </w:tcPr>
          <w:p>
            <w:pPr>
              <w:spacing w:after="0"/>
              <w:rPr>
                <w:sz w:val="8"/>
                <w:szCs w:val="8"/>
                <w:color w:val="auto"/>
              </w:rPr>
            </w:pPr>
          </w:p>
        </w:tc>
        <w:tc>
          <w:tcPr>
            <w:tcW w:w="3040" w:type="dxa"/>
            <w:vAlign w:val="bottom"/>
          </w:tcPr>
          <w:p>
            <w:pPr>
              <w:spacing w:after="0"/>
              <w:rPr>
                <w:sz w:val="8"/>
                <w:szCs w:val="8"/>
                <w:color w:val="auto"/>
              </w:rPr>
            </w:pPr>
          </w:p>
        </w:tc>
        <w:tc>
          <w:tcPr>
            <w:tcW w:w="360" w:type="dxa"/>
            <w:vAlign w:val="bottom"/>
          </w:tcPr>
          <w:p>
            <w:pPr>
              <w:spacing w:after="0"/>
              <w:rPr>
                <w:sz w:val="8"/>
                <w:szCs w:val="8"/>
                <w:color w:val="auto"/>
              </w:rPr>
            </w:pPr>
          </w:p>
        </w:tc>
        <w:tc>
          <w:tcPr>
            <w:tcW w:w="900" w:type="dxa"/>
            <w:vAlign w:val="bottom"/>
            <w:tcBorders>
              <w:bottom w:val="single" w:sz="8" w:color="auto"/>
            </w:tcBorders>
            <w:gridSpan w:val="2"/>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80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1260" w:type="dxa"/>
            <w:vAlign w:val="bottom"/>
            <w:gridSpan w:val="3"/>
          </w:tcPr>
          <w:p>
            <w:pPr>
              <w:ind w:left="360"/>
              <w:spacing w:after="0"/>
              <w:rPr>
                <w:sz w:val="20"/>
                <w:szCs w:val="20"/>
                <w:color w:val="auto"/>
              </w:rPr>
            </w:pPr>
            <w:r>
              <w:rPr>
                <w:rFonts w:ascii="Arial" w:cs="Arial" w:eastAsia="Arial" w:hAnsi="Arial"/>
                <w:sz w:val="14"/>
                <w:szCs w:val="14"/>
                <w:b w:val="1"/>
                <w:bCs w:val="1"/>
                <w:color w:val="auto"/>
              </w:rPr>
              <w:t>Less than</w:t>
            </w:r>
          </w:p>
        </w:tc>
        <w:tc>
          <w:tcPr>
            <w:tcW w:w="5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6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97"/>
              </w:rPr>
              <w:t>After</w:t>
            </w:r>
          </w:p>
        </w:tc>
        <w:tc>
          <w:tcPr>
            <w:tcW w:w="0" w:type="dxa"/>
            <w:vAlign w:val="bottom"/>
          </w:tcPr>
          <w:p>
            <w:pPr>
              <w:spacing w:after="0"/>
              <w:rPr>
                <w:sz w:val="1"/>
                <w:szCs w:val="1"/>
                <w:color w:val="auto"/>
              </w:rPr>
            </w:pPr>
          </w:p>
        </w:tc>
      </w:tr>
      <w:tr>
        <w:trPr>
          <w:trHeight w:val="174"/>
        </w:trPr>
        <w:tc>
          <w:tcPr>
            <w:tcW w:w="3820" w:type="dxa"/>
            <w:vAlign w:val="bottom"/>
            <w:gridSpan w:val="2"/>
          </w:tcPr>
          <w:p>
            <w:pPr>
              <w:spacing w:after="0"/>
              <w:rPr>
                <w:sz w:val="20"/>
                <w:szCs w:val="20"/>
                <w:color w:val="auto"/>
              </w:rPr>
            </w:pPr>
            <w:r>
              <w:rPr>
                <w:rFonts w:ascii="Arial" w:cs="Arial" w:eastAsia="Arial" w:hAnsi="Arial"/>
                <w:sz w:val="14"/>
                <w:szCs w:val="14"/>
                <w:b w:val="1"/>
                <w:bCs w:val="1"/>
                <w:color w:val="auto"/>
              </w:rPr>
              <w:t>Contractual Commitments</w:t>
            </w:r>
          </w:p>
        </w:tc>
        <w:tc>
          <w:tcPr>
            <w:tcW w:w="3040" w:type="dxa"/>
            <w:vAlign w:val="bottom"/>
          </w:tcPr>
          <w:p>
            <w:pPr>
              <w:jc w:val="right"/>
              <w:ind w:right="292"/>
              <w:spacing w:after="0"/>
              <w:rPr>
                <w:sz w:val="20"/>
                <w:szCs w:val="20"/>
                <w:color w:val="auto"/>
              </w:rPr>
            </w:pPr>
            <w:r>
              <w:rPr>
                <w:rFonts w:ascii="Arial" w:cs="Arial" w:eastAsia="Arial" w:hAnsi="Arial"/>
                <w:sz w:val="14"/>
                <w:szCs w:val="14"/>
                <w:b w:val="1"/>
                <w:bCs w:val="1"/>
                <w:color w:val="auto"/>
              </w:rPr>
              <w:t>Total</w:t>
            </w: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right"/>
              <w:ind w:right="292"/>
              <w:spacing w:after="0"/>
              <w:rPr>
                <w:sz w:val="20"/>
                <w:szCs w:val="20"/>
                <w:color w:val="auto"/>
              </w:rPr>
            </w:pPr>
            <w:r>
              <w:rPr>
                <w:rFonts w:ascii="Arial" w:cs="Arial" w:eastAsia="Arial" w:hAnsi="Arial"/>
                <w:sz w:val="14"/>
                <w:szCs w:val="14"/>
                <w:b w:val="1"/>
                <w:bCs w:val="1"/>
                <w:color w:val="auto"/>
                <w:w w:val="98"/>
              </w:rPr>
              <w:t>1 year</w:t>
            </w:r>
          </w:p>
        </w:tc>
        <w:tc>
          <w:tcPr>
            <w:tcW w:w="1240" w:type="dxa"/>
            <w:vAlign w:val="bottom"/>
            <w:gridSpan w:val="2"/>
          </w:tcPr>
          <w:p>
            <w:pPr>
              <w:ind w:left="360"/>
              <w:spacing w:after="0"/>
              <w:rPr>
                <w:sz w:val="20"/>
                <w:szCs w:val="20"/>
                <w:color w:val="auto"/>
              </w:rPr>
            </w:pPr>
            <w:r>
              <w:rPr>
                <w:rFonts w:ascii="Arial" w:cs="Arial" w:eastAsia="Arial" w:hAnsi="Arial"/>
                <w:sz w:val="14"/>
                <w:szCs w:val="14"/>
                <w:b w:val="1"/>
                <w:bCs w:val="1"/>
                <w:color w:val="auto"/>
              </w:rPr>
              <w:t>2-3 years</w:t>
            </w:r>
          </w:p>
        </w:tc>
        <w:tc>
          <w:tcPr>
            <w:tcW w:w="1240" w:type="dxa"/>
            <w:vAlign w:val="bottom"/>
            <w:gridSpan w:val="2"/>
          </w:tcPr>
          <w:p>
            <w:pPr>
              <w:jc w:val="right"/>
              <w:ind w:right="292"/>
              <w:spacing w:after="0"/>
              <w:rPr>
                <w:sz w:val="20"/>
                <w:szCs w:val="20"/>
                <w:color w:val="auto"/>
              </w:rPr>
            </w:pPr>
            <w:r>
              <w:rPr>
                <w:rFonts w:ascii="Arial" w:cs="Arial" w:eastAsia="Arial" w:hAnsi="Arial"/>
                <w:sz w:val="14"/>
                <w:szCs w:val="14"/>
                <w:b w:val="1"/>
                <w:bCs w:val="1"/>
                <w:color w:val="auto"/>
              </w:rPr>
              <w:t>4-5 years</w:t>
            </w:r>
          </w:p>
        </w:tc>
        <w:tc>
          <w:tcPr>
            <w:tcW w:w="84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rPr>
              <w:t>5 years</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3800" w:type="dxa"/>
            <w:vAlign w:val="bottom"/>
          </w:tcPr>
          <w:p>
            <w:pPr>
              <w:spacing w:after="0"/>
              <w:rPr>
                <w:sz w:val="8"/>
                <w:szCs w:val="8"/>
                <w:color w:val="auto"/>
              </w:rPr>
            </w:pPr>
          </w:p>
        </w:tc>
        <w:tc>
          <w:tcPr>
            <w:tcW w:w="30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tcPr>
          <w:p>
            <w:pPr>
              <w:spacing w:after="0"/>
              <w:rPr>
                <w:sz w:val="8"/>
                <w:szCs w:val="8"/>
                <w:color w:val="auto"/>
              </w:rPr>
            </w:pPr>
          </w:p>
        </w:tc>
        <w:tc>
          <w:tcPr>
            <w:tcW w:w="540" w:type="dxa"/>
            <w:vAlign w:val="bottom"/>
          </w:tcPr>
          <w:p>
            <w:pPr>
              <w:spacing w:after="0"/>
              <w:rPr>
                <w:sz w:val="8"/>
                <w:szCs w:val="8"/>
                <w:color w:val="auto"/>
              </w:rPr>
            </w:pPr>
          </w:p>
        </w:tc>
        <w:tc>
          <w:tcPr>
            <w:tcW w:w="700" w:type="dxa"/>
            <w:vAlign w:val="bottom"/>
          </w:tcPr>
          <w:p>
            <w:pPr>
              <w:spacing w:after="0"/>
              <w:rPr>
                <w:sz w:val="8"/>
                <w:szCs w:val="8"/>
                <w:color w:val="auto"/>
              </w:rPr>
            </w:pPr>
          </w:p>
        </w:tc>
        <w:tc>
          <w:tcPr>
            <w:tcW w:w="5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8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Long-Term Debt</w:t>
            </w:r>
          </w:p>
        </w:tc>
        <w:tc>
          <w:tcPr>
            <w:tcW w:w="3040" w:type="dxa"/>
            <w:vAlign w:val="bottom"/>
            <w:shd w:val="clear" w:color="auto" w:fill="CCEEFF"/>
          </w:tcPr>
          <w:p>
            <w:pPr>
              <w:jc w:val="right"/>
              <w:ind w:right="292"/>
              <w:spacing w:after="0" w:line="149" w:lineRule="exact"/>
              <w:rPr>
                <w:sz w:val="20"/>
                <w:szCs w:val="20"/>
                <w:color w:val="auto"/>
              </w:rPr>
            </w:pPr>
            <w:r>
              <w:rPr>
                <w:rFonts w:ascii="Arial" w:cs="Arial" w:eastAsia="Arial" w:hAnsi="Arial"/>
                <w:sz w:val="14"/>
                <w:szCs w:val="14"/>
                <w:color w:val="auto"/>
              </w:rPr>
              <w:t>$ 6,987</w:t>
            </w:r>
          </w:p>
        </w:tc>
        <w:tc>
          <w:tcPr>
            <w:tcW w:w="480" w:type="dxa"/>
            <w:vAlign w:val="bottom"/>
            <w:gridSpan w:val="2"/>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292"/>
              <w:spacing w:after="0" w:line="149" w:lineRule="exact"/>
              <w:rPr>
                <w:sz w:val="20"/>
                <w:szCs w:val="20"/>
                <w:color w:val="auto"/>
              </w:rPr>
            </w:pPr>
            <w:r>
              <w:rPr>
                <w:rFonts w:ascii="Arial" w:cs="Arial" w:eastAsia="Arial" w:hAnsi="Arial"/>
                <w:sz w:val="14"/>
                <w:szCs w:val="14"/>
                <w:color w:val="auto"/>
              </w:rPr>
              <w:t>890</w:t>
            </w:r>
          </w:p>
        </w:tc>
        <w:tc>
          <w:tcPr>
            <w:tcW w:w="540" w:type="dxa"/>
            <w:vAlign w:val="bottom"/>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312"/>
              <w:spacing w:after="0" w:line="149" w:lineRule="exact"/>
              <w:rPr>
                <w:sz w:val="20"/>
                <w:szCs w:val="20"/>
                <w:color w:val="auto"/>
              </w:rPr>
            </w:pPr>
            <w:r>
              <w:rPr>
                <w:rFonts w:ascii="Arial" w:cs="Arial" w:eastAsia="Arial" w:hAnsi="Arial"/>
                <w:sz w:val="14"/>
                <w:szCs w:val="14"/>
                <w:color w:val="auto"/>
              </w:rPr>
              <w:t>866</w:t>
            </w:r>
          </w:p>
        </w:tc>
        <w:tc>
          <w:tcPr>
            <w:tcW w:w="5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292"/>
              <w:spacing w:after="0" w:line="149" w:lineRule="exact"/>
              <w:rPr>
                <w:sz w:val="20"/>
                <w:szCs w:val="20"/>
                <w:color w:val="auto"/>
              </w:rPr>
            </w:pPr>
            <w:r>
              <w:rPr>
                <w:rFonts w:ascii="Arial" w:cs="Arial" w:eastAsia="Arial" w:hAnsi="Arial"/>
                <w:sz w:val="14"/>
                <w:szCs w:val="14"/>
                <w:color w:val="auto"/>
              </w:rPr>
              <w:t>3,149</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1"/>
              </w:rPr>
              <w:t>2,082</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800" w:type="dxa"/>
            <w:vAlign w:val="bottom"/>
          </w:tcPr>
          <w:p>
            <w:pPr>
              <w:spacing w:after="0"/>
              <w:rPr>
                <w:sz w:val="20"/>
                <w:szCs w:val="20"/>
                <w:color w:val="auto"/>
              </w:rPr>
            </w:pPr>
            <w:r>
              <w:rPr>
                <w:rFonts w:ascii="Arial" w:cs="Arial" w:eastAsia="Arial" w:hAnsi="Arial"/>
                <w:sz w:val="14"/>
                <w:szCs w:val="14"/>
                <w:color w:val="auto"/>
              </w:rPr>
              <w:t>Operating Leases</w:t>
            </w:r>
          </w:p>
        </w:tc>
        <w:tc>
          <w:tcPr>
            <w:tcW w:w="3040" w:type="dxa"/>
            <w:vAlign w:val="bottom"/>
          </w:tcPr>
          <w:p>
            <w:pPr>
              <w:jc w:val="right"/>
              <w:ind w:right="292"/>
              <w:spacing w:after="0"/>
              <w:rPr>
                <w:sz w:val="20"/>
                <w:szCs w:val="20"/>
                <w:color w:val="auto"/>
              </w:rPr>
            </w:pPr>
            <w:r>
              <w:rPr>
                <w:rFonts w:ascii="Arial" w:cs="Arial" w:eastAsia="Arial" w:hAnsi="Arial"/>
                <w:sz w:val="14"/>
                <w:szCs w:val="14"/>
                <w:color w:val="auto"/>
              </w:rPr>
              <w:t>$ 1,653</w:t>
            </w:r>
          </w:p>
        </w:tc>
        <w:tc>
          <w:tcPr>
            <w:tcW w:w="480" w:type="dxa"/>
            <w:vAlign w:val="bottom"/>
            <w:gridSpan w:val="2"/>
          </w:tcPr>
          <w:p>
            <w:pPr>
              <w:ind w:left="360"/>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92"/>
              <w:spacing w:after="0"/>
              <w:rPr>
                <w:sz w:val="20"/>
                <w:szCs w:val="20"/>
                <w:color w:val="auto"/>
              </w:rPr>
            </w:pPr>
            <w:r>
              <w:rPr>
                <w:rFonts w:ascii="Arial" w:cs="Arial" w:eastAsia="Arial" w:hAnsi="Arial"/>
                <w:sz w:val="14"/>
                <w:szCs w:val="14"/>
                <w:color w:val="auto"/>
              </w:rPr>
              <w:t>344</w:t>
            </w:r>
          </w:p>
        </w:tc>
        <w:tc>
          <w:tcPr>
            <w:tcW w:w="540" w:type="dxa"/>
            <w:vAlign w:val="bottom"/>
          </w:tcPr>
          <w:p>
            <w:pPr>
              <w:ind w:left="360"/>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312"/>
              <w:spacing w:after="0"/>
              <w:rPr>
                <w:sz w:val="20"/>
                <w:szCs w:val="20"/>
                <w:color w:val="auto"/>
              </w:rPr>
            </w:pPr>
            <w:r>
              <w:rPr>
                <w:rFonts w:ascii="Arial" w:cs="Arial" w:eastAsia="Arial" w:hAnsi="Arial"/>
                <w:sz w:val="14"/>
                <w:szCs w:val="14"/>
                <w:color w:val="auto"/>
              </w:rPr>
              <w:t>522</w:t>
            </w:r>
          </w:p>
        </w:tc>
        <w:tc>
          <w:tcPr>
            <w:tcW w:w="50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292"/>
              <w:spacing w:after="0"/>
              <w:rPr>
                <w:sz w:val="20"/>
                <w:szCs w:val="20"/>
                <w:color w:val="auto"/>
              </w:rPr>
            </w:pPr>
            <w:r>
              <w:rPr>
                <w:rFonts w:ascii="Arial" w:cs="Arial" w:eastAsia="Arial" w:hAnsi="Arial"/>
                <w:sz w:val="14"/>
                <w:szCs w:val="14"/>
                <w:color w:val="auto"/>
              </w:rPr>
              <w:t>366</w:t>
            </w:r>
          </w:p>
        </w:tc>
        <w:tc>
          <w:tcPr>
            <w:tcW w:w="480" w:type="dxa"/>
            <w:vAlign w:val="bottom"/>
          </w:tcPr>
          <w:p>
            <w:pPr>
              <w:jc w:val="right"/>
              <w:spacing w:after="0"/>
              <w:rPr>
                <w:sz w:val="20"/>
                <w:szCs w:val="20"/>
                <w:color w:val="auto"/>
              </w:rPr>
            </w:pPr>
            <w:r>
              <w:rPr>
                <w:rFonts w:ascii="Arial" w:cs="Arial" w:eastAsia="Arial" w:hAnsi="Arial"/>
                <w:sz w:val="14"/>
                <w:szCs w:val="14"/>
                <w:color w:val="auto"/>
              </w:rPr>
              <w:t>$</w:t>
            </w:r>
          </w:p>
        </w:tc>
        <w:tc>
          <w:tcPr>
            <w:tcW w:w="340" w:type="dxa"/>
            <w:vAlign w:val="bottom"/>
          </w:tcPr>
          <w:p>
            <w:pPr>
              <w:jc w:val="right"/>
              <w:spacing w:after="0"/>
              <w:rPr>
                <w:sz w:val="20"/>
                <w:szCs w:val="20"/>
                <w:color w:val="auto"/>
              </w:rPr>
            </w:pPr>
            <w:r>
              <w:rPr>
                <w:rFonts w:ascii="Arial" w:cs="Arial" w:eastAsia="Arial" w:hAnsi="Arial"/>
                <w:sz w:val="14"/>
                <w:szCs w:val="14"/>
                <w:color w:val="auto"/>
              </w:rPr>
              <w:t>421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Letters of credit/guarantees outstanding aggregated $788 million at December 31, 2003.</w:t>
      </w:r>
    </w:p>
    <w:p>
      <w:pPr>
        <w:spacing w:after="0" w:line="15" w:lineRule="exact"/>
        <w:rPr>
          <w:sz w:val="20"/>
          <w:szCs w:val="20"/>
          <w:color w:val="auto"/>
        </w:rPr>
      </w:pPr>
    </w:p>
    <w:p>
      <w:pPr>
        <w:ind w:right="160" w:firstLine="228"/>
        <w:spacing w:after="0" w:line="361" w:lineRule="auto"/>
        <w:rPr>
          <w:sz w:val="20"/>
          <w:szCs w:val="20"/>
          <w:color w:val="auto"/>
        </w:rPr>
      </w:pPr>
      <w:r>
        <w:rPr>
          <w:rFonts w:ascii="Arial" w:cs="Arial" w:eastAsia="Arial" w:hAnsi="Arial"/>
          <w:sz w:val="15"/>
          <w:szCs w:val="15"/>
          <w:color w:val="auto"/>
        </w:rPr>
        <w:t>In general, the remaining amount of letters of credit/guarantees relate to business performance bonds, custom/excise tax commitments, facility lease/rental obligations, etc. All such were entered into in the ordinary course of business and are customary practices in the various countries where Schlumberger operates.</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 Market Prices and Dividends Declared per Share</w:t>
      </w:r>
    </w:p>
    <w:p>
      <w:pPr>
        <w:spacing w:after="0" w:line="72"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Quarterly high and low prices for Schlumberger common stock as reported by the New York Stock Exchange (composite transactions), together with dividends declared per share in each quarter of 2003 and 2002, were:</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640" w:type="dxa"/>
            <w:vAlign w:val="bottom"/>
          </w:tcPr>
          <w:p>
            <w:pPr>
              <w:spacing w:after="0"/>
              <w:rPr>
                <w:sz w:val="15"/>
                <w:szCs w:val="15"/>
                <w:color w:val="auto"/>
              </w:rPr>
            </w:pPr>
          </w:p>
        </w:tc>
        <w:tc>
          <w:tcPr>
            <w:tcW w:w="3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gridSpan w:val="2"/>
          </w:tcPr>
          <w:p>
            <w:pPr>
              <w:jc w:val="right"/>
              <w:ind w:right="12"/>
              <w:spacing w:after="0"/>
              <w:rPr>
                <w:sz w:val="20"/>
                <w:szCs w:val="20"/>
                <w:color w:val="auto"/>
              </w:rPr>
            </w:pPr>
            <w:r>
              <w:rPr>
                <w:rFonts w:ascii="Arial" w:cs="Arial" w:eastAsia="Arial" w:hAnsi="Arial"/>
                <w:sz w:val="14"/>
                <w:szCs w:val="14"/>
                <w:b w:val="1"/>
                <w:bCs w:val="1"/>
                <w:color w:val="auto"/>
              </w:rPr>
              <w:t>Price Range</w:t>
            </w:r>
          </w:p>
        </w:tc>
        <w:tc>
          <w:tcPr>
            <w:tcW w:w="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640" w:type="dxa"/>
            <w:vAlign w:val="bottom"/>
          </w:tcPr>
          <w:p>
            <w:pPr>
              <w:spacing w:after="0"/>
              <w:rPr>
                <w:sz w:val="8"/>
                <w:szCs w:val="8"/>
                <w:color w:val="auto"/>
              </w:rPr>
            </w:pPr>
          </w:p>
        </w:tc>
        <w:tc>
          <w:tcPr>
            <w:tcW w:w="39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880" w:type="dxa"/>
            <w:vAlign w:val="bottom"/>
            <w:gridSpan w:val="3"/>
            <w:vMerge w:val="restart"/>
          </w:tcPr>
          <w:p>
            <w:pPr>
              <w:ind w:left="300"/>
              <w:spacing w:after="0"/>
              <w:rPr>
                <w:sz w:val="20"/>
                <w:szCs w:val="20"/>
                <w:color w:val="auto"/>
              </w:rPr>
            </w:pPr>
            <w:r>
              <w:rPr>
                <w:rFonts w:ascii="Arial" w:cs="Arial" w:eastAsia="Arial" w:hAnsi="Arial"/>
                <w:sz w:val="14"/>
                <w:szCs w:val="14"/>
                <w:b w:val="1"/>
                <w:bCs w:val="1"/>
                <w:color w:val="auto"/>
                <w:w w:val="83"/>
              </w:rPr>
              <w:t>Dividends</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4640" w:type="dxa"/>
            <w:vAlign w:val="bottom"/>
          </w:tcPr>
          <w:p>
            <w:pPr>
              <w:spacing w:after="0"/>
              <w:rPr>
                <w:sz w:val="6"/>
                <w:szCs w:val="6"/>
                <w:color w:val="auto"/>
              </w:rPr>
            </w:pPr>
          </w:p>
        </w:tc>
        <w:tc>
          <w:tcPr>
            <w:tcW w:w="3920" w:type="dxa"/>
            <w:vAlign w:val="bottom"/>
          </w:tcPr>
          <w:p>
            <w:pPr>
              <w:spacing w:after="0"/>
              <w:rPr>
                <w:sz w:val="6"/>
                <w:szCs w:val="6"/>
                <w:color w:val="auto"/>
              </w:rPr>
            </w:pPr>
          </w:p>
        </w:tc>
        <w:tc>
          <w:tcPr>
            <w:tcW w:w="140" w:type="dxa"/>
            <w:vAlign w:val="bottom"/>
          </w:tcPr>
          <w:p>
            <w:pPr>
              <w:spacing w:after="0"/>
              <w:rPr>
                <w:sz w:val="6"/>
                <w:szCs w:val="6"/>
                <w:color w:val="auto"/>
              </w:rPr>
            </w:pPr>
          </w:p>
        </w:tc>
        <w:tc>
          <w:tcPr>
            <w:tcW w:w="7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280" w:type="dxa"/>
            <w:vAlign w:val="bottom"/>
          </w:tcPr>
          <w:p>
            <w:pPr>
              <w:spacing w:after="0"/>
              <w:rPr>
                <w:sz w:val="6"/>
                <w:szCs w:val="6"/>
                <w:color w:val="auto"/>
              </w:rPr>
            </w:pPr>
          </w:p>
        </w:tc>
        <w:tc>
          <w:tcPr>
            <w:tcW w:w="88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4640" w:type="dxa"/>
            <w:vAlign w:val="bottom"/>
          </w:tcPr>
          <w:p>
            <w:pPr>
              <w:spacing w:after="0"/>
              <w:rPr>
                <w:sz w:val="16"/>
                <w:szCs w:val="16"/>
                <w:color w:val="auto"/>
              </w:rPr>
            </w:pPr>
          </w:p>
        </w:tc>
        <w:tc>
          <w:tcPr>
            <w:tcW w:w="3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jc w:val="right"/>
              <w:ind w:right="212"/>
              <w:spacing w:after="0"/>
              <w:rPr>
                <w:sz w:val="20"/>
                <w:szCs w:val="20"/>
                <w:color w:val="auto"/>
              </w:rPr>
            </w:pPr>
            <w:r>
              <w:rPr>
                <w:rFonts w:ascii="Arial" w:cs="Arial" w:eastAsia="Arial" w:hAnsi="Arial"/>
                <w:sz w:val="14"/>
                <w:szCs w:val="14"/>
                <w:b w:val="1"/>
                <w:bCs w:val="1"/>
                <w:color w:val="auto"/>
              </w:rPr>
              <w:t>High</w:t>
            </w:r>
          </w:p>
        </w:tc>
        <w:tc>
          <w:tcPr>
            <w:tcW w:w="420" w:type="dxa"/>
            <w:vAlign w:val="bottom"/>
          </w:tcPr>
          <w:p>
            <w:pPr>
              <w:spacing w:after="0"/>
              <w:rPr>
                <w:sz w:val="16"/>
                <w:szCs w:val="16"/>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Low</w:t>
            </w:r>
          </w:p>
        </w:tc>
        <w:tc>
          <w:tcPr>
            <w:tcW w:w="88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rPr>
              <w:t>Declared</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4640" w:type="dxa"/>
            <w:vAlign w:val="bottom"/>
          </w:tcPr>
          <w:p>
            <w:pPr>
              <w:spacing w:after="0"/>
              <w:rPr>
                <w:sz w:val="8"/>
                <w:szCs w:val="8"/>
                <w:color w:val="auto"/>
              </w:rPr>
            </w:pPr>
          </w:p>
        </w:tc>
        <w:tc>
          <w:tcPr>
            <w:tcW w:w="3920" w:type="dxa"/>
            <w:vAlign w:val="bottom"/>
          </w:tcPr>
          <w:p>
            <w:pPr>
              <w:spacing w:after="0"/>
              <w:rPr>
                <w:sz w:val="8"/>
                <w:szCs w:val="8"/>
                <w:color w:val="auto"/>
              </w:rPr>
            </w:pPr>
          </w:p>
        </w:tc>
        <w:tc>
          <w:tcPr>
            <w:tcW w:w="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6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2003</w:t>
            </w:r>
          </w:p>
        </w:tc>
        <w:tc>
          <w:tcPr>
            <w:tcW w:w="39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40" w:type="dxa"/>
            <w:vAlign w:val="bottom"/>
          </w:tcPr>
          <w:p>
            <w:pPr>
              <w:spacing w:after="0" w:line="149" w:lineRule="exact"/>
              <w:rPr>
                <w:sz w:val="20"/>
                <w:szCs w:val="20"/>
                <w:color w:val="auto"/>
              </w:rPr>
            </w:pPr>
            <w:r>
              <w:rPr>
                <w:rFonts w:ascii="Arial" w:cs="Arial" w:eastAsia="Arial" w:hAnsi="Arial"/>
                <w:sz w:val="14"/>
                <w:szCs w:val="14"/>
                <w:color w:val="auto"/>
              </w:rPr>
              <w:t>QUARTERS</w:t>
            </w:r>
          </w:p>
        </w:tc>
        <w:tc>
          <w:tcPr>
            <w:tcW w:w="3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4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First</w:t>
            </w:r>
          </w:p>
        </w:tc>
        <w:tc>
          <w:tcPr>
            <w:tcW w:w="40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b w:val="1"/>
                <w:bCs w:val="1"/>
                <w:color w:val="auto"/>
              </w:rPr>
              <w:t>$</w:t>
            </w:r>
          </w:p>
        </w:tc>
        <w:tc>
          <w:tcPr>
            <w:tcW w:w="72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b w:val="1"/>
                <w:bCs w:val="1"/>
                <w:color w:val="auto"/>
                <w:w w:val="97"/>
              </w:rPr>
              <w:t>43.330</w:t>
            </w: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7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b w:val="1"/>
                <w:bCs w:val="1"/>
                <w:color w:val="auto"/>
                <w:w w:val="93"/>
              </w:rPr>
              <w:t>35.620</w:t>
            </w:r>
          </w:p>
        </w:tc>
        <w:tc>
          <w:tcPr>
            <w:tcW w:w="42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b w:val="1"/>
                <w:bCs w:val="1"/>
                <w:color w:val="auto"/>
              </w:rPr>
              <w:t>$</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97"/>
              </w:rPr>
              <w:t>0.1875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40" w:type="dxa"/>
            <w:vAlign w:val="bottom"/>
          </w:tcPr>
          <w:p>
            <w:pPr>
              <w:ind w:left="320"/>
              <w:spacing w:after="0" w:line="149" w:lineRule="exact"/>
              <w:rPr>
                <w:sz w:val="20"/>
                <w:szCs w:val="20"/>
                <w:color w:val="auto"/>
              </w:rPr>
            </w:pPr>
            <w:r>
              <w:rPr>
                <w:rFonts w:ascii="Arial" w:cs="Arial" w:eastAsia="Arial" w:hAnsi="Arial"/>
                <w:sz w:val="14"/>
                <w:szCs w:val="14"/>
                <w:color w:val="auto"/>
              </w:rPr>
              <w:t>Second</w:t>
            </w:r>
          </w:p>
        </w:tc>
        <w:tc>
          <w:tcPr>
            <w:tcW w:w="3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jc w:val="right"/>
              <w:ind w:right="212"/>
              <w:spacing w:after="0" w:line="149" w:lineRule="exact"/>
              <w:rPr>
                <w:sz w:val="20"/>
                <w:szCs w:val="20"/>
                <w:color w:val="auto"/>
              </w:rPr>
            </w:pPr>
            <w:r>
              <w:rPr>
                <w:rFonts w:ascii="Arial" w:cs="Arial" w:eastAsia="Arial" w:hAnsi="Arial"/>
                <w:sz w:val="14"/>
                <w:szCs w:val="14"/>
                <w:b w:val="1"/>
                <w:bCs w:val="1"/>
                <w:color w:val="auto"/>
                <w:w w:val="97"/>
              </w:rPr>
              <w:t>50.150</w:t>
            </w:r>
          </w:p>
        </w:tc>
        <w:tc>
          <w:tcPr>
            <w:tcW w:w="420" w:type="dxa"/>
            <w:vAlign w:val="bottom"/>
          </w:tcPr>
          <w:p>
            <w:pPr>
              <w:spacing w:after="0"/>
              <w:rPr>
                <w:sz w:val="12"/>
                <w:szCs w:val="12"/>
                <w:color w:val="auto"/>
              </w:rPr>
            </w:pPr>
          </w:p>
        </w:tc>
        <w:tc>
          <w:tcPr>
            <w:tcW w:w="700" w:type="dxa"/>
            <w:vAlign w:val="bottom"/>
            <w:gridSpan w:val="2"/>
          </w:tcPr>
          <w:p>
            <w:pPr>
              <w:jc w:val="right"/>
              <w:ind w:right="280"/>
              <w:spacing w:after="0" w:line="149" w:lineRule="exact"/>
              <w:rPr>
                <w:sz w:val="20"/>
                <w:szCs w:val="20"/>
                <w:color w:val="auto"/>
              </w:rPr>
            </w:pPr>
            <w:r>
              <w:rPr>
                <w:rFonts w:ascii="Arial" w:cs="Arial" w:eastAsia="Arial" w:hAnsi="Arial"/>
                <w:sz w:val="14"/>
                <w:szCs w:val="14"/>
                <w:b w:val="1"/>
                <w:bCs w:val="1"/>
                <w:color w:val="auto"/>
                <w:w w:val="93"/>
              </w:rPr>
              <w:t>36.080</w:t>
            </w:r>
          </w:p>
        </w:tc>
        <w:tc>
          <w:tcPr>
            <w:tcW w:w="42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7"/>
              </w:rPr>
              <w:t>0.1875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4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Third</w:t>
            </w:r>
          </w:p>
        </w:tc>
        <w:tc>
          <w:tcPr>
            <w:tcW w:w="39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b w:val="1"/>
                <w:bCs w:val="1"/>
                <w:color w:val="auto"/>
                <w:w w:val="97"/>
              </w:rPr>
              <w:t>52.100</w:t>
            </w:r>
          </w:p>
        </w:tc>
        <w:tc>
          <w:tcPr>
            <w:tcW w:w="4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b w:val="1"/>
                <w:bCs w:val="1"/>
                <w:color w:val="auto"/>
                <w:w w:val="93"/>
              </w:rPr>
              <w:t>44.500</w:t>
            </w:r>
          </w:p>
        </w:tc>
        <w:tc>
          <w:tcPr>
            <w:tcW w:w="42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97"/>
              </w:rPr>
              <w:t>0.1875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640" w:type="dxa"/>
            <w:vAlign w:val="bottom"/>
          </w:tcPr>
          <w:p>
            <w:pPr>
              <w:ind w:left="320"/>
              <w:spacing w:after="0"/>
              <w:rPr>
                <w:sz w:val="20"/>
                <w:szCs w:val="20"/>
                <w:color w:val="auto"/>
              </w:rPr>
            </w:pPr>
            <w:r>
              <w:rPr>
                <w:rFonts w:ascii="Arial" w:cs="Arial" w:eastAsia="Arial" w:hAnsi="Arial"/>
                <w:sz w:val="14"/>
                <w:szCs w:val="14"/>
                <w:color w:val="auto"/>
              </w:rPr>
              <w:t>Fourth</w:t>
            </w:r>
          </w:p>
        </w:tc>
        <w:tc>
          <w:tcPr>
            <w:tcW w:w="3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jc w:val="right"/>
              <w:ind w:right="212"/>
              <w:spacing w:after="0"/>
              <w:rPr>
                <w:sz w:val="20"/>
                <w:szCs w:val="20"/>
                <w:color w:val="auto"/>
              </w:rPr>
            </w:pPr>
            <w:r>
              <w:rPr>
                <w:rFonts w:ascii="Arial" w:cs="Arial" w:eastAsia="Arial" w:hAnsi="Arial"/>
                <w:sz w:val="14"/>
                <w:szCs w:val="14"/>
                <w:b w:val="1"/>
                <w:bCs w:val="1"/>
                <w:color w:val="auto"/>
                <w:w w:val="97"/>
              </w:rPr>
              <w:t>56.240</w:t>
            </w:r>
          </w:p>
        </w:tc>
        <w:tc>
          <w:tcPr>
            <w:tcW w:w="420" w:type="dxa"/>
            <w:vAlign w:val="bottom"/>
          </w:tcPr>
          <w:p>
            <w:pPr>
              <w:spacing w:after="0"/>
              <w:rPr>
                <w:sz w:val="15"/>
                <w:szCs w:val="15"/>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3"/>
              </w:rPr>
              <w:t>45.460</w:t>
            </w:r>
          </w:p>
        </w:tc>
        <w:tc>
          <w:tcPr>
            <w:tcW w:w="42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4"/>
                <w:szCs w:val="14"/>
                <w:b w:val="1"/>
                <w:bCs w:val="1"/>
                <w:color w:val="auto"/>
                <w:w w:val="97"/>
              </w:rPr>
              <w:t>0.1875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2"/>
        </w:trPr>
        <w:tc>
          <w:tcPr>
            <w:tcW w:w="20" w:type="dxa"/>
            <w:vAlign w:val="bottom"/>
            <w:vMerge w:val="restart"/>
          </w:tcPr>
          <w:p>
            <w:pPr>
              <w:spacing w:after="0"/>
              <w:rPr>
                <w:sz w:val="7"/>
                <w:szCs w:val="7"/>
                <w:color w:val="auto"/>
              </w:rPr>
            </w:pPr>
          </w:p>
        </w:tc>
        <w:tc>
          <w:tcPr>
            <w:tcW w:w="4640" w:type="dxa"/>
            <w:vAlign w:val="bottom"/>
          </w:tcPr>
          <w:p>
            <w:pPr>
              <w:spacing w:after="0"/>
              <w:rPr>
                <w:sz w:val="7"/>
                <w:szCs w:val="7"/>
                <w:color w:val="auto"/>
              </w:rPr>
            </w:pPr>
          </w:p>
        </w:tc>
        <w:tc>
          <w:tcPr>
            <w:tcW w:w="3920" w:type="dxa"/>
            <w:vAlign w:val="bottom"/>
          </w:tcPr>
          <w:p>
            <w:pPr>
              <w:spacing w:after="0"/>
              <w:rPr>
                <w:sz w:val="7"/>
                <w:szCs w:val="7"/>
                <w:color w:val="auto"/>
              </w:rPr>
            </w:pPr>
          </w:p>
        </w:tc>
        <w:tc>
          <w:tcPr>
            <w:tcW w:w="140" w:type="dxa"/>
            <w:vAlign w:val="bottom"/>
          </w:tcPr>
          <w:p>
            <w:pPr>
              <w:spacing w:after="0"/>
              <w:rPr>
                <w:sz w:val="7"/>
                <w:szCs w:val="7"/>
                <w:color w:val="auto"/>
              </w:rPr>
            </w:pPr>
          </w:p>
        </w:tc>
        <w:tc>
          <w:tcPr>
            <w:tcW w:w="7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280" w:type="dxa"/>
            <w:vAlign w:val="bottom"/>
          </w:tcPr>
          <w:p>
            <w:pPr>
              <w:spacing w:after="0"/>
              <w:rPr>
                <w:sz w:val="7"/>
                <w:szCs w:val="7"/>
                <w:color w:val="auto"/>
              </w:rPr>
            </w:pPr>
          </w:p>
        </w:tc>
        <w:tc>
          <w:tcPr>
            <w:tcW w:w="4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6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2002</w:t>
            </w:r>
          </w:p>
        </w:tc>
        <w:tc>
          <w:tcPr>
            <w:tcW w:w="39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40" w:type="dxa"/>
            <w:vAlign w:val="bottom"/>
          </w:tcPr>
          <w:p>
            <w:pPr>
              <w:spacing w:after="0" w:line="149" w:lineRule="exact"/>
              <w:rPr>
                <w:sz w:val="20"/>
                <w:szCs w:val="20"/>
                <w:color w:val="auto"/>
              </w:rPr>
            </w:pPr>
            <w:r>
              <w:rPr>
                <w:rFonts w:ascii="Arial" w:cs="Arial" w:eastAsia="Arial" w:hAnsi="Arial"/>
                <w:sz w:val="14"/>
                <w:szCs w:val="14"/>
                <w:color w:val="auto"/>
              </w:rPr>
              <w:t>QUARTERS</w:t>
            </w:r>
          </w:p>
        </w:tc>
        <w:tc>
          <w:tcPr>
            <w:tcW w:w="3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4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First</w:t>
            </w:r>
          </w:p>
        </w:tc>
        <w:tc>
          <w:tcPr>
            <w:tcW w:w="40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w w:val="97"/>
              </w:rPr>
              <w:t>62.430</w:t>
            </w: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w w:val="93"/>
              </w:rPr>
              <w:t>49.150</w:t>
            </w:r>
          </w:p>
        </w:tc>
        <w:tc>
          <w:tcPr>
            <w:tcW w:w="42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0.1875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40" w:type="dxa"/>
            <w:vAlign w:val="bottom"/>
          </w:tcPr>
          <w:p>
            <w:pPr>
              <w:ind w:left="320"/>
              <w:spacing w:after="0" w:line="149" w:lineRule="exact"/>
              <w:rPr>
                <w:sz w:val="20"/>
                <w:szCs w:val="20"/>
                <w:color w:val="auto"/>
              </w:rPr>
            </w:pPr>
            <w:r>
              <w:rPr>
                <w:rFonts w:ascii="Arial" w:cs="Arial" w:eastAsia="Arial" w:hAnsi="Arial"/>
                <w:sz w:val="14"/>
                <w:szCs w:val="14"/>
                <w:color w:val="auto"/>
              </w:rPr>
              <w:t>Second</w:t>
            </w:r>
          </w:p>
        </w:tc>
        <w:tc>
          <w:tcPr>
            <w:tcW w:w="3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jc w:val="right"/>
              <w:ind w:right="212"/>
              <w:spacing w:after="0" w:line="149" w:lineRule="exact"/>
              <w:rPr>
                <w:sz w:val="20"/>
                <w:szCs w:val="20"/>
                <w:color w:val="auto"/>
              </w:rPr>
            </w:pPr>
            <w:r>
              <w:rPr>
                <w:rFonts w:ascii="Arial" w:cs="Arial" w:eastAsia="Arial" w:hAnsi="Arial"/>
                <w:sz w:val="14"/>
                <w:szCs w:val="14"/>
                <w:color w:val="auto"/>
                <w:w w:val="97"/>
              </w:rPr>
              <w:t>59.890</w:t>
            </w:r>
          </w:p>
        </w:tc>
        <w:tc>
          <w:tcPr>
            <w:tcW w:w="420" w:type="dxa"/>
            <w:vAlign w:val="bottom"/>
          </w:tcPr>
          <w:p>
            <w:pPr>
              <w:spacing w:after="0"/>
              <w:rPr>
                <w:sz w:val="12"/>
                <w:szCs w:val="12"/>
                <w:color w:val="auto"/>
              </w:rPr>
            </w:pPr>
          </w:p>
        </w:tc>
        <w:tc>
          <w:tcPr>
            <w:tcW w:w="7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w w:val="93"/>
              </w:rPr>
              <w:t>46.300</w:t>
            </w:r>
          </w:p>
        </w:tc>
        <w:tc>
          <w:tcPr>
            <w:tcW w:w="42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w w:val="97"/>
              </w:rPr>
              <w:t>0.1875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4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Third</w:t>
            </w:r>
          </w:p>
        </w:tc>
        <w:tc>
          <w:tcPr>
            <w:tcW w:w="39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w w:val="97"/>
              </w:rPr>
              <w:t>47.400</w:t>
            </w:r>
          </w:p>
        </w:tc>
        <w:tc>
          <w:tcPr>
            <w:tcW w:w="4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w w:val="93"/>
              </w:rPr>
              <w:t>35.870</w:t>
            </w:r>
          </w:p>
        </w:tc>
        <w:tc>
          <w:tcPr>
            <w:tcW w:w="42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0.1875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640" w:type="dxa"/>
            <w:vAlign w:val="bottom"/>
          </w:tcPr>
          <w:p>
            <w:pPr>
              <w:ind w:left="320"/>
              <w:spacing w:after="0"/>
              <w:rPr>
                <w:sz w:val="20"/>
                <w:szCs w:val="20"/>
                <w:color w:val="auto"/>
              </w:rPr>
            </w:pPr>
            <w:r>
              <w:rPr>
                <w:rFonts w:ascii="Arial" w:cs="Arial" w:eastAsia="Arial" w:hAnsi="Arial"/>
                <w:sz w:val="14"/>
                <w:szCs w:val="14"/>
                <w:color w:val="auto"/>
              </w:rPr>
              <w:t>Fourth</w:t>
            </w:r>
          </w:p>
        </w:tc>
        <w:tc>
          <w:tcPr>
            <w:tcW w:w="3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right"/>
              <w:ind w:right="212"/>
              <w:spacing w:after="0"/>
              <w:rPr>
                <w:sz w:val="20"/>
                <w:szCs w:val="20"/>
                <w:color w:val="auto"/>
              </w:rPr>
            </w:pPr>
            <w:r>
              <w:rPr>
                <w:rFonts w:ascii="Arial" w:cs="Arial" w:eastAsia="Arial" w:hAnsi="Arial"/>
                <w:sz w:val="14"/>
                <w:szCs w:val="14"/>
                <w:color w:val="auto"/>
                <w:w w:val="97"/>
              </w:rPr>
              <w:t>46.850</w:t>
            </w:r>
          </w:p>
        </w:tc>
        <w:tc>
          <w:tcPr>
            <w:tcW w:w="420" w:type="dxa"/>
            <w:vAlign w:val="bottom"/>
          </w:tcPr>
          <w:p>
            <w:pPr>
              <w:spacing w:after="0"/>
              <w:rPr>
                <w:sz w:val="14"/>
                <w:szCs w:val="14"/>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4"/>
                <w:szCs w:val="14"/>
                <w:color w:val="auto"/>
                <w:w w:val="93"/>
              </w:rPr>
              <w:t>33.400</w:t>
            </w:r>
          </w:p>
        </w:tc>
        <w:tc>
          <w:tcPr>
            <w:tcW w:w="42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w w:val="97"/>
              </w:rPr>
              <w:t>0.1875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35" w:lineRule="exact"/>
        <w:rPr>
          <w:sz w:val="20"/>
          <w:szCs w:val="20"/>
          <w:color w:val="auto"/>
        </w:rPr>
      </w:pPr>
    </w:p>
    <w:p>
      <w:pPr>
        <w:ind w:right="420" w:firstLine="228"/>
        <w:spacing w:after="0" w:line="306" w:lineRule="auto"/>
        <w:rPr>
          <w:sz w:val="20"/>
          <w:szCs w:val="20"/>
          <w:color w:val="auto"/>
        </w:rPr>
      </w:pPr>
      <w:r>
        <w:rPr>
          <w:rFonts w:ascii="Arial" w:cs="Arial" w:eastAsia="Arial" w:hAnsi="Arial"/>
          <w:sz w:val="16"/>
          <w:szCs w:val="16"/>
          <w:color w:val="auto"/>
        </w:rPr>
        <w:t>The number of holders of record of Schlumberger common stock at December 31, 2003, was approximately 24,770. There are no legal restrictions on the payment of dividends or ownership or voting of such shares, except as to shares held in the Schlumberger Treasury. US stockholders are not subject to any Netherlands Antilles withholding or other Netherlands Antilles taxes attributable to ownership of such shares.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Environmental Matters</w:t>
      </w:r>
    </w:p>
    <w:p>
      <w:pPr>
        <w:spacing w:after="0" w:line="72" w:lineRule="exact"/>
        <w:rPr>
          <w:sz w:val="20"/>
          <w:szCs w:val="20"/>
          <w:color w:val="auto"/>
        </w:rPr>
      </w:pPr>
    </w:p>
    <w:p>
      <w:pPr>
        <w:ind w:right="40" w:firstLine="228"/>
        <w:spacing w:after="0" w:line="318" w:lineRule="auto"/>
        <w:rPr>
          <w:sz w:val="20"/>
          <w:szCs w:val="20"/>
          <w:color w:val="auto"/>
        </w:rPr>
      </w:pPr>
      <w:r>
        <w:rPr>
          <w:rFonts w:ascii="Arial" w:cs="Arial" w:eastAsia="Arial" w:hAnsi="Arial"/>
          <w:sz w:val="15"/>
          <w:szCs w:val="15"/>
          <w:color w:val="auto"/>
        </w:rPr>
        <w:t>The Consolidated Balance Sheet includes accruals for the estimated future costs associated with certain environmental remediation activities related to the past use or disposal of hazardous materials. Substantially all such costs relate to divested operations and to facilities or locations that are no longer in operation. Due to a number of uncertainties, including uncertainty of timing, the scope of remediation, future technology, regulatory changes, the risk of personal injury, natural resource or property damage claims and other factors, it is possible that the ultimate remediation costs may exceed the amounts estimated. However, in the opinion of management, such additional costs are not expected to be material relative to consolidated liquidity, financial position or future results of operations.</w:t>
      </w:r>
    </w:p>
    <w:p>
      <w:pPr>
        <w:spacing w:after="0" w:line="84" w:lineRule="exact"/>
        <w:rPr>
          <w:sz w:val="20"/>
          <w:szCs w:val="20"/>
          <w:color w:val="auto"/>
        </w:rPr>
      </w:pPr>
    </w:p>
    <w:p>
      <w:pPr>
        <w:spacing w:after="0"/>
        <w:tabs>
          <w:tab w:leader="none" w:pos="10400" w:val="left"/>
        </w:tabs>
        <w:rPr>
          <w:sz w:val="20"/>
          <w:szCs w:val="20"/>
          <w:color w:val="auto"/>
        </w:rPr>
      </w:pPr>
      <w:r>
        <w:rPr>
          <w:rFonts w:ascii="Arial" w:cs="Arial" w:eastAsia="Arial" w:hAnsi="Arial"/>
          <w:sz w:val="14"/>
          <w:szCs w:val="14"/>
          <w:color w:val="auto"/>
        </w:rPr>
        <w:t>32 / SLB</w:t>
      </w:r>
      <w:r>
        <w:rPr>
          <w:sz w:val="20"/>
          <w:szCs w:val="20"/>
          <w:color w:val="auto"/>
        </w:rPr>
        <w:tab/>
      </w:r>
      <w:r>
        <w:rPr>
          <w:rFonts w:ascii="Arial" w:cs="Arial" w:eastAsia="Arial" w:hAnsi="Arial"/>
          <w:sz w:val="12"/>
          <w:szCs w:val="12"/>
          <w:color w:val="auto"/>
        </w:rPr>
        <w:t>2003 FORM 10-K</w:t>
      </w:r>
    </w:p>
    <w:p>
      <w:pPr>
        <w:sectPr>
          <w:pgSz w:w="11900" w:h="16838" w:orient="portrait"/>
          <w:cols w:equalWidth="0" w:num="1">
            <w:col w:w="11440"/>
          </w:cols>
          <w:pgMar w:left="240" w:top="459" w:right="21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4"/>
          <w:szCs w:val="14"/>
          <w:color w:val="auto"/>
        </w:rPr>
        <w:t>Part II, Item 7</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Accounting Standards</w:t>
      </w:r>
    </w:p>
    <w:p>
      <w:pPr>
        <w:spacing w:after="0" w:line="72" w:lineRule="exact"/>
        <w:rPr>
          <w:sz w:val="20"/>
          <w:szCs w:val="20"/>
          <w:color w:val="auto"/>
        </w:rPr>
      </w:pPr>
    </w:p>
    <w:p>
      <w:pPr>
        <w:spacing w:after="0"/>
        <w:rPr>
          <w:sz w:val="20"/>
          <w:szCs w:val="20"/>
          <w:color w:val="auto"/>
        </w:rPr>
      </w:pPr>
      <w:r>
        <w:rPr>
          <w:rFonts w:ascii="Arial" w:cs="Arial" w:eastAsia="Arial" w:hAnsi="Arial"/>
          <w:sz w:val="16"/>
          <w:szCs w:val="16"/>
          <w:color w:val="auto"/>
        </w:rPr>
        <w:t>In July 2002, the Financial Accounting Standards Board issued SFAS 146 (</w:t>
      </w:r>
      <w:r>
        <w:rPr>
          <w:rFonts w:ascii="Arial" w:cs="Arial" w:eastAsia="Arial" w:hAnsi="Arial"/>
          <w:sz w:val="16"/>
          <w:szCs w:val="16"/>
          <w:i w:val="1"/>
          <w:iCs w:val="1"/>
          <w:color w:val="auto"/>
        </w:rPr>
        <w:t>Accounting for Costs Associated with Exit or Disposal Activities</w:t>
      </w:r>
      <w:r>
        <w:rPr>
          <w:rFonts w:ascii="Arial" w:cs="Arial" w:eastAsia="Arial" w:hAnsi="Arial"/>
          <w:sz w:val="16"/>
          <w:szCs w:val="16"/>
          <w:color w:val="auto"/>
        </w:rPr>
        <w:t>). The standard</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required companies to recognize costs associated with exit or disposal activities when they are incurred rather than at the date of a commitment to an exit 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disposal plan. Examples of costs covered by the standard include lease termination costs and certain employee severance costs that are associated with 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restructuring, discontinued operation, plant closing, or other exit or disposal activity. Previous accounting guidance was provided by EITF Issue No. 94-3,</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Liability Recognition for Certain Employee Termination Benefits and Other Costs to Exit an Activity [including Certain Costs Incurred in a Restructuring])</w:t>
      </w:r>
      <w:r>
        <w:rPr>
          <w:rFonts w:ascii="Arial" w:cs="Arial" w:eastAsia="Arial" w:hAnsi="Arial"/>
          <w:sz w:val="16"/>
          <w:szCs w:val="16"/>
          <w:color w:val="auto"/>
        </w:rPr>
        <w: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SFAS 146 replaced Issue 94-3. Schlumberger adopted SFAS 146 prospectively to exit or disposal activities initiated after December 31, 2002.</w:t>
      </w:r>
    </w:p>
    <w:p>
      <w:pPr>
        <w:spacing w:after="0" w:line="9" w:lineRule="exact"/>
        <w:rPr>
          <w:sz w:val="20"/>
          <w:szCs w:val="20"/>
          <w:color w:val="auto"/>
        </w:rPr>
      </w:pPr>
    </w:p>
    <w:p>
      <w:pPr>
        <w:jc w:val="both"/>
        <w:ind w:right="400" w:firstLine="228"/>
        <w:spacing w:after="0" w:line="250" w:lineRule="auto"/>
        <w:rPr>
          <w:sz w:val="20"/>
          <w:szCs w:val="20"/>
          <w:color w:val="auto"/>
        </w:rPr>
      </w:pPr>
      <w:r>
        <w:rPr>
          <w:rFonts w:ascii="Arial" w:cs="Arial" w:eastAsia="Arial" w:hAnsi="Arial"/>
          <w:sz w:val="18"/>
          <w:szCs w:val="18"/>
          <w:color w:val="auto"/>
        </w:rPr>
        <w:t>In November 2002, FASB Interpretation No. 45 (</w:t>
      </w:r>
      <w:r>
        <w:rPr>
          <w:rFonts w:ascii="Arial" w:cs="Arial" w:eastAsia="Arial" w:hAnsi="Arial"/>
          <w:sz w:val="18"/>
          <w:szCs w:val="18"/>
          <w:i w:val="1"/>
          <w:iCs w:val="1"/>
          <w:color w:val="auto"/>
        </w:rPr>
        <w:t>Guarantor’s Accounting and Disclosure Requirements for Guarantees, Including Indirect Guarantees of</w:t>
      </w:r>
      <w:r>
        <w:rPr>
          <w:rFonts w:ascii="Arial" w:cs="Arial" w:eastAsia="Arial" w:hAnsi="Arial"/>
          <w:sz w:val="18"/>
          <w:szCs w:val="18"/>
          <w:color w:val="auto"/>
        </w:rPr>
        <w:t xml:space="preserve"> </w:t>
      </w:r>
      <w:r>
        <w:rPr>
          <w:rFonts w:ascii="Arial" w:cs="Arial" w:eastAsia="Arial" w:hAnsi="Arial"/>
          <w:sz w:val="18"/>
          <w:szCs w:val="18"/>
          <w:i w:val="1"/>
          <w:iCs w:val="1"/>
          <w:color w:val="auto"/>
        </w:rPr>
        <w:t>Indebtedness of Others</w:t>
      </w:r>
      <w:r>
        <w:rPr>
          <w:rFonts w:ascii="Arial" w:cs="Arial" w:eastAsia="Arial" w:hAnsi="Arial"/>
          <w:sz w:val="18"/>
          <w:szCs w:val="18"/>
          <w:color w:val="auto"/>
        </w:rPr>
        <w:t>) was issued. It requires certain accounting and disclosures of guarantees to third parties including indebtedness. The interpretation is</w:t>
      </w:r>
      <w:r>
        <w:rPr>
          <w:rFonts w:ascii="Arial" w:cs="Arial" w:eastAsia="Arial" w:hAnsi="Arial"/>
          <w:sz w:val="18"/>
          <w:szCs w:val="18"/>
          <w:i w:val="1"/>
          <w:iCs w:val="1"/>
          <w:color w:val="auto"/>
        </w:rPr>
        <w:t xml:space="preserve"> </w:t>
      </w:r>
      <w:r>
        <w:rPr>
          <w:rFonts w:ascii="Arial" w:cs="Arial" w:eastAsia="Arial" w:hAnsi="Arial"/>
          <w:sz w:val="18"/>
          <w:szCs w:val="18"/>
          <w:color w:val="auto"/>
        </w:rPr>
        <w:t>effective on a prospective basis for guarantees issued or modified after December 31, 2002. The implementation of this interpretation did not have a material effect on Schlumberger’s financial position or results of operations.</w:t>
      </w:r>
    </w:p>
    <w:p>
      <w:pPr>
        <w:spacing w:after="0" w:line="2" w:lineRule="exact"/>
        <w:rPr>
          <w:sz w:val="20"/>
          <w:szCs w:val="20"/>
          <w:color w:val="auto"/>
        </w:rPr>
      </w:pPr>
    </w:p>
    <w:p>
      <w:pPr>
        <w:ind w:right="260" w:firstLine="228"/>
        <w:spacing w:after="0" w:line="281" w:lineRule="auto"/>
        <w:rPr>
          <w:sz w:val="20"/>
          <w:szCs w:val="20"/>
          <w:color w:val="auto"/>
        </w:rPr>
      </w:pPr>
      <w:r>
        <w:rPr>
          <w:rFonts w:ascii="Arial" w:cs="Arial" w:eastAsia="Arial" w:hAnsi="Arial"/>
          <w:sz w:val="16"/>
          <w:szCs w:val="16"/>
          <w:color w:val="auto"/>
        </w:rPr>
        <w:t>In January 2003, the Emerging Issues Task Force (EITF) issued No. 00-21 (</w:t>
      </w:r>
      <w:r>
        <w:rPr>
          <w:rFonts w:ascii="Arial" w:cs="Arial" w:eastAsia="Arial" w:hAnsi="Arial"/>
          <w:sz w:val="16"/>
          <w:szCs w:val="16"/>
          <w:i w:val="1"/>
          <w:iCs w:val="1"/>
          <w:color w:val="auto"/>
        </w:rPr>
        <w:t>Accounting for Revenue Arrangements with Multiple Deliverables</w:t>
      </w:r>
      <w:r>
        <w:rPr>
          <w:rFonts w:ascii="Arial" w:cs="Arial" w:eastAsia="Arial" w:hAnsi="Arial"/>
          <w:sz w:val="16"/>
          <w:szCs w:val="16"/>
          <w:color w:val="auto"/>
        </w:rPr>
        <w:t>). This EITF establishes the criteria for recognizing revenue in arrangements when several deliverables are bundled into one agreement. EITF 00-21 does not allow revenue recognition unless the fair value of the undelivered element(s) is available and the element has stand-alone value to the customer. EITF 00-21 also provides guidance on allocating the total contract revenue to the individual elements based upon the available fair value of each deliverable. The implementation of this pronouncement did not have a material impact on Schlumberger’s financial position or results of operations.</w:t>
      </w:r>
    </w:p>
    <w:p>
      <w:pPr>
        <w:spacing w:after="0" w:line="3" w:lineRule="exact"/>
        <w:rPr>
          <w:sz w:val="20"/>
          <w:szCs w:val="20"/>
          <w:color w:val="auto"/>
        </w:rPr>
      </w:pPr>
    </w:p>
    <w:p>
      <w:pPr>
        <w:ind w:right="100" w:firstLine="228"/>
        <w:spacing w:after="0" w:line="281" w:lineRule="auto"/>
        <w:rPr>
          <w:sz w:val="20"/>
          <w:szCs w:val="20"/>
          <w:color w:val="auto"/>
        </w:rPr>
      </w:pPr>
      <w:r>
        <w:rPr>
          <w:rFonts w:ascii="Arial" w:cs="Arial" w:eastAsia="Arial" w:hAnsi="Arial"/>
          <w:sz w:val="16"/>
          <w:szCs w:val="16"/>
          <w:color w:val="auto"/>
        </w:rPr>
        <w:t>In January 2003, the Financial Accounting Standards Board issued FASB Interpretation No. 46, (</w:t>
      </w:r>
      <w:r>
        <w:rPr>
          <w:rFonts w:ascii="Arial" w:cs="Arial" w:eastAsia="Arial" w:hAnsi="Arial"/>
          <w:sz w:val="16"/>
          <w:szCs w:val="16"/>
          <w:i w:val="1"/>
          <w:iCs w:val="1"/>
          <w:color w:val="auto"/>
        </w:rPr>
        <w:t>Consolidation of Variable Interest Entities, an Interpretation</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of ARB No. 51). </w:t>
      </w:r>
      <w:r>
        <w:rPr>
          <w:rFonts w:ascii="Arial" w:cs="Arial" w:eastAsia="Arial" w:hAnsi="Arial"/>
          <w:sz w:val="16"/>
          <w:szCs w:val="16"/>
          <w:color w:val="auto"/>
        </w:rPr>
        <w:t>The primary objective of the interpretation is to provide guidance on the identification of, and financial reporting for entities over which control</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is achieved through means other than voting rights; such entities are known as variable-interest entities (VIE’s). FIN 46 provides guidance that determines (1) whether consolidation is required under the “controlling financial interest” model of Accounting Research Bulletin No. 51 (ARB 51), </w:t>
      </w:r>
      <w:r>
        <w:rPr>
          <w:rFonts w:ascii="Arial" w:cs="Arial" w:eastAsia="Arial" w:hAnsi="Arial"/>
          <w:sz w:val="16"/>
          <w:szCs w:val="16"/>
          <w:i w:val="1"/>
          <w:iCs w:val="1"/>
          <w:color w:val="auto"/>
        </w:rPr>
        <w:t>Consolidated Financial</w:t>
      </w:r>
      <w:r>
        <w:rPr>
          <w:rFonts w:ascii="Arial" w:cs="Arial" w:eastAsia="Arial" w:hAnsi="Arial"/>
          <w:sz w:val="16"/>
          <w:szCs w:val="16"/>
          <w:color w:val="auto"/>
        </w:rPr>
        <w:t xml:space="preserve"> </w:t>
      </w:r>
      <w:r>
        <w:rPr>
          <w:rFonts w:ascii="Arial" w:cs="Arial" w:eastAsia="Arial" w:hAnsi="Arial"/>
          <w:sz w:val="16"/>
          <w:szCs w:val="16"/>
          <w:i w:val="1"/>
          <w:iCs w:val="1"/>
          <w:color w:val="auto"/>
        </w:rPr>
        <w:t>Statements</w:t>
      </w:r>
      <w:r>
        <w:rPr>
          <w:rFonts w:ascii="Arial" w:cs="Arial" w:eastAsia="Arial" w:hAnsi="Arial"/>
          <w:sz w:val="16"/>
          <w:szCs w:val="16"/>
          <w:color w:val="auto"/>
        </w:rPr>
        <w:t>, or other existing authoritative guidance, or, alternative, (2) whether the variable-interest model under FIN 46 should be used to account for existing</w:t>
      </w:r>
      <w:r>
        <w:rPr>
          <w:rFonts w:ascii="Arial" w:cs="Arial" w:eastAsia="Arial" w:hAnsi="Arial"/>
          <w:sz w:val="16"/>
          <w:szCs w:val="16"/>
          <w:i w:val="1"/>
          <w:iCs w:val="1"/>
          <w:color w:val="auto"/>
        </w:rPr>
        <w:t xml:space="preserve"> </w:t>
      </w:r>
      <w:r>
        <w:rPr>
          <w:rFonts w:ascii="Arial" w:cs="Arial" w:eastAsia="Arial" w:hAnsi="Arial"/>
          <w:sz w:val="16"/>
          <w:szCs w:val="16"/>
          <w:color w:val="auto"/>
        </w:rPr>
        <w:t>and new entities. Schlumberger does not believe that the adoption of this statement will have a material effect on the financial position or results of operations.</w:t>
      </w:r>
    </w:p>
    <w:p>
      <w:pPr>
        <w:spacing w:after="0" w:line="4" w:lineRule="exact"/>
        <w:rPr>
          <w:sz w:val="20"/>
          <w:szCs w:val="20"/>
          <w:color w:val="auto"/>
        </w:rPr>
      </w:pPr>
    </w:p>
    <w:p>
      <w:pPr>
        <w:ind w:right="20" w:firstLine="228"/>
        <w:spacing w:after="0" w:line="281" w:lineRule="auto"/>
        <w:rPr>
          <w:sz w:val="20"/>
          <w:szCs w:val="20"/>
          <w:color w:val="auto"/>
        </w:rPr>
      </w:pPr>
      <w:r>
        <w:rPr>
          <w:rFonts w:ascii="Arial" w:cs="Arial" w:eastAsia="Arial" w:hAnsi="Arial"/>
          <w:sz w:val="16"/>
          <w:szCs w:val="16"/>
          <w:color w:val="auto"/>
        </w:rPr>
        <w:t>In April 2003, the Financial Accounting Standards Board issued SFAS No. 149 (</w:t>
      </w:r>
      <w:r>
        <w:rPr>
          <w:rFonts w:ascii="Arial" w:cs="Arial" w:eastAsia="Arial" w:hAnsi="Arial"/>
          <w:sz w:val="16"/>
          <w:szCs w:val="16"/>
          <w:i w:val="1"/>
          <w:iCs w:val="1"/>
          <w:color w:val="auto"/>
        </w:rPr>
        <w:t>Amendment of Statement 133 on Derivative Instruments and Hedging</w:t>
      </w:r>
      <w:r>
        <w:rPr>
          <w:rFonts w:ascii="Arial" w:cs="Arial" w:eastAsia="Arial" w:hAnsi="Arial"/>
          <w:sz w:val="16"/>
          <w:szCs w:val="16"/>
          <w:color w:val="auto"/>
        </w:rPr>
        <w:t xml:space="preserve"> </w:t>
      </w:r>
      <w:r>
        <w:rPr>
          <w:rFonts w:ascii="Arial" w:cs="Arial" w:eastAsia="Arial" w:hAnsi="Arial"/>
          <w:sz w:val="16"/>
          <w:szCs w:val="16"/>
          <w:i w:val="1"/>
          <w:iCs w:val="1"/>
          <w:color w:val="auto"/>
        </w:rPr>
        <w:t>Activities</w:t>
      </w:r>
      <w:r>
        <w:rPr>
          <w:rFonts w:ascii="Arial" w:cs="Arial" w:eastAsia="Arial" w:hAnsi="Arial"/>
          <w:sz w:val="16"/>
          <w:szCs w:val="16"/>
          <w:color w:val="auto"/>
        </w:rPr>
        <w:t>) which amends and clarifies financial accounting and reporting for derivative instruments, including certain derivative instruments embedded in other</w:t>
      </w:r>
      <w:r>
        <w:rPr>
          <w:rFonts w:ascii="Arial" w:cs="Arial" w:eastAsia="Arial" w:hAnsi="Arial"/>
          <w:sz w:val="16"/>
          <w:szCs w:val="16"/>
          <w:i w:val="1"/>
          <w:iCs w:val="1"/>
          <w:color w:val="auto"/>
        </w:rPr>
        <w:t xml:space="preserve"> </w:t>
      </w:r>
      <w:r>
        <w:rPr>
          <w:rFonts w:ascii="Arial" w:cs="Arial" w:eastAsia="Arial" w:hAnsi="Arial"/>
          <w:sz w:val="16"/>
          <w:szCs w:val="16"/>
          <w:color w:val="auto"/>
        </w:rPr>
        <w:t>contracts and for hedging activities under SFAS No. 133 (</w:t>
      </w:r>
      <w:r>
        <w:rPr>
          <w:rFonts w:ascii="Arial" w:cs="Arial" w:eastAsia="Arial" w:hAnsi="Arial"/>
          <w:sz w:val="16"/>
          <w:szCs w:val="16"/>
          <w:i w:val="1"/>
          <w:iCs w:val="1"/>
          <w:color w:val="auto"/>
        </w:rPr>
        <w:t>Accounting for Derivative Instruments and Hedging Activities</w:t>
      </w:r>
      <w:r>
        <w:rPr>
          <w:rFonts w:ascii="Arial" w:cs="Arial" w:eastAsia="Arial" w:hAnsi="Arial"/>
          <w:sz w:val="16"/>
          <w:szCs w:val="16"/>
          <w:color w:val="auto"/>
        </w:rPr>
        <w:t>). SFAS 149, which is to be applied prospectively, is effective for contracts entered into or modified after June 30, 2003, and for hedging relationships designated after June 30, 2003. The adoption of this new standard did not have a material impact on Schlumberger’s results of operations or financial position.</w:t>
      </w:r>
    </w:p>
    <w:p>
      <w:pPr>
        <w:spacing w:after="0" w:line="3" w:lineRule="exact"/>
        <w:rPr>
          <w:sz w:val="20"/>
          <w:szCs w:val="20"/>
          <w:color w:val="auto"/>
        </w:rPr>
      </w:pPr>
    </w:p>
    <w:p>
      <w:pPr>
        <w:ind w:right="200" w:firstLine="228"/>
        <w:spacing w:after="0" w:line="281" w:lineRule="auto"/>
        <w:rPr>
          <w:sz w:val="20"/>
          <w:szCs w:val="20"/>
          <w:color w:val="auto"/>
        </w:rPr>
      </w:pPr>
      <w:r>
        <w:rPr>
          <w:rFonts w:ascii="Arial" w:cs="Arial" w:eastAsia="Arial" w:hAnsi="Arial"/>
          <w:sz w:val="16"/>
          <w:szCs w:val="16"/>
          <w:color w:val="auto"/>
        </w:rPr>
        <w:t>In May 2003, the Financial Accounting Standards Board issued SFAS No. 150, (Accounting for Certain Financial Instruments with Characteristics of Both Liabilities and Equity). The Standard specifies that instruments within its scope embody obligations of the issues and therefore, the issuer must classify them as liabilities. The Standard was effective July 1, 2003, and had no material effect on Schlumberger’s financial position.</w:t>
      </w:r>
    </w:p>
    <w:p>
      <w:pPr>
        <w:spacing w:after="0" w:line="2" w:lineRule="exact"/>
        <w:rPr>
          <w:sz w:val="20"/>
          <w:szCs w:val="20"/>
          <w:color w:val="auto"/>
        </w:rPr>
      </w:pPr>
    </w:p>
    <w:p>
      <w:pPr>
        <w:ind w:right="320" w:firstLine="228"/>
        <w:spacing w:after="0" w:line="261" w:lineRule="auto"/>
        <w:rPr>
          <w:sz w:val="20"/>
          <w:szCs w:val="20"/>
          <w:color w:val="auto"/>
        </w:rPr>
      </w:pPr>
      <w:r>
        <w:rPr>
          <w:rFonts w:ascii="Arial" w:cs="Arial" w:eastAsia="Arial" w:hAnsi="Arial"/>
          <w:sz w:val="18"/>
          <w:szCs w:val="18"/>
          <w:color w:val="auto"/>
        </w:rPr>
        <w:t>In January 2004, the Financial Accounting Standards Board issued FSP No. FAS 106-1 (</w:t>
      </w:r>
      <w:r>
        <w:rPr>
          <w:rFonts w:ascii="Arial" w:cs="Arial" w:eastAsia="Arial" w:hAnsi="Arial"/>
          <w:sz w:val="18"/>
          <w:szCs w:val="18"/>
          <w:i w:val="1"/>
          <w:iCs w:val="1"/>
          <w:color w:val="auto"/>
        </w:rPr>
        <w:t>Accounting and Disclosure Requirements Related to the Medicare</w:t>
      </w:r>
      <w:r>
        <w:rPr>
          <w:rFonts w:ascii="Arial" w:cs="Arial" w:eastAsia="Arial" w:hAnsi="Arial"/>
          <w:sz w:val="18"/>
          <w:szCs w:val="18"/>
          <w:color w:val="auto"/>
        </w:rPr>
        <w:t xml:space="preserve"> </w:t>
      </w:r>
      <w:r>
        <w:rPr>
          <w:rFonts w:ascii="Arial" w:cs="Arial" w:eastAsia="Arial" w:hAnsi="Arial"/>
          <w:sz w:val="18"/>
          <w:szCs w:val="18"/>
          <w:i w:val="1"/>
          <w:iCs w:val="1"/>
          <w:color w:val="auto"/>
        </w:rPr>
        <w:t>Prescription Drug Improvement and Modernization Act of</w:t>
      </w:r>
    </w:p>
    <w:p>
      <w:pPr>
        <w:spacing w:after="0" w:line="122" w:lineRule="exact"/>
        <w:rPr>
          <w:sz w:val="20"/>
          <w:szCs w:val="20"/>
          <w:color w:val="auto"/>
        </w:rPr>
      </w:pPr>
    </w:p>
    <w:p>
      <w:pPr>
        <w:spacing w:after="0"/>
        <w:tabs>
          <w:tab w:leader="none" w:pos="10400" w:val="left"/>
        </w:tabs>
        <w:rPr>
          <w:sz w:val="20"/>
          <w:szCs w:val="20"/>
          <w:color w:val="auto"/>
        </w:rPr>
      </w:pPr>
      <w:r>
        <w:rPr>
          <w:rFonts w:ascii="Arial" w:cs="Arial" w:eastAsia="Arial" w:hAnsi="Arial"/>
          <w:sz w:val="14"/>
          <w:szCs w:val="14"/>
          <w:color w:val="auto"/>
        </w:rPr>
        <w:t>33 / SLB</w:t>
      </w:r>
      <w:r>
        <w:rPr>
          <w:sz w:val="20"/>
          <w:szCs w:val="20"/>
          <w:color w:val="auto"/>
        </w:rPr>
        <w:tab/>
      </w:r>
      <w:r>
        <w:rPr>
          <w:rFonts w:ascii="Arial" w:cs="Arial" w:eastAsia="Arial" w:hAnsi="Arial"/>
          <w:sz w:val="12"/>
          <w:szCs w:val="12"/>
          <w:color w:val="auto"/>
        </w:rPr>
        <w:t>2003 FORM 10-K</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4"/>
          <w:szCs w:val="14"/>
          <w:color w:val="auto"/>
        </w:rPr>
        <w:t>Part II, Item 7, 7A</w:t>
      </w:r>
    </w:p>
    <w:p>
      <w:pPr>
        <w:spacing w:after="0" w:line="139"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i w:val="1"/>
          <w:iCs w:val="1"/>
          <w:color w:val="auto"/>
        </w:rPr>
        <w:t>2003</w:t>
      </w:r>
      <w:r>
        <w:rPr>
          <w:rFonts w:ascii="Arial" w:cs="Arial" w:eastAsia="Arial" w:hAnsi="Arial"/>
          <w:sz w:val="18"/>
          <w:szCs w:val="18"/>
          <w:color w:val="auto"/>
        </w:rPr>
        <w:t>). The statement permits the deferral of accounting related to the effects of the legislation until the earlier of issuance of final accounting guidance by the</w:t>
      </w:r>
      <w:r>
        <w:rPr>
          <w:rFonts w:ascii="Arial" w:cs="Arial" w:eastAsia="Arial" w:hAnsi="Arial"/>
          <w:sz w:val="18"/>
          <w:szCs w:val="18"/>
          <w:i w:val="1"/>
          <w:iCs w:val="1"/>
          <w:color w:val="auto"/>
        </w:rPr>
        <w:t xml:space="preserve"> </w:t>
      </w:r>
      <w:r>
        <w:rPr>
          <w:rFonts w:ascii="Arial" w:cs="Arial" w:eastAsia="Arial" w:hAnsi="Arial"/>
          <w:sz w:val="18"/>
          <w:szCs w:val="18"/>
          <w:color w:val="auto"/>
        </w:rPr>
        <w:t>FASB or a significant plan amendment/curtailment event requiring remeasurement, occurring after January 31, 2004. Schlumberger expects the new legislation will reduce future postretirement medical costs.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Forward-looking Statements</w:t>
      </w:r>
    </w:p>
    <w:p>
      <w:pPr>
        <w:spacing w:after="0" w:line="72"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This 10-K report, the fourth quarter and full year 2003 earnings release, associated web-based publications and other statements we make contain forward looking statements, which include any statements that are not historical facts, such as our expectations regarding business outlook, economic recovery, expected capex and depreciation and amortization charges, the capitalizing of multiclient survey costs and the acquisition of new multiclient surveys, the funding of pension plans and related pension expense, the likelihood and timing of and the benefits to be derived from divestitures, conditions in the oilfield service business, including activity levels during 2004 and higher E&amp;P investment, production increases in non-OPEC areas, issues affecting the seismic industry, including sales pertaining to Q technology, continued deepwater drilling activity, benefits from contract awards, future results of operations, pricing, future effective tax rates and our expectations regarding the sale of our remaining investment in Atos Origin shares. These statements involve risks and uncertainties, including, but not limited to, the extent and timing of a rebound in the global economy; changes in exploration and production spending by major oil companies; recovery of activity levels, improved pricing and realization of cost reduction and cost savings targets associated with the seismic business; market acceptance of Q seismic technology; general economic and business conditions in key regions of the world, including Argentina; political and economic uncertainty in Venezuela and Nigeria and further socio-political unrest in the Persian Gulf and/or Asia; the market in Atos Origin shares; our ability to complete and benefits to be derived from other divestitures; our ability to achieve growth objectives in IT solutions to upstream E&amp;P business; continued growth in the demand for smart cards and related products; our ability to meet our identified liquidity projections, including the generation of sufficient cash flow from oilfield operating results and the successful completion of certain business divestitures; potential contributions to pension plans; and other factors detailed in our fourth quarter and full year 2003 earnings release, this Report and other filings with the Securities and Exchange Commission. If one or more of these risks or uncertainties materialize (or the consequences of such a development changes), or should underlying assumptions prove incorrect, actual outcomes may vary materially from those forecasted or expected. Schlumberger disclaims any intention or obligation to update publicly or revise such statements, whether as a result of new information, future events or otherwise.</w:t>
      </w:r>
    </w:p>
    <w:p>
      <w:pPr>
        <w:spacing w:after="0" w:line="109"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74"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Schlumberger does not believe it has a material exposure to interest rate and currency market risks. Schlumberger manages the exposure to interest rate changes by using a mix of debt maturities and variable- and fixed-rate debt together with interest rate swaps, where appropriate, to fix or lower borrowing costs. With regard to foreign currency fluctuations, Schlumberger enters into various contracts, which change in value as foreign exchange rates change, to protect the value of external and intercompany transactions in foreign currencies. Schlumberger does not enter into foreign currency or interest rate transactions for speculative purposes.</w:t>
      </w:r>
    </w:p>
    <w:p>
      <w:pPr>
        <w:ind w:right="40" w:firstLine="228"/>
        <w:spacing w:after="0" w:line="281" w:lineRule="auto"/>
        <w:rPr>
          <w:sz w:val="20"/>
          <w:szCs w:val="20"/>
          <w:color w:val="auto"/>
        </w:rPr>
      </w:pPr>
      <w:r>
        <w:rPr>
          <w:rFonts w:ascii="Arial" w:cs="Arial" w:eastAsia="Arial" w:hAnsi="Arial"/>
          <w:sz w:val="16"/>
          <w:szCs w:val="16"/>
          <w:color w:val="auto"/>
        </w:rPr>
        <w:t>With respect to equity market risks, Schlumberger’s investment portfolio includes equity investments in publicly held companies that are classified as available-for-sale, or restricted from sale, and other strategic equity holdings in privately held companies. These securities are exposed to price fluctuations. As of December 31, 2003, the carrying value of the available-for-sale and restricted equity securities was $92 million (December 31, 2002: $283 million).</w:t>
      </w:r>
    </w:p>
    <w:p>
      <w:pPr>
        <w:spacing w:after="0" w:line="2" w:lineRule="exact"/>
        <w:rPr>
          <w:sz w:val="20"/>
          <w:szCs w:val="20"/>
          <w:color w:val="auto"/>
        </w:rPr>
      </w:pPr>
    </w:p>
    <w:p>
      <w:pPr>
        <w:ind w:right="260" w:firstLine="228"/>
        <w:spacing w:after="0" w:line="261" w:lineRule="auto"/>
        <w:rPr>
          <w:sz w:val="20"/>
          <w:szCs w:val="20"/>
          <w:color w:val="auto"/>
        </w:rPr>
      </w:pPr>
      <w:r>
        <w:rPr>
          <w:rFonts w:ascii="Arial" w:cs="Arial" w:eastAsia="Arial" w:hAnsi="Arial"/>
          <w:sz w:val="18"/>
          <w:szCs w:val="18"/>
          <w:color w:val="auto"/>
        </w:rPr>
        <w:t>The process of determining the fair values of the privately held equity investments inherently requires certain assumptions and subjective judgments. These valuation assumptions and judgments include</w:t>
      </w:r>
    </w:p>
    <w:p>
      <w:pPr>
        <w:spacing w:after="0" w:line="122" w:lineRule="exact"/>
        <w:rPr>
          <w:sz w:val="20"/>
          <w:szCs w:val="20"/>
          <w:color w:val="auto"/>
        </w:rPr>
      </w:pPr>
    </w:p>
    <w:p>
      <w:pPr>
        <w:spacing w:after="0"/>
        <w:tabs>
          <w:tab w:leader="none" w:pos="10400" w:val="left"/>
        </w:tabs>
        <w:rPr>
          <w:sz w:val="20"/>
          <w:szCs w:val="20"/>
          <w:color w:val="auto"/>
        </w:rPr>
      </w:pPr>
      <w:r>
        <w:rPr>
          <w:rFonts w:ascii="Arial" w:cs="Arial" w:eastAsia="Arial" w:hAnsi="Arial"/>
          <w:sz w:val="14"/>
          <w:szCs w:val="14"/>
          <w:color w:val="auto"/>
        </w:rPr>
        <w:t>34 / SLB</w:t>
      </w:r>
      <w:r>
        <w:rPr>
          <w:sz w:val="20"/>
          <w:szCs w:val="20"/>
          <w:color w:val="auto"/>
        </w:rPr>
        <w:tab/>
      </w:r>
      <w:r>
        <w:rPr>
          <w:rFonts w:ascii="Arial" w:cs="Arial" w:eastAsia="Arial" w:hAnsi="Arial"/>
          <w:sz w:val="12"/>
          <w:szCs w:val="12"/>
          <w:color w:val="auto"/>
        </w:rPr>
        <w:t>2003 FORM 10-K</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4"/>
          <w:szCs w:val="14"/>
          <w:color w:val="auto"/>
        </w:rPr>
        <w:t>Part II, Item 7A, 8</w:t>
      </w:r>
    </w:p>
    <w:p>
      <w:pPr>
        <w:spacing w:after="0" w:line="139" w:lineRule="exact"/>
        <w:rPr>
          <w:sz w:val="20"/>
          <w:szCs w:val="20"/>
          <w:color w:val="auto"/>
        </w:rPr>
      </w:pPr>
    </w:p>
    <w:p>
      <w:pPr>
        <w:ind w:right="40"/>
        <w:spacing w:after="0" w:line="323" w:lineRule="auto"/>
        <w:rPr>
          <w:sz w:val="20"/>
          <w:szCs w:val="20"/>
          <w:color w:val="auto"/>
        </w:rPr>
      </w:pPr>
      <w:r>
        <w:rPr>
          <w:rFonts w:ascii="Arial" w:cs="Arial" w:eastAsia="Arial" w:hAnsi="Arial"/>
          <w:sz w:val="15"/>
          <w:szCs w:val="15"/>
          <w:color w:val="auto"/>
        </w:rPr>
        <w:t>consideration of: (1) the investee’s earnings and cash flow position, cash flow projections, and rate of cash consumption; (2) recent rounds of equity infusions; (3) the strength of the investee’s management; and (4) valuation data provided by the investee that may be compared with data for peers. Schlumberger has and may continue to record impairment losses and write-down the carrying value of certain equity investments when the declines in fair value are other-than-temporary. Investment impairment charges recognized in 2003 and 2002 were $81 million and $0, respectively. Schlumberger’s policy is not to hedge equity price risk.</w:t>
      </w:r>
    </w:p>
    <w:p>
      <w:pPr>
        <w:spacing w:after="0" w:line="74"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Financial Statements and Supplementary Data</w:t>
      </w:r>
    </w:p>
    <w:p>
      <w:pPr>
        <w:spacing w:after="0" w:line="71" w:lineRule="exact"/>
        <w:rPr>
          <w:sz w:val="20"/>
          <w:szCs w:val="20"/>
          <w:color w:val="auto"/>
        </w:rPr>
      </w:pPr>
    </w:p>
    <w:p>
      <w:pPr>
        <w:spacing w:after="0"/>
        <w:rPr>
          <w:sz w:val="20"/>
          <w:szCs w:val="20"/>
          <w:color w:val="auto"/>
        </w:rPr>
      </w:pPr>
      <w:r>
        <w:rPr>
          <w:rFonts w:ascii="Arial" w:cs="Arial" w:eastAsia="Arial" w:hAnsi="Arial"/>
          <w:sz w:val="14"/>
          <w:szCs w:val="14"/>
          <w:color w:val="auto"/>
        </w:rPr>
        <w:t>SCHLUMBERGER LIMITED (SCHLUMBERGER N.V., INCORPORATED IN THE NETHERLANDS ANTILLES) AND SUBSIDIARY COMPANIES</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CONSOLIDATED STATEMENT OF INCOME</w:t>
      </w:r>
    </w:p>
    <w:p>
      <w:pPr>
        <w:spacing w:after="0" w:line="5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(Stated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17804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78040" cy="8890"/>
                    </a:xfrm>
                    <a:prstGeom prst="rect">
                      <a:avLst/>
                    </a:prstGeom>
                    <a:noFill/>
                  </pic:spPr>
                </pic:pic>
              </a:graphicData>
            </a:graphic>
          </wp:anchor>
        </w:drawing>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7980" w:type="dxa"/>
            <w:vAlign w:val="bottom"/>
            <w:gridSpan w:val="2"/>
          </w:tcPr>
          <w:p>
            <w:pPr>
              <w:spacing w:after="0"/>
              <w:rPr>
                <w:sz w:val="20"/>
                <w:szCs w:val="20"/>
                <w:color w:val="auto"/>
              </w:rPr>
            </w:pPr>
            <w:r>
              <w:rPr>
                <w:rFonts w:ascii="Arial" w:cs="Arial" w:eastAsia="Arial" w:hAnsi="Arial"/>
                <w:sz w:val="14"/>
                <w:szCs w:val="14"/>
                <w:b w:val="1"/>
                <w:bCs w:val="1"/>
                <w:color w:val="auto"/>
              </w:rPr>
              <w:t>Year Ended December 31,</w:t>
            </w:r>
          </w:p>
        </w:tc>
        <w:tc>
          <w:tcPr>
            <w:tcW w:w="110" w:type="dxa"/>
            <w:vAlign w:val="bottom"/>
          </w:tcPr>
          <w:p>
            <w:pPr>
              <w:spacing w:after="0"/>
              <w:rPr>
                <w:sz w:val="15"/>
                <w:szCs w:val="15"/>
                <w:color w:val="auto"/>
              </w:rPr>
            </w:pPr>
          </w:p>
        </w:tc>
        <w:tc>
          <w:tcPr>
            <w:tcW w:w="690" w:type="dxa"/>
            <w:vAlign w:val="bottom"/>
          </w:tcPr>
          <w:p>
            <w:pPr>
              <w:jc w:val="right"/>
              <w:spacing w:after="0"/>
              <w:rPr>
                <w:sz w:val="20"/>
                <w:szCs w:val="20"/>
                <w:color w:val="auto"/>
              </w:rPr>
            </w:pPr>
            <w:r>
              <w:rPr>
                <w:rFonts w:ascii="Arial" w:cs="Arial" w:eastAsia="Arial" w:hAnsi="Arial"/>
                <w:sz w:val="14"/>
                <w:szCs w:val="14"/>
                <w:b w:val="1"/>
                <w:bCs w:val="1"/>
                <w:color w:val="auto"/>
              </w:rPr>
              <w:t>2003</w:t>
            </w: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2002</w:t>
            </w: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 w:type="dxa"/>
            <w:vAlign w:val="bottom"/>
          </w:tcPr>
          <w:p>
            <w:pPr>
              <w:spacing w:after="0"/>
              <w:rPr>
                <w:sz w:val="15"/>
                <w:szCs w:val="15"/>
                <w:color w:val="auto"/>
              </w:rPr>
            </w:pPr>
          </w:p>
        </w:tc>
        <w:tc>
          <w:tcPr>
            <w:tcW w:w="630" w:type="dxa"/>
            <w:vAlign w:val="bottom"/>
          </w:tcPr>
          <w:p>
            <w:pPr>
              <w:jc w:val="right"/>
              <w:spacing w:after="0"/>
              <w:rPr>
                <w:sz w:val="20"/>
                <w:szCs w:val="20"/>
                <w:color w:val="auto"/>
              </w:rPr>
            </w:pPr>
            <w:r>
              <w:rPr>
                <w:rFonts w:ascii="Arial" w:cs="Arial" w:eastAsia="Arial" w:hAnsi="Arial"/>
                <w:sz w:val="14"/>
                <w:szCs w:val="14"/>
                <w:b w:val="1"/>
                <w:bCs w:val="1"/>
                <w:color w:val="auto"/>
              </w:rPr>
              <w:t>2001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7960" w:type="dxa"/>
            <w:vAlign w:val="bottom"/>
          </w:tcPr>
          <w:p>
            <w:pPr>
              <w:spacing w:after="0"/>
              <w:rPr>
                <w:sz w:val="8"/>
                <w:szCs w:val="8"/>
                <w:color w:val="auto"/>
              </w:rPr>
            </w:pPr>
          </w:p>
        </w:tc>
        <w:tc>
          <w:tcPr>
            <w:tcW w:w="110" w:type="dxa"/>
            <w:vAlign w:val="bottom"/>
          </w:tcPr>
          <w:p>
            <w:pPr>
              <w:spacing w:after="0"/>
              <w:rPr>
                <w:sz w:val="8"/>
                <w:szCs w:val="8"/>
                <w:color w:val="auto"/>
              </w:rPr>
            </w:pPr>
          </w:p>
        </w:tc>
        <w:tc>
          <w:tcPr>
            <w:tcW w:w="69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340" w:type="dxa"/>
            <w:vAlign w:val="bottom"/>
          </w:tcPr>
          <w:p>
            <w:pPr>
              <w:spacing w:after="0"/>
              <w:rPr>
                <w:sz w:val="8"/>
                <w:szCs w:val="8"/>
                <w:color w:val="auto"/>
              </w:rPr>
            </w:pPr>
          </w:p>
        </w:tc>
        <w:tc>
          <w:tcPr>
            <w:tcW w:w="90" w:type="dxa"/>
            <w:vAlign w:val="bottom"/>
          </w:tcPr>
          <w:p>
            <w:pPr>
              <w:spacing w:after="0"/>
              <w:rPr>
                <w:sz w:val="8"/>
                <w:szCs w:val="8"/>
                <w:color w:val="auto"/>
              </w:rPr>
            </w:pPr>
          </w:p>
        </w:tc>
        <w:tc>
          <w:tcPr>
            <w:tcW w:w="63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960" w:type="dxa"/>
            <w:vAlign w:val="bottom"/>
            <w:shd w:val="clear" w:color="auto" w:fill="CCEEFF"/>
          </w:tcPr>
          <w:p>
            <w:pPr>
              <w:spacing w:after="0" w:line="149" w:lineRule="exact"/>
              <w:rPr>
                <w:sz w:val="20"/>
                <w:szCs w:val="20"/>
                <w:color w:val="auto"/>
              </w:rPr>
            </w:pPr>
            <w:r>
              <w:rPr>
                <w:rFonts w:ascii="Arial" w:cs="Arial" w:eastAsia="Arial" w:hAnsi="Arial"/>
                <w:sz w:val="14"/>
                <w:szCs w:val="14"/>
                <w:i w:val="1"/>
                <w:iCs w:val="1"/>
                <w:color w:val="auto"/>
              </w:rPr>
              <w:t>Revenue</w:t>
            </w:r>
          </w:p>
        </w:tc>
        <w:tc>
          <w:tcPr>
            <w:tcW w:w="110" w:type="dxa"/>
            <w:vAlign w:val="bottom"/>
            <w:shd w:val="clear" w:color="auto" w:fill="CCEEFF"/>
          </w:tcPr>
          <w:p>
            <w:pPr>
              <w:spacing w:after="0"/>
              <w:rPr>
                <w:sz w:val="12"/>
                <w:szCs w:val="12"/>
                <w:color w:val="auto"/>
              </w:rPr>
            </w:pPr>
          </w:p>
        </w:tc>
        <w:tc>
          <w:tcPr>
            <w:tcW w:w="69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90" w:type="dxa"/>
            <w:vAlign w:val="bottom"/>
            <w:shd w:val="clear" w:color="auto" w:fill="CCEEFF"/>
          </w:tcPr>
          <w:p>
            <w:pPr>
              <w:spacing w:after="0"/>
              <w:rPr>
                <w:sz w:val="12"/>
                <w:szCs w:val="12"/>
                <w:color w:val="auto"/>
              </w:rPr>
            </w:pPr>
          </w:p>
        </w:tc>
        <w:tc>
          <w:tcPr>
            <w:tcW w:w="63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960" w:type="dxa"/>
            <w:vAlign w:val="bottom"/>
          </w:tcPr>
          <w:p>
            <w:pPr>
              <w:ind w:left="320"/>
              <w:spacing w:after="0" w:line="149" w:lineRule="exact"/>
              <w:rPr>
                <w:sz w:val="20"/>
                <w:szCs w:val="20"/>
                <w:color w:val="auto"/>
              </w:rPr>
            </w:pPr>
            <w:r>
              <w:rPr>
                <w:rFonts w:ascii="Arial" w:cs="Arial" w:eastAsia="Arial" w:hAnsi="Arial"/>
                <w:sz w:val="14"/>
                <w:szCs w:val="14"/>
                <w:color w:val="auto"/>
              </w:rPr>
              <w:t>Operating</w:t>
            </w:r>
          </w:p>
        </w:tc>
        <w:tc>
          <w:tcPr>
            <w:tcW w:w="11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76"/>
              </w:rPr>
              <w:t>$</w:t>
            </w:r>
          </w:p>
        </w:tc>
        <w:tc>
          <w:tcPr>
            <w:tcW w:w="69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4"/>
              </w:rPr>
              <w:t>13,892,604</w:t>
            </w:r>
          </w:p>
        </w:tc>
        <w:tc>
          <w:tcPr>
            <w:tcW w:w="540" w:type="dxa"/>
            <w:vAlign w:val="bottom"/>
          </w:tcPr>
          <w:p>
            <w:pPr>
              <w:spacing w:after="0"/>
              <w:rPr>
                <w:sz w:val="12"/>
                <w:szCs w:val="12"/>
                <w:color w:val="auto"/>
              </w:rPr>
            </w:pPr>
          </w:p>
        </w:tc>
        <w:tc>
          <w:tcPr>
            <w:tcW w:w="10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620" w:type="dxa"/>
            <w:vAlign w:val="bottom"/>
            <w:gridSpan w:val="2"/>
          </w:tcPr>
          <w:p>
            <w:pPr>
              <w:jc w:val="right"/>
              <w:spacing w:after="0" w:line="149" w:lineRule="exact"/>
              <w:rPr>
                <w:sz w:val="20"/>
                <w:szCs w:val="20"/>
                <w:color w:val="auto"/>
              </w:rPr>
            </w:pPr>
            <w:r>
              <w:rPr>
                <w:rFonts w:ascii="Arial" w:cs="Arial" w:eastAsia="Arial" w:hAnsi="Arial"/>
                <w:sz w:val="14"/>
                <w:szCs w:val="14"/>
                <w:color w:val="auto"/>
                <w:w w:val="85"/>
              </w:rPr>
              <w:t>13,117,562</w:t>
            </w:r>
          </w:p>
        </w:tc>
        <w:tc>
          <w:tcPr>
            <w:tcW w:w="220" w:type="dxa"/>
            <w:vAlign w:val="bottom"/>
          </w:tcPr>
          <w:p>
            <w:pPr>
              <w:spacing w:after="0"/>
              <w:rPr>
                <w:sz w:val="12"/>
                <w:szCs w:val="12"/>
                <w:color w:val="auto"/>
              </w:rPr>
            </w:pPr>
          </w:p>
        </w:tc>
        <w:tc>
          <w:tcPr>
            <w:tcW w:w="430" w:type="dxa"/>
            <w:vAlign w:val="bottom"/>
            <w:gridSpan w:val="2"/>
          </w:tcPr>
          <w:p>
            <w:pPr>
              <w:jc w:val="right"/>
              <w:ind w:right="30"/>
              <w:spacing w:after="0" w:line="149" w:lineRule="exact"/>
              <w:rPr>
                <w:sz w:val="20"/>
                <w:szCs w:val="20"/>
                <w:color w:val="auto"/>
              </w:rPr>
            </w:pPr>
            <w:r>
              <w:rPr>
                <w:rFonts w:ascii="Arial" w:cs="Arial" w:eastAsia="Arial" w:hAnsi="Arial"/>
                <w:sz w:val="14"/>
                <w:szCs w:val="14"/>
                <w:color w:val="auto"/>
              </w:rPr>
              <w:t>$</w:t>
            </w:r>
          </w:p>
        </w:tc>
        <w:tc>
          <w:tcPr>
            <w:tcW w:w="630" w:type="dxa"/>
            <w:vAlign w:val="bottom"/>
          </w:tcPr>
          <w:p>
            <w:pPr>
              <w:jc w:val="right"/>
              <w:spacing w:after="0" w:line="149" w:lineRule="exact"/>
              <w:rPr>
                <w:sz w:val="20"/>
                <w:szCs w:val="20"/>
                <w:color w:val="auto"/>
              </w:rPr>
            </w:pPr>
            <w:r>
              <w:rPr>
                <w:rFonts w:ascii="Arial" w:cs="Arial" w:eastAsia="Arial" w:hAnsi="Arial"/>
                <w:sz w:val="14"/>
                <w:szCs w:val="14"/>
                <w:color w:val="auto"/>
                <w:w w:val="85"/>
              </w:rPr>
              <w:t>13,755,926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96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Interest and other income</w:t>
            </w:r>
          </w:p>
        </w:tc>
        <w:tc>
          <w:tcPr>
            <w:tcW w:w="110" w:type="dxa"/>
            <w:vAlign w:val="bottom"/>
            <w:shd w:val="clear" w:color="auto" w:fill="CCEEFF"/>
          </w:tcPr>
          <w:p>
            <w:pPr>
              <w:spacing w:after="0"/>
              <w:rPr>
                <w:sz w:val="12"/>
                <w:szCs w:val="12"/>
                <w:color w:val="auto"/>
              </w:rPr>
            </w:pPr>
          </w:p>
        </w:tc>
        <w:tc>
          <w:tcPr>
            <w:tcW w:w="69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166,493</w:t>
            </w: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139,068</w:t>
            </w:r>
          </w:p>
        </w:tc>
        <w:tc>
          <w:tcPr>
            <w:tcW w:w="2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90" w:type="dxa"/>
            <w:vAlign w:val="bottom"/>
            <w:shd w:val="clear" w:color="auto" w:fill="CCEEFF"/>
          </w:tcPr>
          <w:p>
            <w:pPr>
              <w:spacing w:after="0"/>
              <w:rPr>
                <w:sz w:val="12"/>
                <w:szCs w:val="12"/>
                <w:color w:val="auto"/>
              </w:rPr>
            </w:pPr>
          </w:p>
        </w:tc>
        <w:tc>
          <w:tcPr>
            <w:tcW w:w="63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242,258</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960" w:type="dxa"/>
            <w:vAlign w:val="bottom"/>
            <w:tcBorders>
              <w:bottom w:val="single" w:sz="8" w:color="auto"/>
            </w:tcBorders>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69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340" w:type="dxa"/>
            <w:vAlign w:val="bottom"/>
          </w:tcPr>
          <w:p>
            <w:pPr>
              <w:spacing w:after="0"/>
              <w:rPr>
                <w:sz w:val="9"/>
                <w:szCs w:val="9"/>
                <w:color w:val="auto"/>
              </w:rPr>
            </w:pPr>
          </w:p>
        </w:tc>
        <w:tc>
          <w:tcPr>
            <w:tcW w:w="90" w:type="dxa"/>
            <w:vAlign w:val="bottom"/>
            <w:tcBorders>
              <w:bottom w:val="single" w:sz="8" w:color="auto"/>
            </w:tcBorders>
          </w:tcPr>
          <w:p>
            <w:pPr>
              <w:spacing w:after="0"/>
              <w:rPr>
                <w:sz w:val="9"/>
                <w:szCs w:val="9"/>
                <w:color w:val="auto"/>
              </w:rPr>
            </w:pPr>
          </w:p>
        </w:tc>
        <w:tc>
          <w:tcPr>
            <w:tcW w:w="63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960" w:type="dxa"/>
            <w:vAlign w:val="bottom"/>
          </w:tcPr>
          <w:p>
            <w:pPr>
              <w:spacing w:after="0"/>
              <w:rPr>
                <w:sz w:val="8"/>
                <w:szCs w:val="8"/>
                <w:color w:val="auto"/>
              </w:rPr>
            </w:pPr>
          </w:p>
        </w:tc>
        <w:tc>
          <w:tcPr>
            <w:tcW w:w="110" w:type="dxa"/>
            <w:vAlign w:val="bottom"/>
          </w:tcPr>
          <w:p>
            <w:pPr>
              <w:spacing w:after="0"/>
              <w:rPr>
                <w:sz w:val="8"/>
                <w:szCs w:val="8"/>
                <w:color w:val="auto"/>
              </w:rPr>
            </w:pPr>
          </w:p>
        </w:tc>
        <w:tc>
          <w:tcPr>
            <w:tcW w:w="69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340" w:type="dxa"/>
            <w:vAlign w:val="bottom"/>
          </w:tcPr>
          <w:p>
            <w:pPr>
              <w:spacing w:after="0"/>
              <w:rPr>
                <w:sz w:val="8"/>
                <w:szCs w:val="8"/>
                <w:color w:val="auto"/>
              </w:rPr>
            </w:pPr>
          </w:p>
        </w:tc>
        <w:tc>
          <w:tcPr>
            <w:tcW w:w="90" w:type="dxa"/>
            <w:vAlign w:val="bottom"/>
          </w:tcPr>
          <w:p>
            <w:pPr>
              <w:spacing w:after="0"/>
              <w:rPr>
                <w:sz w:val="8"/>
                <w:szCs w:val="8"/>
                <w:color w:val="auto"/>
              </w:rPr>
            </w:pPr>
          </w:p>
        </w:tc>
        <w:tc>
          <w:tcPr>
            <w:tcW w:w="63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960" w:type="dxa"/>
            <w:vAlign w:val="bottom"/>
            <w:shd w:val="clear" w:color="auto" w:fill="CCEEFF"/>
          </w:tcPr>
          <w:p>
            <w:pPr>
              <w:spacing w:after="0"/>
              <w:rPr>
                <w:sz w:val="12"/>
                <w:szCs w:val="12"/>
                <w:color w:val="auto"/>
              </w:rPr>
            </w:pPr>
          </w:p>
        </w:tc>
        <w:tc>
          <w:tcPr>
            <w:tcW w:w="110" w:type="dxa"/>
            <w:vAlign w:val="bottom"/>
            <w:shd w:val="clear" w:color="auto" w:fill="CCEEFF"/>
          </w:tcPr>
          <w:p>
            <w:pPr>
              <w:spacing w:after="0"/>
              <w:rPr>
                <w:sz w:val="12"/>
                <w:szCs w:val="12"/>
                <w:color w:val="auto"/>
              </w:rPr>
            </w:pPr>
          </w:p>
        </w:tc>
        <w:tc>
          <w:tcPr>
            <w:tcW w:w="69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94"/>
              </w:rPr>
              <w:t>14,059,097</w:t>
            </w: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85"/>
              </w:rPr>
              <w:t>13,256,630</w:t>
            </w:r>
          </w:p>
        </w:tc>
        <w:tc>
          <w:tcPr>
            <w:tcW w:w="2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90" w:type="dxa"/>
            <w:vAlign w:val="bottom"/>
            <w:shd w:val="clear" w:color="auto" w:fill="CCEEFF"/>
          </w:tcPr>
          <w:p>
            <w:pPr>
              <w:spacing w:after="0"/>
              <w:rPr>
                <w:sz w:val="12"/>
                <w:szCs w:val="12"/>
                <w:color w:val="auto"/>
              </w:rPr>
            </w:pPr>
          </w:p>
        </w:tc>
        <w:tc>
          <w:tcPr>
            <w:tcW w:w="63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5"/>
              </w:rPr>
              <w:t>13,998,184</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960" w:type="dxa"/>
            <w:vAlign w:val="bottom"/>
            <w:tcBorders>
              <w:bottom w:val="single" w:sz="8" w:color="auto"/>
            </w:tcBorders>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69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340" w:type="dxa"/>
            <w:vAlign w:val="bottom"/>
          </w:tcPr>
          <w:p>
            <w:pPr>
              <w:spacing w:after="0"/>
              <w:rPr>
                <w:sz w:val="9"/>
                <w:szCs w:val="9"/>
                <w:color w:val="auto"/>
              </w:rPr>
            </w:pPr>
          </w:p>
        </w:tc>
        <w:tc>
          <w:tcPr>
            <w:tcW w:w="90" w:type="dxa"/>
            <w:vAlign w:val="bottom"/>
            <w:tcBorders>
              <w:bottom w:val="single" w:sz="8" w:color="auto"/>
            </w:tcBorders>
          </w:tcPr>
          <w:p>
            <w:pPr>
              <w:spacing w:after="0"/>
              <w:rPr>
                <w:sz w:val="9"/>
                <w:szCs w:val="9"/>
                <w:color w:val="auto"/>
              </w:rPr>
            </w:pPr>
          </w:p>
        </w:tc>
        <w:tc>
          <w:tcPr>
            <w:tcW w:w="63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960" w:type="dxa"/>
            <w:vAlign w:val="bottom"/>
          </w:tcPr>
          <w:p>
            <w:pPr>
              <w:spacing w:after="0"/>
              <w:rPr>
                <w:sz w:val="8"/>
                <w:szCs w:val="8"/>
                <w:color w:val="auto"/>
              </w:rPr>
            </w:pPr>
          </w:p>
        </w:tc>
        <w:tc>
          <w:tcPr>
            <w:tcW w:w="110" w:type="dxa"/>
            <w:vAlign w:val="bottom"/>
          </w:tcPr>
          <w:p>
            <w:pPr>
              <w:spacing w:after="0"/>
              <w:rPr>
                <w:sz w:val="8"/>
                <w:szCs w:val="8"/>
                <w:color w:val="auto"/>
              </w:rPr>
            </w:pPr>
          </w:p>
        </w:tc>
        <w:tc>
          <w:tcPr>
            <w:tcW w:w="69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340" w:type="dxa"/>
            <w:vAlign w:val="bottom"/>
          </w:tcPr>
          <w:p>
            <w:pPr>
              <w:spacing w:after="0"/>
              <w:rPr>
                <w:sz w:val="8"/>
                <w:szCs w:val="8"/>
                <w:color w:val="auto"/>
              </w:rPr>
            </w:pPr>
          </w:p>
        </w:tc>
        <w:tc>
          <w:tcPr>
            <w:tcW w:w="90" w:type="dxa"/>
            <w:vAlign w:val="bottom"/>
          </w:tcPr>
          <w:p>
            <w:pPr>
              <w:spacing w:after="0"/>
              <w:rPr>
                <w:sz w:val="8"/>
                <w:szCs w:val="8"/>
                <w:color w:val="auto"/>
              </w:rPr>
            </w:pPr>
          </w:p>
        </w:tc>
        <w:tc>
          <w:tcPr>
            <w:tcW w:w="63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960" w:type="dxa"/>
            <w:vAlign w:val="bottom"/>
            <w:shd w:val="clear" w:color="auto" w:fill="CCEEFF"/>
          </w:tcPr>
          <w:p>
            <w:pPr>
              <w:spacing w:after="0" w:line="149" w:lineRule="exact"/>
              <w:rPr>
                <w:sz w:val="20"/>
                <w:szCs w:val="20"/>
                <w:color w:val="auto"/>
              </w:rPr>
            </w:pPr>
            <w:r>
              <w:rPr>
                <w:rFonts w:ascii="Arial" w:cs="Arial" w:eastAsia="Arial" w:hAnsi="Arial"/>
                <w:sz w:val="14"/>
                <w:szCs w:val="14"/>
                <w:i w:val="1"/>
                <w:iCs w:val="1"/>
                <w:color w:val="auto"/>
              </w:rPr>
              <w:t>Expenses</w:t>
            </w:r>
          </w:p>
        </w:tc>
        <w:tc>
          <w:tcPr>
            <w:tcW w:w="110" w:type="dxa"/>
            <w:vAlign w:val="bottom"/>
            <w:shd w:val="clear" w:color="auto" w:fill="CCEEFF"/>
          </w:tcPr>
          <w:p>
            <w:pPr>
              <w:spacing w:after="0"/>
              <w:rPr>
                <w:sz w:val="12"/>
                <w:szCs w:val="12"/>
                <w:color w:val="auto"/>
              </w:rPr>
            </w:pPr>
          </w:p>
        </w:tc>
        <w:tc>
          <w:tcPr>
            <w:tcW w:w="69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90" w:type="dxa"/>
            <w:vAlign w:val="bottom"/>
            <w:shd w:val="clear" w:color="auto" w:fill="CCEEFF"/>
          </w:tcPr>
          <w:p>
            <w:pPr>
              <w:spacing w:after="0"/>
              <w:rPr>
                <w:sz w:val="12"/>
                <w:szCs w:val="12"/>
                <w:color w:val="auto"/>
              </w:rPr>
            </w:pPr>
          </w:p>
        </w:tc>
        <w:tc>
          <w:tcPr>
            <w:tcW w:w="63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960" w:type="dxa"/>
            <w:vAlign w:val="bottom"/>
          </w:tcPr>
          <w:p>
            <w:pPr>
              <w:ind w:left="320"/>
              <w:spacing w:after="0" w:line="149" w:lineRule="exact"/>
              <w:rPr>
                <w:sz w:val="20"/>
                <w:szCs w:val="20"/>
                <w:color w:val="auto"/>
              </w:rPr>
            </w:pPr>
            <w:r>
              <w:rPr>
                <w:rFonts w:ascii="Arial" w:cs="Arial" w:eastAsia="Arial" w:hAnsi="Arial"/>
                <w:sz w:val="14"/>
                <w:szCs w:val="14"/>
                <w:color w:val="auto"/>
              </w:rPr>
              <w:t>Cost of goods sold and services</w:t>
            </w:r>
          </w:p>
        </w:tc>
        <w:tc>
          <w:tcPr>
            <w:tcW w:w="110" w:type="dxa"/>
            <w:vAlign w:val="bottom"/>
          </w:tcPr>
          <w:p>
            <w:pPr>
              <w:spacing w:after="0"/>
              <w:rPr>
                <w:sz w:val="12"/>
                <w:szCs w:val="12"/>
                <w:color w:val="auto"/>
              </w:rPr>
            </w:pPr>
          </w:p>
        </w:tc>
        <w:tc>
          <w:tcPr>
            <w:tcW w:w="69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4"/>
              </w:rPr>
              <w:t>11,419,873</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tcPr>
          <w:p>
            <w:pPr>
              <w:jc w:val="right"/>
              <w:spacing w:after="0" w:line="149" w:lineRule="exact"/>
              <w:rPr>
                <w:sz w:val="20"/>
                <w:szCs w:val="20"/>
                <w:color w:val="auto"/>
              </w:rPr>
            </w:pPr>
            <w:r>
              <w:rPr>
                <w:rFonts w:ascii="Arial" w:cs="Arial" w:eastAsia="Arial" w:hAnsi="Arial"/>
                <w:sz w:val="14"/>
                <w:szCs w:val="14"/>
                <w:color w:val="auto"/>
                <w:w w:val="85"/>
              </w:rPr>
              <w:t>13,525,742</w:t>
            </w: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0" w:type="dxa"/>
            <w:vAlign w:val="bottom"/>
          </w:tcPr>
          <w:p>
            <w:pPr>
              <w:spacing w:after="0"/>
              <w:rPr>
                <w:sz w:val="12"/>
                <w:szCs w:val="12"/>
                <w:color w:val="auto"/>
              </w:rPr>
            </w:pPr>
          </w:p>
        </w:tc>
        <w:tc>
          <w:tcPr>
            <w:tcW w:w="630" w:type="dxa"/>
            <w:vAlign w:val="bottom"/>
          </w:tcPr>
          <w:p>
            <w:pPr>
              <w:jc w:val="right"/>
              <w:spacing w:after="0" w:line="149" w:lineRule="exact"/>
              <w:rPr>
                <w:sz w:val="20"/>
                <w:szCs w:val="20"/>
                <w:color w:val="auto"/>
              </w:rPr>
            </w:pPr>
            <w:r>
              <w:rPr>
                <w:rFonts w:ascii="Arial" w:cs="Arial" w:eastAsia="Arial" w:hAnsi="Arial"/>
                <w:sz w:val="14"/>
                <w:szCs w:val="14"/>
                <w:color w:val="auto"/>
                <w:w w:val="85"/>
              </w:rPr>
              <w:t>10,816,096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96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Research &amp; engineering</w:t>
            </w:r>
          </w:p>
        </w:tc>
        <w:tc>
          <w:tcPr>
            <w:tcW w:w="110" w:type="dxa"/>
            <w:vAlign w:val="bottom"/>
            <w:shd w:val="clear" w:color="auto" w:fill="CCEEFF"/>
          </w:tcPr>
          <w:p>
            <w:pPr>
              <w:spacing w:after="0"/>
              <w:rPr>
                <w:sz w:val="12"/>
                <w:szCs w:val="12"/>
                <w:color w:val="auto"/>
              </w:rPr>
            </w:pPr>
          </w:p>
        </w:tc>
        <w:tc>
          <w:tcPr>
            <w:tcW w:w="69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556,124</w:t>
            </w: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595,675</w:t>
            </w:r>
          </w:p>
        </w:tc>
        <w:tc>
          <w:tcPr>
            <w:tcW w:w="2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90" w:type="dxa"/>
            <w:vAlign w:val="bottom"/>
            <w:shd w:val="clear" w:color="auto" w:fill="CCEEFF"/>
          </w:tcPr>
          <w:p>
            <w:pPr>
              <w:spacing w:after="0"/>
              <w:rPr>
                <w:sz w:val="12"/>
                <w:szCs w:val="12"/>
                <w:color w:val="auto"/>
              </w:rPr>
            </w:pPr>
          </w:p>
        </w:tc>
        <w:tc>
          <w:tcPr>
            <w:tcW w:w="63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653,928</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960" w:type="dxa"/>
            <w:vAlign w:val="bottom"/>
          </w:tcPr>
          <w:p>
            <w:pPr>
              <w:ind w:left="320"/>
              <w:spacing w:after="0" w:line="149" w:lineRule="exact"/>
              <w:rPr>
                <w:sz w:val="20"/>
                <w:szCs w:val="20"/>
                <w:color w:val="auto"/>
              </w:rPr>
            </w:pPr>
            <w:r>
              <w:rPr>
                <w:rFonts w:ascii="Arial" w:cs="Arial" w:eastAsia="Arial" w:hAnsi="Arial"/>
                <w:sz w:val="14"/>
                <w:szCs w:val="14"/>
                <w:color w:val="auto"/>
              </w:rPr>
              <w:t>Marketing</w:t>
            </w:r>
          </w:p>
        </w:tc>
        <w:tc>
          <w:tcPr>
            <w:tcW w:w="110" w:type="dxa"/>
            <w:vAlign w:val="bottom"/>
          </w:tcPr>
          <w:p>
            <w:pPr>
              <w:spacing w:after="0"/>
              <w:rPr>
                <w:sz w:val="12"/>
                <w:szCs w:val="12"/>
                <w:color w:val="auto"/>
              </w:rPr>
            </w:pPr>
          </w:p>
        </w:tc>
        <w:tc>
          <w:tcPr>
            <w:tcW w:w="69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350,996</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353,622</w:t>
            </w: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0" w:type="dxa"/>
            <w:vAlign w:val="bottom"/>
          </w:tcPr>
          <w:p>
            <w:pPr>
              <w:spacing w:after="0"/>
              <w:rPr>
                <w:sz w:val="12"/>
                <w:szCs w:val="12"/>
                <w:color w:val="auto"/>
              </w:rPr>
            </w:pPr>
          </w:p>
        </w:tc>
        <w:tc>
          <w:tcPr>
            <w:tcW w:w="630" w:type="dxa"/>
            <w:vAlign w:val="bottom"/>
          </w:tcPr>
          <w:p>
            <w:pPr>
              <w:jc w:val="right"/>
              <w:spacing w:after="0" w:line="149" w:lineRule="exact"/>
              <w:rPr>
                <w:sz w:val="20"/>
                <w:szCs w:val="20"/>
                <w:color w:val="auto"/>
              </w:rPr>
            </w:pPr>
            <w:r>
              <w:rPr>
                <w:rFonts w:ascii="Arial" w:cs="Arial" w:eastAsia="Arial" w:hAnsi="Arial"/>
                <w:sz w:val="14"/>
                <w:szCs w:val="14"/>
                <w:color w:val="auto"/>
              </w:rPr>
              <w:t>396,312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96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General</w:t>
            </w:r>
          </w:p>
        </w:tc>
        <w:tc>
          <w:tcPr>
            <w:tcW w:w="110" w:type="dxa"/>
            <w:vAlign w:val="bottom"/>
            <w:shd w:val="clear" w:color="auto" w:fill="CCEEFF"/>
          </w:tcPr>
          <w:p>
            <w:pPr>
              <w:spacing w:after="0"/>
              <w:rPr>
                <w:sz w:val="12"/>
                <w:szCs w:val="12"/>
                <w:color w:val="auto"/>
              </w:rPr>
            </w:pPr>
          </w:p>
        </w:tc>
        <w:tc>
          <w:tcPr>
            <w:tcW w:w="69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662,224</w:t>
            </w: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640,641</w:t>
            </w:r>
          </w:p>
        </w:tc>
        <w:tc>
          <w:tcPr>
            <w:tcW w:w="2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90" w:type="dxa"/>
            <w:vAlign w:val="bottom"/>
            <w:shd w:val="clear" w:color="auto" w:fill="CCEEFF"/>
          </w:tcPr>
          <w:p>
            <w:pPr>
              <w:spacing w:after="0"/>
              <w:rPr>
                <w:sz w:val="12"/>
                <w:szCs w:val="12"/>
                <w:color w:val="auto"/>
              </w:rPr>
            </w:pPr>
          </w:p>
        </w:tc>
        <w:tc>
          <w:tcPr>
            <w:tcW w:w="63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660,092</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960" w:type="dxa"/>
            <w:vAlign w:val="bottom"/>
          </w:tcPr>
          <w:p>
            <w:pPr>
              <w:ind w:left="320"/>
              <w:spacing w:after="0" w:line="149" w:lineRule="exact"/>
              <w:rPr>
                <w:sz w:val="20"/>
                <w:szCs w:val="20"/>
                <w:color w:val="auto"/>
              </w:rPr>
            </w:pPr>
            <w:r>
              <w:rPr>
                <w:rFonts w:ascii="Arial" w:cs="Arial" w:eastAsia="Arial" w:hAnsi="Arial"/>
                <w:sz w:val="14"/>
                <w:szCs w:val="14"/>
                <w:color w:val="auto"/>
              </w:rPr>
              <w:t>Debt extinguishment costs</w:t>
            </w:r>
          </w:p>
        </w:tc>
        <w:tc>
          <w:tcPr>
            <w:tcW w:w="110" w:type="dxa"/>
            <w:vAlign w:val="bottom"/>
          </w:tcPr>
          <w:p>
            <w:pPr>
              <w:spacing w:after="0"/>
              <w:rPr>
                <w:sz w:val="12"/>
                <w:szCs w:val="12"/>
                <w:color w:val="auto"/>
              </w:rPr>
            </w:pPr>
          </w:p>
        </w:tc>
        <w:tc>
          <w:tcPr>
            <w:tcW w:w="69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167,801</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2"/>
                <w:szCs w:val="12"/>
                <w:color w:val="auto"/>
              </w:rPr>
            </w:pPr>
          </w:p>
        </w:tc>
        <w:tc>
          <w:tcPr>
            <w:tcW w:w="90" w:type="dxa"/>
            <w:vAlign w:val="bottom"/>
          </w:tcPr>
          <w:p>
            <w:pPr>
              <w:spacing w:after="0"/>
              <w:rPr>
                <w:sz w:val="12"/>
                <w:szCs w:val="12"/>
                <w:color w:val="auto"/>
              </w:rPr>
            </w:pPr>
          </w:p>
        </w:tc>
        <w:tc>
          <w:tcPr>
            <w:tcW w:w="73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96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Interest</w:t>
            </w:r>
          </w:p>
        </w:tc>
        <w:tc>
          <w:tcPr>
            <w:tcW w:w="110" w:type="dxa"/>
            <w:vAlign w:val="bottom"/>
            <w:shd w:val="clear" w:color="auto" w:fill="CCEEFF"/>
          </w:tcPr>
          <w:p>
            <w:pPr>
              <w:spacing w:after="0"/>
              <w:rPr>
                <w:sz w:val="12"/>
                <w:szCs w:val="12"/>
                <w:color w:val="auto"/>
              </w:rPr>
            </w:pPr>
          </w:p>
        </w:tc>
        <w:tc>
          <w:tcPr>
            <w:tcW w:w="69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334,336</w:t>
            </w: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367,973</w:t>
            </w:r>
          </w:p>
        </w:tc>
        <w:tc>
          <w:tcPr>
            <w:tcW w:w="2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90" w:type="dxa"/>
            <w:vAlign w:val="bottom"/>
            <w:shd w:val="clear" w:color="auto" w:fill="CCEEFF"/>
          </w:tcPr>
          <w:p>
            <w:pPr>
              <w:spacing w:after="0"/>
              <w:rPr>
                <w:sz w:val="12"/>
                <w:szCs w:val="12"/>
                <w:color w:val="auto"/>
              </w:rPr>
            </w:pPr>
          </w:p>
        </w:tc>
        <w:tc>
          <w:tcPr>
            <w:tcW w:w="63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384,896</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960" w:type="dxa"/>
            <w:vAlign w:val="bottom"/>
            <w:tcBorders>
              <w:bottom w:val="single" w:sz="8" w:color="auto"/>
            </w:tcBorders>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69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340" w:type="dxa"/>
            <w:vAlign w:val="bottom"/>
          </w:tcPr>
          <w:p>
            <w:pPr>
              <w:spacing w:after="0"/>
              <w:rPr>
                <w:sz w:val="9"/>
                <w:szCs w:val="9"/>
                <w:color w:val="auto"/>
              </w:rPr>
            </w:pPr>
          </w:p>
        </w:tc>
        <w:tc>
          <w:tcPr>
            <w:tcW w:w="90" w:type="dxa"/>
            <w:vAlign w:val="bottom"/>
            <w:tcBorders>
              <w:bottom w:val="single" w:sz="8" w:color="auto"/>
            </w:tcBorders>
          </w:tcPr>
          <w:p>
            <w:pPr>
              <w:spacing w:after="0"/>
              <w:rPr>
                <w:sz w:val="9"/>
                <w:szCs w:val="9"/>
                <w:color w:val="auto"/>
              </w:rPr>
            </w:pPr>
          </w:p>
        </w:tc>
        <w:tc>
          <w:tcPr>
            <w:tcW w:w="63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960" w:type="dxa"/>
            <w:vAlign w:val="bottom"/>
          </w:tcPr>
          <w:p>
            <w:pPr>
              <w:spacing w:after="0"/>
              <w:rPr>
                <w:sz w:val="8"/>
                <w:szCs w:val="8"/>
                <w:color w:val="auto"/>
              </w:rPr>
            </w:pPr>
          </w:p>
        </w:tc>
        <w:tc>
          <w:tcPr>
            <w:tcW w:w="110" w:type="dxa"/>
            <w:vAlign w:val="bottom"/>
          </w:tcPr>
          <w:p>
            <w:pPr>
              <w:spacing w:after="0"/>
              <w:rPr>
                <w:sz w:val="8"/>
                <w:szCs w:val="8"/>
                <w:color w:val="auto"/>
              </w:rPr>
            </w:pPr>
          </w:p>
        </w:tc>
        <w:tc>
          <w:tcPr>
            <w:tcW w:w="69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340" w:type="dxa"/>
            <w:vAlign w:val="bottom"/>
          </w:tcPr>
          <w:p>
            <w:pPr>
              <w:spacing w:after="0"/>
              <w:rPr>
                <w:sz w:val="8"/>
                <w:szCs w:val="8"/>
                <w:color w:val="auto"/>
              </w:rPr>
            </w:pPr>
          </w:p>
        </w:tc>
        <w:tc>
          <w:tcPr>
            <w:tcW w:w="90" w:type="dxa"/>
            <w:vAlign w:val="bottom"/>
          </w:tcPr>
          <w:p>
            <w:pPr>
              <w:spacing w:after="0"/>
              <w:rPr>
                <w:sz w:val="8"/>
                <w:szCs w:val="8"/>
                <w:color w:val="auto"/>
              </w:rPr>
            </w:pPr>
          </w:p>
        </w:tc>
        <w:tc>
          <w:tcPr>
            <w:tcW w:w="63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960" w:type="dxa"/>
            <w:vAlign w:val="bottom"/>
            <w:shd w:val="clear" w:color="auto" w:fill="CCEEFF"/>
          </w:tcPr>
          <w:p>
            <w:pPr>
              <w:spacing w:after="0"/>
              <w:rPr>
                <w:sz w:val="12"/>
                <w:szCs w:val="12"/>
                <w:color w:val="auto"/>
              </w:rPr>
            </w:pPr>
          </w:p>
        </w:tc>
        <w:tc>
          <w:tcPr>
            <w:tcW w:w="110" w:type="dxa"/>
            <w:vAlign w:val="bottom"/>
            <w:shd w:val="clear" w:color="auto" w:fill="CCEEFF"/>
          </w:tcPr>
          <w:p>
            <w:pPr>
              <w:spacing w:after="0"/>
              <w:rPr>
                <w:sz w:val="12"/>
                <w:szCs w:val="12"/>
                <w:color w:val="auto"/>
              </w:rPr>
            </w:pPr>
          </w:p>
        </w:tc>
        <w:tc>
          <w:tcPr>
            <w:tcW w:w="69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94"/>
              </w:rPr>
              <w:t>13,491,354</w:t>
            </w: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85"/>
              </w:rPr>
              <w:t>15,483,653</w:t>
            </w:r>
          </w:p>
        </w:tc>
        <w:tc>
          <w:tcPr>
            <w:tcW w:w="2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90" w:type="dxa"/>
            <w:vAlign w:val="bottom"/>
            <w:shd w:val="clear" w:color="auto" w:fill="CCEEFF"/>
          </w:tcPr>
          <w:p>
            <w:pPr>
              <w:spacing w:after="0"/>
              <w:rPr>
                <w:sz w:val="12"/>
                <w:szCs w:val="12"/>
                <w:color w:val="auto"/>
              </w:rPr>
            </w:pPr>
          </w:p>
        </w:tc>
        <w:tc>
          <w:tcPr>
            <w:tcW w:w="63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5"/>
              </w:rPr>
              <w:t>12,911,324</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960" w:type="dxa"/>
            <w:vAlign w:val="bottom"/>
            <w:tcBorders>
              <w:bottom w:val="single" w:sz="8" w:color="auto"/>
            </w:tcBorders>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69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340" w:type="dxa"/>
            <w:vAlign w:val="bottom"/>
          </w:tcPr>
          <w:p>
            <w:pPr>
              <w:spacing w:after="0"/>
              <w:rPr>
                <w:sz w:val="9"/>
                <w:szCs w:val="9"/>
                <w:color w:val="auto"/>
              </w:rPr>
            </w:pPr>
          </w:p>
        </w:tc>
        <w:tc>
          <w:tcPr>
            <w:tcW w:w="90" w:type="dxa"/>
            <w:vAlign w:val="bottom"/>
            <w:tcBorders>
              <w:bottom w:val="single" w:sz="8" w:color="auto"/>
            </w:tcBorders>
          </w:tcPr>
          <w:p>
            <w:pPr>
              <w:spacing w:after="0"/>
              <w:rPr>
                <w:sz w:val="9"/>
                <w:szCs w:val="9"/>
                <w:color w:val="auto"/>
              </w:rPr>
            </w:pPr>
          </w:p>
        </w:tc>
        <w:tc>
          <w:tcPr>
            <w:tcW w:w="63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960" w:type="dxa"/>
            <w:vAlign w:val="bottom"/>
          </w:tcPr>
          <w:p>
            <w:pPr>
              <w:spacing w:after="0"/>
              <w:rPr>
                <w:sz w:val="8"/>
                <w:szCs w:val="8"/>
                <w:color w:val="auto"/>
              </w:rPr>
            </w:pPr>
          </w:p>
        </w:tc>
        <w:tc>
          <w:tcPr>
            <w:tcW w:w="110" w:type="dxa"/>
            <w:vAlign w:val="bottom"/>
          </w:tcPr>
          <w:p>
            <w:pPr>
              <w:spacing w:after="0"/>
              <w:rPr>
                <w:sz w:val="8"/>
                <w:szCs w:val="8"/>
                <w:color w:val="auto"/>
              </w:rPr>
            </w:pPr>
          </w:p>
        </w:tc>
        <w:tc>
          <w:tcPr>
            <w:tcW w:w="69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340" w:type="dxa"/>
            <w:vAlign w:val="bottom"/>
          </w:tcPr>
          <w:p>
            <w:pPr>
              <w:spacing w:after="0"/>
              <w:rPr>
                <w:sz w:val="8"/>
                <w:szCs w:val="8"/>
                <w:color w:val="auto"/>
              </w:rPr>
            </w:pPr>
          </w:p>
        </w:tc>
        <w:tc>
          <w:tcPr>
            <w:tcW w:w="90" w:type="dxa"/>
            <w:vAlign w:val="bottom"/>
          </w:tcPr>
          <w:p>
            <w:pPr>
              <w:spacing w:after="0"/>
              <w:rPr>
                <w:sz w:val="8"/>
                <w:szCs w:val="8"/>
                <w:color w:val="auto"/>
              </w:rPr>
            </w:pPr>
          </w:p>
        </w:tc>
        <w:tc>
          <w:tcPr>
            <w:tcW w:w="63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960" w:type="dxa"/>
            <w:vAlign w:val="bottom"/>
            <w:shd w:val="clear" w:color="auto" w:fill="CCEEFF"/>
          </w:tcPr>
          <w:p>
            <w:pPr>
              <w:spacing w:after="0" w:line="149" w:lineRule="exact"/>
              <w:rPr>
                <w:sz w:val="20"/>
                <w:szCs w:val="20"/>
                <w:color w:val="auto"/>
              </w:rPr>
            </w:pPr>
            <w:r>
              <w:rPr>
                <w:rFonts w:ascii="Arial" w:cs="Arial" w:eastAsia="Arial" w:hAnsi="Arial"/>
                <w:sz w:val="14"/>
                <w:szCs w:val="14"/>
                <w:i w:val="1"/>
                <w:iCs w:val="1"/>
                <w:color w:val="auto"/>
              </w:rPr>
              <w:t>Income (Loss) from continuing operations before taxes and minority interest</w:t>
            </w:r>
          </w:p>
        </w:tc>
        <w:tc>
          <w:tcPr>
            <w:tcW w:w="110" w:type="dxa"/>
            <w:vAlign w:val="bottom"/>
            <w:shd w:val="clear" w:color="auto" w:fill="CCEEFF"/>
          </w:tcPr>
          <w:p>
            <w:pPr>
              <w:spacing w:after="0"/>
              <w:rPr>
                <w:sz w:val="12"/>
                <w:szCs w:val="12"/>
                <w:color w:val="auto"/>
              </w:rPr>
            </w:pPr>
          </w:p>
        </w:tc>
        <w:tc>
          <w:tcPr>
            <w:tcW w:w="69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567,743</w:t>
            </w: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89"/>
              </w:rPr>
              <w:t>(2,227,023)</w:t>
            </w:r>
          </w:p>
        </w:tc>
        <w:tc>
          <w:tcPr>
            <w:tcW w:w="340" w:type="dxa"/>
            <w:vAlign w:val="bottom"/>
            <w:shd w:val="clear" w:color="auto" w:fill="CCEEFF"/>
          </w:tcPr>
          <w:p>
            <w:pPr>
              <w:spacing w:after="0"/>
              <w:rPr>
                <w:sz w:val="12"/>
                <w:szCs w:val="12"/>
                <w:color w:val="auto"/>
              </w:rPr>
            </w:pPr>
          </w:p>
        </w:tc>
        <w:tc>
          <w:tcPr>
            <w:tcW w:w="90" w:type="dxa"/>
            <w:vAlign w:val="bottom"/>
            <w:shd w:val="clear" w:color="auto" w:fill="CCEEFF"/>
          </w:tcPr>
          <w:p>
            <w:pPr>
              <w:spacing w:after="0"/>
              <w:rPr>
                <w:sz w:val="12"/>
                <w:szCs w:val="12"/>
                <w:color w:val="auto"/>
              </w:rPr>
            </w:pPr>
          </w:p>
        </w:tc>
        <w:tc>
          <w:tcPr>
            <w:tcW w:w="63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1,086,860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960" w:type="dxa"/>
            <w:vAlign w:val="bottom"/>
          </w:tcPr>
          <w:p>
            <w:pPr>
              <w:ind w:left="320"/>
              <w:spacing w:after="0"/>
              <w:rPr>
                <w:sz w:val="20"/>
                <w:szCs w:val="20"/>
                <w:color w:val="auto"/>
              </w:rPr>
            </w:pPr>
            <w:r>
              <w:rPr>
                <w:rFonts w:ascii="Arial" w:cs="Arial" w:eastAsia="Arial" w:hAnsi="Arial"/>
                <w:sz w:val="14"/>
                <w:szCs w:val="14"/>
                <w:color w:val="auto"/>
              </w:rPr>
              <w:t>Taxes on income</w:t>
            </w:r>
          </w:p>
        </w:tc>
        <w:tc>
          <w:tcPr>
            <w:tcW w:w="110" w:type="dxa"/>
            <w:vAlign w:val="bottom"/>
          </w:tcPr>
          <w:p>
            <w:pPr>
              <w:spacing w:after="0"/>
              <w:rPr>
                <w:sz w:val="15"/>
                <w:szCs w:val="15"/>
                <w:color w:val="auto"/>
              </w:rPr>
            </w:pPr>
          </w:p>
        </w:tc>
        <w:tc>
          <w:tcPr>
            <w:tcW w:w="690" w:type="dxa"/>
            <w:vAlign w:val="bottom"/>
          </w:tcPr>
          <w:p>
            <w:pPr>
              <w:jc w:val="right"/>
              <w:spacing w:after="0"/>
              <w:rPr>
                <w:sz w:val="20"/>
                <w:szCs w:val="20"/>
                <w:color w:val="auto"/>
              </w:rPr>
            </w:pPr>
            <w:r>
              <w:rPr>
                <w:rFonts w:ascii="Arial" w:cs="Arial" w:eastAsia="Arial" w:hAnsi="Arial"/>
                <w:sz w:val="14"/>
                <w:szCs w:val="14"/>
                <w:b w:val="1"/>
                <w:bCs w:val="1"/>
                <w:color w:val="auto"/>
              </w:rPr>
              <w:t>209,386</w:t>
            </w: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gridSpan w:val="2"/>
          </w:tcPr>
          <w:p>
            <w:pPr>
              <w:jc w:val="right"/>
              <w:spacing w:after="0"/>
              <w:rPr>
                <w:sz w:val="20"/>
                <w:szCs w:val="20"/>
                <w:color w:val="auto"/>
              </w:rPr>
            </w:pPr>
            <w:r>
              <w:rPr>
                <w:rFonts w:ascii="Arial" w:cs="Arial" w:eastAsia="Arial" w:hAnsi="Arial"/>
                <w:sz w:val="14"/>
                <w:szCs w:val="14"/>
                <w:color w:val="auto"/>
              </w:rPr>
              <w:t>282,070</w:t>
            </w: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 w:type="dxa"/>
            <w:vAlign w:val="bottom"/>
          </w:tcPr>
          <w:p>
            <w:pPr>
              <w:spacing w:after="0"/>
              <w:rPr>
                <w:sz w:val="15"/>
                <w:szCs w:val="15"/>
                <w:color w:val="auto"/>
              </w:rPr>
            </w:pPr>
          </w:p>
        </w:tc>
        <w:tc>
          <w:tcPr>
            <w:tcW w:w="630" w:type="dxa"/>
            <w:vAlign w:val="bottom"/>
          </w:tcPr>
          <w:p>
            <w:pPr>
              <w:jc w:val="right"/>
              <w:spacing w:after="0"/>
              <w:rPr>
                <w:sz w:val="20"/>
                <w:szCs w:val="20"/>
                <w:color w:val="auto"/>
              </w:rPr>
            </w:pPr>
            <w:r>
              <w:rPr>
                <w:rFonts w:ascii="Arial" w:cs="Arial" w:eastAsia="Arial" w:hAnsi="Arial"/>
                <w:sz w:val="14"/>
                <w:szCs w:val="14"/>
                <w:color w:val="auto"/>
              </w:rPr>
              <w:t>564,461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7960" w:type="dxa"/>
            <w:vAlign w:val="bottom"/>
            <w:tcBorders>
              <w:bottom w:val="single" w:sz="8" w:color="auto"/>
            </w:tcBorders>
          </w:tcPr>
          <w:p>
            <w:pPr>
              <w:spacing w:after="0"/>
              <w:rPr>
                <w:sz w:val="7"/>
                <w:szCs w:val="7"/>
                <w:color w:val="auto"/>
              </w:rPr>
            </w:pPr>
          </w:p>
        </w:tc>
        <w:tc>
          <w:tcPr>
            <w:tcW w:w="110" w:type="dxa"/>
            <w:vAlign w:val="bottom"/>
            <w:tcBorders>
              <w:bottom w:val="single" w:sz="8" w:color="auto"/>
            </w:tcBorders>
          </w:tcPr>
          <w:p>
            <w:pPr>
              <w:spacing w:after="0"/>
              <w:rPr>
                <w:sz w:val="7"/>
                <w:szCs w:val="7"/>
                <w:color w:val="auto"/>
              </w:rPr>
            </w:pPr>
          </w:p>
        </w:tc>
        <w:tc>
          <w:tcPr>
            <w:tcW w:w="690" w:type="dxa"/>
            <w:vAlign w:val="bottom"/>
            <w:tcBorders>
              <w:bottom w:val="single" w:sz="8" w:color="auto"/>
            </w:tcBorders>
          </w:tcPr>
          <w:p>
            <w:pPr>
              <w:spacing w:after="0"/>
              <w:rPr>
                <w:sz w:val="7"/>
                <w:szCs w:val="7"/>
                <w:color w:val="auto"/>
              </w:rPr>
            </w:pPr>
          </w:p>
        </w:tc>
        <w:tc>
          <w:tcPr>
            <w:tcW w:w="54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600" w:type="dxa"/>
            <w:vAlign w:val="bottom"/>
            <w:tcBorders>
              <w:bottom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340" w:type="dxa"/>
            <w:vAlign w:val="bottom"/>
          </w:tcPr>
          <w:p>
            <w:pPr>
              <w:spacing w:after="0"/>
              <w:rPr>
                <w:sz w:val="7"/>
                <w:szCs w:val="7"/>
                <w:color w:val="auto"/>
              </w:rPr>
            </w:pPr>
          </w:p>
        </w:tc>
        <w:tc>
          <w:tcPr>
            <w:tcW w:w="90" w:type="dxa"/>
            <w:vAlign w:val="bottom"/>
            <w:tcBorders>
              <w:bottom w:val="single" w:sz="8" w:color="auto"/>
            </w:tcBorders>
          </w:tcPr>
          <w:p>
            <w:pPr>
              <w:spacing w:after="0"/>
              <w:rPr>
                <w:sz w:val="7"/>
                <w:szCs w:val="7"/>
                <w:color w:val="auto"/>
              </w:rPr>
            </w:pPr>
          </w:p>
        </w:tc>
        <w:tc>
          <w:tcPr>
            <w:tcW w:w="63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960" w:type="dxa"/>
            <w:vAlign w:val="bottom"/>
          </w:tcPr>
          <w:p>
            <w:pPr>
              <w:spacing w:after="0"/>
              <w:rPr>
                <w:sz w:val="8"/>
                <w:szCs w:val="8"/>
                <w:color w:val="auto"/>
              </w:rPr>
            </w:pPr>
          </w:p>
        </w:tc>
        <w:tc>
          <w:tcPr>
            <w:tcW w:w="110" w:type="dxa"/>
            <w:vAlign w:val="bottom"/>
          </w:tcPr>
          <w:p>
            <w:pPr>
              <w:spacing w:after="0"/>
              <w:rPr>
                <w:sz w:val="8"/>
                <w:szCs w:val="8"/>
                <w:color w:val="auto"/>
              </w:rPr>
            </w:pPr>
          </w:p>
        </w:tc>
        <w:tc>
          <w:tcPr>
            <w:tcW w:w="69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340" w:type="dxa"/>
            <w:vAlign w:val="bottom"/>
          </w:tcPr>
          <w:p>
            <w:pPr>
              <w:spacing w:after="0"/>
              <w:rPr>
                <w:sz w:val="8"/>
                <w:szCs w:val="8"/>
                <w:color w:val="auto"/>
              </w:rPr>
            </w:pPr>
          </w:p>
        </w:tc>
        <w:tc>
          <w:tcPr>
            <w:tcW w:w="90" w:type="dxa"/>
            <w:vAlign w:val="bottom"/>
          </w:tcPr>
          <w:p>
            <w:pPr>
              <w:spacing w:after="0"/>
              <w:rPr>
                <w:sz w:val="8"/>
                <w:szCs w:val="8"/>
                <w:color w:val="auto"/>
              </w:rPr>
            </w:pPr>
          </w:p>
        </w:tc>
        <w:tc>
          <w:tcPr>
            <w:tcW w:w="63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960" w:type="dxa"/>
            <w:vAlign w:val="bottom"/>
            <w:shd w:val="clear" w:color="auto" w:fill="CCEEFF"/>
          </w:tcPr>
          <w:p>
            <w:pPr>
              <w:spacing w:after="0" w:line="149" w:lineRule="exact"/>
              <w:rPr>
                <w:sz w:val="20"/>
                <w:szCs w:val="20"/>
                <w:color w:val="auto"/>
              </w:rPr>
            </w:pPr>
            <w:r>
              <w:rPr>
                <w:rFonts w:ascii="Arial" w:cs="Arial" w:eastAsia="Arial" w:hAnsi="Arial"/>
                <w:sz w:val="14"/>
                <w:szCs w:val="14"/>
                <w:i w:val="1"/>
                <w:iCs w:val="1"/>
                <w:color w:val="auto"/>
              </w:rPr>
              <w:t>Income (Loss) from continuing operations before minority interest</w:t>
            </w:r>
          </w:p>
        </w:tc>
        <w:tc>
          <w:tcPr>
            <w:tcW w:w="110" w:type="dxa"/>
            <w:vAlign w:val="bottom"/>
            <w:shd w:val="clear" w:color="auto" w:fill="CCEEFF"/>
          </w:tcPr>
          <w:p>
            <w:pPr>
              <w:spacing w:after="0"/>
              <w:rPr>
                <w:sz w:val="12"/>
                <w:szCs w:val="12"/>
                <w:color w:val="auto"/>
              </w:rPr>
            </w:pPr>
          </w:p>
        </w:tc>
        <w:tc>
          <w:tcPr>
            <w:tcW w:w="69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358,357</w:t>
            </w: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89"/>
              </w:rPr>
              <w:t>(2,509,093)</w:t>
            </w:r>
          </w:p>
        </w:tc>
        <w:tc>
          <w:tcPr>
            <w:tcW w:w="340" w:type="dxa"/>
            <w:vAlign w:val="bottom"/>
            <w:shd w:val="clear" w:color="auto" w:fill="CCEEFF"/>
          </w:tcPr>
          <w:p>
            <w:pPr>
              <w:spacing w:after="0"/>
              <w:rPr>
                <w:sz w:val="12"/>
                <w:szCs w:val="12"/>
                <w:color w:val="auto"/>
              </w:rPr>
            </w:pPr>
          </w:p>
        </w:tc>
        <w:tc>
          <w:tcPr>
            <w:tcW w:w="90" w:type="dxa"/>
            <w:vAlign w:val="bottom"/>
            <w:shd w:val="clear" w:color="auto" w:fill="CCEEFF"/>
          </w:tcPr>
          <w:p>
            <w:pPr>
              <w:spacing w:after="0"/>
              <w:rPr>
                <w:sz w:val="12"/>
                <w:szCs w:val="12"/>
                <w:color w:val="auto"/>
              </w:rPr>
            </w:pPr>
          </w:p>
        </w:tc>
        <w:tc>
          <w:tcPr>
            <w:tcW w:w="63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522,399</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960" w:type="dxa"/>
            <w:vAlign w:val="bottom"/>
          </w:tcPr>
          <w:p>
            <w:pPr>
              <w:ind w:left="320"/>
              <w:spacing w:after="0"/>
              <w:rPr>
                <w:sz w:val="20"/>
                <w:szCs w:val="20"/>
                <w:color w:val="auto"/>
              </w:rPr>
            </w:pPr>
            <w:r>
              <w:rPr>
                <w:rFonts w:ascii="Arial" w:cs="Arial" w:eastAsia="Arial" w:hAnsi="Arial"/>
                <w:sz w:val="14"/>
                <w:szCs w:val="14"/>
                <w:color w:val="auto"/>
              </w:rPr>
              <w:t>Minority interest</w:t>
            </w:r>
          </w:p>
        </w:tc>
        <w:tc>
          <w:tcPr>
            <w:tcW w:w="110" w:type="dxa"/>
            <w:vAlign w:val="bottom"/>
          </w:tcPr>
          <w:p>
            <w:pPr>
              <w:spacing w:after="0"/>
              <w:rPr>
                <w:sz w:val="15"/>
                <w:szCs w:val="15"/>
                <w:color w:val="auto"/>
              </w:rPr>
            </w:pPr>
          </w:p>
        </w:tc>
        <w:tc>
          <w:tcPr>
            <w:tcW w:w="690" w:type="dxa"/>
            <w:vAlign w:val="bottom"/>
          </w:tcPr>
          <w:p>
            <w:pPr>
              <w:jc w:val="right"/>
              <w:spacing w:after="0"/>
              <w:rPr>
                <w:sz w:val="20"/>
                <w:szCs w:val="20"/>
                <w:color w:val="auto"/>
              </w:rPr>
            </w:pPr>
            <w:r>
              <w:rPr>
                <w:rFonts w:ascii="Arial" w:cs="Arial" w:eastAsia="Arial" w:hAnsi="Arial"/>
                <w:sz w:val="14"/>
                <w:szCs w:val="14"/>
                <w:b w:val="1"/>
                <w:bCs w:val="1"/>
                <w:color w:val="auto"/>
              </w:rPr>
              <w:t>114,200</w:t>
            </w: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gridSpan w:val="2"/>
          </w:tcPr>
          <w:p>
            <w:pPr>
              <w:jc w:val="right"/>
              <w:spacing w:after="0"/>
              <w:rPr>
                <w:sz w:val="20"/>
                <w:szCs w:val="20"/>
                <w:color w:val="auto"/>
              </w:rPr>
            </w:pPr>
            <w:r>
              <w:rPr>
                <w:rFonts w:ascii="Arial" w:cs="Arial" w:eastAsia="Arial" w:hAnsi="Arial"/>
                <w:sz w:val="14"/>
                <w:szCs w:val="14"/>
                <w:color w:val="auto"/>
              </w:rPr>
              <w:t>91,879</w:t>
            </w: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 w:type="dxa"/>
            <w:vAlign w:val="bottom"/>
          </w:tcPr>
          <w:p>
            <w:pPr>
              <w:spacing w:after="0"/>
              <w:rPr>
                <w:sz w:val="15"/>
                <w:szCs w:val="15"/>
                <w:color w:val="auto"/>
              </w:rPr>
            </w:pPr>
          </w:p>
        </w:tc>
        <w:tc>
          <w:tcPr>
            <w:tcW w:w="730" w:type="dxa"/>
            <w:vAlign w:val="bottom"/>
            <w:gridSpan w:val="2"/>
          </w:tcPr>
          <w:p>
            <w:pPr>
              <w:jc w:val="right"/>
              <w:ind w:right="60"/>
              <w:spacing w:after="0"/>
              <w:rPr>
                <w:sz w:val="20"/>
                <w:szCs w:val="20"/>
                <w:color w:val="auto"/>
              </w:rPr>
            </w:pPr>
            <w:r>
              <w:rPr>
                <w:rFonts w:ascii="Arial" w:cs="Arial" w:eastAsia="Arial" w:hAnsi="Arial"/>
                <w:sz w:val="14"/>
                <w:szCs w:val="14"/>
                <w:color w:val="auto"/>
              </w:rPr>
              <w:t>(28,545)</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7960" w:type="dxa"/>
            <w:vAlign w:val="bottom"/>
            <w:tcBorders>
              <w:bottom w:val="single" w:sz="8" w:color="auto"/>
            </w:tcBorders>
          </w:tcPr>
          <w:p>
            <w:pPr>
              <w:spacing w:after="0"/>
              <w:rPr>
                <w:sz w:val="7"/>
                <w:szCs w:val="7"/>
                <w:color w:val="auto"/>
              </w:rPr>
            </w:pPr>
          </w:p>
        </w:tc>
        <w:tc>
          <w:tcPr>
            <w:tcW w:w="110" w:type="dxa"/>
            <w:vAlign w:val="bottom"/>
            <w:tcBorders>
              <w:bottom w:val="single" w:sz="8" w:color="auto"/>
            </w:tcBorders>
          </w:tcPr>
          <w:p>
            <w:pPr>
              <w:spacing w:after="0"/>
              <w:rPr>
                <w:sz w:val="7"/>
                <w:szCs w:val="7"/>
                <w:color w:val="auto"/>
              </w:rPr>
            </w:pPr>
          </w:p>
        </w:tc>
        <w:tc>
          <w:tcPr>
            <w:tcW w:w="690" w:type="dxa"/>
            <w:vAlign w:val="bottom"/>
            <w:tcBorders>
              <w:bottom w:val="single" w:sz="8" w:color="auto"/>
            </w:tcBorders>
          </w:tcPr>
          <w:p>
            <w:pPr>
              <w:spacing w:after="0"/>
              <w:rPr>
                <w:sz w:val="7"/>
                <w:szCs w:val="7"/>
                <w:color w:val="auto"/>
              </w:rPr>
            </w:pPr>
          </w:p>
        </w:tc>
        <w:tc>
          <w:tcPr>
            <w:tcW w:w="54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600" w:type="dxa"/>
            <w:vAlign w:val="bottom"/>
            <w:tcBorders>
              <w:bottom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340" w:type="dxa"/>
            <w:vAlign w:val="bottom"/>
          </w:tcPr>
          <w:p>
            <w:pPr>
              <w:spacing w:after="0"/>
              <w:rPr>
                <w:sz w:val="7"/>
                <w:szCs w:val="7"/>
                <w:color w:val="auto"/>
              </w:rPr>
            </w:pPr>
          </w:p>
        </w:tc>
        <w:tc>
          <w:tcPr>
            <w:tcW w:w="90" w:type="dxa"/>
            <w:vAlign w:val="bottom"/>
            <w:tcBorders>
              <w:bottom w:val="single" w:sz="8" w:color="auto"/>
            </w:tcBorders>
          </w:tcPr>
          <w:p>
            <w:pPr>
              <w:spacing w:after="0"/>
              <w:rPr>
                <w:sz w:val="7"/>
                <w:szCs w:val="7"/>
                <w:color w:val="auto"/>
              </w:rPr>
            </w:pPr>
          </w:p>
        </w:tc>
        <w:tc>
          <w:tcPr>
            <w:tcW w:w="63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960" w:type="dxa"/>
            <w:vAlign w:val="bottom"/>
          </w:tcPr>
          <w:p>
            <w:pPr>
              <w:spacing w:after="0"/>
              <w:rPr>
                <w:sz w:val="8"/>
                <w:szCs w:val="8"/>
                <w:color w:val="auto"/>
              </w:rPr>
            </w:pPr>
          </w:p>
        </w:tc>
        <w:tc>
          <w:tcPr>
            <w:tcW w:w="110" w:type="dxa"/>
            <w:vAlign w:val="bottom"/>
          </w:tcPr>
          <w:p>
            <w:pPr>
              <w:spacing w:after="0"/>
              <w:rPr>
                <w:sz w:val="8"/>
                <w:szCs w:val="8"/>
                <w:color w:val="auto"/>
              </w:rPr>
            </w:pPr>
          </w:p>
        </w:tc>
        <w:tc>
          <w:tcPr>
            <w:tcW w:w="69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340" w:type="dxa"/>
            <w:vAlign w:val="bottom"/>
          </w:tcPr>
          <w:p>
            <w:pPr>
              <w:spacing w:after="0"/>
              <w:rPr>
                <w:sz w:val="8"/>
                <w:szCs w:val="8"/>
                <w:color w:val="auto"/>
              </w:rPr>
            </w:pPr>
          </w:p>
        </w:tc>
        <w:tc>
          <w:tcPr>
            <w:tcW w:w="90" w:type="dxa"/>
            <w:vAlign w:val="bottom"/>
          </w:tcPr>
          <w:p>
            <w:pPr>
              <w:spacing w:after="0"/>
              <w:rPr>
                <w:sz w:val="8"/>
                <w:szCs w:val="8"/>
                <w:color w:val="auto"/>
              </w:rPr>
            </w:pPr>
          </w:p>
        </w:tc>
        <w:tc>
          <w:tcPr>
            <w:tcW w:w="63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960" w:type="dxa"/>
            <w:vAlign w:val="bottom"/>
            <w:shd w:val="clear" w:color="auto" w:fill="CCEEFF"/>
          </w:tcPr>
          <w:p>
            <w:pPr>
              <w:spacing w:after="0" w:line="149" w:lineRule="exact"/>
              <w:rPr>
                <w:sz w:val="20"/>
                <w:szCs w:val="20"/>
                <w:color w:val="auto"/>
              </w:rPr>
            </w:pPr>
            <w:r>
              <w:rPr>
                <w:rFonts w:ascii="Arial" w:cs="Arial" w:eastAsia="Arial" w:hAnsi="Arial"/>
                <w:sz w:val="14"/>
                <w:szCs w:val="14"/>
                <w:i w:val="1"/>
                <w:iCs w:val="1"/>
                <w:color w:val="auto"/>
              </w:rPr>
              <w:t>Income (Loss) from Continuing Operations</w:t>
            </w:r>
          </w:p>
        </w:tc>
        <w:tc>
          <w:tcPr>
            <w:tcW w:w="110" w:type="dxa"/>
            <w:vAlign w:val="bottom"/>
            <w:shd w:val="clear" w:color="auto" w:fill="CCEEFF"/>
          </w:tcPr>
          <w:p>
            <w:pPr>
              <w:spacing w:after="0"/>
              <w:rPr>
                <w:sz w:val="12"/>
                <w:szCs w:val="12"/>
                <w:color w:val="auto"/>
              </w:rPr>
            </w:pPr>
          </w:p>
        </w:tc>
        <w:tc>
          <w:tcPr>
            <w:tcW w:w="69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472,557</w:t>
            </w: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89"/>
              </w:rPr>
              <w:t>(2,417,214)</w:t>
            </w:r>
          </w:p>
        </w:tc>
        <w:tc>
          <w:tcPr>
            <w:tcW w:w="340" w:type="dxa"/>
            <w:vAlign w:val="bottom"/>
            <w:shd w:val="clear" w:color="auto" w:fill="CCEEFF"/>
          </w:tcPr>
          <w:p>
            <w:pPr>
              <w:spacing w:after="0"/>
              <w:rPr>
                <w:sz w:val="12"/>
                <w:szCs w:val="12"/>
                <w:color w:val="auto"/>
              </w:rPr>
            </w:pPr>
          </w:p>
        </w:tc>
        <w:tc>
          <w:tcPr>
            <w:tcW w:w="90" w:type="dxa"/>
            <w:vAlign w:val="bottom"/>
            <w:shd w:val="clear" w:color="auto" w:fill="CCEEFF"/>
          </w:tcPr>
          <w:p>
            <w:pPr>
              <w:spacing w:after="0"/>
              <w:rPr>
                <w:sz w:val="12"/>
                <w:szCs w:val="12"/>
                <w:color w:val="auto"/>
              </w:rPr>
            </w:pPr>
          </w:p>
        </w:tc>
        <w:tc>
          <w:tcPr>
            <w:tcW w:w="63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493,854</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960" w:type="dxa"/>
            <w:vAlign w:val="bottom"/>
          </w:tcPr>
          <w:p>
            <w:pPr>
              <w:spacing w:after="0"/>
              <w:rPr>
                <w:sz w:val="20"/>
                <w:szCs w:val="20"/>
                <w:color w:val="auto"/>
              </w:rPr>
            </w:pPr>
            <w:r>
              <w:rPr>
                <w:rFonts w:ascii="Arial" w:cs="Arial" w:eastAsia="Arial" w:hAnsi="Arial"/>
                <w:sz w:val="14"/>
                <w:szCs w:val="14"/>
                <w:i w:val="1"/>
                <w:iCs w:val="1"/>
                <w:color w:val="auto"/>
              </w:rPr>
              <w:t>Income (Loss) from Discontinued Operations</w:t>
            </w:r>
          </w:p>
        </w:tc>
        <w:tc>
          <w:tcPr>
            <w:tcW w:w="110" w:type="dxa"/>
            <w:vAlign w:val="bottom"/>
          </w:tcPr>
          <w:p>
            <w:pPr>
              <w:spacing w:after="0"/>
              <w:rPr>
                <w:sz w:val="15"/>
                <w:szCs w:val="15"/>
                <w:color w:val="auto"/>
              </w:rPr>
            </w:pPr>
          </w:p>
        </w:tc>
        <w:tc>
          <w:tcPr>
            <w:tcW w:w="123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(89,555)</w:t>
            </w:r>
          </w:p>
        </w:tc>
        <w:tc>
          <w:tcPr>
            <w:tcW w:w="100" w:type="dxa"/>
            <w:vAlign w:val="bottom"/>
          </w:tcPr>
          <w:p>
            <w:pPr>
              <w:spacing w:after="0"/>
              <w:rPr>
                <w:sz w:val="15"/>
                <w:szCs w:val="15"/>
                <w:color w:val="auto"/>
              </w:rPr>
            </w:pPr>
          </w:p>
        </w:tc>
        <w:tc>
          <w:tcPr>
            <w:tcW w:w="620" w:type="dxa"/>
            <w:vAlign w:val="bottom"/>
            <w:gridSpan w:val="2"/>
          </w:tcPr>
          <w:p>
            <w:pPr>
              <w:jc w:val="right"/>
              <w:spacing w:after="0"/>
              <w:rPr>
                <w:sz w:val="20"/>
                <w:szCs w:val="20"/>
                <w:color w:val="auto"/>
              </w:rPr>
            </w:pPr>
            <w:r>
              <w:rPr>
                <w:rFonts w:ascii="Arial" w:cs="Arial" w:eastAsia="Arial" w:hAnsi="Arial"/>
                <w:sz w:val="14"/>
                <w:szCs w:val="14"/>
                <w:color w:val="auto"/>
              </w:rPr>
              <w:t>97,219</w:t>
            </w: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 w:type="dxa"/>
            <w:vAlign w:val="bottom"/>
          </w:tcPr>
          <w:p>
            <w:pPr>
              <w:spacing w:after="0"/>
              <w:rPr>
                <w:sz w:val="15"/>
                <w:szCs w:val="15"/>
                <w:color w:val="auto"/>
              </w:rPr>
            </w:pPr>
          </w:p>
        </w:tc>
        <w:tc>
          <w:tcPr>
            <w:tcW w:w="630" w:type="dxa"/>
            <w:vAlign w:val="bottom"/>
          </w:tcPr>
          <w:p>
            <w:pPr>
              <w:jc w:val="right"/>
              <w:spacing w:after="0"/>
              <w:rPr>
                <w:sz w:val="20"/>
                <w:szCs w:val="20"/>
                <w:color w:val="auto"/>
              </w:rPr>
            </w:pPr>
            <w:r>
              <w:rPr>
                <w:rFonts w:ascii="Arial" w:cs="Arial" w:eastAsia="Arial" w:hAnsi="Arial"/>
                <w:sz w:val="14"/>
                <w:szCs w:val="14"/>
                <w:color w:val="auto"/>
              </w:rPr>
              <w:t>28,363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7960" w:type="dxa"/>
            <w:vAlign w:val="bottom"/>
            <w:tcBorders>
              <w:bottom w:val="single" w:sz="8" w:color="auto"/>
            </w:tcBorders>
          </w:tcPr>
          <w:p>
            <w:pPr>
              <w:spacing w:after="0"/>
              <w:rPr>
                <w:sz w:val="7"/>
                <w:szCs w:val="7"/>
                <w:color w:val="auto"/>
              </w:rPr>
            </w:pPr>
          </w:p>
        </w:tc>
        <w:tc>
          <w:tcPr>
            <w:tcW w:w="110" w:type="dxa"/>
            <w:vAlign w:val="bottom"/>
            <w:tcBorders>
              <w:bottom w:val="single" w:sz="8" w:color="auto"/>
            </w:tcBorders>
          </w:tcPr>
          <w:p>
            <w:pPr>
              <w:spacing w:after="0"/>
              <w:rPr>
                <w:sz w:val="7"/>
                <w:szCs w:val="7"/>
                <w:color w:val="auto"/>
              </w:rPr>
            </w:pPr>
          </w:p>
        </w:tc>
        <w:tc>
          <w:tcPr>
            <w:tcW w:w="690" w:type="dxa"/>
            <w:vAlign w:val="bottom"/>
            <w:tcBorders>
              <w:bottom w:val="single" w:sz="8" w:color="auto"/>
            </w:tcBorders>
          </w:tcPr>
          <w:p>
            <w:pPr>
              <w:spacing w:after="0"/>
              <w:rPr>
                <w:sz w:val="7"/>
                <w:szCs w:val="7"/>
                <w:color w:val="auto"/>
              </w:rPr>
            </w:pPr>
          </w:p>
        </w:tc>
        <w:tc>
          <w:tcPr>
            <w:tcW w:w="54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600" w:type="dxa"/>
            <w:vAlign w:val="bottom"/>
            <w:tcBorders>
              <w:bottom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340" w:type="dxa"/>
            <w:vAlign w:val="bottom"/>
          </w:tcPr>
          <w:p>
            <w:pPr>
              <w:spacing w:after="0"/>
              <w:rPr>
                <w:sz w:val="7"/>
                <w:szCs w:val="7"/>
                <w:color w:val="auto"/>
              </w:rPr>
            </w:pPr>
          </w:p>
        </w:tc>
        <w:tc>
          <w:tcPr>
            <w:tcW w:w="90" w:type="dxa"/>
            <w:vAlign w:val="bottom"/>
            <w:tcBorders>
              <w:bottom w:val="single" w:sz="8" w:color="auto"/>
            </w:tcBorders>
          </w:tcPr>
          <w:p>
            <w:pPr>
              <w:spacing w:after="0"/>
              <w:rPr>
                <w:sz w:val="7"/>
                <w:szCs w:val="7"/>
                <w:color w:val="auto"/>
              </w:rPr>
            </w:pPr>
          </w:p>
        </w:tc>
        <w:tc>
          <w:tcPr>
            <w:tcW w:w="63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960" w:type="dxa"/>
            <w:vAlign w:val="bottom"/>
          </w:tcPr>
          <w:p>
            <w:pPr>
              <w:spacing w:after="0"/>
              <w:rPr>
                <w:sz w:val="8"/>
                <w:szCs w:val="8"/>
                <w:color w:val="auto"/>
              </w:rPr>
            </w:pPr>
          </w:p>
        </w:tc>
        <w:tc>
          <w:tcPr>
            <w:tcW w:w="110" w:type="dxa"/>
            <w:vAlign w:val="bottom"/>
          </w:tcPr>
          <w:p>
            <w:pPr>
              <w:spacing w:after="0"/>
              <w:rPr>
                <w:sz w:val="8"/>
                <w:szCs w:val="8"/>
                <w:color w:val="auto"/>
              </w:rPr>
            </w:pPr>
          </w:p>
        </w:tc>
        <w:tc>
          <w:tcPr>
            <w:tcW w:w="69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340" w:type="dxa"/>
            <w:vAlign w:val="bottom"/>
          </w:tcPr>
          <w:p>
            <w:pPr>
              <w:spacing w:after="0"/>
              <w:rPr>
                <w:sz w:val="8"/>
                <w:szCs w:val="8"/>
                <w:color w:val="auto"/>
              </w:rPr>
            </w:pPr>
          </w:p>
        </w:tc>
        <w:tc>
          <w:tcPr>
            <w:tcW w:w="90" w:type="dxa"/>
            <w:vAlign w:val="bottom"/>
          </w:tcPr>
          <w:p>
            <w:pPr>
              <w:spacing w:after="0"/>
              <w:rPr>
                <w:sz w:val="8"/>
                <w:szCs w:val="8"/>
                <w:color w:val="auto"/>
              </w:rPr>
            </w:pPr>
          </w:p>
        </w:tc>
        <w:tc>
          <w:tcPr>
            <w:tcW w:w="63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960" w:type="dxa"/>
            <w:vAlign w:val="bottom"/>
            <w:shd w:val="clear" w:color="auto" w:fill="CCEEFF"/>
          </w:tcPr>
          <w:p>
            <w:pPr>
              <w:spacing w:after="0" w:line="149" w:lineRule="exact"/>
              <w:rPr>
                <w:sz w:val="20"/>
                <w:szCs w:val="20"/>
                <w:color w:val="auto"/>
              </w:rPr>
            </w:pPr>
            <w:r>
              <w:rPr>
                <w:rFonts w:ascii="Arial" w:cs="Arial" w:eastAsia="Arial" w:hAnsi="Arial"/>
                <w:sz w:val="14"/>
                <w:szCs w:val="14"/>
                <w:i w:val="1"/>
                <w:iCs w:val="1"/>
                <w:color w:val="auto"/>
              </w:rPr>
              <w:t>Net Income (Loss)</w:t>
            </w:r>
          </w:p>
        </w:tc>
        <w:tc>
          <w:tcPr>
            <w:tcW w:w="11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76"/>
              </w:rPr>
              <w:t>$</w:t>
            </w:r>
          </w:p>
        </w:tc>
        <w:tc>
          <w:tcPr>
            <w:tcW w:w="69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383,002</w:t>
            </w: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84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89"/>
              </w:rPr>
              <w:t>(2,319,995)</w:t>
            </w:r>
          </w:p>
        </w:tc>
        <w:tc>
          <w:tcPr>
            <w:tcW w:w="430" w:type="dxa"/>
            <w:vAlign w:val="bottom"/>
            <w:gridSpan w:val="2"/>
            <w:shd w:val="clear" w:color="auto" w:fill="CCEEFF"/>
          </w:tcPr>
          <w:p>
            <w:pPr>
              <w:jc w:val="right"/>
              <w:ind w:right="30"/>
              <w:spacing w:after="0" w:line="149" w:lineRule="exact"/>
              <w:rPr>
                <w:sz w:val="20"/>
                <w:szCs w:val="20"/>
                <w:color w:val="auto"/>
              </w:rPr>
            </w:pPr>
            <w:r>
              <w:rPr>
                <w:rFonts w:ascii="Arial" w:cs="Arial" w:eastAsia="Arial" w:hAnsi="Arial"/>
                <w:sz w:val="14"/>
                <w:szCs w:val="14"/>
                <w:color w:val="auto"/>
              </w:rPr>
              <w:t>$</w:t>
            </w:r>
          </w:p>
        </w:tc>
        <w:tc>
          <w:tcPr>
            <w:tcW w:w="63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522,217</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960" w:type="dxa"/>
            <w:vAlign w:val="bottom"/>
          </w:tcPr>
          <w:p>
            <w:pPr>
              <w:spacing w:after="0"/>
              <w:rPr>
                <w:sz w:val="11"/>
                <w:szCs w:val="11"/>
                <w:color w:val="auto"/>
              </w:rPr>
            </w:pPr>
          </w:p>
        </w:tc>
        <w:tc>
          <w:tcPr>
            <w:tcW w:w="110" w:type="dxa"/>
            <w:vAlign w:val="bottom"/>
            <w:tcBorders>
              <w:bottom w:val="single" w:sz="8" w:color="auto"/>
            </w:tcBorders>
          </w:tcPr>
          <w:p>
            <w:pPr>
              <w:spacing w:after="0"/>
              <w:rPr>
                <w:sz w:val="11"/>
                <w:szCs w:val="11"/>
                <w:color w:val="auto"/>
              </w:rPr>
            </w:pPr>
          </w:p>
        </w:tc>
        <w:tc>
          <w:tcPr>
            <w:tcW w:w="69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 w:type="dxa"/>
            <w:vAlign w:val="bottom"/>
            <w:tcBorders>
              <w:bottom w:val="single" w:sz="8" w:color="auto"/>
            </w:tcBorders>
          </w:tcPr>
          <w:p>
            <w:pPr>
              <w:spacing w:after="0"/>
              <w:rPr>
                <w:sz w:val="11"/>
                <w:szCs w:val="11"/>
                <w:color w:val="auto"/>
              </w:rPr>
            </w:pPr>
          </w:p>
        </w:tc>
        <w:tc>
          <w:tcPr>
            <w:tcW w:w="63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960" w:type="dxa"/>
            <w:vAlign w:val="bottom"/>
          </w:tcPr>
          <w:p>
            <w:pPr>
              <w:spacing w:after="0"/>
              <w:rPr>
                <w:sz w:val="9"/>
                <w:szCs w:val="9"/>
                <w:color w:val="auto"/>
              </w:rPr>
            </w:pPr>
          </w:p>
        </w:tc>
        <w:tc>
          <w:tcPr>
            <w:tcW w:w="110" w:type="dxa"/>
            <w:vAlign w:val="bottom"/>
          </w:tcPr>
          <w:p>
            <w:pPr>
              <w:spacing w:after="0"/>
              <w:rPr>
                <w:sz w:val="9"/>
                <w:szCs w:val="9"/>
                <w:color w:val="auto"/>
              </w:rPr>
            </w:pPr>
          </w:p>
        </w:tc>
        <w:tc>
          <w:tcPr>
            <w:tcW w:w="69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40" w:type="dxa"/>
            <w:vAlign w:val="bottom"/>
          </w:tcPr>
          <w:p>
            <w:pPr>
              <w:spacing w:after="0"/>
              <w:rPr>
                <w:sz w:val="9"/>
                <w:szCs w:val="9"/>
                <w:color w:val="auto"/>
              </w:rPr>
            </w:pPr>
          </w:p>
        </w:tc>
        <w:tc>
          <w:tcPr>
            <w:tcW w:w="90" w:type="dxa"/>
            <w:vAlign w:val="bottom"/>
          </w:tcPr>
          <w:p>
            <w:pPr>
              <w:spacing w:after="0"/>
              <w:rPr>
                <w:sz w:val="9"/>
                <w:szCs w:val="9"/>
                <w:color w:val="auto"/>
              </w:rPr>
            </w:pPr>
          </w:p>
        </w:tc>
        <w:tc>
          <w:tcPr>
            <w:tcW w:w="63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9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Basic earnings per share:</w:t>
            </w:r>
          </w:p>
        </w:tc>
        <w:tc>
          <w:tcPr>
            <w:tcW w:w="110" w:type="dxa"/>
            <w:vAlign w:val="bottom"/>
            <w:shd w:val="clear" w:color="auto" w:fill="CCEEFF"/>
          </w:tcPr>
          <w:p>
            <w:pPr>
              <w:spacing w:after="0"/>
              <w:rPr>
                <w:sz w:val="12"/>
                <w:szCs w:val="12"/>
                <w:color w:val="auto"/>
              </w:rPr>
            </w:pPr>
          </w:p>
        </w:tc>
        <w:tc>
          <w:tcPr>
            <w:tcW w:w="69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90" w:type="dxa"/>
            <w:vAlign w:val="bottom"/>
            <w:shd w:val="clear" w:color="auto" w:fill="CCEEFF"/>
          </w:tcPr>
          <w:p>
            <w:pPr>
              <w:spacing w:after="0"/>
              <w:rPr>
                <w:sz w:val="12"/>
                <w:szCs w:val="12"/>
                <w:color w:val="auto"/>
              </w:rPr>
            </w:pPr>
          </w:p>
        </w:tc>
        <w:tc>
          <w:tcPr>
            <w:tcW w:w="63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960" w:type="dxa"/>
            <w:vAlign w:val="bottom"/>
          </w:tcPr>
          <w:p>
            <w:pPr>
              <w:ind w:left="320"/>
              <w:spacing w:after="0" w:line="149" w:lineRule="exact"/>
              <w:rPr>
                <w:sz w:val="20"/>
                <w:szCs w:val="20"/>
                <w:color w:val="auto"/>
              </w:rPr>
            </w:pPr>
            <w:r>
              <w:rPr>
                <w:rFonts w:ascii="Arial" w:cs="Arial" w:eastAsia="Arial" w:hAnsi="Arial"/>
                <w:sz w:val="14"/>
                <w:szCs w:val="14"/>
                <w:color w:val="auto"/>
              </w:rPr>
              <w:t>Income (Loss) from Continuing Operations</w:t>
            </w:r>
          </w:p>
        </w:tc>
        <w:tc>
          <w:tcPr>
            <w:tcW w:w="11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76"/>
              </w:rPr>
              <w:t>$</w:t>
            </w:r>
          </w:p>
        </w:tc>
        <w:tc>
          <w:tcPr>
            <w:tcW w:w="69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0.81</w:t>
            </w:r>
          </w:p>
        </w:tc>
        <w:tc>
          <w:tcPr>
            <w:tcW w:w="540" w:type="dxa"/>
            <w:vAlign w:val="bottom"/>
          </w:tcPr>
          <w:p>
            <w:pPr>
              <w:spacing w:after="0"/>
              <w:rPr>
                <w:sz w:val="12"/>
                <w:szCs w:val="12"/>
                <w:color w:val="auto"/>
              </w:rPr>
            </w:pPr>
          </w:p>
        </w:tc>
        <w:tc>
          <w:tcPr>
            <w:tcW w:w="10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84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(4.18)</w:t>
            </w:r>
          </w:p>
        </w:tc>
        <w:tc>
          <w:tcPr>
            <w:tcW w:w="430" w:type="dxa"/>
            <w:vAlign w:val="bottom"/>
            <w:gridSpan w:val="2"/>
          </w:tcPr>
          <w:p>
            <w:pPr>
              <w:jc w:val="right"/>
              <w:ind w:right="30"/>
              <w:spacing w:after="0" w:line="149" w:lineRule="exact"/>
              <w:rPr>
                <w:sz w:val="20"/>
                <w:szCs w:val="20"/>
                <w:color w:val="auto"/>
              </w:rPr>
            </w:pPr>
            <w:r>
              <w:rPr>
                <w:rFonts w:ascii="Arial" w:cs="Arial" w:eastAsia="Arial" w:hAnsi="Arial"/>
                <w:sz w:val="14"/>
                <w:szCs w:val="14"/>
                <w:color w:val="auto"/>
              </w:rPr>
              <w:t>$</w:t>
            </w:r>
          </w:p>
        </w:tc>
        <w:tc>
          <w:tcPr>
            <w:tcW w:w="630" w:type="dxa"/>
            <w:vAlign w:val="bottom"/>
          </w:tcPr>
          <w:p>
            <w:pPr>
              <w:jc w:val="right"/>
              <w:spacing w:after="0" w:line="149" w:lineRule="exact"/>
              <w:rPr>
                <w:sz w:val="20"/>
                <w:szCs w:val="20"/>
                <w:color w:val="auto"/>
              </w:rPr>
            </w:pPr>
            <w:r>
              <w:rPr>
                <w:rFonts w:ascii="Arial" w:cs="Arial" w:eastAsia="Arial" w:hAnsi="Arial"/>
                <w:sz w:val="14"/>
                <w:szCs w:val="14"/>
                <w:color w:val="auto"/>
              </w:rPr>
              <w:t>0.86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96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Income (Loss) from Discontinued Operations</w:t>
            </w:r>
          </w:p>
        </w:tc>
        <w:tc>
          <w:tcPr>
            <w:tcW w:w="110" w:type="dxa"/>
            <w:vAlign w:val="bottom"/>
            <w:shd w:val="clear" w:color="auto" w:fill="CCEEFF"/>
          </w:tcPr>
          <w:p>
            <w:pPr>
              <w:spacing w:after="0"/>
              <w:rPr>
                <w:sz w:val="12"/>
                <w:szCs w:val="12"/>
                <w:color w:val="auto"/>
              </w:rPr>
            </w:pPr>
          </w:p>
        </w:tc>
        <w:tc>
          <w:tcPr>
            <w:tcW w:w="123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b w:val="1"/>
                <w:bCs w:val="1"/>
                <w:color w:val="auto"/>
              </w:rPr>
              <w:t>(0.15)</w:t>
            </w: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0.17</w:t>
            </w:r>
          </w:p>
        </w:tc>
        <w:tc>
          <w:tcPr>
            <w:tcW w:w="2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90" w:type="dxa"/>
            <w:vAlign w:val="bottom"/>
            <w:shd w:val="clear" w:color="auto" w:fill="CCEEFF"/>
          </w:tcPr>
          <w:p>
            <w:pPr>
              <w:spacing w:after="0"/>
              <w:rPr>
                <w:sz w:val="12"/>
                <w:szCs w:val="12"/>
                <w:color w:val="auto"/>
              </w:rPr>
            </w:pPr>
          </w:p>
        </w:tc>
        <w:tc>
          <w:tcPr>
            <w:tcW w:w="63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0.05</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960" w:type="dxa"/>
            <w:vAlign w:val="bottom"/>
            <w:tcBorders>
              <w:bottom w:val="single" w:sz="8" w:color="auto"/>
            </w:tcBorders>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69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340" w:type="dxa"/>
            <w:vAlign w:val="bottom"/>
          </w:tcPr>
          <w:p>
            <w:pPr>
              <w:spacing w:after="0"/>
              <w:rPr>
                <w:sz w:val="9"/>
                <w:szCs w:val="9"/>
                <w:color w:val="auto"/>
              </w:rPr>
            </w:pPr>
          </w:p>
        </w:tc>
        <w:tc>
          <w:tcPr>
            <w:tcW w:w="90" w:type="dxa"/>
            <w:vAlign w:val="bottom"/>
            <w:tcBorders>
              <w:bottom w:val="single" w:sz="8" w:color="auto"/>
            </w:tcBorders>
          </w:tcPr>
          <w:p>
            <w:pPr>
              <w:spacing w:after="0"/>
              <w:rPr>
                <w:sz w:val="9"/>
                <w:szCs w:val="9"/>
                <w:color w:val="auto"/>
              </w:rPr>
            </w:pPr>
          </w:p>
        </w:tc>
        <w:tc>
          <w:tcPr>
            <w:tcW w:w="63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960" w:type="dxa"/>
            <w:vAlign w:val="bottom"/>
          </w:tcPr>
          <w:p>
            <w:pPr>
              <w:spacing w:after="0"/>
              <w:rPr>
                <w:sz w:val="8"/>
                <w:szCs w:val="8"/>
                <w:color w:val="auto"/>
              </w:rPr>
            </w:pPr>
          </w:p>
        </w:tc>
        <w:tc>
          <w:tcPr>
            <w:tcW w:w="110" w:type="dxa"/>
            <w:vAlign w:val="bottom"/>
          </w:tcPr>
          <w:p>
            <w:pPr>
              <w:spacing w:after="0"/>
              <w:rPr>
                <w:sz w:val="8"/>
                <w:szCs w:val="8"/>
                <w:color w:val="auto"/>
              </w:rPr>
            </w:pPr>
          </w:p>
        </w:tc>
        <w:tc>
          <w:tcPr>
            <w:tcW w:w="69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340" w:type="dxa"/>
            <w:vAlign w:val="bottom"/>
          </w:tcPr>
          <w:p>
            <w:pPr>
              <w:spacing w:after="0"/>
              <w:rPr>
                <w:sz w:val="8"/>
                <w:szCs w:val="8"/>
                <w:color w:val="auto"/>
              </w:rPr>
            </w:pPr>
          </w:p>
        </w:tc>
        <w:tc>
          <w:tcPr>
            <w:tcW w:w="90" w:type="dxa"/>
            <w:vAlign w:val="bottom"/>
          </w:tcPr>
          <w:p>
            <w:pPr>
              <w:spacing w:after="0"/>
              <w:rPr>
                <w:sz w:val="8"/>
                <w:szCs w:val="8"/>
                <w:color w:val="auto"/>
              </w:rPr>
            </w:pPr>
          </w:p>
        </w:tc>
        <w:tc>
          <w:tcPr>
            <w:tcW w:w="63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96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Net Income (Loss)</w:t>
            </w:r>
          </w:p>
        </w:tc>
        <w:tc>
          <w:tcPr>
            <w:tcW w:w="110" w:type="dxa"/>
            <w:vAlign w:val="bottom"/>
            <w:shd w:val="clear" w:color="auto" w:fill="CCEEFF"/>
          </w:tcPr>
          <w:p>
            <w:pPr>
              <w:spacing w:after="0"/>
              <w:rPr>
                <w:sz w:val="12"/>
                <w:szCs w:val="12"/>
                <w:color w:val="auto"/>
              </w:rPr>
            </w:pPr>
          </w:p>
        </w:tc>
        <w:tc>
          <w:tcPr>
            <w:tcW w:w="69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0.66</w:t>
            </w: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(4.01)</w:t>
            </w:r>
          </w:p>
        </w:tc>
        <w:tc>
          <w:tcPr>
            <w:tcW w:w="340" w:type="dxa"/>
            <w:vAlign w:val="bottom"/>
            <w:shd w:val="clear" w:color="auto" w:fill="CCEEFF"/>
          </w:tcPr>
          <w:p>
            <w:pPr>
              <w:spacing w:after="0"/>
              <w:rPr>
                <w:sz w:val="12"/>
                <w:szCs w:val="12"/>
                <w:color w:val="auto"/>
              </w:rPr>
            </w:pPr>
          </w:p>
        </w:tc>
        <w:tc>
          <w:tcPr>
            <w:tcW w:w="90" w:type="dxa"/>
            <w:vAlign w:val="bottom"/>
            <w:shd w:val="clear" w:color="auto" w:fill="CCEEFF"/>
          </w:tcPr>
          <w:p>
            <w:pPr>
              <w:spacing w:after="0"/>
              <w:rPr>
                <w:sz w:val="12"/>
                <w:szCs w:val="12"/>
                <w:color w:val="auto"/>
              </w:rPr>
            </w:pPr>
          </w:p>
        </w:tc>
        <w:tc>
          <w:tcPr>
            <w:tcW w:w="63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0.91</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960" w:type="dxa"/>
            <w:vAlign w:val="bottom"/>
          </w:tcPr>
          <w:p>
            <w:pPr>
              <w:ind w:left="320"/>
              <w:spacing w:after="0"/>
              <w:rPr>
                <w:sz w:val="20"/>
                <w:szCs w:val="20"/>
                <w:color w:val="auto"/>
              </w:rPr>
            </w:pPr>
            <w:r>
              <w:rPr>
                <w:rFonts w:ascii="Arial" w:cs="Arial" w:eastAsia="Arial" w:hAnsi="Arial"/>
                <w:sz w:val="14"/>
                <w:szCs w:val="14"/>
                <w:color w:val="auto"/>
              </w:rPr>
              <w:t>Add back amortization of goodwill</w:t>
            </w:r>
          </w:p>
        </w:tc>
        <w:tc>
          <w:tcPr>
            <w:tcW w:w="110" w:type="dxa"/>
            <w:vAlign w:val="bottom"/>
          </w:tcPr>
          <w:p>
            <w:pPr>
              <w:spacing w:after="0"/>
              <w:rPr>
                <w:sz w:val="15"/>
                <w:szCs w:val="15"/>
                <w:color w:val="auto"/>
              </w:rPr>
            </w:pPr>
          </w:p>
        </w:tc>
        <w:tc>
          <w:tcPr>
            <w:tcW w:w="123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5"/>
                <w:szCs w:val="15"/>
                <w:color w:val="auto"/>
              </w:rPr>
            </w:pPr>
          </w:p>
        </w:tc>
        <w:tc>
          <w:tcPr>
            <w:tcW w:w="90" w:type="dxa"/>
            <w:vAlign w:val="bottom"/>
          </w:tcPr>
          <w:p>
            <w:pPr>
              <w:spacing w:after="0"/>
              <w:rPr>
                <w:sz w:val="15"/>
                <w:szCs w:val="15"/>
                <w:color w:val="auto"/>
              </w:rPr>
            </w:pPr>
          </w:p>
        </w:tc>
        <w:tc>
          <w:tcPr>
            <w:tcW w:w="630" w:type="dxa"/>
            <w:vAlign w:val="bottom"/>
          </w:tcPr>
          <w:p>
            <w:pPr>
              <w:jc w:val="right"/>
              <w:spacing w:after="0"/>
              <w:rPr>
                <w:sz w:val="20"/>
                <w:szCs w:val="20"/>
                <w:color w:val="auto"/>
              </w:rPr>
            </w:pPr>
            <w:r>
              <w:rPr>
                <w:rFonts w:ascii="Arial" w:cs="Arial" w:eastAsia="Arial" w:hAnsi="Arial"/>
                <w:sz w:val="14"/>
                <w:szCs w:val="14"/>
                <w:color w:val="auto"/>
              </w:rPr>
              <w:t>0.50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7960" w:type="dxa"/>
            <w:vAlign w:val="bottom"/>
            <w:tcBorders>
              <w:bottom w:val="single" w:sz="8" w:color="auto"/>
            </w:tcBorders>
          </w:tcPr>
          <w:p>
            <w:pPr>
              <w:spacing w:after="0"/>
              <w:rPr>
                <w:sz w:val="7"/>
                <w:szCs w:val="7"/>
                <w:color w:val="auto"/>
              </w:rPr>
            </w:pPr>
          </w:p>
        </w:tc>
        <w:tc>
          <w:tcPr>
            <w:tcW w:w="110" w:type="dxa"/>
            <w:vAlign w:val="bottom"/>
            <w:tcBorders>
              <w:bottom w:val="single" w:sz="8" w:color="auto"/>
            </w:tcBorders>
          </w:tcPr>
          <w:p>
            <w:pPr>
              <w:spacing w:after="0"/>
              <w:rPr>
                <w:sz w:val="7"/>
                <w:szCs w:val="7"/>
                <w:color w:val="auto"/>
              </w:rPr>
            </w:pPr>
          </w:p>
        </w:tc>
        <w:tc>
          <w:tcPr>
            <w:tcW w:w="690" w:type="dxa"/>
            <w:vAlign w:val="bottom"/>
            <w:tcBorders>
              <w:bottom w:val="single" w:sz="8" w:color="auto"/>
            </w:tcBorders>
          </w:tcPr>
          <w:p>
            <w:pPr>
              <w:spacing w:after="0"/>
              <w:rPr>
                <w:sz w:val="7"/>
                <w:szCs w:val="7"/>
                <w:color w:val="auto"/>
              </w:rPr>
            </w:pPr>
          </w:p>
        </w:tc>
        <w:tc>
          <w:tcPr>
            <w:tcW w:w="54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600" w:type="dxa"/>
            <w:vAlign w:val="bottom"/>
            <w:tcBorders>
              <w:bottom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340" w:type="dxa"/>
            <w:vAlign w:val="bottom"/>
          </w:tcPr>
          <w:p>
            <w:pPr>
              <w:spacing w:after="0"/>
              <w:rPr>
                <w:sz w:val="7"/>
                <w:szCs w:val="7"/>
                <w:color w:val="auto"/>
              </w:rPr>
            </w:pPr>
          </w:p>
        </w:tc>
        <w:tc>
          <w:tcPr>
            <w:tcW w:w="90" w:type="dxa"/>
            <w:vAlign w:val="bottom"/>
            <w:tcBorders>
              <w:bottom w:val="single" w:sz="8" w:color="auto"/>
            </w:tcBorders>
          </w:tcPr>
          <w:p>
            <w:pPr>
              <w:spacing w:after="0"/>
              <w:rPr>
                <w:sz w:val="7"/>
                <w:szCs w:val="7"/>
                <w:color w:val="auto"/>
              </w:rPr>
            </w:pPr>
          </w:p>
        </w:tc>
        <w:tc>
          <w:tcPr>
            <w:tcW w:w="63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960" w:type="dxa"/>
            <w:vAlign w:val="bottom"/>
          </w:tcPr>
          <w:p>
            <w:pPr>
              <w:spacing w:after="0"/>
              <w:rPr>
                <w:sz w:val="8"/>
                <w:szCs w:val="8"/>
                <w:color w:val="auto"/>
              </w:rPr>
            </w:pPr>
          </w:p>
        </w:tc>
        <w:tc>
          <w:tcPr>
            <w:tcW w:w="110" w:type="dxa"/>
            <w:vAlign w:val="bottom"/>
          </w:tcPr>
          <w:p>
            <w:pPr>
              <w:spacing w:after="0"/>
              <w:rPr>
                <w:sz w:val="8"/>
                <w:szCs w:val="8"/>
                <w:color w:val="auto"/>
              </w:rPr>
            </w:pPr>
          </w:p>
        </w:tc>
        <w:tc>
          <w:tcPr>
            <w:tcW w:w="69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340" w:type="dxa"/>
            <w:vAlign w:val="bottom"/>
          </w:tcPr>
          <w:p>
            <w:pPr>
              <w:spacing w:after="0"/>
              <w:rPr>
                <w:sz w:val="8"/>
                <w:szCs w:val="8"/>
                <w:color w:val="auto"/>
              </w:rPr>
            </w:pPr>
          </w:p>
        </w:tc>
        <w:tc>
          <w:tcPr>
            <w:tcW w:w="90" w:type="dxa"/>
            <w:vAlign w:val="bottom"/>
          </w:tcPr>
          <w:p>
            <w:pPr>
              <w:spacing w:after="0"/>
              <w:rPr>
                <w:sz w:val="8"/>
                <w:szCs w:val="8"/>
                <w:color w:val="auto"/>
              </w:rPr>
            </w:pPr>
          </w:p>
        </w:tc>
        <w:tc>
          <w:tcPr>
            <w:tcW w:w="63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96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Adjusted earnings (loss) per share</w:t>
            </w:r>
          </w:p>
        </w:tc>
        <w:tc>
          <w:tcPr>
            <w:tcW w:w="11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76"/>
              </w:rPr>
              <w:t>$</w:t>
            </w:r>
          </w:p>
        </w:tc>
        <w:tc>
          <w:tcPr>
            <w:tcW w:w="69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0.66</w:t>
            </w: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84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(4.01)</w:t>
            </w:r>
          </w:p>
        </w:tc>
        <w:tc>
          <w:tcPr>
            <w:tcW w:w="430" w:type="dxa"/>
            <w:vAlign w:val="bottom"/>
            <w:gridSpan w:val="2"/>
            <w:shd w:val="clear" w:color="auto" w:fill="CCEEFF"/>
          </w:tcPr>
          <w:p>
            <w:pPr>
              <w:jc w:val="right"/>
              <w:ind w:right="30"/>
              <w:spacing w:after="0" w:line="149" w:lineRule="exact"/>
              <w:rPr>
                <w:sz w:val="20"/>
                <w:szCs w:val="20"/>
                <w:color w:val="auto"/>
              </w:rPr>
            </w:pPr>
            <w:r>
              <w:rPr>
                <w:rFonts w:ascii="Arial" w:cs="Arial" w:eastAsia="Arial" w:hAnsi="Arial"/>
                <w:sz w:val="14"/>
                <w:szCs w:val="14"/>
                <w:color w:val="auto"/>
              </w:rPr>
              <w:t>$</w:t>
            </w:r>
          </w:p>
        </w:tc>
        <w:tc>
          <w:tcPr>
            <w:tcW w:w="63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1.41</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960" w:type="dxa"/>
            <w:vAlign w:val="bottom"/>
          </w:tcPr>
          <w:p>
            <w:pPr>
              <w:spacing w:after="0"/>
              <w:rPr>
                <w:sz w:val="11"/>
                <w:szCs w:val="11"/>
                <w:color w:val="auto"/>
              </w:rPr>
            </w:pPr>
          </w:p>
        </w:tc>
        <w:tc>
          <w:tcPr>
            <w:tcW w:w="110" w:type="dxa"/>
            <w:vAlign w:val="bottom"/>
            <w:tcBorders>
              <w:bottom w:val="single" w:sz="8" w:color="auto"/>
            </w:tcBorders>
          </w:tcPr>
          <w:p>
            <w:pPr>
              <w:spacing w:after="0"/>
              <w:rPr>
                <w:sz w:val="11"/>
                <w:szCs w:val="11"/>
                <w:color w:val="auto"/>
              </w:rPr>
            </w:pPr>
          </w:p>
        </w:tc>
        <w:tc>
          <w:tcPr>
            <w:tcW w:w="69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 w:type="dxa"/>
            <w:vAlign w:val="bottom"/>
            <w:tcBorders>
              <w:bottom w:val="single" w:sz="8" w:color="auto"/>
            </w:tcBorders>
          </w:tcPr>
          <w:p>
            <w:pPr>
              <w:spacing w:after="0"/>
              <w:rPr>
                <w:sz w:val="11"/>
                <w:szCs w:val="11"/>
                <w:color w:val="auto"/>
              </w:rPr>
            </w:pPr>
          </w:p>
        </w:tc>
        <w:tc>
          <w:tcPr>
            <w:tcW w:w="63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960" w:type="dxa"/>
            <w:vAlign w:val="bottom"/>
          </w:tcPr>
          <w:p>
            <w:pPr>
              <w:spacing w:after="0"/>
              <w:rPr>
                <w:sz w:val="9"/>
                <w:szCs w:val="9"/>
                <w:color w:val="auto"/>
              </w:rPr>
            </w:pPr>
          </w:p>
        </w:tc>
        <w:tc>
          <w:tcPr>
            <w:tcW w:w="110" w:type="dxa"/>
            <w:vAlign w:val="bottom"/>
          </w:tcPr>
          <w:p>
            <w:pPr>
              <w:spacing w:after="0"/>
              <w:rPr>
                <w:sz w:val="9"/>
                <w:szCs w:val="9"/>
                <w:color w:val="auto"/>
              </w:rPr>
            </w:pPr>
          </w:p>
        </w:tc>
        <w:tc>
          <w:tcPr>
            <w:tcW w:w="69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40" w:type="dxa"/>
            <w:vAlign w:val="bottom"/>
          </w:tcPr>
          <w:p>
            <w:pPr>
              <w:spacing w:after="0"/>
              <w:rPr>
                <w:sz w:val="9"/>
                <w:szCs w:val="9"/>
                <w:color w:val="auto"/>
              </w:rPr>
            </w:pPr>
          </w:p>
        </w:tc>
        <w:tc>
          <w:tcPr>
            <w:tcW w:w="90" w:type="dxa"/>
            <w:vAlign w:val="bottom"/>
          </w:tcPr>
          <w:p>
            <w:pPr>
              <w:spacing w:after="0"/>
              <w:rPr>
                <w:sz w:val="9"/>
                <w:szCs w:val="9"/>
                <w:color w:val="auto"/>
              </w:rPr>
            </w:pPr>
          </w:p>
        </w:tc>
        <w:tc>
          <w:tcPr>
            <w:tcW w:w="63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9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Diluted earnings per share:</w:t>
            </w:r>
          </w:p>
        </w:tc>
        <w:tc>
          <w:tcPr>
            <w:tcW w:w="110" w:type="dxa"/>
            <w:vAlign w:val="bottom"/>
            <w:shd w:val="clear" w:color="auto" w:fill="CCEEFF"/>
          </w:tcPr>
          <w:p>
            <w:pPr>
              <w:spacing w:after="0"/>
              <w:rPr>
                <w:sz w:val="12"/>
                <w:szCs w:val="12"/>
                <w:color w:val="auto"/>
              </w:rPr>
            </w:pPr>
          </w:p>
        </w:tc>
        <w:tc>
          <w:tcPr>
            <w:tcW w:w="69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90" w:type="dxa"/>
            <w:vAlign w:val="bottom"/>
            <w:shd w:val="clear" w:color="auto" w:fill="CCEEFF"/>
          </w:tcPr>
          <w:p>
            <w:pPr>
              <w:spacing w:after="0"/>
              <w:rPr>
                <w:sz w:val="12"/>
                <w:szCs w:val="12"/>
                <w:color w:val="auto"/>
              </w:rPr>
            </w:pPr>
          </w:p>
        </w:tc>
        <w:tc>
          <w:tcPr>
            <w:tcW w:w="63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960" w:type="dxa"/>
            <w:vAlign w:val="bottom"/>
          </w:tcPr>
          <w:p>
            <w:pPr>
              <w:ind w:left="320"/>
              <w:spacing w:after="0" w:line="149" w:lineRule="exact"/>
              <w:rPr>
                <w:sz w:val="20"/>
                <w:szCs w:val="20"/>
                <w:color w:val="auto"/>
              </w:rPr>
            </w:pPr>
            <w:r>
              <w:rPr>
                <w:rFonts w:ascii="Arial" w:cs="Arial" w:eastAsia="Arial" w:hAnsi="Arial"/>
                <w:sz w:val="14"/>
                <w:szCs w:val="14"/>
                <w:color w:val="auto"/>
              </w:rPr>
              <w:t>Income (Loss) from Continuing Operations</w:t>
            </w:r>
          </w:p>
        </w:tc>
        <w:tc>
          <w:tcPr>
            <w:tcW w:w="11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76"/>
              </w:rPr>
              <w:t>$</w:t>
            </w:r>
          </w:p>
        </w:tc>
        <w:tc>
          <w:tcPr>
            <w:tcW w:w="69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0.81</w:t>
            </w:r>
          </w:p>
        </w:tc>
        <w:tc>
          <w:tcPr>
            <w:tcW w:w="540" w:type="dxa"/>
            <w:vAlign w:val="bottom"/>
          </w:tcPr>
          <w:p>
            <w:pPr>
              <w:spacing w:after="0"/>
              <w:rPr>
                <w:sz w:val="12"/>
                <w:szCs w:val="12"/>
                <w:color w:val="auto"/>
              </w:rPr>
            </w:pPr>
          </w:p>
        </w:tc>
        <w:tc>
          <w:tcPr>
            <w:tcW w:w="10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84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(4.18)</w:t>
            </w:r>
          </w:p>
        </w:tc>
        <w:tc>
          <w:tcPr>
            <w:tcW w:w="430" w:type="dxa"/>
            <w:vAlign w:val="bottom"/>
            <w:gridSpan w:val="2"/>
          </w:tcPr>
          <w:p>
            <w:pPr>
              <w:jc w:val="right"/>
              <w:ind w:right="30"/>
              <w:spacing w:after="0" w:line="149" w:lineRule="exact"/>
              <w:rPr>
                <w:sz w:val="20"/>
                <w:szCs w:val="20"/>
                <w:color w:val="auto"/>
              </w:rPr>
            </w:pPr>
            <w:r>
              <w:rPr>
                <w:rFonts w:ascii="Arial" w:cs="Arial" w:eastAsia="Arial" w:hAnsi="Arial"/>
                <w:sz w:val="14"/>
                <w:szCs w:val="14"/>
                <w:color w:val="auto"/>
              </w:rPr>
              <w:t>$</w:t>
            </w:r>
          </w:p>
        </w:tc>
        <w:tc>
          <w:tcPr>
            <w:tcW w:w="630" w:type="dxa"/>
            <w:vAlign w:val="bottom"/>
          </w:tcPr>
          <w:p>
            <w:pPr>
              <w:jc w:val="right"/>
              <w:spacing w:after="0" w:line="149" w:lineRule="exact"/>
              <w:rPr>
                <w:sz w:val="20"/>
                <w:szCs w:val="20"/>
                <w:color w:val="auto"/>
              </w:rPr>
            </w:pPr>
            <w:r>
              <w:rPr>
                <w:rFonts w:ascii="Arial" w:cs="Arial" w:eastAsia="Arial" w:hAnsi="Arial"/>
                <w:sz w:val="14"/>
                <w:szCs w:val="14"/>
                <w:color w:val="auto"/>
              </w:rPr>
              <w:t>0.85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96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Income (Loss) from Discontinued Operations</w:t>
            </w:r>
          </w:p>
        </w:tc>
        <w:tc>
          <w:tcPr>
            <w:tcW w:w="110" w:type="dxa"/>
            <w:vAlign w:val="bottom"/>
            <w:shd w:val="clear" w:color="auto" w:fill="CCEEFF"/>
          </w:tcPr>
          <w:p>
            <w:pPr>
              <w:spacing w:after="0"/>
              <w:rPr>
                <w:sz w:val="12"/>
                <w:szCs w:val="12"/>
                <w:color w:val="auto"/>
              </w:rPr>
            </w:pPr>
          </w:p>
        </w:tc>
        <w:tc>
          <w:tcPr>
            <w:tcW w:w="123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b w:val="1"/>
                <w:bCs w:val="1"/>
                <w:color w:val="auto"/>
              </w:rPr>
              <w:t>(0.15)</w:t>
            </w: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0.17</w:t>
            </w:r>
          </w:p>
        </w:tc>
        <w:tc>
          <w:tcPr>
            <w:tcW w:w="2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90" w:type="dxa"/>
            <w:vAlign w:val="bottom"/>
            <w:shd w:val="clear" w:color="auto" w:fill="CCEEFF"/>
          </w:tcPr>
          <w:p>
            <w:pPr>
              <w:spacing w:after="0"/>
              <w:rPr>
                <w:sz w:val="12"/>
                <w:szCs w:val="12"/>
                <w:color w:val="auto"/>
              </w:rPr>
            </w:pPr>
          </w:p>
        </w:tc>
        <w:tc>
          <w:tcPr>
            <w:tcW w:w="63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0.06</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960" w:type="dxa"/>
            <w:vAlign w:val="bottom"/>
            <w:tcBorders>
              <w:bottom w:val="single" w:sz="8" w:color="auto"/>
            </w:tcBorders>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69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340" w:type="dxa"/>
            <w:vAlign w:val="bottom"/>
          </w:tcPr>
          <w:p>
            <w:pPr>
              <w:spacing w:after="0"/>
              <w:rPr>
                <w:sz w:val="9"/>
                <w:szCs w:val="9"/>
                <w:color w:val="auto"/>
              </w:rPr>
            </w:pPr>
          </w:p>
        </w:tc>
        <w:tc>
          <w:tcPr>
            <w:tcW w:w="90" w:type="dxa"/>
            <w:vAlign w:val="bottom"/>
            <w:tcBorders>
              <w:bottom w:val="single" w:sz="8" w:color="auto"/>
            </w:tcBorders>
          </w:tcPr>
          <w:p>
            <w:pPr>
              <w:spacing w:after="0"/>
              <w:rPr>
                <w:sz w:val="9"/>
                <w:szCs w:val="9"/>
                <w:color w:val="auto"/>
              </w:rPr>
            </w:pPr>
          </w:p>
        </w:tc>
        <w:tc>
          <w:tcPr>
            <w:tcW w:w="63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960" w:type="dxa"/>
            <w:vAlign w:val="bottom"/>
          </w:tcPr>
          <w:p>
            <w:pPr>
              <w:spacing w:after="0"/>
              <w:rPr>
                <w:sz w:val="8"/>
                <w:szCs w:val="8"/>
                <w:color w:val="auto"/>
              </w:rPr>
            </w:pPr>
          </w:p>
        </w:tc>
        <w:tc>
          <w:tcPr>
            <w:tcW w:w="110" w:type="dxa"/>
            <w:vAlign w:val="bottom"/>
          </w:tcPr>
          <w:p>
            <w:pPr>
              <w:spacing w:after="0"/>
              <w:rPr>
                <w:sz w:val="8"/>
                <w:szCs w:val="8"/>
                <w:color w:val="auto"/>
              </w:rPr>
            </w:pPr>
          </w:p>
        </w:tc>
        <w:tc>
          <w:tcPr>
            <w:tcW w:w="69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340" w:type="dxa"/>
            <w:vAlign w:val="bottom"/>
          </w:tcPr>
          <w:p>
            <w:pPr>
              <w:spacing w:after="0"/>
              <w:rPr>
                <w:sz w:val="8"/>
                <w:szCs w:val="8"/>
                <w:color w:val="auto"/>
              </w:rPr>
            </w:pPr>
          </w:p>
        </w:tc>
        <w:tc>
          <w:tcPr>
            <w:tcW w:w="90" w:type="dxa"/>
            <w:vAlign w:val="bottom"/>
          </w:tcPr>
          <w:p>
            <w:pPr>
              <w:spacing w:after="0"/>
              <w:rPr>
                <w:sz w:val="8"/>
                <w:szCs w:val="8"/>
                <w:color w:val="auto"/>
              </w:rPr>
            </w:pPr>
          </w:p>
        </w:tc>
        <w:tc>
          <w:tcPr>
            <w:tcW w:w="63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96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Net Income (Loss)</w:t>
            </w:r>
          </w:p>
        </w:tc>
        <w:tc>
          <w:tcPr>
            <w:tcW w:w="110" w:type="dxa"/>
            <w:vAlign w:val="bottom"/>
            <w:shd w:val="clear" w:color="auto" w:fill="CCEEFF"/>
          </w:tcPr>
          <w:p>
            <w:pPr>
              <w:spacing w:after="0"/>
              <w:rPr>
                <w:sz w:val="12"/>
                <w:szCs w:val="12"/>
                <w:color w:val="auto"/>
              </w:rPr>
            </w:pPr>
          </w:p>
        </w:tc>
        <w:tc>
          <w:tcPr>
            <w:tcW w:w="69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0.66</w:t>
            </w: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(4.01)</w:t>
            </w:r>
          </w:p>
        </w:tc>
        <w:tc>
          <w:tcPr>
            <w:tcW w:w="340" w:type="dxa"/>
            <w:vAlign w:val="bottom"/>
            <w:shd w:val="clear" w:color="auto" w:fill="CCEEFF"/>
          </w:tcPr>
          <w:p>
            <w:pPr>
              <w:spacing w:after="0"/>
              <w:rPr>
                <w:sz w:val="12"/>
                <w:szCs w:val="12"/>
                <w:color w:val="auto"/>
              </w:rPr>
            </w:pPr>
          </w:p>
        </w:tc>
        <w:tc>
          <w:tcPr>
            <w:tcW w:w="90" w:type="dxa"/>
            <w:vAlign w:val="bottom"/>
            <w:shd w:val="clear" w:color="auto" w:fill="CCEEFF"/>
          </w:tcPr>
          <w:p>
            <w:pPr>
              <w:spacing w:after="0"/>
              <w:rPr>
                <w:sz w:val="12"/>
                <w:szCs w:val="12"/>
                <w:color w:val="auto"/>
              </w:rPr>
            </w:pPr>
          </w:p>
        </w:tc>
        <w:tc>
          <w:tcPr>
            <w:tcW w:w="63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0.91</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960" w:type="dxa"/>
            <w:vAlign w:val="bottom"/>
          </w:tcPr>
          <w:p>
            <w:pPr>
              <w:ind w:left="320"/>
              <w:spacing w:after="0"/>
              <w:rPr>
                <w:sz w:val="20"/>
                <w:szCs w:val="20"/>
                <w:color w:val="auto"/>
              </w:rPr>
            </w:pPr>
            <w:r>
              <w:rPr>
                <w:rFonts w:ascii="Arial" w:cs="Arial" w:eastAsia="Arial" w:hAnsi="Arial"/>
                <w:sz w:val="14"/>
                <w:szCs w:val="14"/>
                <w:color w:val="auto"/>
              </w:rPr>
              <w:t>Add back amortization of goodwill</w:t>
            </w:r>
          </w:p>
        </w:tc>
        <w:tc>
          <w:tcPr>
            <w:tcW w:w="110" w:type="dxa"/>
            <w:vAlign w:val="bottom"/>
          </w:tcPr>
          <w:p>
            <w:pPr>
              <w:spacing w:after="0"/>
              <w:rPr>
                <w:sz w:val="15"/>
                <w:szCs w:val="15"/>
                <w:color w:val="auto"/>
              </w:rPr>
            </w:pPr>
          </w:p>
        </w:tc>
        <w:tc>
          <w:tcPr>
            <w:tcW w:w="123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5"/>
                <w:szCs w:val="15"/>
                <w:color w:val="auto"/>
              </w:rPr>
            </w:pPr>
          </w:p>
        </w:tc>
        <w:tc>
          <w:tcPr>
            <w:tcW w:w="90" w:type="dxa"/>
            <w:vAlign w:val="bottom"/>
          </w:tcPr>
          <w:p>
            <w:pPr>
              <w:spacing w:after="0"/>
              <w:rPr>
                <w:sz w:val="15"/>
                <w:szCs w:val="15"/>
                <w:color w:val="auto"/>
              </w:rPr>
            </w:pPr>
          </w:p>
        </w:tc>
        <w:tc>
          <w:tcPr>
            <w:tcW w:w="630" w:type="dxa"/>
            <w:vAlign w:val="bottom"/>
          </w:tcPr>
          <w:p>
            <w:pPr>
              <w:jc w:val="right"/>
              <w:spacing w:after="0"/>
              <w:rPr>
                <w:sz w:val="20"/>
                <w:szCs w:val="20"/>
                <w:color w:val="auto"/>
              </w:rPr>
            </w:pPr>
            <w:r>
              <w:rPr>
                <w:rFonts w:ascii="Arial" w:cs="Arial" w:eastAsia="Arial" w:hAnsi="Arial"/>
                <w:sz w:val="14"/>
                <w:szCs w:val="14"/>
                <w:color w:val="auto"/>
              </w:rPr>
              <w:t>0.50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7960" w:type="dxa"/>
            <w:vAlign w:val="bottom"/>
            <w:tcBorders>
              <w:bottom w:val="single" w:sz="8" w:color="auto"/>
            </w:tcBorders>
          </w:tcPr>
          <w:p>
            <w:pPr>
              <w:spacing w:after="0"/>
              <w:rPr>
                <w:sz w:val="7"/>
                <w:szCs w:val="7"/>
                <w:color w:val="auto"/>
              </w:rPr>
            </w:pPr>
          </w:p>
        </w:tc>
        <w:tc>
          <w:tcPr>
            <w:tcW w:w="110" w:type="dxa"/>
            <w:vAlign w:val="bottom"/>
            <w:tcBorders>
              <w:bottom w:val="single" w:sz="8" w:color="auto"/>
            </w:tcBorders>
          </w:tcPr>
          <w:p>
            <w:pPr>
              <w:spacing w:after="0"/>
              <w:rPr>
                <w:sz w:val="7"/>
                <w:szCs w:val="7"/>
                <w:color w:val="auto"/>
              </w:rPr>
            </w:pPr>
          </w:p>
        </w:tc>
        <w:tc>
          <w:tcPr>
            <w:tcW w:w="690" w:type="dxa"/>
            <w:vAlign w:val="bottom"/>
            <w:tcBorders>
              <w:bottom w:val="single" w:sz="8" w:color="auto"/>
            </w:tcBorders>
          </w:tcPr>
          <w:p>
            <w:pPr>
              <w:spacing w:after="0"/>
              <w:rPr>
                <w:sz w:val="7"/>
                <w:szCs w:val="7"/>
                <w:color w:val="auto"/>
              </w:rPr>
            </w:pPr>
          </w:p>
        </w:tc>
        <w:tc>
          <w:tcPr>
            <w:tcW w:w="54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600" w:type="dxa"/>
            <w:vAlign w:val="bottom"/>
            <w:tcBorders>
              <w:bottom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340" w:type="dxa"/>
            <w:vAlign w:val="bottom"/>
          </w:tcPr>
          <w:p>
            <w:pPr>
              <w:spacing w:after="0"/>
              <w:rPr>
                <w:sz w:val="7"/>
                <w:szCs w:val="7"/>
                <w:color w:val="auto"/>
              </w:rPr>
            </w:pPr>
          </w:p>
        </w:tc>
        <w:tc>
          <w:tcPr>
            <w:tcW w:w="90" w:type="dxa"/>
            <w:vAlign w:val="bottom"/>
            <w:tcBorders>
              <w:bottom w:val="single" w:sz="8" w:color="auto"/>
            </w:tcBorders>
          </w:tcPr>
          <w:p>
            <w:pPr>
              <w:spacing w:after="0"/>
              <w:rPr>
                <w:sz w:val="7"/>
                <w:szCs w:val="7"/>
                <w:color w:val="auto"/>
              </w:rPr>
            </w:pPr>
          </w:p>
        </w:tc>
        <w:tc>
          <w:tcPr>
            <w:tcW w:w="63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960" w:type="dxa"/>
            <w:vAlign w:val="bottom"/>
          </w:tcPr>
          <w:p>
            <w:pPr>
              <w:spacing w:after="0"/>
              <w:rPr>
                <w:sz w:val="8"/>
                <w:szCs w:val="8"/>
                <w:color w:val="auto"/>
              </w:rPr>
            </w:pPr>
          </w:p>
        </w:tc>
        <w:tc>
          <w:tcPr>
            <w:tcW w:w="110" w:type="dxa"/>
            <w:vAlign w:val="bottom"/>
          </w:tcPr>
          <w:p>
            <w:pPr>
              <w:spacing w:after="0"/>
              <w:rPr>
                <w:sz w:val="8"/>
                <w:szCs w:val="8"/>
                <w:color w:val="auto"/>
              </w:rPr>
            </w:pPr>
          </w:p>
        </w:tc>
        <w:tc>
          <w:tcPr>
            <w:tcW w:w="69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340" w:type="dxa"/>
            <w:vAlign w:val="bottom"/>
          </w:tcPr>
          <w:p>
            <w:pPr>
              <w:spacing w:after="0"/>
              <w:rPr>
                <w:sz w:val="8"/>
                <w:szCs w:val="8"/>
                <w:color w:val="auto"/>
              </w:rPr>
            </w:pPr>
          </w:p>
        </w:tc>
        <w:tc>
          <w:tcPr>
            <w:tcW w:w="90" w:type="dxa"/>
            <w:vAlign w:val="bottom"/>
          </w:tcPr>
          <w:p>
            <w:pPr>
              <w:spacing w:after="0"/>
              <w:rPr>
                <w:sz w:val="8"/>
                <w:szCs w:val="8"/>
                <w:color w:val="auto"/>
              </w:rPr>
            </w:pPr>
          </w:p>
        </w:tc>
        <w:tc>
          <w:tcPr>
            <w:tcW w:w="63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96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Adjusted earnings (loss) per share</w:t>
            </w:r>
          </w:p>
        </w:tc>
        <w:tc>
          <w:tcPr>
            <w:tcW w:w="11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76"/>
              </w:rPr>
              <w:t>$</w:t>
            </w:r>
          </w:p>
        </w:tc>
        <w:tc>
          <w:tcPr>
            <w:tcW w:w="69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0.66</w:t>
            </w: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84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(4.01)</w:t>
            </w:r>
          </w:p>
        </w:tc>
        <w:tc>
          <w:tcPr>
            <w:tcW w:w="430" w:type="dxa"/>
            <w:vAlign w:val="bottom"/>
            <w:gridSpan w:val="2"/>
            <w:shd w:val="clear" w:color="auto" w:fill="CCEEFF"/>
          </w:tcPr>
          <w:p>
            <w:pPr>
              <w:jc w:val="right"/>
              <w:ind w:right="30"/>
              <w:spacing w:after="0" w:line="149" w:lineRule="exact"/>
              <w:rPr>
                <w:sz w:val="20"/>
                <w:szCs w:val="20"/>
                <w:color w:val="auto"/>
              </w:rPr>
            </w:pPr>
            <w:r>
              <w:rPr>
                <w:rFonts w:ascii="Arial" w:cs="Arial" w:eastAsia="Arial" w:hAnsi="Arial"/>
                <w:sz w:val="14"/>
                <w:szCs w:val="14"/>
                <w:color w:val="auto"/>
              </w:rPr>
              <w:t>$</w:t>
            </w:r>
          </w:p>
        </w:tc>
        <w:tc>
          <w:tcPr>
            <w:tcW w:w="63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1.41</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960" w:type="dxa"/>
            <w:vAlign w:val="bottom"/>
          </w:tcPr>
          <w:p>
            <w:pPr>
              <w:spacing w:after="0"/>
              <w:rPr>
                <w:sz w:val="11"/>
                <w:szCs w:val="11"/>
                <w:color w:val="auto"/>
              </w:rPr>
            </w:pPr>
          </w:p>
        </w:tc>
        <w:tc>
          <w:tcPr>
            <w:tcW w:w="110" w:type="dxa"/>
            <w:vAlign w:val="bottom"/>
            <w:tcBorders>
              <w:bottom w:val="single" w:sz="8" w:color="auto"/>
            </w:tcBorders>
          </w:tcPr>
          <w:p>
            <w:pPr>
              <w:spacing w:after="0"/>
              <w:rPr>
                <w:sz w:val="11"/>
                <w:szCs w:val="11"/>
                <w:color w:val="auto"/>
              </w:rPr>
            </w:pPr>
          </w:p>
        </w:tc>
        <w:tc>
          <w:tcPr>
            <w:tcW w:w="69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 w:type="dxa"/>
            <w:vAlign w:val="bottom"/>
            <w:tcBorders>
              <w:bottom w:val="single" w:sz="8" w:color="auto"/>
            </w:tcBorders>
          </w:tcPr>
          <w:p>
            <w:pPr>
              <w:spacing w:after="0"/>
              <w:rPr>
                <w:sz w:val="11"/>
                <w:szCs w:val="11"/>
                <w:color w:val="auto"/>
              </w:rPr>
            </w:pPr>
          </w:p>
        </w:tc>
        <w:tc>
          <w:tcPr>
            <w:tcW w:w="63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960" w:type="dxa"/>
            <w:vAlign w:val="bottom"/>
          </w:tcPr>
          <w:p>
            <w:pPr>
              <w:spacing w:after="0"/>
              <w:rPr>
                <w:sz w:val="9"/>
                <w:szCs w:val="9"/>
                <w:color w:val="auto"/>
              </w:rPr>
            </w:pPr>
          </w:p>
        </w:tc>
        <w:tc>
          <w:tcPr>
            <w:tcW w:w="110" w:type="dxa"/>
            <w:vAlign w:val="bottom"/>
          </w:tcPr>
          <w:p>
            <w:pPr>
              <w:spacing w:after="0"/>
              <w:rPr>
                <w:sz w:val="9"/>
                <w:szCs w:val="9"/>
                <w:color w:val="auto"/>
              </w:rPr>
            </w:pPr>
          </w:p>
        </w:tc>
        <w:tc>
          <w:tcPr>
            <w:tcW w:w="69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40" w:type="dxa"/>
            <w:vAlign w:val="bottom"/>
          </w:tcPr>
          <w:p>
            <w:pPr>
              <w:spacing w:after="0"/>
              <w:rPr>
                <w:sz w:val="9"/>
                <w:szCs w:val="9"/>
                <w:color w:val="auto"/>
              </w:rPr>
            </w:pPr>
          </w:p>
        </w:tc>
        <w:tc>
          <w:tcPr>
            <w:tcW w:w="90" w:type="dxa"/>
            <w:vAlign w:val="bottom"/>
          </w:tcPr>
          <w:p>
            <w:pPr>
              <w:spacing w:after="0"/>
              <w:rPr>
                <w:sz w:val="9"/>
                <w:szCs w:val="9"/>
                <w:color w:val="auto"/>
              </w:rPr>
            </w:pPr>
          </w:p>
        </w:tc>
        <w:tc>
          <w:tcPr>
            <w:tcW w:w="63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9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Average shares outstanding</w:t>
            </w:r>
          </w:p>
        </w:tc>
        <w:tc>
          <w:tcPr>
            <w:tcW w:w="110" w:type="dxa"/>
            <w:vAlign w:val="bottom"/>
            <w:shd w:val="clear" w:color="auto" w:fill="CCEEFF"/>
          </w:tcPr>
          <w:p>
            <w:pPr>
              <w:spacing w:after="0"/>
              <w:rPr>
                <w:sz w:val="12"/>
                <w:szCs w:val="12"/>
                <w:color w:val="auto"/>
              </w:rPr>
            </w:pPr>
          </w:p>
        </w:tc>
        <w:tc>
          <w:tcPr>
            <w:tcW w:w="69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583,904</w:t>
            </w: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578,588</w:t>
            </w:r>
          </w:p>
        </w:tc>
        <w:tc>
          <w:tcPr>
            <w:tcW w:w="2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90" w:type="dxa"/>
            <w:vAlign w:val="bottom"/>
            <w:shd w:val="clear" w:color="auto" w:fill="CCEEFF"/>
          </w:tcPr>
          <w:p>
            <w:pPr>
              <w:spacing w:after="0"/>
              <w:rPr>
                <w:sz w:val="12"/>
                <w:szCs w:val="12"/>
                <w:color w:val="auto"/>
              </w:rPr>
            </w:pPr>
          </w:p>
        </w:tc>
        <w:tc>
          <w:tcPr>
            <w:tcW w:w="63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574,328</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960" w:type="dxa"/>
            <w:vAlign w:val="bottom"/>
          </w:tcPr>
          <w:p>
            <w:pPr>
              <w:spacing w:after="0"/>
              <w:rPr>
                <w:sz w:val="20"/>
                <w:szCs w:val="20"/>
                <w:color w:val="auto"/>
              </w:rPr>
            </w:pPr>
            <w:r>
              <w:rPr>
                <w:rFonts w:ascii="Arial" w:cs="Arial" w:eastAsia="Arial" w:hAnsi="Arial"/>
                <w:sz w:val="14"/>
                <w:szCs w:val="14"/>
                <w:color w:val="auto"/>
              </w:rPr>
              <w:t>Average shares outstanding assuming dilution</w:t>
            </w:r>
          </w:p>
        </w:tc>
        <w:tc>
          <w:tcPr>
            <w:tcW w:w="110" w:type="dxa"/>
            <w:vAlign w:val="bottom"/>
          </w:tcPr>
          <w:p>
            <w:pPr>
              <w:spacing w:after="0"/>
              <w:rPr>
                <w:sz w:val="15"/>
                <w:szCs w:val="15"/>
                <w:color w:val="auto"/>
              </w:rPr>
            </w:pPr>
          </w:p>
        </w:tc>
        <w:tc>
          <w:tcPr>
            <w:tcW w:w="690" w:type="dxa"/>
            <w:vAlign w:val="bottom"/>
          </w:tcPr>
          <w:p>
            <w:pPr>
              <w:jc w:val="right"/>
              <w:spacing w:after="0"/>
              <w:rPr>
                <w:sz w:val="20"/>
                <w:szCs w:val="20"/>
                <w:color w:val="auto"/>
              </w:rPr>
            </w:pPr>
            <w:r>
              <w:rPr>
                <w:rFonts w:ascii="Arial" w:cs="Arial" w:eastAsia="Arial" w:hAnsi="Arial"/>
                <w:sz w:val="14"/>
                <w:szCs w:val="14"/>
                <w:b w:val="1"/>
                <w:bCs w:val="1"/>
                <w:color w:val="auto"/>
              </w:rPr>
              <w:t>586,491</w:t>
            </w: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gridSpan w:val="2"/>
          </w:tcPr>
          <w:p>
            <w:pPr>
              <w:jc w:val="right"/>
              <w:spacing w:after="0"/>
              <w:rPr>
                <w:sz w:val="20"/>
                <w:szCs w:val="20"/>
                <w:color w:val="auto"/>
              </w:rPr>
            </w:pPr>
            <w:r>
              <w:rPr>
                <w:rFonts w:ascii="Arial" w:cs="Arial" w:eastAsia="Arial" w:hAnsi="Arial"/>
                <w:sz w:val="14"/>
                <w:szCs w:val="14"/>
                <w:color w:val="auto"/>
              </w:rPr>
              <w:t>578,588</w:t>
            </w: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 w:type="dxa"/>
            <w:vAlign w:val="bottom"/>
          </w:tcPr>
          <w:p>
            <w:pPr>
              <w:spacing w:after="0"/>
              <w:rPr>
                <w:sz w:val="15"/>
                <w:szCs w:val="15"/>
                <w:color w:val="auto"/>
              </w:rPr>
            </w:pPr>
          </w:p>
        </w:tc>
        <w:tc>
          <w:tcPr>
            <w:tcW w:w="630" w:type="dxa"/>
            <w:vAlign w:val="bottom"/>
          </w:tcPr>
          <w:p>
            <w:pPr>
              <w:jc w:val="right"/>
              <w:spacing w:after="0"/>
              <w:rPr>
                <w:sz w:val="20"/>
                <w:szCs w:val="20"/>
                <w:color w:val="auto"/>
              </w:rPr>
            </w:pPr>
            <w:r>
              <w:rPr>
                <w:rFonts w:ascii="Arial" w:cs="Arial" w:eastAsia="Arial" w:hAnsi="Arial"/>
                <w:sz w:val="14"/>
                <w:szCs w:val="14"/>
                <w:color w:val="auto"/>
              </w:rPr>
              <w:t>580,214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4"/>
        </w:trPr>
        <w:tc>
          <w:tcPr>
            <w:tcW w:w="7980" w:type="dxa"/>
            <w:vAlign w:val="bottom"/>
            <w:gridSpan w:val="2"/>
          </w:tcPr>
          <w:p>
            <w:pPr>
              <w:spacing w:after="0"/>
              <w:rPr>
                <w:sz w:val="20"/>
                <w:szCs w:val="20"/>
                <w:color w:val="auto"/>
              </w:rPr>
            </w:pPr>
            <w:r>
              <w:rPr>
                <w:rFonts w:ascii="Arial" w:cs="Arial" w:eastAsia="Arial" w:hAnsi="Arial"/>
                <w:sz w:val="14"/>
                <w:szCs w:val="14"/>
                <w:color w:val="auto"/>
              </w:rPr>
              <w:t xml:space="preserve">See the </w:t>
            </w:r>
            <w:r>
              <w:rPr>
                <w:rFonts w:ascii="Arial" w:cs="Arial" w:eastAsia="Arial" w:hAnsi="Arial"/>
                <w:sz w:val="14"/>
                <w:szCs w:val="14"/>
                <w:i w:val="1"/>
                <w:iCs w:val="1"/>
                <w:color w:val="auto"/>
              </w:rPr>
              <w:t>Notes to Consolidated Financial Statements</w:t>
            </w:r>
          </w:p>
        </w:tc>
        <w:tc>
          <w:tcPr>
            <w:tcW w:w="110" w:type="dxa"/>
            <w:vAlign w:val="bottom"/>
          </w:tcPr>
          <w:p>
            <w:pPr>
              <w:spacing w:after="0"/>
              <w:rPr>
                <w:sz w:val="24"/>
                <w:szCs w:val="24"/>
                <w:color w:val="auto"/>
              </w:rPr>
            </w:pPr>
          </w:p>
        </w:tc>
        <w:tc>
          <w:tcPr>
            <w:tcW w:w="69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 w:type="dxa"/>
            <w:vAlign w:val="bottom"/>
          </w:tcPr>
          <w:p>
            <w:pPr>
              <w:spacing w:after="0"/>
              <w:rPr>
                <w:sz w:val="24"/>
                <w:szCs w:val="24"/>
                <w:color w:val="auto"/>
              </w:rPr>
            </w:pPr>
          </w:p>
        </w:tc>
        <w:tc>
          <w:tcPr>
            <w:tcW w:w="63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7980" w:type="dxa"/>
            <w:vAlign w:val="bottom"/>
            <w:gridSpan w:val="2"/>
          </w:tcPr>
          <w:p>
            <w:pPr>
              <w:spacing w:after="0"/>
              <w:rPr>
                <w:sz w:val="20"/>
                <w:szCs w:val="20"/>
                <w:color w:val="auto"/>
              </w:rPr>
            </w:pPr>
            <w:r>
              <w:rPr>
                <w:rFonts w:ascii="Arial" w:cs="Arial" w:eastAsia="Arial" w:hAnsi="Arial"/>
                <w:sz w:val="14"/>
                <w:szCs w:val="14"/>
                <w:color w:val="auto"/>
              </w:rPr>
              <w:t>35 / SLB</w:t>
            </w:r>
          </w:p>
        </w:tc>
        <w:tc>
          <w:tcPr>
            <w:tcW w:w="110" w:type="dxa"/>
            <w:vAlign w:val="bottom"/>
          </w:tcPr>
          <w:p>
            <w:pPr>
              <w:spacing w:after="0"/>
              <w:rPr>
                <w:sz w:val="24"/>
                <w:szCs w:val="24"/>
                <w:color w:val="auto"/>
              </w:rPr>
            </w:pPr>
          </w:p>
        </w:tc>
        <w:tc>
          <w:tcPr>
            <w:tcW w:w="69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gridSpan w:val="4"/>
          </w:tcPr>
          <w:p>
            <w:pPr>
              <w:jc w:val="right"/>
              <w:spacing w:after="0"/>
              <w:rPr>
                <w:sz w:val="20"/>
                <w:szCs w:val="20"/>
                <w:color w:val="auto"/>
              </w:rPr>
            </w:pPr>
            <w:r>
              <w:rPr>
                <w:rFonts w:ascii="Arial" w:cs="Arial" w:eastAsia="Arial" w:hAnsi="Arial"/>
                <w:sz w:val="14"/>
                <w:szCs w:val="14"/>
                <w:color w:val="auto"/>
              </w:rPr>
              <w:t>2003 FORM 10-K</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5071110</wp:posOffset>
            </wp:positionH>
            <wp:positionV relativeFrom="paragraph">
              <wp:posOffset>-2710815</wp:posOffset>
            </wp:positionV>
            <wp:extent cx="12700" cy="298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-2710815</wp:posOffset>
            </wp:positionV>
            <wp:extent cx="21590" cy="298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-2710815</wp:posOffset>
            </wp:positionV>
            <wp:extent cx="38735" cy="298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-2710815</wp:posOffset>
            </wp:positionV>
            <wp:extent cx="12700" cy="298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5980430</wp:posOffset>
            </wp:positionH>
            <wp:positionV relativeFrom="paragraph">
              <wp:posOffset>-2710815</wp:posOffset>
            </wp:positionV>
            <wp:extent cx="21590" cy="298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6366510</wp:posOffset>
            </wp:positionH>
            <wp:positionV relativeFrom="paragraph">
              <wp:posOffset>-2710815</wp:posOffset>
            </wp:positionV>
            <wp:extent cx="38735" cy="298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-2710815</wp:posOffset>
            </wp:positionV>
            <wp:extent cx="12700" cy="298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6786245</wp:posOffset>
            </wp:positionH>
            <wp:positionV relativeFrom="paragraph">
              <wp:posOffset>-2710815</wp:posOffset>
            </wp:positionV>
            <wp:extent cx="21590" cy="298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-2710815</wp:posOffset>
            </wp:positionV>
            <wp:extent cx="38735" cy="298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-1690370</wp:posOffset>
            </wp:positionV>
            <wp:extent cx="12700" cy="298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-1690370</wp:posOffset>
            </wp:positionV>
            <wp:extent cx="21590" cy="298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-1690370</wp:posOffset>
            </wp:positionV>
            <wp:extent cx="38735" cy="298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-1690370</wp:posOffset>
            </wp:positionV>
            <wp:extent cx="484505" cy="298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484505" cy="29845"/>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-1690370</wp:posOffset>
            </wp:positionV>
            <wp:extent cx="12700" cy="298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6786245</wp:posOffset>
            </wp:positionH>
            <wp:positionV relativeFrom="paragraph">
              <wp:posOffset>-1690370</wp:posOffset>
            </wp:positionV>
            <wp:extent cx="21590" cy="298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-1690370</wp:posOffset>
            </wp:positionV>
            <wp:extent cx="38735" cy="298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-669925</wp:posOffset>
            </wp:positionV>
            <wp:extent cx="12700" cy="298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-669925</wp:posOffset>
            </wp:positionV>
            <wp:extent cx="21590" cy="298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-669925</wp:posOffset>
            </wp:positionV>
            <wp:extent cx="38735" cy="298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-669925</wp:posOffset>
            </wp:positionV>
            <wp:extent cx="12700" cy="298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5980430</wp:posOffset>
            </wp:positionH>
            <wp:positionV relativeFrom="paragraph">
              <wp:posOffset>-669925</wp:posOffset>
            </wp:positionV>
            <wp:extent cx="21590" cy="298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6366510</wp:posOffset>
            </wp:positionH>
            <wp:positionV relativeFrom="paragraph">
              <wp:posOffset>-669925</wp:posOffset>
            </wp:positionV>
            <wp:extent cx="38735" cy="298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-669925</wp:posOffset>
            </wp:positionV>
            <wp:extent cx="12700" cy="298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6786245</wp:posOffset>
            </wp:positionH>
            <wp:positionV relativeFrom="paragraph">
              <wp:posOffset>-669925</wp:posOffset>
            </wp:positionV>
            <wp:extent cx="21590" cy="298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-669925</wp:posOffset>
            </wp:positionV>
            <wp:extent cx="38735" cy="298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4"/>
          <w:szCs w:val="14"/>
          <w:color w:val="auto"/>
        </w:rPr>
        <w:t>Part II, Item 8</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color w:val="auto"/>
        </w:rPr>
        <w:t>SCHLUMBERGER LIMITED (SCHLUMBERGER N.V., INCORPORATED IN THE NETHERLANDS ANTILLES) AND SUBSIDIARY COMPANIES</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CONSOLIDATED BALANCE SHEET</w:t>
      </w:r>
    </w:p>
    <w:p>
      <w:pPr>
        <w:spacing w:after="0" w:line="5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(Stated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17804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78040" cy="8890"/>
                    </a:xfrm>
                    <a:prstGeom prst="rect">
                      <a:avLst/>
                    </a:prstGeom>
                    <a:noFill/>
                  </pic:spPr>
                </pic:pic>
              </a:graphicData>
            </a:graphic>
          </wp:anchor>
        </w:drawing>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9260" w:type="dxa"/>
            <w:vAlign w:val="bottom"/>
            <w:gridSpan w:val="2"/>
          </w:tcPr>
          <w:p>
            <w:pPr>
              <w:spacing w:after="0"/>
              <w:rPr>
                <w:sz w:val="20"/>
                <w:szCs w:val="20"/>
                <w:color w:val="auto"/>
              </w:rPr>
            </w:pPr>
            <w:r>
              <w:rPr>
                <w:rFonts w:ascii="Arial" w:cs="Arial" w:eastAsia="Arial" w:hAnsi="Arial"/>
                <w:sz w:val="14"/>
                <w:szCs w:val="14"/>
                <w:b w:val="1"/>
                <w:bCs w:val="1"/>
                <w:color w:val="auto"/>
              </w:rPr>
              <w:t>December 31,</w:t>
            </w:r>
          </w:p>
        </w:tc>
        <w:tc>
          <w:tcPr>
            <w:tcW w:w="1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rPr>
              <w:t>2003</w:t>
            </w: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2002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9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92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i w:val="1"/>
                <w:iCs w:val="1"/>
                <w:color w:val="auto"/>
              </w:rPr>
              <w:t>ASSETS</w:t>
            </w: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40" w:type="dxa"/>
            <w:vAlign w:val="bottom"/>
          </w:tcPr>
          <w:p>
            <w:pPr>
              <w:spacing w:after="0" w:line="149" w:lineRule="exact"/>
              <w:rPr>
                <w:sz w:val="20"/>
                <w:szCs w:val="20"/>
                <w:color w:val="auto"/>
              </w:rPr>
            </w:pPr>
            <w:r>
              <w:rPr>
                <w:rFonts w:ascii="Arial" w:cs="Arial" w:eastAsia="Arial" w:hAnsi="Arial"/>
                <w:sz w:val="14"/>
                <w:szCs w:val="14"/>
                <w:i w:val="1"/>
                <w:iCs w:val="1"/>
                <w:color w:val="auto"/>
              </w:rPr>
              <w:t>Current Assets</w:t>
            </w: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4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Cash</w:t>
            </w: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b w:val="1"/>
                <w:bCs w:val="1"/>
                <w:color w:val="auto"/>
                <w:w w:val="71"/>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234,192</w:t>
            </w:r>
          </w:p>
        </w:tc>
        <w:tc>
          <w:tcPr>
            <w:tcW w:w="22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168,110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40" w:type="dxa"/>
            <w:vAlign w:val="bottom"/>
          </w:tcPr>
          <w:p>
            <w:pPr>
              <w:ind w:left="320"/>
              <w:spacing w:after="0" w:line="149" w:lineRule="exact"/>
              <w:rPr>
                <w:sz w:val="20"/>
                <w:szCs w:val="20"/>
                <w:color w:val="auto"/>
              </w:rPr>
            </w:pPr>
            <w:r>
              <w:rPr>
                <w:rFonts w:ascii="Arial" w:cs="Arial" w:eastAsia="Arial" w:hAnsi="Arial"/>
                <w:sz w:val="14"/>
                <w:szCs w:val="14"/>
                <w:color w:val="auto"/>
              </w:rPr>
              <w:t>Short-term investments</w:t>
            </w:r>
          </w:p>
        </w:tc>
        <w:tc>
          <w:tcPr>
            <w:tcW w:w="1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2,874,781</w:t>
            </w: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w w:val="99"/>
              </w:rPr>
              <w:t>1,567,906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4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Receivables less allowance for doubtful accounts</w:t>
            </w: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40" w:type="dxa"/>
            <w:vAlign w:val="bottom"/>
          </w:tcPr>
          <w:p>
            <w:pPr>
              <w:ind w:left="440"/>
              <w:spacing w:after="0" w:line="149" w:lineRule="exact"/>
              <w:rPr>
                <w:sz w:val="20"/>
                <w:szCs w:val="20"/>
                <w:color w:val="auto"/>
              </w:rPr>
            </w:pPr>
            <w:r>
              <w:rPr>
                <w:rFonts w:ascii="Arial" w:cs="Arial" w:eastAsia="Arial" w:hAnsi="Arial"/>
                <w:sz w:val="14"/>
                <w:szCs w:val="14"/>
                <w:color w:val="auto"/>
              </w:rPr>
              <w:t>(2003 – $128,199; 2002 – $172,871)</w:t>
            </w:r>
          </w:p>
        </w:tc>
        <w:tc>
          <w:tcPr>
            <w:tcW w:w="1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2,568,425</w:t>
            </w: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w w:val="99"/>
              </w:rPr>
              <w:t>3,489,406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4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Inventories</w:t>
            </w: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796,559</w:t>
            </w:r>
          </w:p>
        </w:tc>
        <w:tc>
          <w:tcPr>
            <w:tcW w:w="2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1,043,057</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40" w:type="dxa"/>
            <w:vAlign w:val="bottom"/>
          </w:tcPr>
          <w:p>
            <w:pPr>
              <w:ind w:left="320"/>
              <w:spacing w:after="0" w:line="149" w:lineRule="exact"/>
              <w:rPr>
                <w:sz w:val="20"/>
                <w:szCs w:val="20"/>
                <w:color w:val="auto"/>
              </w:rPr>
            </w:pPr>
            <w:r>
              <w:rPr>
                <w:rFonts w:ascii="Arial" w:cs="Arial" w:eastAsia="Arial" w:hAnsi="Arial"/>
                <w:sz w:val="14"/>
                <w:szCs w:val="14"/>
                <w:color w:val="auto"/>
              </w:rPr>
              <w:t>Deferred taxes</w:t>
            </w:r>
          </w:p>
        </w:tc>
        <w:tc>
          <w:tcPr>
            <w:tcW w:w="1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315,350</w:t>
            </w: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435,887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4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Other current assets</w:t>
            </w: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341,973</w:t>
            </w:r>
          </w:p>
        </w:tc>
        <w:tc>
          <w:tcPr>
            <w:tcW w:w="2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481,074</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9240" w:type="dxa"/>
            <w:vAlign w:val="bottom"/>
          </w:tcPr>
          <w:p>
            <w:pPr>
              <w:ind w:left="320"/>
              <w:spacing w:after="0"/>
              <w:rPr>
                <w:sz w:val="20"/>
                <w:szCs w:val="20"/>
                <w:color w:val="auto"/>
              </w:rPr>
            </w:pPr>
            <w:r>
              <w:rPr>
                <w:rFonts w:ascii="Arial" w:cs="Arial" w:eastAsia="Arial" w:hAnsi="Arial"/>
                <w:sz w:val="14"/>
                <w:szCs w:val="14"/>
                <w:color w:val="auto"/>
              </w:rPr>
              <w:t>Assets held for sale</w:t>
            </w:r>
          </w:p>
        </w:tc>
        <w:tc>
          <w:tcPr>
            <w:tcW w:w="1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rPr>
              <w:t>3,237,841</w:t>
            </w: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924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91"/>
              </w:rPr>
              <w:t>10,369,121</w:t>
            </w:r>
          </w:p>
        </w:tc>
        <w:tc>
          <w:tcPr>
            <w:tcW w:w="2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7,185,440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40" w:type="dxa"/>
            <w:vAlign w:val="bottom"/>
          </w:tcPr>
          <w:p>
            <w:pPr>
              <w:spacing w:after="0" w:line="149" w:lineRule="exact"/>
              <w:rPr>
                <w:sz w:val="20"/>
                <w:szCs w:val="20"/>
                <w:color w:val="auto"/>
              </w:rPr>
            </w:pPr>
            <w:r>
              <w:rPr>
                <w:rFonts w:ascii="Arial" w:cs="Arial" w:eastAsia="Arial" w:hAnsi="Arial"/>
                <w:sz w:val="14"/>
                <w:szCs w:val="14"/>
                <w:i w:val="1"/>
                <w:iCs w:val="1"/>
                <w:color w:val="auto"/>
              </w:rPr>
              <w:t>Fixed Income Investments, held to maturity</w:t>
            </w:r>
          </w:p>
        </w:tc>
        <w:tc>
          <w:tcPr>
            <w:tcW w:w="1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223,300</w:t>
            </w: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407,500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40" w:type="dxa"/>
            <w:vAlign w:val="bottom"/>
            <w:shd w:val="clear" w:color="auto" w:fill="CCEEFF"/>
          </w:tcPr>
          <w:p>
            <w:pPr>
              <w:spacing w:after="0" w:line="149" w:lineRule="exact"/>
              <w:rPr>
                <w:sz w:val="20"/>
                <w:szCs w:val="20"/>
                <w:color w:val="auto"/>
              </w:rPr>
            </w:pPr>
            <w:r>
              <w:rPr>
                <w:rFonts w:ascii="Arial" w:cs="Arial" w:eastAsia="Arial" w:hAnsi="Arial"/>
                <w:sz w:val="14"/>
                <w:szCs w:val="14"/>
                <w:i w:val="1"/>
                <w:iCs w:val="1"/>
                <w:color w:val="auto"/>
              </w:rPr>
              <w:t>Investments in Affiliated Companies</w:t>
            </w: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776,965</w:t>
            </w:r>
          </w:p>
        </w:tc>
        <w:tc>
          <w:tcPr>
            <w:tcW w:w="2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687,524</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40" w:type="dxa"/>
            <w:vAlign w:val="bottom"/>
          </w:tcPr>
          <w:p>
            <w:pPr>
              <w:spacing w:after="0" w:line="149" w:lineRule="exact"/>
              <w:rPr>
                <w:sz w:val="20"/>
                <w:szCs w:val="20"/>
                <w:color w:val="auto"/>
              </w:rPr>
            </w:pPr>
            <w:r>
              <w:rPr>
                <w:rFonts w:ascii="Arial" w:cs="Arial" w:eastAsia="Arial" w:hAnsi="Arial"/>
                <w:sz w:val="14"/>
                <w:szCs w:val="14"/>
                <w:i w:val="1"/>
                <w:iCs w:val="1"/>
                <w:color w:val="auto"/>
              </w:rPr>
              <w:t>Fixed Assets less accumulated depreciation</w:t>
            </w:r>
          </w:p>
        </w:tc>
        <w:tc>
          <w:tcPr>
            <w:tcW w:w="1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3,799,711</w:t>
            </w: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w w:val="99"/>
              </w:rPr>
              <w:t>4,663,756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40" w:type="dxa"/>
            <w:vAlign w:val="bottom"/>
            <w:shd w:val="clear" w:color="auto" w:fill="CCEEFF"/>
          </w:tcPr>
          <w:p>
            <w:pPr>
              <w:spacing w:after="0" w:line="149" w:lineRule="exact"/>
              <w:rPr>
                <w:sz w:val="20"/>
                <w:szCs w:val="20"/>
                <w:color w:val="auto"/>
              </w:rPr>
            </w:pPr>
            <w:r>
              <w:rPr>
                <w:rFonts w:ascii="Arial" w:cs="Arial" w:eastAsia="Arial" w:hAnsi="Arial"/>
                <w:sz w:val="14"/>
                <w:szCs w:val="14"/>
                <w:i w:val="1"/>
                <w:iCs w:val="1"/>
                <w:color w:val="auto"/>
              </w:rPr>
              <w:t>Multiclient Seismic Data</w:t>
            </w: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505,784</w:t>
            </w:r>
          </w:p>
        </w:tc>
        <w:tc>
          <w:tcPr>
            <w:tcW w:w="2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1,018,483</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40" w:type="dxa"/>
            <w:vAlign w:val="bottom"/>
          </w:tcPr>
          <w:p>
            <w:pPr>
              <w:spacing w:after="0" w:line="149" w:lineRule="exact"/>
              <w:rPr>
                <w:sz w:val="20"/>
                <w:szCs w:val="20"/>
                <w:color w:val="auto"/>
              </w:rPr>
            </w:pPr>
            <w:r>
              <w:rPr>
                <w:rFonts w:ascii="Arial" w:cs="Arial" w:eastAsia="Arial" w:hAnsi="Arial"/>
                <w:sz w:val="14"/>
                <w:szCs w:val="14"/>
                <w:i w:val="1"/>
                <w:iCs w:val="1"/>
                <w:color w:val="auto"/>
              </w:rPr>
              <w:t>Goodwill</w:t>
            </w:r>
          </w:p>
        </w:tc>
        <w:tc>
          <w:tcPr>
            <w:tcW w:w="1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3,284,254</w:t>
            </w: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w w:val="99"/>
              </w:rPr>
              <w:t>4,229,993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40" w:type="dxa"/>
            <w:vAlign w:val="bottom"/>
            <w:shd w:val="clear" w:color="auto" w:fill="CCEEFF"/>
          </w:tcPr>
          <w:p>
            <w:pPr>
              <w:spacing w:after="0" w:line="149" w:lineRule="exact"/>
              <w:rPr>
                <w:sz w:val="20"/>
                <w:szCs w:val="20"/>
                <w:color w:val="auto"/>
              </w:rPr>
            </w:pPr>
            <w:r>
              <w:rPr>
                <w:rFonts w:ascii="Arial" w:cs="Arial" w:eastAsia="Arial" w:hAnsi="Arial"/>
                <w:sz w:val="14"/>
                <w:szCs w:val="14"/>
                <w:i w:val="1"/>
                <w:iCs w:val="1"/>
                <w:color w:val="auto"/>
              </w:rPr>
              <w:t>Intangible Assets</w:t>
            </w: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403,319</w:t>
            </w:r>
          </w:p>
        </w:tc>
        <w:tc>
          <w:tcPr>
            <w:tcW w:w="2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558,664</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40" w:type="dxa"/>
            <w:vAlign w:val="bottom"/>
          </w:tcPr>
          <w:p>
            <w:pPr>
              <w:spacing w:after="0" w:line="149" w:lineRule="exact"/>
              <w:rPr>
                <w:sz w:val="20"/>
                <w:szCs w:val="20"/>
                <w:color w:val="auto"/>
              </w:rPr>
            </w:pPr>
            <w:r>
              <w:rPr>
                <w:rFonts w:ascii="Arial" w:cs="Arial" w:eastAsia="Arial" w:hAnsi="Arial"/>
                <w:sz w:val="14"/>
                <w:szCs w:val="14"/>
                <w:i w:val="1"/>
                <w:iCs w:val="1"/>
                <w:color w:val="auto"/>
              </w:rPr>
              <w:t>Deferred Taxes</w:t>
            </w:r>
          </w:p>
        </w:tc>
        <w:tc>
          <w:tcPr>
            <w:tcW w:w="1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316,277</w:t>
            </w: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147,013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40" w:type="dxa"/>
            <w:vAlign w:val="bottom"/>
            <w:shd w:val="clear" w:color="auto" w:fill="CCEEFF"/>
          </w:tcPr>
          <w:p>
            <w:pPr>
              <w:spacing w:after="0" w:line="149" w:lineRule="exact"/>
              <w:rPr>
                <w:sz w:val="20"/>
                <w:szCs w:val="20"/>
                <w:color w:val="auto"/>
              </w:rPr>
            </w:pPr>
            <w:r>
              <w:rPr>
                <w:rFonts w:ascii="Arial" w:cs="Arial" w:eastAsia="Arial" w:hAnsi="Arial"/>
                <w:sz w:val="14"/>
                <w:szCs w:val="14"/>
                <w:i w:val="1"/>
                <w:iCs w:val="1"/>
                <w:color w:val="auto"/>
              </w:rPr>
              <w:t>Other Assets</w:t>
            </w: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362,595</w:t>
            </w:r>
          </w:p>
        </w:tc>
        <w:tc>
          <w:tcPr>
            <w:tcW w:w="2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536,822</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24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4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b w:val="1"/>
                <w:bCs w:val="1"/>
                <w:color w:val="auto"/>
                <w:w w:val="71"/>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91"/>
              </w:rPr>
              <w:t>20,041,326</w:t>
            </w:r>
          </w:p>
        </w:tc>
        <w:tc>
          <w:tcPr>
            <w:tcW w:w="22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8"/>
              </w:rPr>
              <w:t>19,435,195</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2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9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92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i w:val="1"/>
                <w:iCs w:val="1"/>
                <w:color w:val="auto"/>
              </w:rPr>
              <w:t>LIABILITIES AND STOCKHOLDERS’ EQUITY</w:t>
            </w: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40" w:type="dxa"/>
            <w:vAlign w:val="bottom"/>
          </w:tcPr>
          <w:p>
            <w:pPr>
              <w:spacing w:after="0" w:line="149" w:lineRule="exact"/>
              <w:rPr>
                <w:sz w:val="20"/>
                <w:szCs w:val="20"/>
                <w:color w:val="auto"/>
              </w:rPr>
            </w:pPr>
            <w:r>
              <w:rPr>
                <w:rFonts w:ascii="Arial" w:cs="Arial" w:eastAsia="Arial" w:hAnsi="Arial"/>
                <w:sz w:val="14"/>
                <w:szCs w:val="14"/>
                <w:i w:val="1"/>
                <w:iCs w:val="1"/>
                <w:color w:val="auto"/>
              </w:rPr>
              <w:t>Current Liabilities</w:t>
            </w: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4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Accounts payable and accrued liabilities</w:t>
            </w: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b w:val="1"/>
                <w:bCs w:val="1"/>
                <w:color w:val="auto"/>
                <w:w w:val="71"/>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3,247,545</w:t>
            </w:r>
          </w:p>
        </w:tc>
        <w:tc>
          <w:tcPr>
            <w:tcW w:w="22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4,580,762</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40" w:type="dxa"/>
            <w:vAlign w:val="bottom"/>
          </w:tcPr>
          <w:p>
            <w:pPr>
              <w:ind w:left="320"/>
              <w:spacing w:after="0" w:line="149" w:lineRule="exact"/>
              <w:rPr>
                <w:sz w:val="20"/>
                <w:szCs w:val="20"/>
                <w:color w:val="auto"/>
              </w:rPr>
            </w:pPr>
            <w:r>
              <w:rPr>
                <w:rFonts w:ascii="Arial" w:cs="Arial" w:eastAsia="Arial" w:hAnsi="Arial"/>
                <w:sz w:val="14"/>
                <w:szCs w:val="14"/>
                <w:color w:val="auto"/>
              </w:rPr>
              <w:t>Estimated liability for taxes on income</w:t>
            </w:r>
          </w:p>
        </w:tc>
        <w:tc>
          <w:tcPr>
            <w:tcW w:w="1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807,938</w:t>
            </w: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625,058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4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Dividend payable</w:t>
            </w: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110,511</w:t>
            </w:r>
          </w:p>
        </w:tc>
        <w:tc>
          <w:tcPr>
            <w:tcW w:w="2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109,565</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40" w:type="dxa"/>
            <w:vAlign w:val="bottom"/>
          </w:tcPr>
          <w:p>
            <w:pPr>
              <w:ind w:left="320"/>
              <w:spacing w:after="0" w:line="149" w:lineRule="exact"/>
              <w:rPr>
                <w:sz w:val="20"/>
                <w:szCs w:val="20"/>
                <w:color w:val="auto"/>
              </w:rPr>
            </w:pPr>
            <w:r>
              <w:rPr>
                <w:rFonts w:ascii="Arial" w:cs="Arial" w:eastAsia="Arial" w:hAnsi="Arial"/>
                <w:sz w:val="14"/>
                <w:szCs w:val="14"/>
                <w:color w:val="auto"/>
              </w:rPr>
              <w:t>Long-term debt – current portion</w:t>
            </w:r>
          </w:p>
        </w:tc>
        <w:tc>
          <w:tcPr>
            <w:tcW w:w="1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889,678</w:t>
            </w: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452,577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4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Bank &amp; short-term loans</w:t>
            </w: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521,490</w:t>
            </w:r>
          </w:p>
        </w:tc>
        <w:tc>
          <w:tcPr>
            <w:tcW w:w="2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682,956</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9240" w:type="dxa"/>
            <w:vAlign w:val="bottom"/>
          </w:tcPr>
          <w:p>
            <w:pPr>
              <w:ind w:left="320"/>
              <w:spacing w:after="0"/>
              <w:rPr>
                <w:sz w:val="20"/>
                <w:szCs w:val="20"/>
                <w:color w:val="auto"/>
              </w:rPr>
            </w:pPr>
            <w:r>
              <w:rPr>
                <w:rFonts w:ascii="Arial" w:cs="Arial" w:eastAsia="Arial" w:hAnsi="Arial"/>
                <w:sz w:val="14"/>
                <w:szCs w:val="14"/>
                <w:color w:val="auto"/>
              </w:rPr>
              <w:t>Liabilities held for sale</w:t>
            </w:r>
          </w:p>
        </w:tc>
        <w:tc>
          <w:tcPr>
            <w:tcW w:w="1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rPr>
              <w:t>1,217,568</w:t>
            </w: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924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6,794,730</w:t>
            </w:r>
          </w:p>
        </w:tc>
        <w:tc>
          <w:tcPr>
            <w:tcW w:w="2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6,450,918</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40" w:type="dxa"/>
            <w:vAlign w:val="bottom"/>
          </w:tcPr>
          <w:p>
            <w:pPr>
              <w:spacing w:after="0" w:line="149" w:lineRule="exact"/>
              <w:rPr>
                <w:sz w:val="20"/>
                <w:szCs w:val="20"/>
                <w:color w:val="auto"/>
              </w:rPr>
            </w:pPr>
            <w:r>
              <w:rPr>
                <w:rFonts w:ascii="Arial" w:cs="Arial" w:eastAsia="Arial" w:hAnsi="Arial"/>
                <w:sz w:val="14"/>
                <w:szCs w:val="14"/>
                <w:i w:val="1"/>
                <w:iCs w:val="1"/>
                <w:color w:val="auto"/>
              </w:rPr>
              <w:t>Long-term Debt</w:t>
            </w:r>
          </w:p>
        </w:tc>
        <w:tc>
          <w:tcPr>
            <w:tcW w:w="1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6,097,418</w:t>
            </w: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w w:val="99"/>
              </w:rPr>
              <w:t>6,028,549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40" w:type="dxa"/>
            <w:vAlign w:val="bottom"/>
            <w:shd w:val="clear" w:color="auto" w:fill="CCEEFF"/>
          </w:tcPr>
          <w:p>
            <w:pPr>
              <w:spacing w:after="0" w:line="149" w:lineRule="exact"/>
              <w:rPr>
                <w:sz w:val="20"/>
                <w:szCs w:val="20"/>
                <w:color w:val="auto"/>
              </w:rPr>
            </w:pPr>
            <w:r>
              <w:rPr>
                <w:rFonts w:ascii="Arial" w:cs="Arial" w:eastAsia="Arial" w:hAnsi="Arial"/>
                <w:sz w:val="14"/>
                <w:szCs w:val="14"/>
                <w:i w:val="1"/>
                <w:iCs w:val="1"/>
                <w:color w:val="auto"/>
              </w:rPr>
              <w:t>Postretirement Benefits</w:t>
            </w: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614,850</w:t>
            </w:r>
          </w:p>
        </w:tc>
        <w:tc>
          <w:tcPr>
            <w:tcW w:w="2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544,456</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9240" w:type="dxa"/>
            <w:vAlign w:val="bottom"/>
          </w:tcPr>
          <w:p>
            <w:pPr>
              <w:spacing w:after="0"/>
              <w:rPr>
                <w:sz w:val="20"/>
                <w:szCs w:val="20"/>
                <w:color w:val="auto"/>
              </w:rPr>
            </w:pPr>
            <w:r>
              <w:rPr>
                <w:rFonts w:ascii="Arial" w:cs="Arial" w:eastAsia="Arial" w:hAnsi="Arial"/>
                <w:sz w:val="14"/>
                <w:szCs w:val="14"/>
                <w:i w:val="1"/>
                <w:iCs w:val="1"/>
                <w:color w:val="auto"/>
              </w:rPr>
              <w:t>Other Liabilities</w:t>
            </w:r>
          </w:p>
        </w:tc>
        <w:tc>
          <w:tcPr>
            <w:tcW w:w="1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rPr>
              <w:t>254,709</w:t>
            </w: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251,607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924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91"/>
              </w:rPr>
              <w:t>13,761,707</w:t>
            </w:r>
          </w:p>
        </w:tc>
        <w:tc>
          <w:tcPr>
            <w:tcW w:w="2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8"/>
              </w:rPr>
              <w:t>13,275,530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24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9240" w:type="dxa"/>
            <w:vAlign w:val="bottom"/>
            <w:shd w:val="clear" w:color="auto" w:fill="CCEEFF"/>
          </w:tcPr>
          <w:p>
            <w:pPr>
              <w:spacing w:after="0" w:line="149" w:lineRule="exact"/>
              <w:rPr>
                <w:sz w:val="20"/>
                <w:szCs w:val="20"/>
                <w:color w:val="auto"/>
              </w:rPr>
            </w:pPr>
            <w:r>
              <w:rPr>
                <w:rFonts w:ascii="Arial" w:cs="Arial" w:eastAsia="Arial" w:hAnsi="Arial"/>
                <w:sz w:val="14"/>
                <w:szCs w:val="14"/>
                <w:i w:val="1"/>
                <w:iCs w:val="1"/>
                <w:color w:val="auto"/>
              </w:rPr>
              <w:t>Minority Interest</w:t>
            </w: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398,330</w:t>
            </w:r>
          </w:p>
        </w:tc>
        <w:tc>
          <w:tcPr>
            <w:tcW w:w="2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553,527</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24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9240" w:type="dxa"/>
            <w:vAlign w:val="bottom"/>
            <w:shd w:val="clear" w:color="auto" w:fill="CCEEFF"/>
          </w:tcPr>
          <w:p>
            <w:pPr>
              <w:spacing w:after="0" w:line="149" w:lineRule="exact"/>
              <w:rPr>
                <w:sz w:val="20"/>
                <w:szCs w:val="20"/>
                <w:color w:val="auto"/>
              </w:rPr>
            </w:pPr>
            <w:r>
              <w:rPr>
                <w:rFonts w:ascii="Arial" w:cs="Arial" w:eastAsia="Arial" w:hAnsi="Arial"/>
                <w:sz w:val="14"/>
                <w:szCs w:val="14"/>
                <w:i w:val="1"/>
                <w:iCs w:val="1"/>
                <w:color w:val="auto"/>
              </w:rPr>
              <w:t>Stockholders’ Equity</w:t>
            </w: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40" w:type="dxa"/>
            <w:vAlign w:val="bottom"/>
          </w:tcPr>
          <w:p>
            <w:pPr>
              <w:ind w:left="320"/>
              <w:spacing w:after="0" w:line="149" w:lineRule="exact"/>
              <w:rPr>
                <w:sz w:val="20"/>
                <w:szCs w:val="20"/>
                <w:color w:val="auto"/>
              </w:rPr>
            </w:pPr>
            <w:r>
              <w:rPr>
                <w:rFonts w:ascii="Arial" w:cs="Arial" w:eastAsia="Arial" w:hAnsi="Arial"/>
                <w:sz w:val="14"/>
                <w:szCs w:val="14"/>
                <w:color w:val="auto"/>
              </w:rPr>
              <w:t>Common Stock</w:t>
            </w:r>
          </w:p>
        </w:tc>
        <w:tc>
          <w:tcPr>
            <w:tcW w:w="1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2,258,488</w:t>
            </w: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w w:val="99"/>
              </w:rPr>
              <w:t>2,170,965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4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Income retained for use in the business</w:t>
            </w: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5,505,744</w:t>
            </w:r>
          </w:p>
        </w:tc>
        <w:tc>
          <w:tcPr>
            <w:tcW w:w="2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5,560,712</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40" w:type="dxa"/>
            <w:vAlign w:val="bottom"/>
          </w:tcPr>
          <w:p>
            <w:pPr>
              <w:ind w:left="320"/>
              <w:spacing w:after="0" w:line="149" w:lineRule="exact"/>
              <w:rPr>
                <w:sz w:val="20"/>
                <w:szCs w:val="20"/>
                <w:color w:val="auto"/>
              </w:rPr>
            </w:pPr>
            <w:r>
              <w:rPr>
                <w:rFonts w:ascii="Arial" w:cs="Arial" w:eastAsia="Arial" w:hAnsi="Arial"/>
                <w:sz w:val="14"/>
                <w:szCs w:val="14"/>
                <w:color w:val="auto"/>
              </w:rPr>
              <w:t>Treasury stock at cost</w:t>
            </w:r>
          </w:p>
        </w:tc>
        <w:tc>
          <w:tcPr>
            <w:tcW w:w="120" w:type="dxa"/>
            <w:vAlign w:val="bottom"/>
          </w:tcPr>
          <w:p>
            <w:pPr>
              <w:spacing w:after="0"/>
              <w:rPr>
                <w:sz w:val="12"/>
                <w:szCs w:val="12"/>
                <w:color w:val="auto"/>
              </w:rPr>
            </w:pPr>
          </w:p>
        </w:tc>
        <w:tc>
          <w:tcPr>
            <w:tcW w:w="880" w:type="dxa"/>
            <w:vAlign w:val="bottom"/>
            <w:gridSpan w:val="2"/>
          </w:tcPr>
          <w:p>
            <w:pPr>
              <w:jc w:val="right"/>
              <w:ind w:right="180"/>
              <w:spacing w:after="0" w:line="149" w:lineRule="exact"/>
              <w:rPr>
                <w:sz w:val="20"/>
                <w:szCs w:val="20"/>
                <w:color w:val="auto"/>
              </w:rPr>
            </w:pPr>
            <w:r>
              <w:rPr>
                <w:rFonts w:ascii="Arial" w:cs="Arial" w:eastAsia="Arial" w:hAnsi="Arial"/>
                <w:sz w:val="14"/>
                <w:szCs w:val="14"/>
                <w:b w:val="1"/>
                <w:bCs w:val="1"/>
                <w:color w:val="auto"/>
                <w:w w:val="94"/>
              </w:rPr>
              <w:t>(1,508,239)</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w w:val="92"/>
              </w:rPr>
              <w:t>(1,578,358)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4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Accumulated other comprehensive loss</w:t>
            </w: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b w:val="1"/>
                <w:bCs w:val="1"/>
                <w:color w:val="auto"/>
              </w:rPr>
              <w:t>(374,704)</w:t>
            </w: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(547,181)</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24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5,881,289</w:t>
            </w:r>
          </w:p>
        </w:tc>
        <w:tc>
          <w:tcPr>
            <w:tcW w:w="2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5,606,138</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24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4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b w:val="1"/>
                <w:bCs w:val="1"/>
                <w:color w:val="auto"/>
                <w:w w:val="71"/>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91"/>
              </w:rPr>
              <w:t>20,041,326</w:t>
            </w:r>
          </w:p>
        </w:tc>
        <w:tc>
          <w:tcPr>
            <w:tcW w:w="22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8"/>
              </w:rPr>
              <w:t>19,435,195</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9260" w:type="dxa"/>
            <w:vAlign w:val="bottom"/>
            <w:gridSpan w:val="2"/>
            <w:vMerge w:val="restart"/>
          </w:tcPr>
          <w:p>
            <w:pPr>
              <w:spacing w:after="0"/>
              <w:rPr>
                <w:sz w:val="20"/>
                <w:szCs w:val="20"/>
                <w:color w:val="auto"/>
              </w:rPr>
            </w:pPr>
            <w:r>
              <w:rPr>
                <w:rFonts w:ascii="Arial" w:cs="Arial" w:eastAsia="Arial" w:hAnsi="Arial"/>
                <w:sz w:val="14"/>
                <w:szCs w:val="14"/>
                <w:color w:val="auto"/>
              </w:rPr>
              <w:t xml:space="preserve">See the </w:t>
            </w:r>
            <w:r>
              <w:rPr>
                <w:rFonts w:ascii="Arial" w:cs="Arial" w:eastAsia="Arial" w:hAnsi="Arial"/>
                <w:sz w:val="14"/>
                <w:szCs w:val="14"/>
                <w:i w:val="1"/>
                <w:iCs w:val="1"/>
                <w:color w:val="auto"/>
              </w:rPr>
              <w:t>Notes to Consolidated Financial Statements</w:t>
            </w:r>
          </w:p>
        </w:tc>
        <w:tc>
          <w:tcPr>
            <w:tcW w:w="12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34"/>
        </w:trPr>
        <w:tc>
          <w:tcPr>
            <w:tcW w:w="926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9260" w:type="dxa"/>
            <w:vAlign w:val="bottom"/>
            <w:gridSpan w:val="2"/>
          </w:tcPr>
          <w:p>
            <w:pPr>
              <w:spacing w:after="0"/>
              <w:rPr>
                <w:sz w:val="20"/>
                <w:szCs w:val="20"/>
                <w:color w:val="auto"/>
              </w:rPr>
            </w:pPr>
            <w:r>
              <w:rPr>
                <w:rFonts w:ascii="Arial" w:cs="Arial" w:eastAsia="Arial" w:hAnsi="Arial"/>
                <w:sz w:val="14"/>
                <w:szCs w:val="14"/>
                <w:color w:val="auto"/>
              </w:rPr>
              <w:t>36 / SLB</w:t>
            </w: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gridSpan w:val="4"/>
          </w:tcPr>
          <w:p>
            <w:pPr>
              <w:jc w:val="right"/>
              <w:spacing w:after="0"/>
              <w:rPr>
                <w:sz w:val="20"/>
                <w:szCs w:val="20"/>
                <w:color w:val="auto"/>
              </w:rPr>
            </w:pPr>
            <w:r>
              <w:rPr>
                <w:rFonts w:ascii="Arial" w:cs="Arial" w:eastAsia="Arial" w:hAnsi="Arial"/>
                <w:sz w:val="14"/>
                <w:szCs w:val="14"/>
                <w:color w:val="auto"/>
              </w:rPr>
              <w:t>2003 FORM 10-K</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5877560</wp:posOffset>
            </wp:positionH>
            <wp:positionV relativeFrom="paragraph">
              <wp:posOffset>-3448685</wp:posOffset>
            </wp:positionV>
            <wp:extent cx="12700" cy="298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-3448685</wp:posOffset>
            </wp:positionV>
            <wp:extent cx="21590" cy="298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6366510</wp:posOffset>
            </wp:positionH>
            <wp:positionV relativeFrom="paragraph">
              <wp:posOffset>-3448685</wp:posOffset>
            </wp:positionV>
            <wp:extent cx="38735" cy="298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-3448685</wp:posOffset>
            </wp:positionV>
            <wp:extent cx="12700" cy="298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6786245</wp:posOffset>
            </wp:positionH>
            <wp:positionV relativeFrom="paragraph">
              <wp:posOffset>-3448685</wp:posOffset>
            </wp:positionV>
            <wp:extent cx="21590" cy="298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-3448685</wp:posOffset>
            </wp:positionV>
            <wp:extent cx="38735" cy="298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5877560</wp:posOffset>
            </wp:positionH>
            <wp:positionV relativeFrom="paragraph">
              <wp:posOffset>-429895</wp:posOffset>
            </wp:positionV>
            <wp:extent cx="12700" cy="298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-429895</wp:posOffset>
            </wp:positionV>
            <wp:extent cx="21590" cy="298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6366510</wp:posOffset>
            </wp:positionH>
            <wp:positionV relativeFrom="paragraph">
              <wp:posOffset>-429895</wp:posOffset>
            </wp:positionV>
            <wp:extent cx="38735" cy="298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-429895</wp:posOffset>
            </wp:positionV>
            <wp:extent cx="12700" cy="298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6786245</wp:posOffset>
            </wp:positionH>
            <wp:positionV relativeFrom="paragraph">
              <wp:posOffset>-429895</wp:posOffset>
            </wp:positionV>
            <wp:extent cx="21590" cy="298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-429895</wp:posOffset>
            </wp:positionV>
            <wp:extent cx="38735" cy="298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4"/>
          <w:szCs w:val="14"/>
          <w:color w:val="auto"/>
        </w:rPr>
        <w:t>Part II, Item 8</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color w:val="auto"/>
        </w:rPr>
        <w:t>SCHLUMBERGER LIMITED (SCHLUMBERGER N.V., INCORPORATED IN THE NETHERLANDS ANTILLES) AND SUBSIDIARY COMPANIES</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CONSOLIDATED STATEMENT OF CASH FLOWS</w:t>
      </w:r>
    </w:p>
    <w:p>
      <w:pPr>
        <w:spacing w:after="0" w:line="5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(Stated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17804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78040" cy="8890"/>
                    </a:xfrm>
                    <a:prstGeom prst="rect">
                      <a:avLst/>
                    </a:prstGeom>
                    <a:noFill/>
                  </pic:spPr>
                </pic:pic>
              </a:graphicData>
            </a:graphic>
          </wp:anchor>
        </w:drawing>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7700" w:type="dxa"/>
            <w:vAlign w:val="bottom"/>
            <w:gridSpan w:val="4"/>
          </w:tcPr>
          <w:p>
            <w:pPr>
              <w:spacing w:after="0"/>
              <w:rPr>
                <w:sz w:val="20"/>
                <w:szCs w:val="20"/>
                <w:color w:val="auto"/>
              </w:rPr>
            </w:pPr>
            <w:r>
              <w:rPr>
                <w:rFonts w:ascii="Arial" w:cs="Arial" w:eastAsia="Arial" w:hAnsi="Arial"/>
                <w:sz w:val="14"/>
                <w:szCs w:val="14"/>
                <w:b w:val="1"/>
                <w:bCs w:val="1"/>
                <w:color w:val="auto"/>
              </w:rPr>
              <w:t>Year Ended December 31,</w:t>
            </w:r>
          </w:p>
        </w:tc>
        <w:tc>
          <w:tcPr>
            <w:tcW w:w="90" w:type="dxa"/>
            <w:vAlign w:val="bottom"/>
          </w:tcPr>
          <w:p>
            <w:pPr>
              <w:spacing w:after="0"/>
              <w:rPr>
                <w:sz w:val="15"/>
                <w:szCs w:val="15"/>
                <w:color w:val="auto"/>
              </w:rPr>
            </w:pPr>
          </w:p>
        </w:tc>
        <w:tc>
          <w:tcPr>
            <w:tcW w:w="610" w:type="dxa"/>
            <w:vAlign w:val="bottom"/>
          </w:tcPr>
          <w:p>
            <w:pPr>
              <w:jc w:val="right"/>
              <w:spacing w:after="0"/>
              <w:rPr>
                <w:sz w:val="20"/>
                <w:szCs w:val="20"/>
                <w:color w:val="auto"/>
              </w:rPr>
            </w:pPr>
            <w:r>
              <w:rPr>
                <w:rFonts w:ascii="Arial" w:cs="Arial" w:eastAsia="Arial" w:hAnsi="Arial"/>
                <w:sz w:val="14"/>
                <w:szCs w:val="14"/>
                <w:b w:val="1"/>
                <w:bCs w:val="1"/>
                <w:color w:val="auto"/>
              </w:rPr>
              <w:t>2003</w:t>
            </w: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rPr>
              <w:t>2002</w:t>
            </w:r>
          </w:p>
        </w:tc>
        <w:tc>
          <w:tcPr>
            <w:tcW w:w="3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rPr>
              <w:t>2001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20" w:type="dxa"/>
            <w:vAlign w:val="bottom"/>
            <w:vMerge w:val="restart"/>
          </w:tcPr>
          <w:p>
            <w:pPr>
              <w:spacing w:after="0"/>
              <w:rPr>
                <w:sz w:val="3"/>
                <w:szCs w:val="3"/>
                <w:color w:val="auto"/>
              </w:rPr>
            </w:pPr>
          </w:p>
        </w:tc>
        <w:tc>
          <w:tcPr>
            <w:tcW w:w="766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90" w:type="dxa"/>
            <w:vAlign w:val="bottom"/>
          </w:tcPr>
          <w:p>
            <w:pPr>
              <w:spacing w:after="0"/>
              <w:rPr>
                <w:sz w:val="3"/>
                <w:szCs w:val="3"/>
                <w:color w:val="auto"/>
              </w:rPr>
            </w:pPr>
          </w:p>
        </w:tc>
        <w:tc>
          <w:tcPr>
            <w:tcW w:w="61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30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68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Cash flows from operating activities:</w:t>
            </w:r>
          </w:p>
        </w:tc>
        <w:tc>
          <w:tcPr>
            <w:tcW w:w="90" w:type="dxa"/>
            <w:vAlign w:val="bottom"/>
            <w:shd w:val="clear" w:color="auto" w:fill="CCEEFF"/>
          </w:tcPr>
          <w:p>
            <w:pPr>
              <w:spacing w:after="0"/>
              <w:rPr>
                <w:sz w:val="12"/>
                <w:szCs w:val="12"/>
                <w:color w:val="auto"/>
              </w:rPr>
            </w:pPr>
          </w:p>
        </w:tc>
        <w:tc>
          <w:tcPr>
            <w:tcW w:w="61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50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Income (loss) from continuing operations</w:t>
            </w:r>
          </w:p>
        </w:tc>
        <w:tc>
          <w:tcPr>
            <w:tcW w:w="90" w:type="dxa"/>
            <w:vAlign w:val="bottom"/>
          </w:tcPr>
          <w:p>
            <w:pPr>
              <w:jc w:val="right"/>
              <w:spacing w:after="0"/>
              <w:rPr>
                <w:sz w:val="20"/>
                <w:szCs w:val="20"/>
                <w:color w:val="auto"/>
              </w:rPr>
            </w:pPr>
            <w:r>
              <w:rPr>
                <w:rFonts w:ascii="Arial" w:cs="Arial" w:eastAsia="Arial" w:hAnsi="Arial"/>
                <w:sz w:val="10"/>
                <w:szCs w:val="10"/>
                <w:b w:val="1"/>
                <w:bCs w:val="1"/>
                <w:color w:val="auto"/>
                <w:w w:val="71"/>
              </w:rPr>
              <w:t>$</w:t>
            </w:r>
          </w:p>
        </w:tc>
        <w:tc>
          <w:tcPr>
            <w:tcW w:w="61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472,557</w:t>
            </w:r>
          </w:p>
        </w:tc>
        <w:tc>
          <w:tcPr>
            <w:tcW w:w="740" w:type="dxa"/>
            <w:vAlign w:val="bottom"/>
          </w:tcPr>
          <w:p>
            <w:pPr>
              <w:spacing w:after="0"/>
              <w:rPr>
                <w:sz w:val="12"/>
                <w:szCs w:val="12"/>
                <w:color w:val="auto"/>
              </w:rPr>
            </w:pPr>
          </w:p>
        </w:tc>
        <w:tc>
          <w:tcPr>
            <w:tcW w:w="1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w w:val="76"/>
              </w:rPr>
              <w:t>$</w:t>
            </w:r>
          </w:p>
        </w:tc>
        <w:tc>
          <w:tcPr>
            <w:tcW w:w="9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w w:val="89"/>
              </w:rPr>
              <w:t>(2,417,214)</w:t>
            </w:r>
          </w:p>
        </w:tc>
        <w:tc>
          <w:tcPr>
            <w:tcW w:w="5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493,854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50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Adjustments to reconcile net income to net cash provided by operating activities:</w:t>
            </w:r>
          </w:p>
        </w:tc>
        <w:tc>
          <w:tcPr>
            <w:tcW w:w="90" w:type="dxa"/>
            <w:vAlign w:val="bottom"/>
            <w:shd w:val="clear" w:color="auto" w:fill="CCEEFF"/>
          </w:tcPr>
          <w:p>
            <w:pPr>
              <w:spacing w:after="0"/>
              <w:rPr>
                <w:sz w:val="12"/>
                <w:szCs w:val="12"/>
                <w:color w:val="auto"/>
              </w:rPr>
            </w:pPr>
          </w:p>
        </w:tc>
        <w:tc>
          <w:tcPr>
            <w:tcW w:w="61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500" w:type="dxa"/>
            <w:vAlign w:val="bottom"/>
            <w:gridSpan w:val="2"/>
          </w:tcPr>
          <w:p>
            <w:pPr>
              <w:ind w:left="460"/>
              <w:spacing w:after="0" w:line="176" w:lineRule="exact"/>
              <w:rPr>
                <w:sz w:val="20"/>
                <w:szCs w:val="20"/>
                <w:color w:val="auto"/>
              </w:rPr>
            </w:pPr>
            <w:r>
              <w:rPr>
                <w:rFonts w:ascii="Arial" w:cs="Arial" w:eastAsia="Arial" w:hAnsi="Arial"/>
                <w:sz w:val="13"/>
                <w:szCs w:val="13"/>
                <w:color w:val="auto"/>
              </w:rPr>
              <w:t>Depreciation and amortization</w:t>
            </w:r>
            <w:r>
              <w:rPr>
                <w:rFonts w:ascii="Arial" w:cs="Arial" w:eastAsia="Arial" w:hAnsi="Arial"/>
                <w:sz w:val="20"/>
                <w:szCs w:val="20"/>
                <w:color w:val="auto"/>
                <w:vertAlign w:val="superscript"/>
              </w:rPr>
              <w:t>1</w:t>
            </w:r>
          </w:p>
        </w:tc>
        <w:tc>
          <w:tcPr>
            <w:tcW w:w="90" w:type="dxa"/>
            <w:vAlign w:val="bottom"/>
          </w:tcPr>
          <w:p>
            <w:pPr>
              <w:spacing w:after="0"/>
              <w:rPr>
                <w:sz w:val="15"/>
                <w:szCs w:val="15"/>
                <w:color w:val="auto"/>
              </w:rPr>
            </w:pPr>
          </w:p>
        </w:tc>
        <w:tc>
          <w:tcPr>
            <w:tcW w:w="610" w:type="dxa"/>
            <w:vAlign w:val="bottom"/>
          </w:tcPr>
          <w:p>
            <w:pPr>
              <w:jc w:val="right"/>
              <w:spacing w:after="0"/>
              <w:rPr>
                <w:sz w:val="20"/>
                <w:szCs w:val="20"/>
                <w:color w:val="auto"/>
              </w:rPr>
            </w:pPr>
            <w:r>
              <w:rPr>
                <w:rFonts w:ascii="Arial" w:cs="Arial" w:eastAsia="Arial" w:hAnsi="Arial"/>
                <w:sz w:val="14"/>
                <w:szCs w:val="14"/>
                <w:b w:val="1"/>
                <w:bCs w:val="1"/>
                <w:color w:val="auto"/>
                <w:w w:val="93"/>
              </w:rPr>
              <w:t>1,570,851</w:t>
            </w: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w w:val="96"/>
              </w:rPr>
              <w:t>1,533,406</w:t>
            </w:r>
          </w:p>
        </w:tc>
        <w:tc>
          <w:tcPr>
            <w:tcW w:w="3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w w:val="96"/>
              </w:rPr>
              <w:t>1,875,559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50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Gain on the sale of Grant Prideco stock</w:t>
            </w:r>
          </w:p>
        </w:tc>
        <w:tc>
          <w:tcPr>
            <w:tcW w:w="90" w:type="dxa"/>
            <w:vAlign w:val="bottom"/>
            <w:shd w:val="clear" w:color="auto" w:fill="CCEEFF"/>
          </w:tcPr>
          <w:p>
            <w:pPr>
              <w:spacing w:after="0"/>
              <w:rPr>
                <w:sz w:val="12"/>
                <w:szCs w:val="12"/>
                <w:color w:val="auto"/>
              </w:rPr>
            </w:pPr>
          </w:p>
        </w:tc>
        <w:tc>
          <w:tcPr>
            <w:tcW w:w="135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b w:val="1"/>
                <w:bCs w:val="1"/>
                <w:color w:val="auto"/>
              </w:rPr>
              <w:t>(1,320)</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50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Non-cash charges and gains on sale of businesses</w:t>
            </w:r>
          </w:p>
        </w:tc>
        <w:tc>
          <w:tcPr>
            <w:tcW w:w="90" w:type="dxa"/>
            <w:vAlign w:val="bottom"/>
          </w:tcPr>
          <w:p>
            <w:pPr>
              <w:spacing w:after="0"/>
              <w:rPr>
                <w:sz w:val="12"/>
                <w:szCs w:val="12"/>
                <w:color w:val="auto"/>
              </w:rPr>
            </w:pPr>
          </w:p>
        </w:tc>
        <w:tc>
          <w:tcPr>
            <w:tcW w:w="61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439,976</w:t>
            </w: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w w:val="96"/>
              </w:rPr>
              <w:t>3,196,923</w:t>
            </w:r>
          </w:p>
        </w:tc>
        <w:tc>
          <w:tcPr>
            <w:tcW w:w="3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271,174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50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Gain on sale of drilling rigs</w:t>
            </w:r>
          </w:p>
        </w:tc>
        <w:tc>
          <w:tcPr>
            <w:tcW w:w="90" w:type="dxa"/>
            <w:vAlign w:val="bottom"/>
            <w:shd w:val="clear" w:color="auto" w:fill="CCEEFF"/>
          </w:tcPr>
          <w:p>
            <w:pPr>
              <w:spacing w:after="0"/>
              <w:rPr>
                <w:sz w:val="12"/>
                <w:szCs w:val="12"/>
                <w:color w:val="auto"/>
              </w:rPr>
            </w:pPr>
          </w:p>
        </w:tc>
        <w:tc>
          <w:tcPr>
            <w:tcW w:w="1350" w:type="dxa"/>
            <w:vAlign w:val="bottom"/>
            <w:gridSpan w:val="2"/>
            <w:shd w:val="clear" w:color="auto" w:fill="CCEEFF"/>
          </w:tcPr>
          <w:p>
            <w:pPr>
              <w:jc w:val="right"/>
              <w:ind w:right="740"/>
              <w:spacing w:after="0" w:line="149" w:lineRule="exact"/>
              <w:rPr>
                <w:sz w:val="20"/>
                <w:szCs w:val="20"/>
                <w:color w:val="auto"/>
              </w:rPr>
            </w:pPr>
            <w:r>
              <w:rPr>
                <w:rFonts w:ascii="Arial" w:cs="Arial" w:eastAsia="Arial" w:hAnsi="Arial"/>
                <w:sz w:val="14"/>
                <w:szCs w:val="14"/>
                <w:b w:val="1"/>
                <w:bCs w:val="1"/>
                <w:color w:val="auto"/>
              </w:rPr>
              <w: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(86,858)</w:t>
            </w: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50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Earnings of companies carried at equity, less dividends received</w:t>
            </w:r>
          </w:p>
        </w:tc>
        <w:tc>
          <w:tcPr>
            <w:tcW w:w="90" w:type="dxa"/>
            <w:vAlign w:val="bottom"/>
          </w:tcPr>
          <w:p>
            <w:pPr>
              <w:spacing w:after="0"/>
              <w:rPr>
                <w:sz w:val="12"/>
                <w:szCs w:val="12"/>
                <w:color w:val="auto"/>
              </w:rPr>
            </w:pPr>
          </w:p>
        </w:tc>
        <w:tc>
          <w:tcPr>
            <w:tcW w:w="1350" w:type="dxa"/>
            <w:vAlign w:val="bottom"/>
            <w:gridSpan w:val="2"/>
          </w:tcPr>
          <w:p>
            <w:pPr>
              <w:jc w:val="right"/>
              <w:ind w:right="700"/>
              <w:spacing w:after="0" w:line="149" w:lineRule="exact"/>
              <w:rPr>
                <w:sz w:val="20"/>
                <w:szCs w:val="20"/>
                <w:color w:val="auto"/>
              </w:rPr>
            </w:pPr>
            <w:r>
              <w:rPr>
                <w:rFonts w:ascii="Arial" w:cs="Arial" w:eastAsia="Arial" w:hAnsi="Arial"/>
                <w:sz w:val="14"/>
                <w:szCs w:val="14"/>
                <w:b w:val="1"/>
                <w:bCs w:val="1"/>
                <w:color w:val="auto"/>
              </w:rPr>
              <w:t>(74,596)</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(64,280)</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(61,715)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50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Deferred taxes</w:t>
            </w:r>
          </w:p>
        </w:tc>
        <w:tc>
          <w:tcPr>
            <w:tcW w:w="90" w:type="dxa"/>
            <w:vAlign w:val="bottom"/>
            <w:shd w:val="clear" w:color="auto" w:fill="CCEEFF"/>
          </w:tcPr>
          <w:p>
            <w:pPr>
              <w:spacing w:after="0"/>
              <w:rPr>
                <w:sz w:val="12"/>
                <w:szCs w:val="12"/>
                <w:color w:val="auto"/>
              </w:rPr>
            </w:pPr>
          </w:p>
        </w:tc>
        <w:tc>
          <w:tcPr>
            <w:tcW w:w="135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b w:val="1"/>
                <w:bCs w:val="1"/>
                <w:color w:val="auto"/>
              </w:rPr>
              <w:t>(12,286)</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(48,702)</w:t>
            </w: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17,595</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50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Provision for losses on accounts receivable</w:t>
            </w:r>
          </w:p>
        </w:tc>
        <w:tc>
          <w:tcPr>
            <w:tcW w:w="90" w:type="dxa"/>
            <w:vAlign w:val="bottom"/>
          </w:tcPr>
          <w:p>
            <w:pPr>
              <w:spacing w:after="0"/>
              <w:rPr>
                <w:sz w:val="12"/>
                <w:szCs w:val="12"/>
                <w:color w:val="auto"/>
              </w:rPr>
            </w:pPr>
          </w:p>
        </w:tc>
        <w:tc>
          <w:tcPr>
            <w:tcW w:w="61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53,303</w:t>
            </w: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66,425</w:t>
            </w:r>
          </w:p>
        </w:tc>
        <w:tc>
          <w:tcPr>
            <w:tcW w:w="3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56,619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50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Change in operating assets and liabilities:</w:t>
            </w:r>
          </w:p>
        </w:tc>
        <w:tc>
          <w:tcPr>
            <w:tcW w:w="90" w:type="dxa"/>
            <w:vAlign w:val="bottom"/>
            <w:shd w:val="clear" w:color="auto" w:fill="CCEEFF"/>
          </w:tcPr>
          <w:p>
            <w:pPr>
              <w:spacing w:after="0"/>
              <w:rPr>
                <w:sz w:val="12"/>
                <w:szCs w:val="12"/>
                <w:color w:val="auto"/>
              </w:rPr>
            </w:pPr>
          </w:p>
        </w:tc>
        <w:tc>
          <w:tcPr>
            <w:tcW w:w="61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50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(Increase) decrease in receivables</w:t>
            </w:r>
          </w:p>
        </w:tc>
        <w:tc>
          <w:tcPr>
            <w:tcW w:w="90" w:type="dxa"/>
            <w:vAlign w:val="bottom"/>
          </w:tcPr>
          <w:p>
            <w:pPr>
              <w:spacing w:after="0"/>
              <w:rPr>
                <w:sz w:val="12"/>
                <w:szCs w:val="12"/>
                <w:color w:val="auto"/>
              </w:rPr>
            </w:pPr>
          </w:p>
        </w:tc>
        <w:tc>
          <w:tcPr>
            <w:tcW w:w="1350" w:type="dxa"/>
            <w:vAlign w:val="bottom"/>
            <w:gridSpan w:val="2"/>
          </w:tcPr>
          <w:p>
            <w:pPr>
              <w:jc w:val="right"/>
              <w:ind w:right="700"/>
              <w:spacing w:after="0" w:line="149" w:lineRule="exact"/>
              <w:rPr>
                <w:sz w:val="20"/>
                <w:szCs w:val="20"/>
                <w:color w:val="auto"/>
              </w:rPr>
            </w:pPr>
            <w:r>
              <w:rPr>
                <w:rFonts w:ascii="Arial" w:cs="Arial" w:eastAsia="Arial" w:hAnsi="Arial"/>
                <w:sz w:val="14"/>
                <w:szCs w:val="14"/>
                <w:b w:val="1"/>
                <w:bCs w:val="1"/>
                <w:color w:val="auto"/>
              </w:rPr>
              <w:t>(74,118)</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542,669</w:t>
            </w:r>
          </w:p>
        </w:tc>
        <w:tc>
          <w:tcPr>
            <w:tcW w:w="3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(907,535)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50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Decrease (increase) in inventories</w:t>
            </w:r>
          </w:p>
        </w:tc>
        <w:tc>
          <w:tcPr>
            <w:tcW w:w="90" w:type="dxa"/>
            <w:vAlign w:val="bottom"/>
            <w:shd w:val="clear" w:color="auto" w:fill="CCEEFF"/>
          </w:tcPr>
          <w:p>
            <w:pPr>
              <w:spacing w:after="0"/>
              <w:rPr>
                <w:sz w:val="12"/>
                <w:szCs w:val="12"/>
                <w:color w:val="auto"/>
              </w:rPr>
            </w:pPr>
          </w:p>
        </w:tc>
        <w:tc>
          <w:tcPr>
            <w:tcW w:w="61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96,606</w:t>
            </w:r>
          </w:p>
        </w:tc>
        <w:tc>
          <w:tcPr>
            <w:tcW w:w="7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72,383</w:t>
            </w:r>
          </w:p>
        </w:tc>
        <w:tc>
          <w:tcPr>
            <w:tcW w:w="3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(259,290)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50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(Increase) decrease in other current assets</w:t>
            </w:r>
          </w:p>
        </w:tc>
        <w:tc>
          <w:tcPr>
            <w:tcW w:w="90" w:type="dxa"/>
            <w:vAlign w:val="bottom"/>
          </w:tcPr>
          <w:p>
            <w:pPr>
              <w:spacing w:after="0"/>
              <w:rPr>
                <w:sz w:val="12"/>
                <w:szCs w:val="12"/>
                <w:color w:val="auto"/>
              </w:rPr>
            </w:pPr>
          </w:p>
        </w:tc>
        <w:tc>
          <w:tcPr>
            <w:tcW w:w="1350" w:type="dxa"/>
            <w:vAlign w:val="bottom"/>
            <w:gridSpan w:val="2"/>
          </w:tcPr>
          <w:p>
            <w:pPr>
              <w:jc w:val="right"/>
              <w:ind w:right="700"/>
              <w:spacing w:after="0" w:line="149" w:lineRule="exact"/>
              <w:rPr>
                <w:sz w:val="20"/>
                <w:szCs w:val="20"/>
                <w:color w:val="auto"/>
              </w:rPr>
            </w:pPr>
            <w:r>
              <w:rPr>
                <w:rFonts w:ascii="Arial" w:cs="Arial" w:eastAsia="Arial" w:hAnsi="Arial"/>
                <w:sz w:val="14"/>
                <w:szCs w:val="14"/>
                <w:b w:val="1"/>
                <w:bCs w:val="1"/>
                <w:color w:val="auto"/>
              </w:rPr>
              <w:t>(47,274)</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47,938</w:t>
            </w:r>
          </w:p>
        </w:tc>
        <w:tc>
          <w:tcPr>
            <w:tcW w:w="3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(8,048)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50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(Decrease) increase in accounts payable and accrued liabilities</w:t>
            </w:r>
          </w:p>
        </w:tc>
        <w:tc>
          <w:tcPr>
            <w:tcW w:w="90" w:type="dxa"/>
            <w:vAlign w:val="bottom"/>
            <w:shd w:val="clear" w:color="auto" w:fill="CCEEFF"/>
          </w:tcPr>
          <w:p>
            <w:pPr>
              <w:spacing w:after="0"/>
              <w:rPr>
                <w:sz w:val="12"/>
                <w:szCs w:val="12"/>
                <w:color w:val="auto"/>
              </w:rPr>
            </w:pPr>
          </w:p>
        </w:tc>
        <w:tc>
          <w:tcPr>
            <w:tcW w:w="135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b w:val="1"/>
                <w:bCs w:val="1"/>
                <w:color w:val="auto"/>
              </w:rPr>
              <w:t>(535,121)</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(592,878)</w:t>
            </w: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204,751</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50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Increase in estimated liability for taxes on income</w:t>
            </w:r>
          </w:p>
        </w:tc>
        <w:tc>
          <w:tcPr>
            <w:tcW w:w="90" w:type="dxa"/>
            <w:vAlign w:val="bottom"/>
          </w:tcPr>
          <w:p>
            <w:pPr>
              <w:spacing w:after="0"/>
              <w:rPr>
                <w:sz w:val="12"/>
                <w:szCs w:val="12"/>
                <w:color w:val="auto"/>
              </w:rPr>
            </w:pPr>
          </w:p>
        </w:tc>
        <w:tc>
          <w:tcPr>
            <w:tcW w:w="61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175,857</w:t>
            </w: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28,470</w:t>
            </w:r>
          </w:p>
        </w:tc>
        <w:tc>
          <w:tcPr>
            <w:tcW w:w="3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12,626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50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Increase in postretirement benefits</w:t>
            </w:r>
          </w:p>
        </w:tc>
        <w:tc>
          <w:tcPr>
            <w:tcW w:w="90" w:type="dxa"/>
            <w:vAlign w:val="bottom"/>
            <w:shd w:val="clear" w:color="auto" w:fill="CCEEFF"/>
          </w:tcPr>
          <w:p>
            <w:pPr>
              <w:spacing w:after="0"/>
              <w:rPr>
                <w:sz w:val="12"/>
                <w:szCs w:val="12"/>
                <w:color w:val="auto"/>
              </w:rPr>
            </w:pPr>
          </w:p>
        </w:tc>
        <w:tc>
          <w:tcPr>
            <w:tcW w:w="61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70,394</w:t>
            </w:r>
          </w:p>
        </w:tc>
        <w:tc>
          <w:tcPr>
            <w:tcW w:w="7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39,659</w:t>
            </w:r>
          </w:p>
        </w:tc>
        <w:tc>
          <w:tcPr>
            <w:tcW w:w="3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28,417</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500" w:type="dxa"/>
            <w:vAlign w:val="bottom"/>
            <w:gridSpan w:val="2"/>
          </w:tcPr>
          <w:p>
            <w:pPr>
              <w:ind w:left="460"/>
              <w:spacing w:after="0"/>
              <w:rPr>
                <w:sz w:val="20"/>
                <w:szCs w:val="20"/>
                <w:color w:val="auto"/>
              </w:rPr>
            </w:pPr>
            <w:r>
              <w:rPr>
                <w:rFonts w:ascii="Arial" w:cs="Arial" w:eastAsia="Arial" w:hAnsi="Arial"/>
                <w:sz w:val="14"/>
                <w:szCs w:val="14"/>
                <w:color w:val="auto"/>
              </w:rPr>
              <w:t>Other – net</w:t>
            </w:r>
          </w:p>
        </w:tc>
        <w:tc>
          <w:tcPr>
            <w:tcW w:w="90" w:type="dxa"/>
            <w:vAlign w:val="bottom"/>
          </w:tcPr>
          <w:p>
            <w:pPr>
              <w:spacing w:after="0"/>
              <w:rPr>
                <w:sz w:val="15"/>
                <w:szCs w:val="15"/>
                <w:color w:val="auto"/>
              </w:rPr>
            </w:pPr>
          </w:p>
        </w:tc>
        <w:tc>
          <w:tcPr>
            <w:tcW w:w="135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(21,830)</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4"/>
                <w:szCs w:val="14"/>
                <w:color w:val="auto"/>
              </w:rPr>
              <w:t>(144,158)</w:t>
            </w: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4"/>
                <w:szCs w:val="14"/>
                <w:color w:val="auto"/>
              </w:rPr>
              <w:t>(162,602)</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7660" w:type="dxa"/>
            <w:vAlign w:val="bottom"/>
            <w:tcBorders>
              <w:bottom w:val="single" w:sz="8" w:color="auto"/>
            </w:tcBorders>
            <w:gridSpan w:val="2"/>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90" w:type="dxa"/>
            <w:vAlign w:val="bottom"/>
            <w:tcBorders>
              <w:bottom w:val="single" w:sz="8" w:color="auto"/>
            </w:tcBorders>
          </w:tcPr>
          <w:p>
            <w:pPr>
              <w:spacing w:after="0"/>
              <w:rPr>
                <w:sz w:val="7"/>
                <w:szCs w:val="7"/>
                <w:color w:val="auto"/>
              </w:rPr>
            </w:pPr>
          </w:p>
        </w:tc>
        <w:tc>
          <w:tcPr>
            <w:tcW w:w="610" w:type="dxa"/>
            <w:vAlign w:val="bottom"/>
            <w:tcBorders>
              <w:bottom w:val="single" w:sz="8" w:color="auto"/>
            </w:tcBorders>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300" w:type="dxa"/>
            <w:vAlign w:val="bottom"/>
          </w:tcPr>
          <w:p>
            <w:pPr>
              <w:spacing w:after="0"/>
              <w:rPr>
                <w:sz w:val="7"/>
                <w:szCs w:val="7"/>
                <w:color w:val="auto"/>
              </w:rPr>
            </w:pPr>
          </w:p>
        </w:tc>
        <w:tc>
          <w:tcPr>
            <w:tcW w:w="44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80" w:type="dxa"/>
            <w:vAlign w:val="bottom"/>
          </w:tcPr>
          <w:p>
            <w:pPr>
              <w:spacing w:after="0"/>
              <w:rPr>
                <w:sz w:val="8"/>
                <w:szCs w:val="8"/>
                <w:color w:val="auto"/>
              </w:rPr>
            </w:pPr>
          </w:p>
        </w:tc>
        <w:tc>
          <w:tcPr>
            <w:tcW w:w="7480" w:type="dxa"/>
            <w:vAlign w:val="bottom"/>
          </w:tcPr>
          <w:p>
            <w:pPr>
              <w:spacing w:after="0"/>
              <w:rPr>
                <w:sz w:val="8"/>
                <w:szCs w:val="8"/>
                <w:color w:val="auto"/>
              </w:rPr>
            </w:pPr>
          </w:p>
        </w:tc>
        <w:tc>
          <w:tcPr>
            <w:tcW w:w="20" w:type="dxa"/>
            <w:vAlign w:val="bottom"/>
          </w:tcPr>
          <w:p>
            <w:pPr>
              <w:spacing w:after="0"/>
              <w:rPr>
                <w:sz w:val="8"/>
                <w:szCs w:val="8"/>
                <w:color w:val="auto"/>
              </w:rPr>
            </w:pPr>
          </w:p>
        </w:tc>
        <w:tc>
          <w:tcPr>
            <w:tcW w:w="90" w:type="dxa"/>
            <w:vAlign w:val="bottom"/>
          </w:tcPr>
          <w:p>
            <w:pPr>
              <w:spacing w:after="0"/>
              <w:rPr>
                <w:sz w:val="8"/>
                <w:szCs w:val="8"/>
                <w:color w:val="auto"/>
              </w:rPr>
            </w:pPr>
          </w:p>
        </w:tc>
        <w:tc>
          <w:tcPr>
            <w:tcW w:w="61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3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68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NET CASH PROVIDED BY OPERATING ACTIVITIES</w:t>
            </w:r>
          </w:p>
        </w:tc>
        <w:tc>
          <w:tcPr>
            <w:tcW w:w="90" w:type="dxa"/>
            <w:vAlign w:val="bottom"/>
            <w:shd w:val="clear" w:color="auto" w:fill="CCEEFF"/>
          </w:tcPr>
          <w:p>
            <w:pPr>
              <w:spacing w:after="0"/>
              <w:rPr>
                <w:sz w:val="12"/>
                <w:szCs w:val="12"/>
                <w:color w:val="auto"/>
              </w:rPr>
            </w:pPr>
          </w:p>
        </w:tc>
        <w:tc>
          <w:tcPr>
            <w:tcW w:w="61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93"/>
              </w:rPr>
              <w:t>2,112,999</w:t>
            </w:r>
          </w:p>
        </w:tc>
        <w:tc>
          <w:tcPr>
            <w:tcW w:w="7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2,173,783</w:t>
            </w:r>
          </w:p>
        </w:tc>
        <w:tc>
          <w:tcPr>
            <w:tcW w:w="3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1,561,405</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660" w:type="dxa"/>
            <w:vAlign w:val="bottom"/>
            <w:tcBorders>
              <w:bottom w:val="single" w:sz="8" w:color="auto"/>
            </w:tcBorders>
            <w:gridSpan w:val="2"/>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90" w:type="dxa"/>
            <w:vAlign w:val="bottom"/>
            <w:tcBorders>
              <w:bottom w:val="single" w:sz="8" w:color="auto"/>
            </w:tcBorders>
          </w:tcPr>
          <w:p>
            <w:pPr>
              <w:spacing w:after="0"/>
              <w:rPr>
                <w:sz w:val="9"/>
                <w:szCs w:val="9"/>
                <w:color w:val="auto"/>
              </w:rPr>
            </w:pPr>
          </w:p>
        </w:tc>
        <w:tc>
          <w:tcPr>
            <w:tcW w:w="610" w:type="dxa"/>
            <w:vAlign w:val="bottom"/>
            <w:tcBorders>
              <w:bottom w:val="single" w:sz="8" w:color="auto"/>
            </w:tcBorders>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80" w:type="dxa"/>
            <w:vAlign w:val="bottom"/>
          </w:tcPr>
          <w:p>
            <w:pPr>
              <w:spacing w:after="0"/>
              <w:rPr>
                <w:sz w:val="8"/>
                <w:szCs w:val="8"/>
                <w:color w:val="auto"/>
              </w:rPr>
            </w:pPr>
          </w:p>
        </w:tc>
        <w:tc>
          <w:tcPr>
            <w:tcW w:w="7480" w:type="dxa"/>
            <w:vAlign w:val="bottom"/>
          </w:tcPr>
          <w:p>
            <w:pPr>
              <w:spacing w:after="0"/>
              <w:rPr>
                <w:sz w:val="8"/>
                <w:szCs w:val="8"/>
                <w:color w:val="auto"/>
              </w:rPr>
            </w:pPr>
          </w:p>
        </w:tc>
        <w:tc>
          <w:tcPr>
            <w:tcW w:w="20" w:type="dxa"/>
            <w:vAlign w:val="bottom"/>
          </w:tcPr>
          <w:p>
            <w:pPr>
              <w:spacing w:after="0"/>
              <w:rPr>
                <w:sz w:val="8"/>
                <w:szCs w:val="8"/>
                <w:color w:val="auto"/>
              </w:rPr>
            </w:pPr>
          </w:p>
        </w:tc>
        <w:tc>
          <w:tcPr>
            <w:tcW w:w="90" w:type="dxa"/>
            <w:vAlign w:val="bottom"/>
          </w:tcPr>
          <w:p>
            <w:pPr>
              <w:spacing w:after="0"/>
              <w:rPr>
                <w:sz w:val="8"/>
                <w:szCs w:val="8"/>
                <w:color w:val="auto"/>
              </w:rPr>
            </w:pPr>
          </w:p>
        </w:tc>
        <w:tc>
          <w:tcPr>
            <w:tcW w:w="61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3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68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Cash flows from investing activities:</w:t>
            </w:r>
          </w:p>
        </w:tc>
        <w:tc>
          <w:tcPr>
            <w:tcW w:w="90" w:type="dxa"/>
            <w:vAlign w:val="bottom"/>
            <w:shd w:val="clear" w:color="auto" w:fill="CCEEFF"/>
          </w:tcPr>
          <w:p>
            <w:pPr>
              <w:spacing w:after="0"/>
              <w:rPr>
                <w:sz w:val="12"/>
                <w:szCs w:val="12"/>
                <w:color w:val="auto"/>
              </w:rPr>
            </w:pPr>
          </w:p>
        </w:tc>
        <w:tc>
          <w:tcPr>
            <w:tcW w:w="61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50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Purchases of fixed assets</w:t>
            </w:r>
          </w:p>
        </w:tc>
        <w:tc>
          <w:tcPr>
            <w:tcW w:w="90" w:type="dxa"/>
            <w:vAlign w:val="bottom"/>
          </w:tcPr>
          <w:p>
            <w:pPr>
              <w:spacing w:after="0"/>
              <w:rPr>
                <w:sz w:val="12"/>
                <w:szCs w:val="12"/>
                <w:color w:val="auto"/>
              </w:rPr>
            </w:pPr>
          </w:p>
        </w:tc>
        <w:tc>
          <w:tcPr>
            <w:tcW w:w="1350" w:type="dxa"/>
            <w:vAlign w:val="bottom"/>
            <w:gridSpan w:val="2"/>
          </w:tcPr>
          <w:p>
            <w:pPr>
              <w:jc w:val="right"/>
              <w:ind w:right="700"/>
              <w:spacing w:after="0" w:line="149" w:lineRule="exact"/>
              <w:rPr>
                <w:sz w:val="20"/>
                <w:szCs w:val="20"/>
                <w:color w:val="auto"/>
              </w:rPr>
            </w:pPr>
            <w:r>
              <w:rPr>
                <w:rFonts w:ascii="Arial" w:cs="Arial" w:eastAsia="Arial" w:hAnsi="Arial"/>
                <w:sz w:val="14"/>
                <w:szCs w:val="14"/>
                <w:b w:val="1"/>
                <w:bCs w:val="1"/>
                <w:color w:val="auto"/>
                <w:w w:val="86"/>
              </w:rPr>
              <w:t>(1,025,264)</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w w:val="89"/>
              </w:rPr>
              <w:t>(1,357,741)</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w w:val="89"/>
              </w:rPr>
              <w:t>(2,036,508)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50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Multiclient seismic data capitalized</w:t>
            </w:r>
          </w:p>
        </w:tc>
        <w:tc>
          <w:tcPr>
            <w:tcW w:w="90" w:type="dxa"/>
            <w:vAlign w:val="bottom"/>
            <w:shd w:val="clear" w:color="auto" w:fill="CCEEFF"/>
          </w:tcPr>
          <w:p>
            <w:pPr>
              <w:spacing w:after="0"/>
              <w:rPr>
                <w:sz w:val="12"/>
                <w:szCs w:val="12"/>
                <w:color w:val="auto"/>
              </w:rPr>
            </w:pPr>
          </w:p>
        </w:tc>
        <w:tc>
          <w:tcPr>
            <w:tcW w:w="135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b w:val="1"/>
                <w:bCs w:val="1"/>
                <w:color w:val="auto"/>
              </w:rPr>
              <w:t>(149,765)</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(344,705)</w:t>
            </w: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(416,188)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50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Capitalization of intangible assets</w:t>
            </w:r>
          </w:p>
        </w:tc>
        <w:tc>
          <w:tcPr>
            <w:tcW w:w="90" w:type="dxa"/>
            <w:vAlign w:val="bottom"/>
          </w:tcPr>
          <w:p>
            <w:pPr>
              <w:spacing w:after="0"/>
              <w:rPr>
                <w:sz w:val="12"/>
                <w:szCs w:val="12"/>
                <w:color w:val="auto"/>
              </w:rPr>
            </w:pPr>
          </w:p>
        </w:tc>
        <w:tc>
          <w:tcPr>
            <w:tcW w:w="1350" w:type="dxa"/>
            <w:vAlign w:val="bottom"/>
            <w:gridSpan w:val="2"/>
          </w:tcPr>
          <w:p>
            <w:pPr>
              <w:jc w:val="right"/>
              <w:ind w:right="700"/>
              <w:spacing w:after="0" w:line="149" w:lineRule="exact"/>
              <w:rPr>
                <w:sz w:val="20"/>
                <w:szCs w:val="20"/>
                <w:color w:val="auto"/>
              </w:rPr>
            </w:pPr>
            <w:r>
              <w:rPr>
                <w:rFonts w:ascii="Arial" w:cs="Arial" w:eastAsia="Arial" w:hAnsi="Arial"/>
                <w:sz w:val="14"/>
                <w:szCs w:val="14"/>
                <w:b w:val="1"/>
                <w:bCs w:val="1"/>
                <w:color w:val="auto"/>
              </w:rPr>
              <w:t>(77,104)</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(169,354)</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(29,782)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50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Sales/retirements of fixed assets &amp; other</w:t>
            </w:r>
          </w:p>
        </w:tc>
        <w:tc>
          <w:tcPr>
            <w:tcW w:w="90" w:type="dxa"/>
            <w:vAlign w:val="bottom"/>
            <w:shd w:val="clear" w:color="auto" w:fill="CCEEFF"/>
          </w:tcPr>
          <w:p>
            <w:pPr>
              <w:spacing w:after="0"/>
              <w:rPr>
                <w:sz w:val="12"/>
                <w:szCs w:val="12"/>
                <w:color w:val="auto"/>
              </w:rPr>
            </w:pPr>
          </w:p>
        </w:tc>
        <w:tc>
          <w:tcPr>
            <w:tcW w:w="61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213,895</w:t>
            </w:r>
          </w:p>
        </w:tc>
        <w:tc>
          <w:tcPr>
            <w:tcW w:w="7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276,022</w:t>
            </w:r>
          </w:p>
        </w:tc>
        <w:tc>
          <w:tcPr>
            <w:tcW w:w="3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30,824</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50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Sale of Grant Prideco stock</w:t>
            </w:r>
          </w:p>
        </w:tc>
        <w:tc>
          <w:tcPr>
            <w:tcW w:w="90" w:type="dxa"/>
            <w:vAlign w:val="bottom"/>
          </w:tcPr>
          <w:p>
            <w:pPr>
              <w:spacing w:after="0"/>
              <w:rPr>
                <w:sz w:val="12"/>
                <w:szCs w:val="12"/>
                <w:color w:val="auto"/>
              </w:rPr>
            </w:pPr>
          </w:p>
        </w:tc>
        <w:tc>
          <w:tcPr>
            <w:tcW w:w="61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105,590</w:t>
            </w: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50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PIGAP settlement</w:t>
            </w:r>
          </w:p>
        </w:tc>
        <w:tc>
          <w:tcPr>
            <w:tcW w:w="90" w:type="dxa"/>
            <w:vAlign w:val="bottom"/>
            <w:shd w:val="clear" w:color="auto" w:fill="CCEEFF"/>
          </w:tcPr>
          <w:p>
            <w:pPr>
              <w:spacing w:after="0"/>
              <w:rPr>
                <w:sz w:val="12"/>
                <w:szCs w:val="12"/>
                <w:color w:val="auto"/>
              </w:rPr>
            </w:pPr>
          </w:p>
        </w:tc>
        <w:tc>
          <w:tcPr>
            <w:tcW w:w="61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58,000</w:t>
            </w:r>
          </w:p>
        </w:tc>
        <w:tc>
          <w:tcPr>
            <w:tcW w:w="7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50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Proceeds from the sale of Hanover Compressor note</w:t>
            </w:r>
          </w:p>
        </w:tc>
        <w:tc>
          <w:tcPr>
            <w:tcW w:w="90" w:type="dxa"/>
            <w:vAlign w:val="bottom"/>
          </w:tcPr>
          <w:p>
            <w:pPr>
              <w:spacing w:after="0"/>
              <w:rPr>
                <w:sz w:val="12"/>
                <w:szCs w:val="12"/>
                <w:color w:val="auto"/>
              </w:rPr>
            </w:pPr>
          </w:p>
        </w:tc>
        <w:tc>
          <w:tcPr>
            <w:tcW w:w="61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176,955</w:t>
            </w: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50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Acquisition of Sema plc</w:t>
            </w:r>
          </w:p>
        </w:tc>
        <w:tc>
          <w:tcPr>
            <w:tcW w:w="90" w:type="dxa"/>
            <w:vAlign w:val="bottom"/>
            <w:shd w:val="clear" w:color="auto" w:fill="CCEEFF"/>
          </w:tcPr>
          <w:p>
            <w:pPr>
              <w:spacing w:after="0"/>
              <w:rPr>
                <w:sz w:val="12"/>
                <w:szCs w:val="12"/>
                <w:color w:val="auto"/>
              </w:rPr>
            </w:pPr>
          </w:p>
        </w:tc>
        <w:tc>
          <w:tcPr>
            <w:tcW w:w="1350" w:type="dxa"/>
            <w:vAlign w:val="bottom"/>
            <w:gridSpan w:val="2"/>
            <w:shd w:val="clear" w:color="auto" w:fill="CCEEFF"/>
          </w:tcPr>
          <w:p>
            <w:pPr>
              <w:jc w:val="right"/>
              <w:ind w:right="740"/>
              <w:spacing w:after="0" w:line="149" w:lineRule="exact"/>
              <w:rPr>
                <w:sz w:val="20"/>
                <w:szCs w:val="20"/>
                <w:color w:val="auto"/>
              </w:rPr>
            </w:pPr>
            <w:r>
              <w:rPr>
                <w:rFonts w:ascii="Arial" w:cs="Arial" w:eastAsia="Arial" w:hAnsi="Arial"/>
                <w:sz w:val="14"/>
                <w:szCs w:val="14"/>
                <w:b w:val="1"/>
                <w:bCs w:val="1"/>
                <w:color w:val="auto"/>
              </w:rPr>
              <w: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(132,155)</w:t>
            </w: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89"/>
              </w:rPr>
              <w:t>(4,778,498)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50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Other business acquisitions</w:t>
            </w:r>
          </w:p>
        </w:tc>
        <w:tc>
          <w:tcPr>
            <w:tcW w:w="90" w:type="dxa"/>
            <w:vAlign w:val="bottom"/>
          </w:tcPr>
          <w:p>
            <w:pPr>
              <w:spacing w:after="0"/>
              <w:rPr>
                <w:sz w:val="12"/>
                <w:szCs w:val="12"/>
                <w:color w:val="auto"/>
              </w:rPr>
            </w:pPr>
          </w:p>
        </w:tc>
        <w:tc>
          <w:tcPr>
            <w:tcW w:w="1350" w:type="dxa"/>
            <w:vAlign w:val="bottom"/>
            <w:gridSpan w:val="2"/>
          </w:tcPr>
          <w:p>
            <w:pPr>
              <w:jc w:val="right"/>
              <w:ind w:right="740"/>
              <w:spacing w:after="0" w:line="149" w:lineRule="exact"/>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(44,431)</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(452,951)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50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Other acquisition related payments</w:t>
            </w:r>
          </w:p>
        </w:tc>
        <w:tc>
          <w:tcPr>
            <w:tcW w:w="90" w:type="dxa"/>
            <w:vAlign w:val="bottom"/>
            <w:shd w:val="clear" w:color="auto" w:fill="CCEEFF"/>
          </w:tcPr>
          <w:p>
            <w:pPr>
              <w:spacing w:after="0"/>
              <w:rPr>
                <w:sz w:val="12"/>
                <w:szCs w:val="12"/>
                <w:color w:val="auto"/>
              </w:rPr>
            </w:pPr>
          </w:p>
        </w:tc>
        <w:tc>
          <w:tcPr>
            <w:tcW w:w="1350" w:type="dxa"/>
            <w:vAlign w:val="bottom"/>
            <w:gridSpan w:val="2"/>
            <w:shd w:val="clear" w:color="auto" w:fill="CCEEFF"/>
          </w:tcPr>
          <w:p>
            <w:pPr>
              <w:jc w:val="right"/>
              <w:ind w:right="740"/>
              <w:spacing w:after="0" w:line="149" w:lineRule="exact"/>
              <w:rPr>
                <w:sz w:val="20"/>
                <w:szCs w:val="20"/>
                <w:color w:val="auto"/>
              </w:rPr>
            </w:pPr>
            <w:r>
              <w:rPr>
                <w:rFonts w:ascii="Arial" w:cs="Arial" w:eastAsia="Arial" w:hAnsi="Arial"/>
                <w:sz w:val="14"/>
                <w:szCs w:val="14"/>
                <w:b w:val="1"/>
                <w:bCs w:val="1"/>
                <w:color w:val="auto"/>
              </w:rPr>
              <w: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(70,340)</w:t>
            </w: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50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Proceeds from business divestitures</w:t>
            </w:r>
          </w:p>
        </w:tc>
        <w:tc>
          <w:tcPr>
            <w:tcW w:w="90" w:type="dxa"/>
            <w:vAlign w:val="bottom"/>
          </w:tcPr>
          <w:p>
            <w:pPr>
              <w:spacing w:after="0"/>
              <w:rPr>
                <w:sz w:val="12"/>
                <w:szCs w:val="12"/>
                <w:color w:val="auto"/>
              </w:rPr>
            </w:pPr>
          </w:p>
        </w:tc>
        <w:tc>
          <w:tcPr>
            <w:tcW w:w="61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298,674</w:t>
            </w: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259,271</w:t>
            </w:r>
          </w:p>
        </w:tc>
        <w:tc>
          <w:tcPr>
            <w:tcW w:w="3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902,953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50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Proceeds from the sale of drilling rigs</w:t>
            </w:r>
          </w:p>
        </w:tc>
        <w:tc>
          <w:tcPr>
            <w:tcW w:w="90" w:type="dxa"/>
            <w:vAlign w:val="bottom"/>
            <w:shd w:val="clear" w:color="auto" w:fill="CCEEFF"/>
          </w:tcPr>
          <w:p>
            <w:pPr>
              <w:spacing w:after="0"/>
              <w:rPr>
                <w:sz w:val="12"/>
                <w:szCs w:val="12"/>
                <w:color w:val="auto"/>
              </w:rPr>
            </w:pPr>
          </w:p>
        </w:tc>
        <w:tc>
          <w:tcPr>
            <w:tcW w:w="61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58,100</w:t>
            </w:r>
          </w:p>
        </w:tc>
        <w:tc>
          <w:tcPr>
            <w:tcW w:w="7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95,000</w:t>
            </w:r>
          </w:p>
        </w:tc>
        <w:tc>
          <w:tcPr>
            <w:tcW w:w="3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50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Option payment on sale of drilling rigs</w:t>
            </w:r>
          </w:p>
        </w:tc>
        <w:tc>
          <w:tcPr>
            <w:tcW w:w="90" w:type="dxa"/>
            <w:vAlign w:val="bottom"/>
          </w:tcPr>
          <w:p>
            <w:pPr>
              <w:spacing w:after="0"/>
              <w:rPr>
                <w:sz w:val="12"/>
                <w:szCs w:val="12"/>
                <w:color w:val="auto"/>
              </w:rPr>
            </w:pPr>
          </w:p>
        </w:tc>
        <w:tc>
          <w:tcPr>
            <w:tcW w:w="1350" w:type="dxa"/>
            <w:vAlign w:val="bottom"/>
            <w:gridSpan w:val="2"/>
          </w:tcPr>
          <w:p>
            <w:pPr>
              <w:jc w:val="right"/>
              <w:ind w:right="740"/>
              <w:spacing w:after="0" w:line="149" w:lineRule="exact"/>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24,900</w:t>
            </w:r>
          </w:p>
        </w:tc>
        <w:tc>
          <w:tcPr>
            <w:tcW w:w="3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50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Sale (purchase) of investments, net</w:t>
            </w:r>
          </w:p>
        </w:tc>
        <w:tc>
          <w:tcPr>
            <w:tcW w:w="90" w:type="dxa"/>
            <w:vAlign w:val="bottom"/>
            <w:shd w:val="clear" w:color="auto" w:fill="CCEEFF"/>
          </w:tcPr>
          <w:p>
            <w:pPr>
              <w:spacing w:after="0"/>
              <w:rPr>
                <w:sz w:val="12"/>
                <w:szCs w:val="12"/>
                <w:color w:val="auto"/>
              </w:rPr>
            </w:pPr>
          </w:p>
        </w:tc>
        <w:tc>
          <w:tcPr>
            <w:tcW w:w="135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b w:val="1"/>
                <w:bCs w:val="1"/>
                <w:color w:val="auto"/>
                <w:w w:val="86"/>
              </w:rPr>
              <w:t>(1,145,700)</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51,334</w:t>
            </w:r>
          </w:p>
        </w:tc>
        <w:tc>
          <w:tcPr>
            <w:tcW w:w="3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2,430,911</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660" w:type="dxa"/>
            <w:vAlign w:val="bottom"/>
            <w:tcBorders>
              <w:bottom w:val="single" w:sz="8" w:color="auto"/>
            </w:tcBorders>
            <w:gridSpan w:val="2"/>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90" w:type="dxa"/>
            <w:vAlign w:val="bottom"/>
            <w:tcBorders>
              <w:bottom w:val="single" w:sz="8" w:color="auto"/>
            </w:tcBorders>
          </w:tcPr>
          <w:p>
            <w:pPr>
              <w:spacing w:after="0"/>
              <w:rPr>
                <w:sz w:val="9"/>
                <w:szCs w:val="9"/>
                <w:color w:val="auto"/>
              </w:rPr>
            </w:pPr>
          </w:p>
        </w:tc>
        <w:tc>
          <w:tcPr>
            <w:tcW w:w="610" w:type="dxa"/>
            <w:vAlign w:val="bottom"/>
            <w:tcBorders>
              <w:bottom w:val="single" w:sz="8" w:color="auto"/>
            </w:tcBorders>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80" w:type="dxa"/>
            <w:vAlign w:val="bottom"/>
          </w:tcPr>
          <w:p>
            <w:pPr>
              <w:spacing w:after="0"/>
              <w:rPr>
                <w:sz w:val="8"/>
                <w:szCs w:val="8"/>
                <w:color w:val="auto"/>
              </w:rPr>
            </w:pPr>
          </w:p>
        </w:tc>
        <w:tc>
          <w:tcPr>
            <w:tcW w:w="7480" w:type="dxa"/>
            <w:vAlign w:val="bottom"/>
          </w:tcPr>
          <w:p>
            <w:pPr>
              <w:spacing w:after="0"/>
              <w:rPr>
                <w:sz w:val="8"/>
                <w:szCs w:val="8"/>
                <w:color w:val="auto"/>
              </w:rPr>
            </w:pPr>
          </w:p>
        </w:tc>
        <w:tc>
          <w:tcPr>
            <w:tcW w:w="20" w:type="dxa"/>
            <w:vAlign w:val="bottom"/>
          </w:tcPr>
          <w:p>
            <w:pPr>
              <w:spacing w:after="0"/>
              <w:rPr>
                <w:sz w:val="8"/>
                <w:szCs w:val="8"/>
                <w:color w:val="auto"/>
              </w:rPr>
            </w:pPr>
          </w:p>
        </w:tc>
        <w:tc>
          <w:tcPr>
            <w:tcW w:w="90" w:type="dxa"/>
            <w:vAlign w:val="bottom"/>
          </w:tcPr>
          <w:p>
            <w:pPr>
              <w:spacing w:after="0"/>
              <w:rPr>
                <w:sz w:val="8"/>
                <w:szCs w:val="8"/>
                <w:color w:val="auto"/>
              </w:rPr>
            </w:pPr>
          </w:p>
        </w:tc>
        <w:tc>
          <w:tcPr>
            <w:tcW w:w="61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3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68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NET CASH USED IN INVESTING ACTIVITIES</w:t>
            </w:r>
          </w:p>
        </w:tc>
        <w:tc>
          <w:tcPr>
            <w:tcW w:w="90" w:type="dxa"/>
            <w:vAlign w:val="bottom"/>
            <w:shd w:val="clear" w:color="auto" w:fill="CCEEFF"/>
          </w:tcPr>
          <w:p>
            <w:pPr>
              <w:spacing w:after="0"/>
              <w:rPr>
                <w:sz w:val="12"/>
                <w:szCs w:val="12"/>
                <w:color w:val="auto"/>
              </w:rPr>
            </w:pPr>
          </w:p>
        </w:tc>
        <w:tc>
          <w:tcPr>
            <w:tcW w:w="135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b w:val="1"/>
                <w:bCs w:val="1"/>
                <w:color w:val="auto"/>
                <w:w w:val="86"/>
              </w:rPr>
              <w:t>(1,486,619)</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w w:val="89"/>
              </w:rPr>
              <w:t>(1,412,199)</w:t>
            </w: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89"/>
              </w:rPr>
              <w:t>(4,349,239)</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660" w:type="dxa"/>
            <w:vAlign w:val="bottom"/>
            <w:tcBorders>
              <w:bottom w:val="single" w:sz="8" w:color="auto"/>
            </w:tcBorders>
            <w:gridSpan w:val="2"/>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90" w:type="dxa"/>
            <w:vAlign w:val="bottom"/>
            <w:tcBorders>
              <w:bottom w:val="single" w:sz="8" w:color="auto"/>
            </w:tcBorders>
          </w:tcPr>
          <w:p>
            <w:pPr>
              <w:spacing w:after="0"/>
              <w:rPr>
                <w:sz w:val="9"/>
                <w:szCs w:val="9"/>
                <w:color w:val="auto"/>
              </w:rPr>
            </w:pPr>
          </w:p>
        </w:tc>
        <w:tc>
          <w:tcPr>
            <w:tcW w:w="610" w:type="dxa"/>
            <w:vAlign w:val="bottom"/>
            <w:tcBorders>
              <w:bottom w:val="single" w:sz="8" w:color="auto"/>
            </w:tcBorders>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80" w:type="dxa"/>
            <w:vAlign w:val="bottom"/>
          </w:tcPr>
          <w:p>
            <w:pPr>
              <w:spacing w:after="0"/>
              <w:rPr>
                <w:sz w:val="8"/>
                <w:szCs w:val="8"/>
                <w:color w:val="auto"/>
              </w:rPr>
            </w:pPr>
          </w:p>
        </w:tc>
        <w:tc>
          <w:tcPr>
            <w:tcW w:w="7480" w:type="dxa"/>
            <w:vAlign w:val="bottom"/>
          </w:tcPr>
          <w:p>
            <w:pPr>
              <w:spacing w:after="0"/>
              <w:rPr>
                <w:sz w:val="8"/>
                <w:szCs w:val="8"/>
                <w:color w:val="auto"/>
              </w:rPr>
            </w:pPr>
          </w:p>
        </w:tc>
        <w:tc>
          <w:tcPr>
            <w:tcW w:w="20" w:type="dxa"/>
            <w:vAlign w:val="bottom"/>
          </w:tcPr>
          <w:p>
            <w:pPr>
              <w:spacing w:after="0"/>
              <w:rPr>
                <w:sz w:val="8"/>
                <w:szCs w:val="8"/>
                <w:color w:val="auto"/>
              </w:rPr>
            </w:pPr>
          </w:p>
        </w:tc>
        <w:tc>
          <w:tcPr>
            <w:tcW w:w="90" w:type="dxa"/>
            <w:vAlign w:val="bottom"/>
          </w:tcPr>
          <w:p>
            <w:pPr>
              <w:spacing w:after="0"/>
              <w:rPr>
                <w:sz w:val="8"/>
                <w:szCs w:val="8"/>
                <w:color w:val="auto"/>
              </w:rPr>
            </w:pPr>
          </w:p>
        </w:tc>
        <w:tc>
          <w:tcPr>
            <w:tcW w:w="61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3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68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Cash flows from financing activities:</w:t>
            </w:r>
          </w:p>
        </w:tc>
        <w:tc>
          <w:tcPr>
            <w:tcW w:w="90" w:type="dxa"/>
            <w:vAlign w:val="bottom"/>
            <w:shd w:val="clear" w:color="auto" w:fill="CCEEFF"/>
          </w:tcPr>
          <w:p>
            <w:pPr>
              <w:spacing w:after="0"/>
              <w:rPr>
                <w:sz w:val="12"/>
                <w:szCs w:val="12"/>
                <w:color w:val="auto"/>
              </w:rPr>
            </w:pPr>
          </w:p>
        </w:tc>
        <w:tc>
          <w:tcPr>
            <w:tcW w:w="61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50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Dividends paid</w:t>
            </w:r>
          </w:p>
        </w:tc>
        <w:tc>
          <w:tcPr>
            <w:tcW w:w="90" w:type="dxa"/>
            <w:vAlign w:val="bottom"/>
          </w:tcPr>
          <w:p>
            <w:pPr>
              <w:spacing w:after="0"/>
              <w:rPr>
                <w:sz w:val="12"/>
                <w:szCs w:val="12"/>
                <w:color w:val="auto"/>
              </w:rPr>
            </w:pPr>
          </w:p>
        </w:tc>
        <w:tc>
          <w:tcPr>
            <w:tcW w:w="1350" w:type="dxa"/>
            <w:vAlign w:val="bottom"/>
            <w:gridSpan w:val="2"/>
          </w:tcPr>
          <w:p>
            <w:pPr>
              <w:jc w:val="right"/>
              <w:ind w:right="700"/>
              <w:spacing w:after="0" w:line="149" w:lineRule="exact"/>
              <w:rPr>
                <w:sz w:val="20"/>
                <w:szCs w:val="20"/>
                <w:color w:val="auto"/>
              </w:rPr>
            </w:pPr>
            <w:r>
              <w:rPr>
                <w:rFonts w:ascii="Arial" w:cs="Arial" w:eastAsia="Arial" w:hAnsi="Arial"/>
                <w:sz w:val="14"/>
                <w:szCs w:val="14"/>
                <w:b w:val="1"/>
                <w:bCs w:val="1"/>
                <w:color w:val="auto"/>
              </w:rPr>
              <w:t>(437,023)</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(433,134)</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(430,328)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50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Proceeds from employee stock purchase plan</w:t>
            </w:r>
          </w:p>
        </w:tc>
        <w:tc>
          <w:tcPr>
            <w:tcW w:w="90" w:type="dxa"/>
            <w:vAlign w:val="bottom"/>
            <w:shd w:val="clear" w:color="auto" w:fill="CCEEFF"/>
          </w:tcPr>
          <w:p>
            <w:pPr>
              <w:spacing w:after="0"/>
              <w:rPr>
                <w:sz w:val="12"/>
                <w:szCs w:val="12"/>
                <w:color w:val="auto"/>
              </w:rPr>
            </w:pPr>
          </w:p>
        </w:tc>
        <w:tc>
          <w:tcPr>
            <w:tcW w:w="61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132,741</w:t>
            </w:r>
          </w:p>
        </w:tc>
        <w:tc>
          <w:tcPr>
            <w:tcW w:w="7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107,810</w:t>
            </w:r>
          </w:p>
        </w:tc>
        <w:tc>
          <w:tcPr>
            <w:tcW w:w="3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78,965</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50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Proceeds from exercise of stock options</w:t>
            </w:r>
          </w:p>
        </w:tc>
        <w:tc>
          <w:tcPr>
            <w:tcW w:w="90" w:type="dxa"/>
            <w:vAlign w:val="bottom"/>
          </w:tcPr>
          <w:p>
            <w:pPr>
              <w:spacing w:after="0"/>
              <w:rPr>
                <w:sz w:val="12"/>
                <w:szCs w:val="12"/>
                <w:color w:val="auto"/>
              </w:rPr>
            </w:pPr>
          </w:p>
        </w:tc>
        <w:tc>
          <w:tcPr>
            <w:tcW w:w="61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39,752</w:t>
            </w: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67,275</w:t>
            </w:r>
          </w:p>
        </w:tc>
        <w:tc>
          <w:tcPr>
            <w:tcW w:w="3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42,795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50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Proceeds from issuance of convertible debentures (net of fees)</w:t>
            </w:r>
          </w:p>
        </w:tc>
        <w:tc>
          <w:tcPr>
            <w:tcW w:w="90" w:type="dxa"/>
            <w:vAlign w:val="bottom"/>
            <w:shd w:val="clear" w:color="auto" w:fill="CCEEFF"/>
          </w:tcPr>
          <w:p>
            <w:pPr>
              <w:spacing w:after="0"/>
              <w:rPr>
                <w:sz w:val="12"/>
                <w:szCs w:val="12"/>
                <w:color w:val="auto"/>
              </w:rPr>
            </w:pPr>
          </w:p>
        </w:tc>
        <w:tc>
          <w:tcPr>
            <w:tcW w:w="61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93"/>
              </w:rPr>
              <w:t>1,399,612</w:t>
            </w:r>
          </w:p>
        </w:tc>
        <w:tc>
          <w:tcPr>
            <w:tcW w:w="7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50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Payment of debt extinguishment costs</w:t>
            </w:r>
          </w:p>
        </w:tc>
        <w:tc>
          <w:tcPr>
            <w:tcW w:w="90" w:type="dxa"/>
            <w:vAlign w:val="bottom"/>
          </w:tcPr>
          <w:p>
            <w:pPr>
              <w:spacing w:after="0"/>
              <w:rPr>
                <w:sz w:val="12"/>
                <w:szCs w:val="12"/>
                <w:color w:val="auto"/>
              </w:rPr>
            </w:pPr>
          </w:p>
        </w:tc>
        <w:tc>
          <w:tcPr>
            <w:tcW w:w="1350" w:type="dxa"/>
            <w:vAlign w:val="bottom"/>
            <w:gridSpan w:val="2"/>
          </w:tcPr>
          <w:p>
            <w:pPr>
              <w:jc w:val="right"/>
              <w:ind w:right="700"/>
              <w:spacing w:after="0" w:line="149" w:lineRule="exact"/>
              <w:rPr>
                <w:sz w:val="20"/>
                <w:szCs w:val="20"/>
                <w:color w:val="auto"/>
              </w:rPr>
            </w:pPr>
            <w:r>
              <w:rPr>
                <w:rFonts w:ascii="Arial" w:cs="Arial" w:eastAsia="Arial" w:hAnsi="Arial"/>
                <w:sz w:val="14"/>
                <w:szCs w:val="14"/>
                <w:b w:val="1"/>
                <w:bCs w:val="1"/>
                <w:color w:val="auto"/>
              </w:rPr>
              <w:t>(167,801)</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50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Proceeds from issuance of long-term debt</w:t>
            </w:r>
          </w:p>
        </w:tc>
        <w:tc>
          <w:tcPr>
            <w:tcW w:w="90" w:type="dxa"/>
            <w:vAlign w:val="bottom"/>
            <w:shd w:val="clear" w:color="auto" w:fill="CCEEFF"/>
          </w:tcPr>
          <w:p>
            <w:pPr>
              <w:spacing w:after="0"/>
              <w:rPr>
                <w:sz w:val="12"/>
                <w:szCs w:val="12"/>
                <w:color w:val="auto"/>
              </w:rPr>
            </w:pPr>
          </w:p>
        </w:tc>
        <w:tc>
          <w:tcPr>
            <w:tcW w:w="61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93"/>
              </w:rPr>
              <w:t>2,041,304</w:t>
            </w:r>
          </w:p>
        </w:tc>
        <w:tc>
          <w:tcPr>
            <w:tcW w:w="7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933,709</w:t>
            </w:r>
          </w:p>
        </w:tc>
        <w:tc>
          <w:tcPr>
            <w:tcW w:w="3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4,815,028</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50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Payments of principal on long-term debt</w:t>
            </w:r>
          </w:p>
        </w:tc>
        <w:tc>
          <w:tcPr>
            <w:tcW w:w="90" w:type="dxa"/>
            <w:vAlign w:val="bottom"/>
          </w:tcPr>
          <w:p>
            <w:pPr>
              <w:spacing w:after="0"/>
              <w:rPr>
                <w:sz w:val="12"/>
                <w:szCs w:val="12"/>
                <w:color w:val="auto"/>
              </w:rPr>
            </w:pPr>
          </w:p>
        </w:tc>
        <w:tc>
          <w:tcPr>
            <w:tcW w:w="1350" w:type="dxa"/>
            <w:vAlign w:val="bottom"/>
            <w:gridSpan w:val="2"/>
          </w:tcPr>
          <w:p>
            <w:pPr>
              <w:jc w:val="right"/>
              <w:ind w:right="700"/>
              <w:spacing w:after="0" w:line="149" w:lineRule="exact"/>
              <w:rPr>
                <w:sz w:val="20"/>
                <w:szCs w:val="20"/>
                <w:color w:val="auto"/>
              </w:rPr>
            </w:pPr>
            <w:r>
              <w:rPr>
                <w:rFonts w:ascii="Arial" w:cs="Arial" w:eastAsia="Arial" w:hAnsi="Arial"/>
                <w:sz w:val="14"/>
                <w:szCs w:val="14"/>
                <w:b w:val="1"/>
                <w:bCs w:val="1"/>
                <w:color w:val="auto"/>
                <w:w w:val="86"/>
              </w:rPr>
              <w:t>(3,399,773)</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w w:val="89"/>
              </w:rPr>
              <w:t>(1,179,321)</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w w:val="89"/>
              </w:rPr>
              <w:t>(2,092,670)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50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Net (decrease) increase in short-term debt</w:t>
            </w:r>
          </w:p>
        </w:tc>
        <w:tc>
          <w:tcPr>
            <w:tcW w:w="90" w:type="dxa"/>
            <w:vAlign w:val="bottom"/>
            <w:shd w:val="clear" w:color="auto" w:fill="CCEEFF"/>
          </w:tcPr>
          <w:p>
            <w:pPr>
              <w:spacing w:after="0"/>
              <w:rPr>
                <w:sz w:val="12"/>
                <w:szCs w:val="12"/>
                <w:color w:val="auto"/>
              </w:rPr>
            </w:pPr>
          </w:p>
        </w:tc>
        <w:tc>
          <w:tcPr>
            <w:tcW w:w="135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b w:val="1"/>
                <w:bCs w:val="1"/>
                <w:color w:val="auto"/>
              </w:rPr>
              <w:t>(167,150)</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(308,623)</w:t>
            </w: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370,608</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660" w:type="dxa"/>
            <w:vAlign w:val="bottom"/>
            <w:tcBorders>
              <w:bottom w:val="single" w:sz="8" w:color="auto"/>
            </w:tcBorders>
            <w:gridSpan w:val="2"/>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90" w:type="dxa"/>
            <w:vAlign w:val="bottom"/>
            <w:tcBorders>
              <w:bottom w:val="single" w:sz="8" w:color="auto"/>
            </w:tcBorders>
          </w:tcPr>
          <w:p>
            <w:pPr>
              <w:spacing w:after="0"/>
              <w:rPr>
                <w:sz w:val="9"/>
                <w:szCs w:val="9"/>
                <w:color w:val="auto"/>
              </w:rPr>
            </w:pPr>
          </w:p>
        </w:tc>
        <w:tc>
          <w:tcPr>
            <w:tcW w:w="610" w:type="dxa"/>
            <w:vAlign w:val="bottom"/>
            <w:tcBorders>
              <w:bottom w:val="single" w:sz="8" w:color="auto"/>
            </w:tcBorders>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80" w:type="dxa"/>
            <w:vAlign w:val="bottom"/>
          </w:tcPr>
          <w:p>
            <w:pPr>
              <w:spacing w:after="0"/>
              <w:rPr>
                <w:sz w:val="8"/>
                <w:szCs w:val="8"/>
                <w:color w:val="auto"/>
              </w:rPr>
            </w:pPr>
          </w:p>
        </w:tc>
        <w:tc>
          <w:tcPr>
            <w:tcW w:w="7480" w:type="dxa"/>
            <w:vAlign w:val="bottom"/>
          </w:tcPr>
          <w:p>
            <w:pPr>
              <w:spacing w:after="0"/>
              <w:rPr>
                <w:sz w:val="8"/>
                <w:szCs w:val="8"/>
                <w:color w:val="auto"/>
              </w:rPr>
            </w:pPr>
          </w:p>
        </w:tc>
        <w:tc>
          <w:tcPr>
            <w:tcW w:w="20" w:type="dxa"/>
            <w:vAlign w:val="bottom"/>
          </w:tcPr>
          <w:p>
            <w:pPr>
              <w:spacing w:after="0"/>
              <w:rPr>
                <w:sz w:val="8"/>
                <w:szCs w:val="8"/>
                <w:color w:val="auto"/>
              </w:rPr>
            </w:pPr>
          </w:p>
        </w:tc>
        <w:tc>
          <w:tcPr>
            <w:tcW w:w="90" w:type="dxa"/>
            <w:vAlign w:val="bottom"/>
          </w:tcPr>
          <w:p>
            <w:pPr>
              <w:spacing w:after="0"/>
              <w:rPr>
                <w:sz w:val="8"/>
                <w:szCs w:val="8"/>
                <w:color w:val="auto"/>
              </w:rPr>
            </w:pPr>
          </w:p>
        </w:tc>
        <w:tc>
          <w:tcPr>
            <w:tcW w:w="61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3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68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NET CASH (USED IN) PROVIDED BY FINANCING ACTIVITIES</w:t>
            </w:r>
          </w:p>
        </w:tc>
        <w:tc>
          <w:tcPr>
            <w:tcW w:w="90" w:type="dxa"/>
            <w:vAlign w:val="bottom"/>
            <w:shd w:val="clear" w:color="auto" w:fill="CCEEFF"/>
          </w:tcPr>
          <w:p>
            <w:pPr>
              <w:spacing w:after="0"/>
              <w:rPr>
                <w:sz w:val="12"/>
                <w:szCs w:val="12"/>
                <w:color w:val="auto"/>
              </w:rPr>
            </w:pPr>
          </w:p>
        </w:tc>
        <w:tc>
          <w:tcPr>
            <w:tcW w:w="135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b w:val="1"/>
                <w:bCs w:val="1"/>
                <w:color w:val="auto"/>
              </w:rPr>
              <w:t>(558,338)</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(812,284)</w:t>
            </w: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2,784,398</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660" w:type="dxa"/>
            <w:vAlign w:val="bottom"/>
            <w:tcBorders>
              <w:bottom w:val="single" w:sz="8" w:color="auto"/>
            </w:tcBorders>
            <w:gridSpan w:val="2"/>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90" w:type="dxa"/>
            <w:vAlign w:val="bottom"/>
            <w:tcBorders>
              <w:bottom w:val="single" w:sz="8" w:color="auto"/>
            </w:tcBorders>
          </w:tcPr>
          <w:p>
            <w:pPr>
              <w:spacing w:after="0"/>
              <w:rPr>
                <w:sz w:val="9"/>
                <w:szCs w:val="9"/>
                <w:color w:val="auto"/>
              </w:rPr>
            </w:pPr>
          </w:p>
        </w:tc>
        <w:tc>
          <w:tcPr>
            <w:tcW w:w="610" w:type="dxa"/>
            <w:vAlign w:val="bottom"/>
            <w:tcBorders>
              <w:bottom w:val="single" w:sz="8" w:color="auto"/>
            </w:tcBorders>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80" w:type="dxa"/>
            <w:vAlign w:val="bottom"/>
          </w:tcPr>
          <w:p>
            <w:pPr>
              <w:spacing w:after="0"/>
              <w:rPr>
                <w:sz w:val="8"/>
                <w:szCs w:val="8"/>
                <w:color w:val="auto"/>
              </w:rPr>
            </w:pPr>
          </w:p>
        </w:tc>
        <w:tc>
          <w:tcPr>
            <w:tcW w:w="7480" w:type="dxa"/>
            <w:vAlign w:val="bottom"/>
          </w:tcPr>
          <w:p>
            <w:pPr>
              <w:spacing w:after="0"/>
              <w:rPr>
                <w:sz w:val="8"/>
                <w:szCs w:val="8"/>
                <w:color w:val="auto"/>
              </w:rPr>
            </w:pPr>
          </w:p>
        </w:tc>
        <w:tc>
          <w:tcPr>
            <w:tcW w:w="20" w:type="dxa"/>
            <w:vAlign w:val="bottom"/>
          </w:tcPr>
          <w:p>
            <w:pPr>
              <w:spacing w:after="0"/>
              <w:rPr>
                <w:sz w:val="8"/>
                <w:szCs w:val="8"/>
                <w:color w:val="auto"/>
              </w:rPr>
            </w:pPr>
          </w:p>
        </w:tc>
        <w:tc>
          <w:tcPr>
            <w:tcW w:w="90" w:type="dxa"/>
            <w:vAlign w:val="bottom"/>
          </w:tcPr>
          <w:p>
            <w:pPr>
              <w:spacing w:after="0"/>
              <w:rPr>
                <w:sz w:val="8"/>
                <w:szCs w:val="8"/>
                <w:color w:val="auto"/>
              </w:rPr>
            </w:pPr>
          </w:p>
        </w:tc>
        <w:tc>
          <w:tcPr>
            <w:tcW w:w="61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3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68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Discontinued operations</w:t>
            </w:r>
          </w:p>
        </w:tc>
        <w:tc>
          <w:tcPr>
            <w:tcW w:w="90" w:type="dxa"/>
            <w:vAlign w:val="bottom"/>
            <w:shd w:val="clear" w:color="auto" w:fill="CCEEFF"/>
          </w:tcPr>
          <w:p>
            <w:pPr>
              <w:spacing w:after="0"/>
              <w:rPr>
                <w:sz w:val="12"/>
                <w:szCs w:val="12"/>
                <w:color w:val="auto"/>
              </w:rPr>
            </w:pPr>
          </w:p>
        </w:tc>
        <w:tc>
          <w:tcPr>
            <w:tcW w:w="135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b w:val="1"/>
                <w:bCs w:val="1"/>
                <w:color w:val="auto"/>
              </w:rPr>
              <w:t>(8,415)</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34,520</w:t>
            </w:r>
          </w:p>
        </w:tc>
        <w:tc>
          <w:tcPr>
            <w:tcW w:w="3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32,796</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660" w:type="dxa"/>
            <w:vAlign w:val="bottom"/>
            <w:tcBorders>
              <w:bottom w:val="single" w:sz="8" w:color="auto"/>
            </w:tcBorders>
            <w:gridSpan w:val="2"/>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90" w:type="dxa"/>
            <w:vAlign w:val="bottom"/>
            <w:tcBorders>
              <w:bottom w:val="single" w:sz="8" w:color="auto"/>
            </w:tcBorders>
          </w:tcPr>
          <w:p>
            <w:pPr>
              <w:spacing w:after="0"/>
              <w:rPr>
                <w:sz w:val="9"/>
                <w:szCs w:val="9"/>
                <w:color w:val="auto"/>
              </w:rPr>
            </w:pPr>
          </w:p>
        </w:tc>
        <w:tc>
          <w:tcPr>
            <w:tcW w:w="610" w:type="dxa"/>
            <w:vAlign w:val="bottom"/>
            <w:tcBorders>
              <w:bottom w:val="single" w:sz="8" w:color="auto"/>
            </w:tcBorders>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80" w:type="dxa"/>
            <w:vAlign w:val="bottom"/>
          </w:tcPr>
          <w:p>
            <w:pPr>
              <w:spacing w:after="0"/>
              <w:rPr>
                <w:sz w:val="8"/>
                <w:szCs w:val="8"/>
                <w:color w:val="auto"/>
              </w:rPr>
            </w:pPr>
          </w:p>
        </w:tc>
        <w:tc>
          <w:tcPr>
            <w:tcW w:w="7480" w:type="dxa"/>
            <w:vAlign w:val="bottom"/>
          </w:tcPr>
          <w:p>
            <w:pPr>
              <w:spacing w:after="0"/>
              <w:rPr>
                <w:sz w:val="8"/>
                <w:szCs w:val="8"/>
                <w:color w:val="auto"/>
              </w:rPr>
            </w:pPr>
          </w:p>
        </w:tc>
        <w:tc>
          <w:tcPr>
            <w:tcW w:w="20" w:type="dxa"/>
            <w:vAlign w:val="bottom"/>
          </w:tcPr>
          <w:p>
            <w:pPr>
              <w:spacing w:after="0"/>
              <w:rPr>
                <w:sz w:val="8"/>
                <w:szCs w:val="8"/>
                <w:color w:val="auto"/>
              </w:rPr>
            </w:pPr>
          </w:p>
        </w:tc>
        <w:tc>
          <w:tcPr>
            <w:tcW w:w="90" w:type="dxa"/>
            <w:vAlign w:val="bottom"/>
          </w:tcPr>
          <w:p>
            <w:pPr>
              <w:spacing w:after="0"/>
              <w:rPr>
                <w:sz w:val="8"/>
                <w:szCs w:val="8"/>
                <w:color w:val="auto"/>
              </w:rPr>
            </w:pPr>
          </w:p>
        </w:tc>
        <w:tc>
          <w:tcPr>
            <w:tcW w:w="61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3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68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Net increase (decrease) in cash before translation effect</w:t>
            </w:r>
          </w:p>
        </w:tc>
        <w:tc>
          <w:tcPr>
            <w:tcW w:w="90" w:type="dxa"/>
            <w:vAlign w:val="bottom"/>
            <w:shd w:val="clear" w:color="auto" w:fill="CCEEFF"/>
          </w:tcPr>
          <w:p>
            <w:pPr>
              <w:spacing w:after="0"/>
              <w:rPr>
                <w:sz w:val="12"/>
                <w:szCs w:val="12"/>
                <w:color w:val="auto"/>
              </w:rPr>
            </w:pPr>
          </w:p>
        </w:tc>
        <w:tc>
          <w:tcPr>
            <w:tcW w:w="61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59,627</w:t>
            </w:r>
          </w:p>
        </w:tc>
        <w:tc>
          <w:tcPr>
            <w:tcW w:w="7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(16,180)</w:t>
            </w: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29,360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80" w:type="dxa"/>
            <w:vAlign w:val="bottom"/>
            <w:gridSpan w:val="3"/>
          </w:tcPr>
          <w:p>
            <w:pPr>
              <w:spacing w:after="0" w:line="149" w:lineRule="exact"/>
              <w:rPr>
                <w:sz w:val="20"/>
                <w:szCs w:val="20"/>
                <w:color w:val="auto"/>
              </w:rPr>
            </w:pPr>
            <w:r>
              <w:rPr>
                <w:rFonts w:ascii="Arial" w:cs="Arial" w:eastAsia="Arial" w:hAnsi="Arial"/>
                <w:sz w:val="14"/>
                <w:szCs w:val="14"/>
                <w:color w:val="auto"/>
              </w:rPr>
              <w:t>Translation effect on cash</w:t>
            </w:r>
          </w:p>
        </w:tc>
        <w:tc>
          <w:tcPr>
            <w:tcW w:w="90" w:type="dxa"/>
            <w:vAlign w:val="bottom"/>
          </w:tcPr>
          <w:p>
            <w:pPr>
              <w:spacing w:after="0"/>
              <w:rPr>
                <w:sz w:val="12"/>
                <w:szCs w:val="12"/>
                <w:color w:val="auto"/>
              </w:rPr>
            </w:pPr>
          </w:p>
        </w:tc>
        <w:tc>
          <w:tcPr>
            <w:tcW w:w="61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6,455</w:t>
            </w: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6,586</w:t>
            </w:r>
          </w:p>
        </w:tc>
        <w:tc>
          <w:tcPr>
            <w:tcW w:w="3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(12,374)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8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Cash, beginning of year</w:t>
            </w:r>
          </w:p>
        </w:tc>
        <w:tc>
          <w:tcPr>
            <w:tcW w:w="90" w:type="dxa"/>
            <w:vAlign w:val="bottom"/>
            <w:shd w:val="clear" w:color="auto" w:fill="CCEEFF"/>
          </w:tcPr>
          <w:p>
            <w:pPr>
              <w:spacing w:after="0"/>
              <w:rPr>
                <w:sz w:val="12"/>
                <w:szCs w:val="12"/>
                <w:color w:val="auto"/>
              </w:rPr>
            </w:pPr>
          </w:p>
        </w:tc>
        <w:tc>
          <w:tcPr>
            <w:tcW w:w="61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168,110</w:t>
            </w:r>
          </w:p>
        </w:tc>
        <w:tc>
          <w:tcPr>
            <w:tcW w:w="7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177,704</w:t>
            </w:r>
          </w:p>
        </w:tc>
        <w:tc>
          <w:tcPr>
            <w:tcW w:w="3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160,718</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660" w:type="dxa"/>
            <w:vAlign w:val="bottom"/>
            <w:tcBorders>
              <w:bottom w:val="single" w:sz="8" w:color="auto"/>
            </w:tcBorders>
            <w:gridSpan w:val="2"/>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90" w:type="dxa"/>
            <w:vAlign w:val="bottom"/>
            <w:tcBorders>
              <w:bottom w:val="single" w:sz="8" w:color="auto"/>
            </w:tcBorders>
          </w:tcPr>
          <w:p>
            <w:pPr>
              <w:spacing w:after="0"/>
              <w:rPr>
                <w:sz w:val="9"/>
                <w:szCs w:val="9"/>
                <w:color w:val="auto"/>
              </w:rPr>
            </w:pPr>
          </w:p>
        </w:tc>
        <w:tc>
          <w:tcPr>
            <w:tcW w:w="610" w:type="dxa"/>
            <w:vAlign w:val="bottom"/>
            <w:tcBorders>
              <w:bottom w:val="single" w:sz="8" w:color="auto"/>
            </w:tcBorders>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80" w:type="dxa"/>
            <w:vAlign w:val="bottom"/>
          </w:tcPr>
          <w:p>
            <w:pPr>
              <w:spacing w:after="0"/>
              <w:rPr>
                <w:sz w:val="8"/>
                <w:szCs w:val="8"/>
                <w:color w:val="auto"/>
              </w:rPr>
            </w:pPr>
          </w:p>
        </w:tc>
        <w:tc>
          <w:tcPr>
            <w:tcW w:w="7480" w:type="dxa"/>
            <w:vAlign w:val="bottom"/>
          </w:tcPr>
          <w:p>
            <w:pPr>
              <w:spacing w:after="0"/>
              <w:rPr>
                <w:sz w:val="8"/>
                <w:szCs w:val="8"/>
                <w:color w:val="auto"/>
              </w:rPr>
            </w:pPr>
          </w:p>
        </w:tc>
        <w:tc>
          <w:tcPr>
            <w:tcW w:w="20" w:type="dxa"/>
            <w:vAlign w:val="bottom"/>
          </w:tcPr>
          <w:p>
            <w:pPr>
              <w:spacing w:after="0"/>
              <w:rPr>
                <w:sz w:val="8"/>
                <w:szCs w:val="8"/>
                <w:color w:val="auto"/>
              </w:rPr>
            </w:pPr>
          </w:p>
        </w:tc>
        <w:tc>
          <w:tcPr>
            <w:tcW w:w="90" w:type="dxa"/>
            <w:vAlign w:val="bottom"/>
          </w:tcPr>
          <w:p>
            <w:pPr>
              <w:spacing w:after="0"/>
              <w:rPr>
                <w:sz w:val="8"/>
                <w:szCs w:val="8"/>
                <w:color w:val="auto"/>
              </w:rPr>
            </w:pPr>
          </w:p>
        </w:tc>
        <w:tc>
          <w:tcPr>
            <w:tcW w:w="61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3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68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Cash, end of year</w:t>
            </w:r>
          </w:p>
        </w:tc>
        <w:tc>
          <w:tcPr>
            <w:tcW w:w="9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61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234,192</w:t>
            </w:r>
          </w:p>
        </w:tc>
        <w:tc>
          <w:tcPr>
            <w:tcW w:w="740" w:type="dxa"/>
            <w:vAlign w:val="bottom"/>
            <w:shd w:val="clear" w:color="auto" w:fill="CCEEFF"/>
          </w:tcPr>
          <w:p>
            <w:pPr>
              <w:spacing w:after="0"/>
              <w:rPr>
                <w:sz w:val="12"/>
                <w:szCs w:val="12"/>
                <w:color w:val="auto"/>
              </w:rPr>
            </w:pPr>
          </w:p>
        </w:tc>
        <w:tc>
          <w:tcPr>
            <w:tcW w:w="1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76"/>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168,110</w:t>
            </w:r>
          </w:p>
        </w:tc>
        <w:tc>
          <w:tcPr>
            <w:tcW w:w="30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177,704</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0" w:type="dxa"/>
            <w:vAlign w:val="bottom"/>
            <w:gridSpan w:val="2"/>
          </w:tcPr>
          <w:p>
            <w:pPr>
              <w:spacing w:after="0"/>
              <w:rPr>
                <w:sz w:val="11"/>
                <w:szCs w:val="11"/>
                <w:color w:val="auto"/>
              </w:rPr>
            </w:pPr>
          </w:p>
        </w:tc>
        <w:tc>
          <w:tcPr>
            <w:tcW w:w="74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90" w:type="dxa"/>
            <w:vAlign w:val="bottom"/>
            <w:tcBorders>
              <w:bottom w:val="single" w:sz="8" w:color="auto"/>
            </w:tcBorders>
          </w:tcPr>
          <w:p>
            <w:pPr>
              <w:spacing w:after="0"/>
              <w:rPr>
                <w:sz w:val="11"/>
                <w:szCs w:val="11"/>
                <w:color w:val="auto"/>
              </w:rPr>
            </w:pPr>
          </w:p>
        </w:tc>
        <w:tc>
          <w:tcPr>
            <w:tcW w:w="610" w:type="dxa"/>
            <w:vAlign w:val="bottom"/>
            <w:tcBorders>
              <w:bottom w:val="single" w:sz="8" w:color="auto"/>
            </w:tcBorders>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34"/>
        </w:trPr>
        <w:tc>
          <w:tcPr>
            <w:tcW w:w="200" w:type="dxa"/>
            <w:vAlign w:val="bottom"/>
            <w:gridSpan w:val="2"/>
          </w:tcPr>
          <w:p>
            <w:pPr>
              <w:spacing w:after="0"/>
              <w:rPr>
                <w:sz w:val="20"/>
                <w:szCs w:val="20"/>
                <w:color w:val="auto"/>
              </w:rPr>
            </w:pPr>
            <w:r>
              <w:rPr>
                <w:rFonts w:ascii="Arial" w:cs="Arial" w:eastAsia="Arial" w:hAnsi="Arial"/>
                <w:sz w:val="14"/>
                <w:szCs w:val="14"/>
                <w:color w:val="auto"/>
              </w:rPr>
              <w:t>I.</w:t>
            </w:r>
          </w:p>
        </w:tc>
        <w:tc>
          <w:tcPr>
            <w:tcW w:w="7500" w:type="dxa"/>
            <w:vAlign w:val="bottom"/>
            <w:gridSpan w:val="2"/>
          </w:tcPr>
          <w:p>
            <w:pPr>
              <w:ind w:left="220"/>
              <w:spacing w:after="0"/>
              <w:rPr>
                <w:sz w:val="20"/>
                <w:szCs w:val="20"/>
                <w:color w:val="auto"/>
              </w:rPr>
            </w:pPr>
            <w:r>
              <w:rPr>
                <w:rFonts w:ascii="Arial" w:cs="Arial" w:eastAsia="Arial" w:hAnsi="Arial"/>
                <w:sz w:val="14"/>
                <w:szCs w:val="14"/>
                <w:color w:val="auto"/>
              </w:rPr>
              <w:t>Includes multiclient seismic data costs.</w:t>
            </w:r>
          </w:p>
        </w:tc>
        <w:tc>
          <w:tcPr>
            <w:tcW w:w="90" w:type="dxa"/>
            <w:vAlign w:val="bottom"/>
          </w:tcPr>
          <w:p>
            <w:pPr>
              <w:spacing w:after="0"/>
              <w:rPr>
                <w:sz w:val="24"/>
                <w:szCs w:val="24"/>
                <w:color w:val="auto"/>
              </w:rPr>
            </w:pPr>
          </w:p>
        </w:tc>
        <w:tc>
          <w:tcPr>
            <w:tcW w:w="61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700" w:type="dxa"/>
            <w:vAlign w:val="bottom"/>
            <w:gridSpan w:val="4"/>
          </w:tcPr>
          <w:p>
            <w:pPr>
              <w:spacing w:after="0"/>
              <w:rPr>
                <w:sz w:val="20"/>
                <w:szCs w:val="20"/>
                <w:color w:val="auto"/>
              </w:rPr>
            </w:pPr>
            <w:r>
              <w:rPr>
                <w:rFonts w:ascii="Arial" w:cs="Arial" w:eastAsia="Arial" w:hAnsi="Arial"/>
                <w:sz w:val="14"/>
                <w:szCs w:val="14"/>
                <w:color w:val="auto"/>
              </w:rPr>
              <w:t xml:space="preserve">See the </w:t>
            </w:r>
            <w:r>
              <w:rPr>
                <w:rFonts w:ascii="Arial" w:cs="Arial" w:eastAsia="Arial" w:hAnsi="Arial"/>
                <w:sz w:val="14"/>
                <w:szCs w:val="14"/>
                <w:i w:val="1"/>
                <w:iCs w:val="1"/>
                <w:color w:val="auto"/>
              </w:rPr>
              <w:t>Notes to Consolidated Financial Statements</w:t>
            </w:r>
          </w:p>
        </w:tc>
        <w:tc>
          <w:tcPr>
            <w:tcW w:w="90" w:type="dxa"/>
            <w:vAlign w:val="bottom"/>
          </w:tcPr>
          <w:p>
            <w:pPr>
              <w:spacing w:after="0"/>
              <w:rPr>
                <w:sz w:val="18"/>
                <w:szCs w:val="18"/>
                <w:color w:val="auto"/>
              </w:rPr>
            </w:pPr>
          </w:p>
        </w:tc>
        <w:tc>
          <w:tcPr>
            <w:tcW w:w="61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7"/>
        </w:trPr>
        <w:tc>
          <w:tcPr>
            <w:tcW w:w="7700" w:type="dxa"/>
            <w:vAlign w:val="bottom"/>
            <w:gridSpan w:val="4"/>
          </w:tcPr>
          <w:p>
            <w:pPr>
              <w:spacing w:after="0"/>
              <w:rPr>
                <w:sz w:val="20"/>
                <w:szCs w:val="20"/>
                <w:color w:val="auto"/>
              </w:rPr>
            </w:pPr>
            <w:r>
              <w:rPr>
                <w:rFonts w:ascii="Arial" w:cs="Arial" w:eastAsia="Arial" w:hAnsi="Arial"/>
                <w:sz w:val="14"/>
                <w:szCs w:val="14"/>
                <w:color w:val="auto"/>
              </w:rPr>
              <w:t>37 / SLB</w:t>
            </w:r>
          </w:p>
        </w:tc>
        <w:tc>
          <w:tcPr>
            <w:tcW w:w="90" w:type="dxa"/>
            <w:vAlign w:val="bottom"/>
          </w:tcPr>
          <w:p>
            <w:pPr>
              <w:spacing w:after="0"/>
              <w:rPr>
                <w:sz w:val="24"/>
                <w:szCs w:val="24"/>
                <w:color w:val="auto"/>
              </w:rPr>
            </w:pPr>
          </w:p>
        </w:tc>
        <w:tc>
          <w:tcPr>
            <w:tcW w:w="61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60" w:type="dxa"/>
            <w:vAlign w:val="bottom"/>
            <w:gridSpan w:val="4"/>
          </w:tcPr>
          <w:p>
            <w:pPr>
              <w:jc w:val="right"/>
              <w:spacing w:after="0"/>
              <w:rPr>
                <w:sz w:val="20"/>
                <w:szCs w:val="20"/>
                <w:color w:val="auto"/>
              </w:rPr>
            </w:pPr>
            <w:r>
              <w:rPr>
                <w:rFonts w:ascii="Arial" w:cs="Arial" w:eastAsia="Arial" w:hAnsi="Arial"/>
                <w:sz w:val="14"/>
                <w:szCs w:val="14"/>
                <w:color w:val="auto"/>
              </w:rPr>
              <w:t>2003 FORM 10-K</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4882515</wp:posOffset>
            </wp:positionH>
            <wp:positionV relativeFrom="paragraph">
              <wp:posOffset>-567055</wp:posOffset>
            </wp:positionV>
            <wp:extent cx="12700" cy="298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-567055</wp:posOffset>
            </wp:positionV>
            <wp:extent cx="21590" cy="298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-567055</wp:posOffset>
            </wp:positionV>
            <wp:extent cx="38735" cy="298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5808980</wp:posOffset>
            </wp:positionH>
            <wp:positionV relativeFrom="paragraph">
              <wp:posOffset>-567055</wp:posOffset>
            </wp:positionV>
            <wp:extent cx="12700" cy="298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-567055</wp:posOffset>
            </wp:positionV>
            <wp:extent cx="21590" cy="298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6246495</wp:posOffset>
            </wp:positionH>
            <wp:positionV relativeFrom="paragraph">
              <wp:posOffset>-567055</wp:posOffset>
            </wp:positionV>
            <wp:extent cx="38735" cy="298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6734810</wp:posOffset>
            </wp:positionH>
            <wp:positionV relativeFrom="paragraph">
              <wp:posOffset>-567055</wp:posOffset>
            </wp:positionV>
            <wp:extent cx="12700" cy="298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6795135</wp:posOffset>
            </wp:positionH>
            <wp:positionV relativeFrom="paragraph">
              <wp:posOffset>-567055</wp:posOffset>
            </wp:positionV>
            <wp:extent cx="21590" cy="298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-567055</wp:posOffset>
            </wp:positionV>
            <wp:extent cx="38735" cy="298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4"/>
          <w:szCs w:val="14"/>
          <w:color w:val="auto"/>
        </w:rPr>
        <w:t>Part II, Item 8</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color w:val="auto"/>
        </w:rPr>
        <w:t>SCHLUMBERGER LIMITED (SCHLUMBERGER N.V., INCORPORATED IN THE NETHERLANDS ANTILLES) AND SUBSIDIARY COMPANIES</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CONSOLIDATED STATEMENT OF STOCKHOLDERS’ EQUITY</w:t>
      </w:r>
    </w:p>
    <w:p>
      <w:pPr>
        <w:spacing w:after="0" w:line="5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(Stated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4662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20" w:type="dxa"/>
            <w:vAlign w:val="bottom"/>
            <w:gridSpan w:val="10"/>
          </w:tcPr>
          <w:p>
            <w:pPr>
              <w:jc w:val="center"/>
              <w:ind w:right="500"/>
              <w:spacing w:after="0"/>
              <w:rPr>
                <w:sz w:val="20"/>
                <w:szCs w:val="20"/>
                <w:color w:val="auto"/>
              </w:rPr>
            </w:pPr>
            <w:r>
              <w:rPr>
                <w:rFonts w:ascii="Arial" w:cs="Arial" w:eastAsia="Arial" w:hAnsi="Arial"/>
                <w:sz w:val="14"/>
                <w:szCs w:val="14"/>
                <w:b w:val="1"/>
                <w:bCs w:val="1"/>
                <w:color w:val="auto"/>
                <w:w w:val="87"/>
              </w:rPr>
              <w:t>Accumulated Other Comprehensive</w:t>
            </w: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0" w:type="dxa"/>
            <w:vAlign w:val="bottom"/>
            <w:gridSpan w:val="5"/>
          </w:tcPr>
          <w:p>
            <w:pPr>
              <w:jc w:val="right"/>
              <w:ind w:right="820"/>
              <w:spacing w:after="0"/>
              <w:rPr>
                <w:sz w:val="20"/>
                <w:szCs w:val="20"/>
                <w:color w:val="auto"/>
              </w:rPr>
            </w:pPr>
            <w:r>
              <w:rPr>
                <w:rFonts w:ascii="Arial" w:cs="Arial" w:eastAsia="Arial" w:hAnsi="Arial"/>
                <w:sz w:val="14"/>
                <w:szCs w:val="14"/>
                <w:b w:val="1"/>
                <w:bCs w:val="1"/>
                <w:color w:val="auto"/>
              </w:rPr>
              <w:t>Common Stock</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84"/>
              </w:rPr>
              <w:t>Income (Loss)</w:t>
            </w: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7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In</w:t>
            </w:r>
          </w:p>
        </w:tc>
        <w:tc>
          <w:tcPr>
            <w:tcW w:w="100" w:type="dxa"/>
            <w:vAlign w:val="bottom"/>
          </w:tcPr>
          <w:p>
            <w:pPr>
              <w:spacing w:after="0"/>
              <w:rPr>
                <w:sz w:val="20"/>
                <w:szCs w:val="20"/>
                <w:color w:val="auto"/>
              </w:rPr>
            </w:pPr>
          </w:p>
        </w:tc>
        <w:tc>
          <w:tcPr>
            <w:tcW w:w="102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8"/>
              </w:rPr>
              <w:t>Retained</w:t>
            </w:r>
          </w:p>
        </w:tc>
        <w:tc>
          <w:tcPr>
            <w:tcW w:w="80" w:type="dxa"/>
            <w:vAlign w:val="bottom"/>
          </w:tcPr>
          <w:p>
            <w:pPr>
              <w:spacing w:after="0"/>
              <w:rPr>
                <w:sz w:val="20"/>
                <w:szCs w:val="20"/>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90"/>
              </w:rPr>
              <w:t>Marked to</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88"/>
              </w:rPr>
              <w:t>Pension</w:t>
            </w:r>
          </w:p>
        </w:tc>
        <w:tc>
          <w:tcPr>
            <w:tcW w:w="80" w:type="dxa"/>
            <w:vAlign w:val="bottom"/>
          </w:tcPr>
          <w:p>
            <w:pPr>
              <w:spacing w:after="0"/>
              <w:rPr>
                <w:sz w:val="20"/>
                <w:szCs w:val="20"/>
                <w:color w:val="auto"/>
              </w:rPr>
            </w:pPr>
          </w:p>
        </w:tc>
        <w:tc>
          <w:tcPr>
            <w:tcW w:w="110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87"/>
              </w:rPr>
              <w:t>Translation</w:t>
            </w:r>
          </w:p>
        </w:tc>
        <w:tc>
          <w:tcPr>
            <w:tcW w:w="10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85"/>
              </w:rPr>
              <w:t>Comprehensive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rPr>
              <w:t>Issued</w:t>
            </w: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7"/>
              </w:rPr>
              <w:t>Treasury</w:t>
            </w:r>
          </w:p>
        </w:tc>
        <w:tc>
          <w:tcPr>
            <w:tcW w:w="100" w:type="dxa"/>
            <w:vAlign w:val="bottom"/>
          </w:tcPr>
          <w:p>
            <w:pPr>
              <w:spacing w:after="0"/>
              <w:rPr>
                <w:sz w:val="15"/>
                <w:szCs w:val="15"/>
                <w:color w:val="auto"/>
              </w:rPr>
            </w:pPr>
          </w:p>
        </w:tc>
        <w:tc>
          <w:tcPr>
            <w:tcW w:w="102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Income</w:t>
            </w:r>
          </w:p>
        </w:tc>
        <w:tc>
          <w:tcPr>
            <w:tcW w:w="80" w:type="dxa"/>
            <w:vAlign w:val="bottom"/>
          </w:tcPr>
          <w:p>
            <w:pPr>
              <w:spacing w:after="0"/>
              <w:rPr>
                <w:sz w:val="15"/>
                <w:szCs w:val="15"/>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Market</w:t>
            </w: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0"/>
              </w:rPr>
              <w:t>Liability</w:t>
            </w:r>
          </w:p>
        </w:tc>
        <w:tc>
          <w:tcPr>
            <w:tcW w:w="80" w:type="dxa"/>
            <w:vAlign w:val="bottom"/>
          </w:tcPr>
          <w:p>
            <w:pPr>
              <w:spacing w:after="0"/>
              <w:rPr>
                <w:sz w:val="15"/>
                <w:szCs w:val="15"/>
                <w:color w:val="auto"/>
              </w:rPr>
            </w:pPr>
          </w:p>
        </w:tc>
        <w:tc>
          <w:tcPr>
            <w:tcW w:w="110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85"/>
              </w:rPr>
              <w:t>Adjustment</w:t>
            </w:r>
          </w:p>
        </w:tc>
        <w:tc>
          <w:tcPr>
            <w:tcW w:w="100" w:type="dxa"/>
            <w:vAlign w:val="bottom"/>
          </w:tcPr>
          <w:p>
            <w:pPr>
              <w:spacing w:after="0"/>
              <w:rPr>
                <w:sz w:val="15"/>
                <w:szCs w:val="15"/>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94"/>
              </w:rPr>
              <w:t>Income (Loss)</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3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Balance, January 1, 2001</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1,963,905</w:t>
            </w:r>
          </w:p>
        </w:tc>
        <w:tc>
          <w:tcPr>
            <w:tcW w:w="1420" w:type="dxa"/>
            <w:vAlign w:val="bottom"/>
            <w:gridSpan w:val="4"/>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 (1,752,961)</w:t>
            </w: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8,223,476</w:t>
            </w: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8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32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10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(139,204)</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732,550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Translation adjustment</w:t>
            </w: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(171,930)</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(171,930)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60" w:type="dxa"/>
            <w:vAlign w:val="bottom"/>
          </w:tcPr>
          <w:p>
            <w:pPr>
              <w:spacing w:after="0" w:line="149" w:lineRule="exact"/>
              <w:rPr>
                <w:sz w:val="20"/>
                <w:szCs w:val="20"/>
                <w:color w:val="auto"/>
              </w:rPr>
            </w:pPr>
            <w:r>
              <w:rPr>
                <w:rFonts w:ascii="Arial" w:cs="Arial" w:eastAsia="Arial" w:hAnsi="Arial"/>
                <w:sz w:val="14"/>
                <w:szCs w:val="14"/>
                <w:color w:val="auto"/>
              </w:rPr>
              <w:t>RMS disposition</w:t>
            </w: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73,865</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73,865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Derivatives marked to market</w:t>
            </w: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(49,569)</w:t>
            </w: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(49,569)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60" w:type="dxa"/>
            <w:vAlign w:val="bottom"/>
          </w:tcPr>
          <w:p>
            <w:pPr>
              <w:spacing w:after="0" w:line="149" w:lineRule="exact"/>
              <w:rPr>
                <w:sz w:val="20"/>
                <w:szCs w:val="20"/>
                <w:color w:val="auto"/>
              </w:rPr>
            </w:pPr>
            <w:r>
              <w:rPr>
                <w:rFonts w:ascii="Arial" w:cs="Arial" w:eastAsia="Arial" w:hAnsi="Arial"/>
                <w:sz w:val="14"/>
                <w:szCs w:val="14"/>
                <w:color w:val="auto"/>
              </w:rPr>
              <w:t>Sales to optionees less shares exchanged</w:t>
            </w:r>
          </w:p>
        </w:tc>
        <w:tc>
          <w:tcPr>
            <w:tcW w:w="10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17,130</w:t>
            </w:r>
          </w:p>
        </w:tc>
        <w:tc>
          <w:tcPr>
            <w:tcW w:w="1420" w:type="dxa"/>
            <w:vAlign w:val="bottom"/>
            <w:gridSpan w:val="4"/>
          </w:tcPr>
          <w:p>
            <w:pPr>
              <w:jc w:val="right"/>
              <w:ind w:right="420"/>
              <w:spacing w:after="0" w:line="149" w:lineRule="exact"/>
              <w:rPr>
                <w:sz w:val="20"/>
                <w:szCs w:val="20"/>
                <w:color w:val="auto"/>
              </w:rPr>
            </w:pPr>
            <w:r>
              <w:rPr>
                <w:rFonts w:ascii="Arial" w:cs="Arial" w:eastAsia="Arial" w:hAnsi="Arial"/>
                <w:sz w:val="14"/>
                <w:szCs w:val="14"/>
                <w:color w:val="auto"/>
              </w:rPr>
              <w:t>25,420</w:t>
            </w: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Shares granted to Directors</w:t>
            </w: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156</w:t>
            </w:r>
          </w:p>
        </w:tc>
        <w:tc>
          <w:tcPr>
            <w:tcW w:w="1420" w:type="dxa"/>
            <w:vAlign w:val="bottom"/>
            <w:gridSpan w:val="4"/>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89</w:t>
            </w: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60" w:type="dxa"/>
            <w:vAlign w:val="bottom"/>
          </w:tcPr>
          <w:p>
            <w:pPr>
              <w:spacing w:after="0" w:line="149" w:lineRule="exact"/>
              <w:rPr>
                <w:sz w:val="20"/>
                <w:szCs w:val="20"/>
                <w:color w:val="auto"/>
              </w:rPr>
            </w:pPr>
            <w:r>
              <w:rPr>
                <w:rFonts w:ascii="Arial" w:cs="Arial" w:eastAsia="Arial" w:hAnsi="Arial"/>
                <w:sz w:val="14"/>
                <w:szCs w:val="14"/>
                <w:color w:val="auto"/>
              </w:rPr>
              <w:t>Proceeds from employee stock plans</w:t>
            </w:r>
          </w:p>
        </w:tc>
        <w:tc>
          <w:tcPr>
            <w:tcW w:w="10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46,397</w:t>
            </w:r>
          </w:p>
        </w:tc>
        <w:tc>
          <w:tcPr>
            <w:tcW w:w="1420" w:type="dxa"/>
            <w:vAlign w:val="bottom"/>
            <w:gridSpan w:val="4"/>
          </w:tcPr>
          <w:p>
            <w:pPr>
              <w:jc w:val="right"/>
              <w:ind w:right="420"/>
              <w:spacing w:after="0" w:line="149" w:lineRule="exact"/>
              <w:rPr>
                <w:sz w:val="20"/>
                <w:szCs w:val="20"/>
                <w:color w:val="auto"/>
              </w:rPr>
            </w:pPr>
            <w:r>
              <w:rPr>
                <w:rFonts w:ascii="Arial" w:cs="Arial" w:eastAsia="Arial" w:hAnsi="Arial"/>
                <w:sz w:val="14"/>
                <w:szCs w:val="14"/>
                <w:color w:val="auto"/>
              </w:rPr>
              <w:t>32,568</w:t>
            </w: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income</w:t>
            </w: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522,217</w:t>
            </w: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522,217</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60" w:type="dxa"/>
            <w:vAlign w:val="bottom"/>
          </w:tcPr>
          <w:p>
            <w:pPr>
              <w:spacing w:after="0" w:line="149" w:lineRule="exact"/>
              <w:rPr>
                <w:sz w:val="20"/>
                <w:szCs w:val="20"/>
                <w:color w:val="auto"/>
              </w:rPr>
            </w:pPr>
            <w:r>
              <w:rPr>
                <w:rFonts w:ascii="Arial" w:cs="Arial" w:eastAsia="Arial" w:hAnsi="Arial"/>
                <w:sz w:val="14"/>
                <w:szCs w:val="14"/>
                <w:color w:val="auto"/>
              </w:rPr>
              <w:t>Dividends declared ($0.75 per share)</w:t>
            </w: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(430,927)</w:t>
            </w: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Tax benefit on stock options</w:t>
            </w: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17,849</w:t>
            </w: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76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Balance, December 31, 2001</w:t>
            </w: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2,045,437</w:t>
            </w:r>
          </w:p>
        </w:tc>
        <w:tc>
          <w:tcPr>
            <w:tcW w:w="1420" w:type="dxa"/>
            <w:vAlign w:val="bottom"/>
            <w:gridSpan w:val="4"/>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(1,694,884)</w:t>
            </w: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8,314,766</w:t>
            </w: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(49,569)</w:t>
            </w: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(237,269)</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374,583</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Translation adjustment</w:t>
            </w: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(55,422)</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(55,422)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60" w:type="dxa"/>
            <w:vAlign w:val="bottom"/>
          </w:tcPr>
          <w:p>
            <w:pPr>
              <w:spacing w:after="0" w:line="149" w:lineRule="exact"/>
              <w:rPr>
                <w:sz w:val="20"/>
                <w:szCs w:val="20"/>
                <w:color w:val="auto"/>
              </w:rPr>
            </w:pPr>
            <w:r>
              <w:rPr>
                <w:rFonts w:ascii="Arial" w:cs="Arial" w:eastAsia="Arial" w:hAnsi="Arial"/>
                <w:sz w:val="14"/>
                <w:szCs w:val="14"/>
                <w:color w:val="auto"/>
              </w:rPr>
              <w:t>Reed Hycalog disposition</w:t>
            </w: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22,063</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22,063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Derivatives marked to market</w:t>
            </w: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(33,291)</w:t>
            </w: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(33,291)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60" w:type="dxa"/>
            <w:vAlign w:val="bottom"/>
          </w:tcPr>
          <w:p>
            <w:pPr>
              <w:spacing w:after="0" w:line="149" w:lineRule="exact"/>
              <w:rPr>
                <w:sz w:val="20"/>
                <w:szCs w:val="20"/>
                <w:color w:val="auto"/>
              </w:rPr>
            </w:pPr>
            <w:r>
              <w:rPr>
                <w:rFonts w:ascii="Arial" w:cs="Arial" w:eastAsia="Arial" w:hAnsi="Arial"/>
                <w:sz w:val="14"/>
                <w:szCs w:val="14"/>
                <w:color w:val="auto"/>
              </w:rPr>
              <w:t>Minimum pension liability (US/UK Plans)</w:t>
            </w: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w w:val="90"/>
              </w:rPr>
              <w:t>(313,564)</w:t>
            </w: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(313,564)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Tax benefit on minimum pension liability</w:t>
            </w: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110,000</w:t>
            </w: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110,000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60" w:type="dxa"/>
            <w:vAlign w:val="bottom"/>
          </w:tcPr>
          <w:p>
            <w:pPr>
              <w:spacing w:after="0" w:line="149" w:lineRule="exact"/>
              <w:rPr>
                <w:sz w:val="20"/>
                <w:szCs w:val="20"/>
                <w:color w:val="auto"/>
              </w:rPr>
            </w:pPr>
            <w:r>
              <w:rPr>
                <w:rFonts w:ascii="Arial" w:cs="Arial" w:eastAsia="Arial" w:hAnsi="Arial"/>
                <w:sz w:val="14"/>
                <w:szCs w:val="14"/>
                <w:color w:val="auto"/>
              </w:rPr>
              <w:t>Investment in Grant Prideco stock</w:t>
            </w: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9,871</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9,871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Sales to optionees less shares exchanged</w:t>
            </w: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25,410</w:t>
            </w:r>
          </w:p>
        </w:tc>
        <w:tc>
          <w:tcPr>
            <w:tcW w:w="1420" w:type="dxa"/>
            <w:vAlign w:val="bottom"/>
            <w:gridSpan w:val="4"/>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41,671</w:t>
            </w: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60" w:type="dxa"/>
            <w:vAlign w:val="bottom"/>
          </w:tcPr>
          <w:p>
            <w:pPr>
              <w:spacing w:after="0" w:line="149" w:lineRule="exact"/>
              <w:rPr>
                <w:sz w:val="20"/>
                <w:szCs w:val="20"/>
                <w:color w:val="auto"/>
              </w:rPr>
            </w:pPr>
            <w:r>
              <w:rPr>
                <w:rFonts w:ascii="Arial" w:cs="Arial" w:eastAsia="Arial" w:hAnsi="Arial"/>
                <w:sz w:val="14"/>
                <w:szCs w:val="14"/>
                <w:color w:val="auto"/>
              </w:rPr>
              <w:t>Shares granted to Directors</w:t>
            </w:r>
          </w:p>
        </w:tc>
        <w:tc>
          <w:tcPr>
            <w:tcW w:w="10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129</w:t>
            </w:r>
          </w:p>
        </w:tc>
        <w:tc>
          <w:tcPr>
            <w:tcW w:w="1420" w:type="dxa"/>
            <w:vAlign w:val="bottom"/>
            <w:gridSpan w:val="4"/>
          </w:tcPr>
          <w:p>
            <w:pPr>
              <w:jc w:val="right"/>
              <w:ind w:right="420"/>
              <w:spacing w:after="0" w:line="149" w:lineRule="exact"/>
              <w:rPr>
                <w:sz w:val="20"/>
                <w:szCs w:val="20"/>
                <w:color w:val="auto"/>
              </w:rPr>
            </w:pPr>
            <w:r>
              <w:rPr>
                <w:rFonts w:ascii="Arial" w:cs="Arial" w:eastAsia="Arial" w:hAnsi="Arial"/>
                <w:sz w:val="14"/>
                <w:szCs w:val="14"/>
                <w:color w:val="auto"/>
              </w:rPr>
              <w:t>65</w:t>
            </w: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Proceeds from employee stock plans</w:t>
            </w: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58,056</w:t>
            </w:r>
          </w:p>
        </w:tc>
        <w:tc>
          <w:tcPr>
            <w:tcW w:w="1420" w:type="dxa"/>
            <w:vAlign w:val="bottom"/>
            <w:gridSpan w:val="4"/>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49,754</w:t>
            </w: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60" w:type="dxa"/>
            <w:vAlign w:val="bottom"/>
          </w:tcPr>
          <w:p>
            <w:pPr>
              <w:spacing w:after="0" w:line="149" w:lineRule="exact"/>
              <w:rPr>
                <w:sz w:val="20"/>
                <w:szCs w:val="20"/>
                <w:color w:val="auto"/>
              </w:rPr>
            </w:pPr>
            <w:r>
              <w:rPr>
                <w:rFonts w:ascii="Arial" w:cs="Arial" w:eastAsia="Arial" w:hAnsi="Arial"/>
                <w:sz w:val="14"/>
                <w:szCs w:val="14"/>
                <w:color w:val="auto"/>
              </w:rPr>
              <w:t>Net loss</w:t>
            </w: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w w:val="89"/>
              </w:rPr>
              <w:t>(2,319,995)</w:t>
            </w: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(2,319,995)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Dividends declared ($0.75 per share)</w:t>
            </w: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(434,059)</w:t>
            </w: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60" w:type="dxa"/>
            <w:vAlign w:val="bottom"/>
          </w:tcPr>
          <w:p>
            <w:pPr>
              <w:spacing w:after="0" w:line="149" w:lineRule="exact"/>
              <w:rPr>
                <w:sz w:val="20"/>
                <w:szCs w:val="20"/>
                <w:color w:val="auto"/>
              </w:rPr>
            </w:pPr>
            <w:r>
              <w:rPr>
                <w:rFonts w:ascii="Arial" w:cs="Arial" w:eastAsia="Arial" w:hAnsi="Arial"/>
                <w:sz w:val="14"/>
                <w:szCs w:val="14"/>
                <w:color w:val="auto"/>
              </w:rPr>
              <w:t>Technoguide acquisition</w:t>
            </w:r>
          </w:p>
        </w:tc>
        <w:tc>
          <w:tcPr>
            <w:tcW w:w="10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34,496</w:t>
            </w:r>
          </w:p>
        </w:tc>
        <w:tc>
          <w:tcPr>
            <w:tcW w:w="1420" w:type="dxa"/>
            <w:vAlign w:val="bottom"/>
            <w:gridSpan w:val="4"/>
          </w:tcPr>
          <w:p>
            <w:pPr>
              <w:jc w:val="right"/>
              <w:ind w:right="420"/>
              <w:spacing w:after="0" w:line="149" w:lineRule="exact"/>
              <w:rPr>
                <w:sz w:val="20"/>
                <w:szCs w:val="20"/>
                <w:color w:val="auto"/>
              </w:rPr>
            </w:pPr>
            <w:r>
              <w:rPr>
                <w:rFonts w:ascii="Arial" w:cs="Arial" w:eastAsia="Arial" w:hAnsi="Arial"/>
                <w:sz w:val="14"/>
                <w:szCs w:val="14"/>
                <w:color w:val="auto"/>
              </w:rPr>
              <w:t>25,036</w:t>
            </w: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Tax benefit on stock options</w:t>
            </w: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7,437</w:t>
            </w: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76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Balance, December 31, 2002</w:t>
            </w: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2,170,965</w:t>
            </w:r>
          </w:p>
        </w:tc>
        <w:tc>
          <w:tcPr>
            <w:tcW w:w="1420" w:type="dxa"/>
            <w:vAlign w:val="bottom"/>
            <w:gridSpan w:val="4"/>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(1,578,358)</w:t>
            </w: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5,560,712</w:t>
            </w: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(72,989)</w:t>
            </w: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w w:val="90"/>
              </w:rPr>
              <w:t>(203,564)</w:t>
            </w:r>
          </w:p>
        </w:tc>
        <w:tc>
          <w:tcPr>
            <w:tcW w:w="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(270,628)</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(2,580,338)</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Translation adjustment</w:t>
            </w: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201,503</w:t>
            </w: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201,503</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60" w:type="dxa"/>
            <w:vAlign w:val="bottom"/>
          </w:tcPr>
          <w:p>
            <w:pPr>
              <w:spacing w:after="0" w:line="149" w:lineRule="exact"/>
              <w:rPr>
                <w:sz w:val="20"/>
                <w:szCs w:val="20"/>
                <w:color w:val="auto"/>
              </w:rPr>
            </w:pPr>
            <w:r>
              <w:rPr>
                <w:rFonts w:ascii="Arial" w:cs="Arial" w:eastAsia="Arial" w:hAnsi="Arial"/>
                <w:sz w:val="14"/>
                <w:szCs w:val="14"/>
                <w:color w:val="auto"/>
              </w:rPr>
              <w:t>Derivatives marked to market</w:t>
            </w: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60,356</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60,356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Minimum pension liability (US/UK Plans)</w:t>
            </w: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w w:val="90"/>
              </w:rPr>
              <w:t>(114,236)</w:t>
            </w: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(114,236)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60" w:type="dxa"/>
            <w:vAlign w:val="bottom"/>
          </w:tcPr>
          <w:p>
            <w:pPr>
              <w:spacing w:after="0" w:line="149" w:lineRule="exact"/>
              <w:rPr>
                <w:sz w:val="20"/>
                <w:szCs w:val="20"/>
                <w:color w:val="auto"/>
              </w:rPr>
            </w:pPr>
            <w:r>
              <w:rPr>
                <w:rFonts w:ascii="Arial" w:cs="Arial" w:eastAsia="Arial" w:hAnsi="Arial"/>
                <w:sz w:val="14"/>
                <w:szCs w:val="14"/>
                <w:color w:val="auto"/>
              </w:rPr>
              <w:t>Tax benefit on minimum pension liability</w:t>
            </w: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34,725</w:t>
            </w: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34,725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Sale of investment in Grant Prideco stock</w:t>
            </w: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(9,871)</w:t>
            </w: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(9,871)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60" w:type="dxa"/>
            <w:vAlign w:val="bottom"/>
          </w:tcPr>
          <w:p>
            <w:pPr>
              <w:spacing w:after="0" w:line="149" w:lineRule="exact"/>
              <w:rPr>
                <w:sz w:val="20"/>
                <w:szCs w:val="20"/>
                <w:color w:val="auto"/>
              </w:rPr>
            </w:pPr>
            <w:r>
              <w:rPr>
                <w:rFonts w:ascii="Arial" w:cs="Arial" w:eastAsia="Arial" w:hAnsi="Arial"/>
                <w:sz w:val="14"/>
                <w:szCs w:val="14"/>
                <w:color w:val="auto"/>
              </w:rPr>
              <w:t>Sales to optionees less shares exchanged</w:t>
            </w:r>
          </w:p>
        </w:tc>
        <w:tc>
          <w:tcPr>
            <w:tcW w:w="10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15,335</w:t>
            </w:r>
          </w:p>
        </w:tc>
        <w:tc>
          <w:tcPr>
            <w:tcW w:w="1420" w:type="dxa"/>
            <w:vAlign w:val="bottom"/>
            <w:gridSpan w:val="4"/>
          </w:tcPr>
          <w:p>
            <w:pPr>
              <w:jc w:val="right"/>
              <w:ind w:right="420"/>
              <w:spacing w:after="0" w:line="149" w:lineRule="exact"/>
              <w:rPr>
                <w:sz w:val="20"/>
                <w:szCs w:val="20"/>
                <w:color w:val="auto"/>
              </w:rPr>
            </w:pPr>
            <w:r>
              <w:rPr>
                <w:rFonts w:ascii="Arial" w:cs="Arial" w:eastAsia="Arial" w:hAnsi="Arial"/>
                <w:sz w:val="14"/>
                <w:szCs w:val="14"/>
                <w:color w:val="auto"/>
              </w:rPr>
              <w:t>24,271</w:t>
            </w: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Shares granted to Directors</w:t>
            </w: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81</w:t>
            </w:r>
          </w:p>
        </w:tc>
        <w:tc>
          <w:tcPr>
            <w:tcW w:w="1420" w:type="dxa"/>
            <w:vAlign w:val="bottom"/>
            <w:gridSpan w:val="4"/>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65</w:t>
            </w: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60" w:type="dxa"/>
            <w:vAlign w:val="bottom"/>
          </w:tcPr>
          <w:p>
            <w:pPr>
              <w:spacing w:after="0" w:line="149" w:lineRule="exact"/>
              <w:rPr>
                <w:sz w:val="20"/>
                <w:szCs w:val="20"/>
                <w:color w:val="auto"/>
              </w:rPr>
            </w:pPr>
            <w:r>
              <w:rPr>
                <w:rFonts w:ascii="Arial" w:cs="Arial" w:eastAsia="Arial" w:hAnsi="Arial"/>
                <w:sz w:val="14"/>
                <w:szCs w:val="14"/>
                <w:color w:val="auto"/>
              </w:rPr>
              <w:t>Proceeds from employee stock plans</w:t>
            </w:r>
          </w:p>
        </w:tc>
        <w:tc>
          <w:tcPr>
            <w:tcW w:w="10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51,302</w:t>
            </w:r>
          </w:p>
        </w:tc>
        <w:tc>
          <w:tcPr>
            <w:tcW w:w="1420" w:type="dxa"/>
            <w:vAlign w:val="bottom"/>
            <w:gridSpan w:val="4"/>
          </w:tcPr>
          <w:p>
            <w:pPr>
              <w:jc w:val="right"/>
              <w:ind w:right="420"/>
              <w:spacing w:after="0" w:line="149" w:lineRule="exact"/>
              <w:rPr>
                <w:sz w:val="20"/>
                <w:szCs w:val="20"/>
                <w:color w:val="auto"/>
              </w:rPr>
            </w:pPr>
            <w:r>
              <w:rPr>
                <w:rFonts w:ascii="Arial" w:cs="Arial" w:eastAsia="Arial" w:hAnsi="Arial"/>
                <w:sz w:val="14"/>
                <w:szCs w:val="14"/>
                <w:color w:val="auto"/>
              </w:rPr>
              <w:t>45,783</w:t>
            </w: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Cost of employee stock plans</w:t>
            </w: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13,229</w:t>
            </w: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60" w:type="dxa"/>
            <w:vAlign w:val="bottom"/>
          </w:tcPr>
          <w:p>
            <w:pPr>
              <w:spacing w:after="0" w:line="149" w:lineRule="exact"/>
              <w:rPr>
                <w:sz w:val="20"/>
                <w:szCs w:val="20"/>
                <w:color w:val="auto"/>
              </w:rPr>
            </w:pPr>
            <w:r>
              <w:rPr>
                <w:rFonts w:ascii="Arial" w:cs="Arial" w:eastAsia="Arial" w:hAnsi="Arial"/>
                <w:sz w:val="14"/>
                <w:szCs w:val="14"/>
                <w:color w:val="auto"/>
              </w:rPr>
              <w:t>Net income</w:t>
            </w: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383,002</w:t>
            </w: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383,002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Dividends declared ($0.75 per share)</w:t>
            </w: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(437,970)</w:t>
            </w: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760" w:type="dxa"/>
            <w:vAlign w:val="bottom"/>
          </w:tcPr>
          <w:p>
            <w:pPr>
              <w:spacing w:after="0"/>
              <w:rPr>
                <w:sz w:val="20"/>
                <w:szCs w:val="20"/>
                <w:color w:val="auto"/>
              </w:rPr>
            </w:pPr>
            <w:r>
              <w:rPr>
                <w:rFonts w:ascii="Arial" w:cs="Arial" w:eastAsia="Arial" w:hAnsi="Arial"/>
                <w:sz w:val="14"/>
                <w:szCs w:val="14"/>
                <w:color w:val="auto"/>
              </w:rPr>
              <w:t>Tax benefit on stock options</w:t>
            </w:r>
          </w:p>
        </w:tc>
        <w:tc>
          <w:tcPr>
            <w:tcW w:w="1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7,576</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376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30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600" w:type="dxa"/>
            <w:vAlign w:val="bottom"/>
            <w:tcBorders>
              <w:bottom w:val="single" w:sz="8" w:color="auto"/>
            </w:tcBorders>
          </w:tcPr>
          <w:p>
            <w:pPr>
              <w:spacing w:after="0"/>
              <w:rPr>
                <w:sz w:val="7"/>
                <w:szCs w:val="7"/>
                <w:color w:val="auto"/>
              </w:rPr>
            </w:pPr>
          </w:p>
        </w:tc>
        <w:tc>
          <w:tcPr>
            <w:tcW w:w="42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600" w:type="dxa"/>
            <w:vAlign w:val="bottom"/>
            <w:tcBorders>
              <w:bottom w:val="single" w:sz="8" w:color="auto"/>
            </w:tcBorders>
          </w:tcPr>
          <w:p>
            <w:pPr>
              <w:spacing w:after="0"/>
              <w:rPr>
                <w:sz w:val="7"/>
                <w:szCs w:val="7"/>
                <w:color w:val="auto"/>
              </w:rPr>
            </w:pPr>
          </w:p>
        </w:tc>
        <w:tc>
          <w:tcPr>
            <w:tcW w:w="42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22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42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680" w:type="dxa"/>
            <w:vAlign w:val="bottom"/>
            <w:tcBorders>
              <w:bottom w:val="single" w:sz="8" w:color="auto"/>
            </w:tcBorders>
          </w:tcPr>
          <w:p>
            <w:pPr>
              <w:spacing w:after="0"/>
              <w:rPr>
                <w:sz w:val="7"/>
                <w:szCs w:val="7"/>
                <w:color w:val="auto"/>
              </w:rPr>
            </w:pPr>
          </w:p>
        </w:tc>
        <w:tc>
          <w:tcPr>
            <w:tcW w:w="42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Balance, December 31, 2003</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2,258,488</w:t>
            </w:r>
          </w:p>
        </w:tc>
        <w:tc>
          <w:tcPr>
            <w:tcW w:w="1420" w:type="dxa"/>
            <w:vAlign w:val="bottom"/>
            <w:gridSpan w:val="4"/>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 (1,508,239)</w:t>
            </w: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5,505,744</w:t>
            </w: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8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(22,504)</w:t>
            </w:r>
          </w:p>
        </w:tc>
        <w:tc>
          <w:tcPr>
            <w:tcW w:w="32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w w:val="90"/>
              </w:rPr>
              <w:t>(283,075)</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10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(69,125)</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555,479</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7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15"/>
        </w:trPr>
        <w:tc>
          <w:tcPr>
            <w:tcW w:w="20" w:type="dxa"/>
            <w:vAlign w:val="bottom"/>
          </w:tcPr>
          <w:p>
            <w:pPr>
              <w:spacing w:after="0"/>
              <w:rPr>
                <w:sz w:val="24"/>
                <w:szCs w:val="24"/>
                <w:color w:val="auto"/>
              </w:rPr>
            </w:pPr>
          </w:p>
        </w:tc>
        <w:tc>
          <w:tcPr>
            <w:tcW w:w="3760" w:type="dxa"/>
            <w:vAlign w:val="bottom"/>
          </w:tcPr>
          <w:p>
            <w:pPr>
              <w:spacing w:after="0"/>
              <w:rPr>
                <w:sz w:val="20"/>
                <w:szCs w:val="20"/>
                <w:color w:val="auto"/>
              </w:rPr>
            </w:pPr>
            <w:r>
              <w:rPr>
                <w:rFonts w:ascii="Arial" w:cs="Arial" w:eastAsia="Arial" w:hAnsi="Arial"/>
                <w:sz w:val="14"/>
                <w:szCs w:val="14"/>
                <w:color w:val="auto"/>
              </w:rPr>
              <w:t xml:space="preserve">See the </w:t>
            </w:r>
            <w:r>
              <w:rPr>
                <w:rFonts w:ascii="Arial" w:cs="Arial" w:eastAsia="Arial" w:hAnsi="Arial"/>
                <w:sz w:val="14"/>
                <w:szCs w:val="14"/>
                <w:i w:val="1"/>
                <w:iCs w:val="1"/>
                <w:color w:val="auto"/>
              </w:rPr>
              <w:t>Notes to Consolidated Financial Statements</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780" w:type="dxa"/>
            <w:vAlign w:val="bottom"/>
            <w:gridSpan w:val="2"/>
          </w:tcPr>
          <w:p>
            <w:pPr>
              <w:spacing w:after="0"/>
              <w:rPr>
                <w:sz w:val="20"/>
                <w:szCs w:val="20"/>
                <w:color w:val="auto"/>
              </w:rPr>
            </w:pPr>
            <w:r>
              <w:rPr>
                <w:rFonts w:ascii="Arial" w:cs="Arial" w:eastAsia="Arial" w:hAnsi="Arial"/>
                <w:sz w:val="14"/>
                <w:szCs w:val="14"/>
                <w:color w:val="auto"/>
              </w:rPr>
              <w:t>38 / SLB</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w w:val="91"/>
              </w:rPr>
              <w:t>2003 FORM 10-K</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6537960</wp:posOffset>
            </wp:positionH>
            <wp:positionV relativeFrom="paragraph">
              <wp:posOffset>-4897755</wp:posOffset>
            </wp:positionV>
            <wp:extent cx="12700" cy="298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6597650</wp:posOffset>
            </wp:positionH>
            <wp:positionV relativeFrom="paragraph">
              <wp:posOffset>-4897755</wp:posOffset>
            </wp:positionV>
            <wp:extent cx="21590" cy="298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-4897755</wp:posOffset>
            </wp:positionV>
            <wp:extent cx="38735" cy="298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6537960</wp:posOffset>
            </wp:positionH>
            <wp:positionV relativeFrom="paragraph">
              <wp:posOffset>-3645535</wp:posOffset>
            </wp:positionV>
            <wp:extent cx="12700" cy="298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6597650</wp:posOffset>
            </wp:positionH>
            <wp:positionV relativeFrom="paragraph">
              <wp:posOffset>-3645535</wp:posOffset>
            </wp:positionV>
            <wp:extent cx="21590" cy="298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-3645535</wp:posOffset>
            </wp:positionV>
            <wp:extent cx="38735" cy="298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6537960</wp:posOffset>
            </wp:positionH>
            <wp:positionV relativeFrom="paragraph">
              <wp:posOffset>-2016125</wp:posOffset>
            </wp:positionV>
            <wp:extent cx="12700" cy="298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6597650</wp:posOffset>
            </wp:positionH>
            <wp:positionV relativeFrom="paragraph">
              <wp:posOffset>-2016125</wp:posOffset>
            </wp:positionV>
            <wp:extent cx="21590" cy="298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-2016125</wp:posOffset>
            </wp:positionV>
            <wp:extent cx="38735" cy="298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2395855</wp:posOffset>
            </wp:positionH>
            <wp:positionV relativeFrom="paragraph">
              <wp:posOffset>-481330</wp:posOffset>
            </wp:positionV>
            <wp:extent cx="12700" cy="298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2816225</wp:posOffset>
            </wp:positionH>
            <wp:positionV relativeFrom="paragraph">
              <wp:posOffset>-481330</wp:posOffset>
            </wp:positionV>
            <wp:extent cx="12700" cy="298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2455545</wp:posOffset>
            </wp:positionH>
            <wp:positionV relativeFrom="paragraph">
              <wp:posOffset>-481330</wp:posOffset>
            </wp:positionV>
            <wp:extent cx="21590" cy="298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3021965</wp:posOffset>
            </wp:positionH>
            <wp:positionV relativeFrom="paragraph">
              <wp:posOffset>-481330</wp:posOffset>
            </wp:positionV>
            <wp:extent cx="475615" cy="298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475615" cy="29845"/>
                    </a:xfrm>
                    <a:prstGeom prst="rect">
                      <a:avLst/>
                    </a:prstGeom>
                    <a:noFill/>
                  </pic:spPr>
                </pic:pic>
              </a:graphicData>
            </a:graphic>
          </wp:anchor>
        </w:drawing>
        <w:drawing>
          <wp:anchor simplePos="0" relativeHeight="251657728" behindDoc="1" locked="0" layoutInCell="0" allowOverlap="1">
            <wp:simplePos x="0" y="0"/>
            <wp:positionH relativeFrom="column">
              <wp:posOffset>3733800</wp:posOffset>
            </wp:positionH>
            <wp:positionV relativeFrom="paragraph">
              <wp:posOffset>-481330</wp:posOffset>
            </wp:positionV>
            <wp:extent cx="12700" cy="298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3793490</wp:posOffset>
            </wp:positionH>
            <wp:positionV relativeFrom="paragraph">
              <wp:posOffset>-481330</wp:posOffset>
            </wp:positionV>
            <wp:extent cx="21590" cy="298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4170680</wp:posOffset>
            </wp:positionH>
            <wp:positionV relativeFrom="paragraph">
              <wp:posOffset>-481330</wp:posOffset>
            </wp:positionV>
            <wp:extent cx="38735" cy="298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-481330</wp:posOffset>
            </wp:positionV>
            <wp:extent cx="12700" cy="298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-481330</wp:posOffset>
            </wp:positionV>
            <wp:extent cx="21590" cy="298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-481330</wp:posOffset>
            </wp:positionV>
            <wp:extent cx="38735" cy="298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-481330</wp:posOffset>
            </wp:positionV>
            <wp:extent cx="12700" cy="298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-481330</wp:posOffset>
            </wp:positionV>
            <wp:extent cx="21590" cy="298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5517515</wp:posOffset>
            </wp:positionH>
            <wp:positionV relativeFrom="paragraph">
              <wp:posOffset>-481330</wp:posOffset>
            </wp:positionV>
            <wp:extent cx="38735" cy="298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5791835</wp:posOffset>
            </wp:positionH>
            <wp:positionV relativeFrom="paragraph">
              <wp:posOffset>-481330</wp:posOffset>
            </wp:positionV>
            <wp:extent cx="12700" cy="298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-481330</wp:posOffset>
            </wp:positionV>
            <wp:extent cx="21590" cy="298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6263640</wp:posOffset>
            </wp:positionH>
            <wp:positionV relativeFrom="paragraph">
              <wp:posOffset>-481330</wp:posOffset>
            </wp:positionV>
            <wp:extent cx="38735" cy="298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6537960</wp:posOffset>
            </wp:positionH>
            <wp:positionV relativeFrom="paragraph">
              <wp:posOffset>-481330</wp:posOffset>
            </wp:positionV>
            <wp:extent cx="12700" cy="298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6597650</wp:posOffset>
            </wp:positionH>
            <wp:positionV relativeFrom="paragraph">
              <wp:posOffset>-481330</wp:posOffset>
            </wp:positionV>
            <wp:extent cx="21590" cy="298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-481330</wp:posOffset>
            </wp:positionV>
            <wp:extent cx="38735" cy="298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4"/>
          <w:szCs w:val="14"/>
          <w:color w:val="auto"/>
        </w:rPr>
        <w:t>Part II, Item 8</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color w:val="auto"/>
        </w:rPr>
        <w:t>SCHLUMBERGER LIMITED (SCHLUMBERGER N.V., INCORPORATED IN THE NETHERLANDS ANTILLES) AND SUBSIDIARY COMPANIES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8000" w:type="dxa"/>
            <w:vAlign w:val="bottom"/>
            <w:gridSpan w:val="2"/>
          </w:tcPr>
          <w:p>
            <w:pPr>
              <w:spacing w:after="0"/>
              <w:rPr>
                <w:sz w:val="20"/>
                <w:szCs w:val="20"/>
                <w:color w:val="auto"/>
              </w:rPr>
            </w:pPr>
            <w:r>
              <w:rPr>
                <w:rFonts w:ascii="Arial" w:cs="Arial" w:eastAsia="Arial" w:hAnsi="Arial"/>
                <w:sz w:val="14"/>
                <w:szCs w:val="14"/>
                <w:color w:val="auto"/>
              </w:rPr>
              <w:t>SHARES OF COMMON STOCK</w:t>
            </w:r>
          </w:p>
        </w:tc>
        <w:tc>
          <w:tcPr>
            <w:tcW w:w="9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9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In</w:t>
            </w:r>
          </w:p>
        </w:tc>
        <w:tc>
          <w:tcPr>
            <w:tcW w:w="260" w:type="dxa"/>
            <w:vAlign w:val="bottom"/>
          </w:tcPr>
          <w:p>
            <w:pPr>
              <w:spacing w:after="0"/>
              <w:rPr>
                <w:sz w:val="16"/>
                <w:szCs w:val="16"/>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Shares</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9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Issued</w:t>
            </w:r>
          </w:p>
        </w:tc>
        <w:tc>
          <w:tcPr>
            <w:tcW w:w="460" w:type="dxa"/>
            <w:vAlign w:val="bottom"/>
          </w:tcPr>
          <w:p>
            <w:pPr>
              <w:spacing w:after="0"/>
              <w:rPr>
                <w:sz w:val="16"/>
                <w:szCs w:val="16"/>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Treasury</w:t>
            </w:r>
          </w:p>
        </w:tc>
        <w:tc>
          <w:tcPr>
            <w:tcW w:w="260" w:type="dxa"/>
            <w:vAlign w:val="bottom"/>
          </w:tcPr>
          <w:p>
            <w:pPr>
              <w:spacing w:after="0"/>
              <w:rPr>
                <w:sz w:val="16"/>
                <w:szCs w:val="16"/>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Outstanding</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7980" w:type="dxa"/>
            <w:vAlign w:val="bottom"/>
          </w:tcPr>
          <w:p>
            <w:pPr>
              <w:spacing w:after="0"/>
              <w:rPr>
                <w:sz w:val="8"/>
                <w:szCs w:val="8"/>
                <w:color w:val="auto"/>
              </w:rPr>
            </w:pPr>
          </w:p>
        </w:tc>
        <w:tc>
          <w:tcPr>
            <w:tcW w:w="920" w:type="dxa"/>
            <w:vAlign w:val="bottom"/>
          </w:tcPr>
          <w:p>
            <w:pPr>
              <w:spacing w:after="0"/>
              <w:rPr>
                <w:sz w:val="8"/>
                <w:szCs w:val="8"/>
                <w:color w:val="auto"/>
              </w:rPr>
            </w:pPr>
          </w:p>
        </w:tc>
        <w:tc>
          <w:tcPr>
            <w:tcW w:w="460" w:type="dxa"/>
            <w:vAlign w:val="bottom"/>
          </w:tcPr>
          <w:p>
            <w:pPr>
              <w:spacing w:after="0"/>
              <w:rPr>
                <w:sz w:val="8"/>
                <w:szCs w:val="8"/>
                <w:color w:val="auto"/>
              </w:rPr>
            </w:pPr>
          </w:p>
        </w:tc>
        <w:tc>
          <w:tcPr>
            <w:tcW w:w="7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9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Balance, January 1, 2001</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667,085,793</w:t>
            </w:r>
          </w:p>
        </w:tc>
        <w:tc>
          <w:tcPr>
            <w:tcW w:w="134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(94,361,099)</w:t>
            </w:r>
          </w:p>
        </w:tc>
        <w:tc>
          <w:tcPr>
            <w:tcW w:w="1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572,724,694</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980" w:type="dxa"/>
            <w:vAlign w:val="bottom"/>
          </w:tcPr>
          <w:p>
            <w:pPr>
              <w:spacing w:after="0" w:line="149" w:lineRule="exact"/>
              <w:rPr>
                <w:sz w:val="20"/>
                <w:szCs w:val="20"/>
                <w:color w:val="auto"/>
              </w:rPr>
            </w:pPr>
            <w:r>
              <w:rPr>
                <w:rFonts w:ascii="Arial" w:cs="Arial" w:eastAsia="Arial" w:hAnsi="Arial"/>
                <w:sz w:val="14"/>
                <w:szCs w:val="14"/>
                <w:color w:val="auto"/>
              </w:rPr>
              <w:t>Employee stock purchase plan</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1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1,752,833</w:t>
            </w:r>
          </w:p>
        </w:tc>
        <w:tc>
          <w:tcPr>
            <w:tcW w:w="180" w:type="dxa"/>
            <w:vAlign w:val="bottom"/>
          </w:tcPr>
          <w:p>
            <w:pPr>
              <w:spacing w:after="0"/>
              <w:rPr>
                <w:sz w:val="12"/>
                <w:szCs w:val="12"/>
                <w:color w:val="auto"/>
              </w:rPr>
            </w:pPr>
          </w:p>
        </w:tc>
        <w:tc>
          <w:tcPr>
            <w:tcW w:w="11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1,752,833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9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Shares granted to Directors</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4,800</w:t>
            </w:r>
          </w:p>
        </w:tc>
        <w:tc>
          <w:tcPr>
            <w:tcW w:w="1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4,800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980" w:type="dxa"/>
            <w:vAlign w:val="bottom"/>
          </w:tcPr>
          <w:p>
            <w:pPr>
              <w:spacing w:after="0"/>
              <w:rPr>
                <w:sz w:val="20"/>
                <w:szCs w:val="20"/>
                <w:color w:val="auto"/>
              </w:rPr>
            </w:pPr>
            <w:r>
              <w:rPr>
                <w:rFonts w:ascii="Arial" w:cs="Arial" w:eastAsia="Arial" w:hAnsi="Arial"/>
                <w:sz w:val="14"/>
                <w:szCs w:val="14"/>
                <w:color w:val="auto"/>
              </w:rPr>
              <w:t>Shares sold to optionees</w:t>
            </w:r>
          </w:p>
        </w:tc>
        <w:tc>
          <w:tcPr>
            <w:tcW w:w="920" w:type="dxa"/>
            <w:vAlign w:val="bottom"/>
          </w:tcPr>
          <w:p>
            <w:pPr>
              <w:jc w:val="right"/>
              <w:spacing w:after="0"/>
              <w:rPr>
                <w:sz w:val="20"/>
                <w:szCs w:val="20"/>
                <w:color w:val="auto"/>
              </w:rPr>
            </w:pPr>
            <w:r>
              <w:rPr>
                <w:rFonts w:ascii="Arial" w:cs="Arial" w:eastAsia="Arial" w:hAnsi="Arial"/>
                <w:sz w:val="14"/>
                <w:szCs w:val="14"/>
                <w:color w:val="auto"/>
              </w:rPr>
              <w:t>8,385</w:t>
            </w:r>
          </w:p>
        </w:tc>
        <w:tc>
          <w:tcPr>
            <w:tcW w:w="1160" w:type="dxa"/>
            <w:vAlign w:val="bottom"/>
            <w:gridSpan w:val="2"/>
          </w:tcPr>
          <w:p>
            <w:pPr>
              <w:jc w:val="right"/>
              <w:spacing w:after="0"/>
              <w:rPr>
                <w:sz w:val="20"/>
                <w:szCs w:val="20"/>
                <w:color w:val="auto"/>
              </w:rPr>
            </w:pPr>
            <w:r>
              <w:rPr>
                <w:rFonts w:ascii="Arial" w:cs="Arial" w:eastAsia="Arial" w:hAnsi="Arial"/>
                <w:sz w:val="14"/>
                <w:szCs w:val="14"/>
                <w:color w:val="auto"/>
              </w:rPr>
              <w:t>1,399,686</w:t>
            </w:r>
          </w:p>
        </w:tc>
        <w:tc>
          <w:tcPr>
            <w:tcW w:w="180" w:type="dxa"/>
            <w:vAlign w:val="bottom"/>
          </w:tcPr>
          <w:p>
            <w:pPr>
              <w:spacing w:after="0"/>
              <w:rPr>
                <w:sz w:val="14"/>
                <w:szCs w:val="14"/>
                <w:color w:val="auto"/>
              </w:rPr>
            </w:pPr>
          </w:p>
        </w:tc>
        <w:tc>
          <w:tcPr>
            <w:tcW w:w="1160" w:type="dxa"/>
            <w:vAlign w:val="bottom"/>
            <w:gridSpan w:val="2"/>
          </w:tcPr>
          <w:p>
            <w:pPr>
              <w:jc w:val="right"/>
              <w:spacing w:after="0"/>
              <w:rPr>
                <w:sz w:val="20"/>
                <w:szCs w:val="20"/>
                <w:color w:val="auto"/>
              </w:rPr>
            </w:pPr>
            <w:r>
              <w:rPr>
                <w:rFonts w:ascii="Arial" w:cs="Arial" w:eastAsia="Arial" w:hAnsi="Arial"/>
                <w:sz w:val="14"/>
                <w:szCs w:val="14"/>
                <w:color w:val="auto"/>
              </w:rPr>
              <w:t>1,408,071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7980" w:type="dxa"/>
            <w:vAlign w:val="bottom"/>
            <w:tcBorders>
              <w:bottom w:val="single" w:sz="8" w:color="auto"/>
            </w:tcBorders>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70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90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980" w:type="dxa"/>
            <w:vAlign w:val="bottom"/>
          </w:tcPr>
          <w:p>
            <w:pPr>
              <w:spacing w:after="0"/>
              <w:rPr>
                <w:sz w:val="8"/>
                <w:szCs w:val="8"/>
                <w:color w:val="auto"/>
              </w:rPr>
            </w:pPr>
          </w:p>
        </w:tc>
        <w:tc>
          <w:tcPr>
            <w:tcW w:w="920" w:type="dxa"/>
            <w:vAlign w:val="bottom"/>
          </w:tcPr>
          <w:p>
            <w:pPr>
              <w:spacing w:after="0"/>
              <w:rPr>
                <w:sz w:val="8"/>
                <w:szCs w:val="8"/>
                <w:color w:val="auto"/>
              </w:rPr>
            </w:pPr>
          </w:p>
        </w:tc>
        <w:tc>
          <w:tcPr>
            <w:tcW w:w="460" w:type="dxa"/>
            <w:vAlign w:val="bottom"/>
          </w:tcPr>
          <w:p>
            <w:pPr>
              <w:spacing w:after="0"/>
              <w:rPr>
                <w:sz w:val="8"/>
                <w:szCs w:val="8"/>
                <w:color w:val="auto"/>
              </w:rPr>
            </w:pPr>
          </w:p>
        </w:tc>
        <w:tc>
          <w:tcPr>
            <w:tcW w:w="7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9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Balance, December 31, 2001</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667,094,178</w:t>
            </w:r>
          </w:p>
        </w:tc>
        <w:tc>
          <w:tcPr>
            <w:tcW w:w="134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(91,203,780)</w:t>
            </w:r>
          </w:p>
        </w:tc>
        <w:tc>
          <w:tcPr>
            <w:tcW w:w="1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575,890,398</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980" w:type="dxa"/>
            <w:vAlign w:val="bottom"/>
          </w:tcPr>
          <w:p>
            <w:pPr>
              <w:spacing w:after="0" w:line="149" w:lineRule="exact"/>
              <w:rPr>
                <w:sz w:val="20"/>
                <w:szCs w:val="20"/>
                <w:color w:val="auto"/>
              </w:rPr>
            </w:pPr>
            <w:r>
              <w:rPr>
                <w:rFonts w:ascii="Arial" w:cs="Arial" w:eastAsia="Arial" w:hAnsi="Arial"/>
                <w:sz w:val="14"/>
                <w:szCs w:val="14"/>
                <w:color w:val="auto"/>
              </w:rPr>
              <w:t>Employee stock purchase plan</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1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2,677,842</w:t>
            </w:r>
          </w:p>
        </w:tc>
        <w:tc>
          <w:tcPr>
            <w:tcW w:w="180" w:type="dxa"/>
            <w:vAlign w:val="bottom"/>
          </w:tcPr>
          <w:p>
            <w:pPr>
              <w:spacing w:after="0"/>
              <w:rPr>
                <w:sz w:val="12"/>
                <w:szCs w:val="12"/>
                <w:color w:val="auto"/>
              </w:rPr>
            </w:pPr>
          </w:p>
        </w:tc>
        <w:tc>
          <w:tcPr>
            <w:tcW w:w="11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2,677,842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9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Shares granted to Directors</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3,500</w:t>
            </w:r>
          </w:p>
        </w:tc>
        <w:tc>
          <w:tcPr>
            <w:tcW w:w="1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3,500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980" w:type="dxa"/>
            <w:vAlign w:val="bottom"/>
          </w:tcPr>
          <w:p>
            <w:pPr>
              <w:spacing w:after="0" w:line="149" w:lineRule="exact"/>
              <w:rPr>
                <w:sz w:val="20"/>
                <w:szCs w:val="20"/>
                <w:color w:val="auto"/>
              </w:rPr>
            </w:pPr>
            <w:r>
              <w:rPr>
                <w:rFonts w:ascii="Arial" w:cs="Arial" w:eastAsia="Arial" w:hAnsi="Arial"/>
                <w:sz w:val="14"/>
                <w:szCs w:val="14"/>
                <w:color w:val="auto"/>
              </w:rPr>
              <w:t>Shares sold to optionees</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10,490</w:t>
            </w:r>
          </w:p>
        </w:tc>
        <w:tc>
          <w:tcPr>
            <w:tcW w:w="11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2,243,400</w:t>
            </w:r>
          </w:p>
        </w:tc>
        <w:tc>
          <w:tcPr>
            <w:tcW w:w="180" w:type="dxa"/>
            <w:vAlign w:val="bottom"/>
          </w:tcPr>
          <w:p>
            <w:pPr>
              <w:spacing w:after="0"/>
              <w:rPr>
                <w:sz w:val="12"/>
                <w:szCs w:val="12"/>
                <w:color w:val="auto"/>
              </w:rPr>
            </w:pPr>
          </w:p>
        </w:tc>
        <w:tc>
          <w:tcPr>
            <w:tcW w:w="11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2,253,890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9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Acquisition of Technoguide</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1,347,485</w:t>
            </w:r>
          </w:p>
        </w:tc>
        <w:tc>
          <w:tcPr>
            <w:tcW w:w="1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1,347,485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98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980" w:type="dxa"/>
            <w:vAlign w:val="bottom"/>
          </w:tcPr>
          <w:p>
            <w:pPr>
              <w:spacing w:after="0"/>
              <w:rPr>
                <w:sz w:val="8"/>
                <w:szCs w:val="8"/>
                <w:color w:val="auto"/>
              </w:rPr>
            </w:pPr>
          </w:p>
        </w:tc>
        <w:tc>
          <w:tcPr>
            <w:tcW w:w="920" w:type="dxa"/>
            <w:vAlign w:val="bottom"/>
          </w:tcPr>
          <w:p>
            <w:pPr>
              <w:spacing w:after="0"/>
              <w:rPr>
                <w:sz w:val="8"/>
                <w:szCs w:val="8"/>
                <w:color w:val="auto"/>
              </w:rPr>
            </w:pPr>
          </w:p>
        </w:tc>
        <w:tc>
          <w:tcPr>
            <w:tcW w:w="460" w:type="dxa"/>
            <w:vAlign w:val="bottom"/>
          </w:tcPr>
          <w:p>
            <w:pPr>
              <w:spacing w:after="0"/>
              <w:rPr>
                <w:sz w:val="8"/>
                <w:szCs w:val="8"/>
                <w:color w:val="auto"/>
              </w:rPr>
            </w:pPr>
          </w:p>
        </w:tc>
        <w:tc>
          <w:tcPr>
            <w:tcW w:w="7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9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Balance, December 31, 2002</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667,104,668</w:t>
            </w:r>
          </w:p>
        </w:tc>
        <w:tc>
          <w:tcPr>
            <w:tcW w:w="134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(84,931,553)</w:t>
            </w:r>
          </w:p>
        </w:tc>
        <w:tc>
          <w:tcPr>
            <w:tcW w:w="1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582,173,115</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980" w:type="dxa"/>
            <w:vAlign w:val="bottom"/>
          </w:tcPr>
          <w:p>
            <w:pPr>
              <w:spacing w:after="0" w:line="149" w:lineRule="exact"/>
              <w:rPr>
                <w:sz w:val="20"/>
                <w:szCs w:val="20"/>
                <w:color w:val="auto"/>
              </w:rPr>
            </w:pPr>
            <w:r>
              <w:rPr>
                <w:rFonts w:ascii="Arial" w:cs="Arial" w:eastAsia="Arial" w:hAnsi="Arial"/>
                <w:sz w:val="14"/>
                <w:szCs w:val="14"/>
                <w:color w:val="auto"/>
              </w:rPr>
              <w:t>Employee stock purchase plan</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1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2,464,088</w:t>
            </w:r>
          </w:p>
        </w:tc>
        <w:tc>
          <w:tcPr>
            <w:tcW w:w="180" w:type="dxa"/>
            <w:vAlign w:val="bottom"/>
          </w:tcPr>
          <w:p>
            <w:pPr>
              <w:spacing w:after="0"/>
              <w:rPr>
                <w:sz w:val="12"/>
                <w:szCs w:val="12"/>
                <w:color w:val="auto"/>
              </w:rPr>
            </w:pPr>
          </w:p>
        </w:tc>
        <w:tc>
          <w:tcPr>
            <w:tcW w:w="11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2,464,088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9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Shares granted to Directors</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3,500</w:t>
            </w:r>
          </w:p>
        </w:tc>
        <w:tc>
          <w:tcPr>
            <w:tcW w:w="1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3,500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980" w:type="dxa"/>
            <w:vAlign w:val="bottom"/>
          </w:tcPr>
          <w:p>
            <w:pPr>
              <w:spacing w:after="0"/>
              <w:rPr>
                <w:sz w:val="20"/>
                <w:szCs w:val="20"/>
                <w:color w:val="auto"/>
              </w:rPr>
            </w:pPr>
            <w:r>
              <w:rPr>
                <w:rFonts w:ascii="Arial" w:cs="Arial" w:eastAsia="Arial" w:hAnsi="Arial"/>
                <w:sz w:val="14"/>
                <w:szCs w:val="14"/>
                <w:color w:val="auto"/>
              </w:rPr>
              <w:t>Shares sold to optionees</w:t>
            </w:r>
          </w:p>
        </w:tc>
        <w:tc>
          <w:tcPr>
            <w:tcW w:w="920" w:type="dxa"/>
            <w:vAlign w:val="bottom"/>
          </w:tcPr>
          <w:p>
            <w:pPr>
              <w:jc w:val="right"/>
              <w:spacing w:after="0"/>
              <w:rPr>
                <w:sz w:val="20"/>
                <w:szCs w:val="20"/>
                <w:color w:val="auto"/>
              </w:rPr>
            </w:pPr>
            <w:r>
              <w:rPr>
                <w:rFonts w:ascii="Arial" w:cs="Arial" w:eastAsia="Arial" w:hAnsi="Arial"/>
                <w:sz w:val="14"/>
                <w:szCs w:val="14"/>
                <w:color w:val="auto"/>
              </w:rPr>
              <w:t>1,320</w:t>
            </w:r>
          </w:p>
        </w:tc>
        <w:tc>
          <w:tcPr>
            <w:tcW w:w="1160" w:type="dxa"/>
            <w:vAlign w:val="bottom"/>
            <w:gridSpan w:val="2"/>
          </w:tcPr>
          <w:p>
            <w:pPr>
              <w:jc w:val="right"/>
              <w:spacing w:after="0"/>
              <w:rPr>
                <w:sz w:val="20"/>
                <w:szCs w:val="20"/>
                <w:color w:val="auto"/>
              </w:rPr>
            </w:pPr>
            <w:r>
              <w:rPr>
                <w:rFonts w:ascii="Arial" w:cs="Arial" w:eastAsia="Arial" w:hAnsi="Arial"/>
                <w:sz w:val="14"/>
                <w:szCs w:val="14"/>
                <w:color w:val="auto"/>
              </w:rPr>
              <w:t>1,306,305</w:t>
            </w:r>
          </w:p>
        </w:tc>
        <w:tc>
          <w:tcPr>
            <w:tcW w:w="180" w:type="dxa"/>
            <w:vAlign w:val="bottom"/>
          </w:tcPr>
          <w:p>
            <w:pPr>
              <w:spacing w:after="0"/>
              <w:rPr>
                <w:sz w:val="14"/>
                <w:szCs w:val="14"/>
                <w:color w:val="auto"/>
              </w:rPr>
            </w:pPr>
          </w:p>
        </w:tc>
        <w:tc>
          <w:tcPr>
            <w:tcW w:w="1160" w:type="dxa"/>
            <w:vAlign w:val="bottom"/>
            <w:gridSpan w:val="2"/>
          </w:tcPr>
          <w:p>
            <w:pPr>
              <w:jc w:val="right"/>
              <w:spacing w:after="0"/>
              <w:rPr>
                <w:sz w:val="20"/>
                <w:szCs w:val="20"/>
                <w:color w:val="auto"/>
              </w:rPr>
            </w:pPr>
            <w:r>
              <w:rPr>
                <w:rFonts w:ascii="Arial" w:cs="Arial" w:eastAsia="Arial" w:hAnsi="Arial"/>
                <w:sz w:val="14"/>
                <w:szCs w:val="14"/>
                <w:color w:val="auto"/>
              </w:rPr>
              <w:t>1,307,625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7980" w:type="dxa"/>
            <w:vAlign w:val="bottom"/>
            <w:tcBorders>
              <w:bottom w:val="single" w:sz="8" w:color="auto"/>
            </w:tcBorders>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70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90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980" w:type="dxa"/>
            <w:vAlign w:val="bottom"/>
          </w:tcPr>
          <w:p>
            <w:pPr>
              <w:spacing w:after="0"/>
              <w:rPr>
                <w:sz w:val="8"/>
                <w:szCs w:val="8"/>
                <w:color w:val="auto"/>
              </w:rPr>
            </w:pPr>
          </w:p>
        </w:tc>
        <w:tc>
          <w:tcPr>
            <w:tcW w:w="920" w:type="dxa"/>
            <w:vAlign w:val="bottom"/>
          </w:tcPr>
          <w:p>
            <w:pPr>
              <w:spacing w:after="0"/>
              <w:rPr>
                <w:sz w:val="8"/>
                <w:szCs w:val="8"/>
                <w:color w:val="auto"/>
              </w:rPr>
            </w:pPr>
          </w:p>
        </w:tc>
        <w:tc>
          <w:tcPr>
            <w:tcW w:w="460" w:type="dxa"/>
            <w:vAlign w:val="bottom"/>
          </w:tcPr>
          <w:p>
            <w:pPr>
              <w:spacing w:after="0"/>
              <w:rPr>
                <w:sz w:val="8"/>
                <w:szCs w:val="8"/>
                <w:color w:val="auto"/>
              </w:rPr>
            </w:pPr>
          </w:p>
        </w:tc>
        <w:tc>
          <w:tcPr>
            <w:tcW w:w="7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9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Balance, December 31, 2003</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667,105,988</w:t>
            </w:r>
          </w:p>
        </w:tc>
        <w:tc>
          <w:tcPr>
            <w:tcW w:w="134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(81,157,660)</w:t>
            </w:r>
          </w:p>
        </w:tc>
        <w:tc>
          <w:tcPr>
            <w:tcW w:w="1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585,948,328</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8000" w:type="dxa"/>
            <w:vAlign w:val="bottom"/>
            <w:gridSpan w:val="2"/>
            <w:vMerge w:val="restart"/>
          </w:tcPr>
          <w:p>
            <w:pPr>
              <w:spacing w:after="0"/>
              <w:rPr>
                <w:sz w:val="20"/>
                <w:szCs w:val="20"/>
                <w:color w:val="auto"/>
              </w:rPr>
            </w:pPr>
            <w:r>
              <w:rPr>
                <w:rFonts w:ascii="Arial" w:cs="Arial" w:eastAsia="Arial" w:hAnsi="Arial"/>
                <w:sz w:val="14"/>
                <w:szCs w:val="14"/>
                <w:color w:val="auto"/>
              </w:rPr>
              <w:t xml:space="preserve">See the </w:t>
            </w:r>
            <w:r>
              <w:rPr>
                <w:rFonts w:ascii="Arial" w:cs="Arial" w:eastAsia="Arial" w:hAnsi="Arial"/>
                <w:sz w:val="14"/>
                <w:szCs w:val="14"/>
                <w:i w:val="1"/>
                <w:iCs w:val="1"/>
                <w:color w:val="auto"/>
              </w:rPr>
              <w:t>Notes to Consolidated Financial Statements</w:t>
            </w:r>
          </w:p>
        </w:tc>
        <w:tc>
          <w:tcPr>
            <w:tcW w:w="920" w:type="dxa"/>
            <w:vAlign w:val="bottom"/>
            <w:tcBorders>
              <w:bottom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415"/>
        </w:trPr>
        <w:tc>
          <w:tcPr>
            <w:tcW w:w="8000" w:type="dxa"/>
            <w:vAlign w:val="bottom"/>
            <w:gridSpan w:val="2"/>
            <w:vMerge w:val="continue"/>
          </w:tcPr>
          <w:p>
            <w:pPr>
              <w:spacing w:after="0"/>
              <w:rPr>
                <w:sz w:val="24"/>
                <w:szCs w:val="24"/>
                <w:color w:val="auto"/>
              </w:rPr>
            </w:pPr>
          </w:p>
        </w:tc>
        <w:tc>
          <w:tcPr>
            <w:tcW w:w="9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8000" w:type="dxa"/>
            <w:vAlign w:val="bottom"/>
            <w:gridSpan w:val="2"/>
          </w:tcPr>
          <w:p>
            <w:pPr>
              <w:spacing w:after="0"/>
              <w:rPr>
                <w:sz w:val="20"/>
                <w:szCs w:val="20"/>
                <w:color w:val="auto"/>
              </w:rPr>
            </w:pPr>
            <w:r>
              <w:rPr>
                <w:rFonts w:ascii="Arial" w:cs="Arial" w:eastAsia="Arial" w:hAnsi="Arial"/>
                <w:sz w:val="14"/>
                <w:szCs w:val="14"/>
                <w:color w:val="auto"/>
              </w:rPr>
              <w:t>39 / SLB</w:t>
            </w:r>
          </w:p>
        </w:tc>
        <w:tc>
          <w:tcPr>
            <w:tcW w:w="9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gridSpan w:val="3"/>
          </w:tcPr>
          <w:p>
            <w:pPr>
              <w:jc w:val="right"/>
              <w:ind w:right="20"/>
              <w:spacing w:after="0"/>
              <w:rPr>
                <w:sz w:val="20"/>
                <w:szCs w:val="20"/>
                <w:color w:val="auto"/>
              </w:rPr>
            </w:pPr>
            <w:r>
              <w:rPr>
                <w:rFonts w:ascii="Arial" w:cs="Arial" w:eastAsia="Arial" w:hAnsi="Arial"/>
                <w:sz w:val="14"/>
                <w:szCs w:val="14"/>
                <w:color w:val="auto"/>
              </w:rPr>
              <w:t>2003 FORM 10-K</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5654675</wp:posOffset>
            </wp:positionH>
            <wp:positionV relativeFrom="paragraph">
              <wp:posOffset>-481330</wp:posOffset>
            </wp:positionV>
            <wp:extent cx="12700" cy="298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-481330</wp:posOffset>
            </wp:positionV>
            <wp:extent cx="12700" cy="298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-481330</wp:posOffset>
            </wp:positionV>
            <wp:extent cx="12700" cy="298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6383655</wp:posOffset>
            </wp:positionH>
            <wp:positionV relativeFrom="paragraph">
              <wp:posOffset>-481330</wp:posOffset>
            </wp:positionV>
            <wp:extent cx="38735" cy="298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-481330</wp:posOffset>
            </wp:positionV>
            <wp:extent cx="12700" cy="298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6675120</wp:posOffset>
            </wp:positionH>
            <wp:positionV relativeFrom="paragraph">
              <wp:posOffset>-481330</wp:posOffset>
            </wp:positionV>
            <wp:extent cx="12700" cy="298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4"/>
          <w:szCs w:val="14"/>
          <w:color w:val="auto"/>
        </w:rPr>
        <w:t>Part II, Item 8</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44" w:lineRule="exact"/>
        <w:rPr>
          <w:sz w:val="20"/>
          <w:szCs w:val="20"/>
          <w:color w:val="auto"/>
        </w:rPr>
      </w:pPr>
    </w:p>
    <w:p>
      <w:pPr>
        <w:ind w:left="340" w:hanging="332"/>
        <w:spacing w:after="0"/>
        <w:tabs>
          <w:tab w:leader="none" w:pos="34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Business Description</w:t>
      </w:r>
    </w:p>
    <w:p>
      <w:pPr>
        <w:spacing w:after="0" w:line="74" w:lineRule="exact"/>
        <w:rPr>
          <w:sz w:val="20"/>
          <w:szCs w:val="20"/>
          <w:color w:val="auto"/>
        </w:rPr>
      </w:pPr>
    </w:p>
    <w:p>
      <w:pPr>
        <w:ind w:right="40"/>
        <w:spacing w:after="0" w:line="301" w:lineRule="auto"/>
        <w:rPr>
          <w:sz w:val="20"/>
          <w:szCs w:val="20"/>
          <w:color w:val="auto"/>
        </w:rPr>
      </w:pPr>
      <w:r>
        <w:rPr>
          <w:rFonts w:ascii="Arial" w:cs="Arial" w:eastAsia="Arial" w:hAnsi="Arial"/>
          <w:sz w:val="15"/>
          <w:szCs w:val="15"/>
          <w:color w:val="auto"/>
        </w:rPr>
        <w:t>Founded in 1927, Schlumberger Limited is a global technology services company consisting of four business segments: first, Schlumberger Oilfield Services, one of the leading providers of technology services and solutions to the international petroleum industry; second, WesternGeco provides comprehensive worldwide reservoir imaging, monitoring, and development services, with extensive seismic crews and data processing centers as well as a large multiclient seismic library. Services range from 3D and time-lapse (4D) seismic surveys to multi-component surveys for delineating prospects and reservoir management; WesternGeco is 70% owned by Schlumberger and 30% owned by Baker Hughes; third, SchlumbergerSema, an IT services company providing consulting and systems integration services, and network and infrastructure solutions, primarily to the global energy sector, and other regional markets spanning the finance and public sectors and fourth, the Other business segment which principally comprises the Axalto (Smart Cards and Point-of-Sale Terminals), Electricity Meters, Business Continuity, Infodata, Telecom Software Products, Water Services, Essentis and Payphones businesses, all of which are in active divestiture negotiations.</w:t>
      </w:r>
    </w:p>
    <w:p>
      <w:pPr>
        <w:spacing w:after="0" w:line="4" w:lineRule="exact"/>
        <w:rPr>
          <w:sz w:val="20"/>
          <w:szCs w:val="20"/>
          <w:color w:val="auto"/>
        </w:rPr>
      </w:pPr>
    </w:p>
    <w:p>
      <w:pPr>
        <w:ind w:right="420" w:firstLine="228"/>
        <w:spacing w:after="0" w:line="261" w:lineRule="auto"/>
        <w:rPr>
          <w:sz w:val="20"/>
          <w:szCs w:val="20"/>
          <w:color w:val="auto"/>
        </w:rPr>
      </w:pPr>
      <w:r>
        <w:rPr>
          <w:rFonts w:ascii="Arial" w:cs="Arial" w:eastAsia="Arial" w:hAnsi="Arial"/>
          <w:sz w:val="18"/>
          <w:szCs w:val="18"/>
          <w:color w:val="auto"/>
        </w:rPr>
        <w:t>On September 22, 2003, Schlumberger announced the signing of an agreement with Atos Origin for the sale of the SchlumbergerSema business. The sale closed on January 29, 2004.</w:t>
      </w:r>
    </w:p>
    <w:p>
      <w:pPr>
        <w:spacing w:after="0" w:line="114" w:lineRule="exact"/>
        <w:rPr>
          <w:sz w:val="20"/>
          <w:szCs w:val="20"/>
          <w:color w:val="auto"/>
        </w:rPr>
      </w:pPr>
    </w:p>
    <w:p>
      <w:pPr>
        <w:ind w:left="340" w:hanging="332"/>
        <w:spacing w:after="0"/>
        <w:tabs>
          <w:tab w:leader="none" w:pos="34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Accounting Policies</w:t>
      </w:r>
    </w:p>
    <w:p>
      <w:pPr>
        <w:spacing w:after="0" w:line="74"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The Consolidated Financial Statements of Schlumberger Limited and its subsidiaries have been prepared in accordance with accounting principles generally accepted in the United States of America.</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Discontinued Operations</w:t>
      </w:r>
    </w:p>
    <w:p>
      <w:pPr>
        <w:spacing w:after="0" w:line="72" w:lineRule="exact"/>
        <w:rPr>
          <w:sz w:val="20"/>
          <w:szCs w:val="20"/>
          <w:color w:val="auto"/>
        </w:rPr>
      </w:pPr>
    </w:p>
    <w:p>
      <w:pPr>
        <w:ind w:right="120"/>
        <w:spacing w:after="0" w:line="302" w:lineRule="auto"/>
        <w:rPr>
          <w:sz w:val="20"/>
          <w:szCs w:val="20"/>
          <w:color w:val="auto"/>
        </w:rPr>
      </w:pPr>
      <w:r>
        <w:rPr>
          <w:rFonts w:ascii="Arial" w:cs="Arial" w:eastAsia="Arial" w:hAnsi="Arial"/>
          <w:sz w:val="15"/>
          <w:szCs w:val="15"/>
          <w:color w:val="auto"/>
        </w:rPr>
        <w:t xml:space="preserve">In July 2003, Schlumberger completed the sale of its NPTest semiconductor testing business to a partnership led by Francisco Partners and Shah Management. The proceeds were $220 million in cash. Additionally, the partnership has a contingent obligation to make a further payment to Schlumberger upon a subsequent qualifying disposition or an initial public offering of NPTest by the partnership, under certain circumstances. The results of NPTest are reported as </w:t>
      </w:r>
      <w:r>
        <w:rPr>
          <w:rFonts w:ascii="Arial" w:cs="Arial" w:eastAsia="Arial" w:hAnsi="Arial"/>
          <w:sz w:val="15"/>
          <w:szCs w:val="15"/>
          <w:i w:val="1"/>
          <w:iCs w:val="1"/>
          <w:color w:val="auto"/>
        </w:rPr>
        <w:t>Discontinued</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Operations </w:t>
      </w:r>
      <w:r>
        <w:rPr>
          <w:rFonts w:ascii="Arial" w:cs="Arial" w:eastAsia="Arial" w:hAnsi="Arial"/>
          <w:sz w:val="15"/>
          <w:szCs w:val="15"/>
          <w:color w:val="auto"/>
        </w:rPr>
        <w:t>in the</w:t>
      </w:r>
      <w:r>
        <w:rPr>
          <w:rFonts w:ascii="Arial" w:cs="Arial" w:eastAsia="Arial" w:hAnsi="Arial"/>
          <w:sz w:val="15"/>
          <w:szCs w:val="15"/>
          <w:i w:val="1"/>
          <w:iCs w:val="1"/>
          <w:color w:val="auto"/>
        </w:rPr>
        <w:t xml:space="preserve"> Consolidated Statement of Income </w:t>
      </w:r>
      <w:r>
        <w:rPr>
          <w:rFonts w:ascii="Arial" w:cs="Arial" w:eastAsia="Arial" w:hAnsi="Arial"/>
          <w:sz w:val="15"/>
          <w:szCs w:val="15"/>
          <w:color w:val="auto"/>
        </w:rPr>
        <w:t>and include a net loss of $12 million on the sale. The net assets were $202 million.</w:t>
      </w:r>
    </w:p>
    <w:p>
      <w:pPr>
        <w:spacing w:after="0" w:line="3" w:lineRule="exact"/>
        <w:rPr>
          <w:sz w:val="20"/>
          <w:szCs w:val="20"/>
          <w:color w:val="auto"/>
        </w:rPr>
      </w:pPr>
    </w:p>
    <w:p>
      <w:pPr>
        <w:ind w:right="180" w:firstLine="228"/>
        <w:spacing w:after="0" w:line="250" w:lineRule="auto"/>
        <w:rPr>
          <w:sz w:val="20"/>
          <w:szCs w:val="20"/>
          <w:color w:val="auto"/>
        </w:rPr>
      </w:pPr>
      <w:r>
        <w:rPr>
          <w:rFonts w:ascii="Arial" w:cs="Arial" w:eastAsia="Arial" w:hAnsi="Arial"/>
          <w:sz w:val="18"/>
          <w:szCs w:val="18"/>
          <w:color w:val="auto"/>
        </w:rPr>
        <w:t xml:space="preserve">In August 2003, Schlumberger completed the sale of its Verification Systems business by a proceed-free management buyout. The results of Verification Systems are reported as </w:t>
      </w:r>
      <w:r>
        <w:rPr>
          <w:rFonts w:ascii="Arial" w:cs="Arial" w:eastAsia="Arial" w:hAnsi="Arial"/>
          <w:sz w:val="18"/>
          <w:szCs w:val="18"/>
          <w:i w:val="1"/>
          <w:iCs w:val="1"/>
          <w:color w:val="auto"/>
        </w:rPr>
        <w:t>Discontinued Operations</w:t>
      </w:r>
      <w:r>
        <w:rPr>
          <w:rFonts w:ascii="Arial" w:cs="Arial" w:eastAsia="Arial" w:hAnsi="Arial"/>
          <w:sz w:val="18"/>
          <w:szCs w:val="18"/>
          <w:color w:val="auto"/>
        </w:rPr>
        <w:t xml:space="preserve"> in the </w:t>
      </w:r>
      <w:r>
        <w:rPr>
          <w:rFonts w:ascii="Arial" w:cs="Arial" w:eastAsia="Arial" w:hAnsi="Arial"/>
          <w:sz w:val="18"/>
          <w:szCs w:val="18"/>
          <w:i w:val="1"/>
          <w:iCs w:val="1"/>
          <w:color w:val="auto"/>
        </w:rPr>
        <w:t>Consolidated Statement of Income</w:t>
      </w:r>
      <w:r>
        <w:rPr>
          <w:rFonts w:ascii="Arial" w:cs="Arial" w:eastAsia="Arial" w:hAnsi="Arial"/>
          <w:sz w:val="18"/>
          <w:szCs w:val="18"/>
          <w:color w:val="auto"/>
        </w:rPr>
        <w:t xml:space="preserve"> and include a net loss of $18 million on the sale. The net assets were $17 million.</w:t>
      </w:r>
    </w:p>
    <w:p>
      <w:pPr>
        <w:spacing w:after="0" w:line="1" w:lineRule="exact"/>
        <w:rPr>
          <w:sz w:val="20"/>
          <w:szCs w:val="20"/>
          <w:color w:val="auto"/>
        </w:rPr>
      </w:pPr>
    </w:p>
    <w:p>
      <w:pPr>
        <w:jc w:val="both"/>
        <w:ind w:right="20" w:firstLine="228"/>
        <w:spacing w:after="0" w:line="250" w:lineRule="auto"/>
        <w:rPr>
          <w:sz w:val="20"/>
          <w:szCs w:val="20"/>
          <w:color w:val="auto"/>
        </w:rPr>
      </w:pPr>
      <w:r>
        <w:rPr>
          <w:rFonts w:ascii="Arial" w:cs="Arial" w:eastAsia="Arial" w:hAnsi="Arial"/>
          <w:sz w:val="18"/>
          <w:szCs w:val="18"/>
          <w:color w:val="auto"/>
        </w:rPr>
        <w:t xml:space="preserve">In October 2003, Schlumberger completed the sale of its e-City ‘pay &amp; display’ parking solutions business to Apax Partners. The proceeds were $84 million in cash. The results of e-City are reported as </w:t>
      </w:r>
      <w:r>
        <w:rPr>
          <w:rFonts w:ascii="Arial" w:cs="Arial" w:eastAsia="Arial" w:hAnsi="Arial"/>
          <w:sz w:val="18"/>
          <w:szCs w:val="18"/>
          <w:i w:val="1"/>
          <w:iCs w:val="1"/>
          <w:color w:val="auto"/>
        </w:rPr>
        <w:t>Discontinued Operations</w:t>
      </w:r>
      <w:r>
        <w:rPr>
          <w:rFonts w:ascii="Arial" w:cs="Arial" w:eastAsia="Arial" w:hAnsi="Arial"/>
          <w:sz w:val="18"/>
          <w:szCs w:val="18"/>
          <w:color w:val="auto"/>
        </w:rPr>
        <w:t xml:space="preserve"> in the </w:t>
      </w:r>
      <w:r>
        <w:rPr>
          <w:rFonts w:ascii="Arial" w:cs="Arial" w:eastAsia="Arial" w:hAnsi="Arial"/>
          <w:sz w:val="18"/>
          <w:szCs w:val="18"/>
          <w:i w:val="1"/>
          <w:iCs w:val="1"/>
          <w:color w:val="auto"/>
        </w:rPr>
        <w:t>Consolidated Statement of Income</w:t>
      </w:r>
      <w:r>
        <w:rPr>
          <w:rFonts w:ascii="Arial" w:cs="Arial" w:eastAsia="Arial" w:hAnsi="Arial"/>
          <w:sz w:val="18"/>
          <w:szCs w:val="18"/>
          <w:color w:val="auto"/>
        </w:rPr>
        <w:t xml:space="preserve"> and include a net loss of $56 million on the sale. The net assets were $120 million, including a $65 million allocation of goodwill.</w:t>
      </w:r>
    </w:p>
    <w:p>
      <w:pPr>
        <w:spacing w:after="0" w:line="1" w:lineRule="exact"/>
        <w:rPr>
          <w:sz w:val="20"/>
          <w:szCs w:val="20"/>
          <w:color w:val="auto"/>
        </w:rPr>
      </w:pPr>
    </w:p>
    <w:p>
      <w:pPr>
        <w:ind w:right="120" w:firstLine="228"/>
        <w:spacing w:after="0" w:line="331" w:lineRule="auto"/>
        <w:rPr>
          <w:sz w:val="20"/>
          <w:szCs w:val="20"/>
          <w:color w:val="auto"/>
        </w:rPr>
      </w:pPr>
      <w:r>
        <w:rPr>
          <w:rFonts w:ascii="Arial" w:cs="Arial" w:eastAsia="Arial" w:hAnsi="Arial"/>
          <w:sz w:val="15"/>
          <w:szCs w:val="15"/>
          <w:color w:val="auto"/>
        </w:rPr>
        <w:t xml:space="preserve">In December, 2002, Schlumberger completed the sale of its Reed Hycalog drillbits business. The proceeds included $259 million in cash and 9.7 million shares of Grant Prideco common stock with a value of $103 million. The results for the Reed Hycalog operations are reported as </w:t>
      </w:r>
      <w:r>
        <w:rPr>
          <w:rFonts w:ascii="Arial" w:cs="Arial" w:eastAsia="Arial" w:hAnsi="Arial"/>
          <w:sz w:val="15"/>
          <w:szCs w:val="15"/>
          <w:i w:val="1"/>
          <w:iCs w:val="1"/>
          <w:color w:val="auto"/>
        </w:rPr>
        <w:t>Discontinued Operations</w:t>
      </w:r>
      <w:r>
        <w:rPr>
          <w:rFonts w:ascii="Arial" w:cs="Arial" w:eastAsia="Arial" w:hAnsi="Arial"/>
          <w:sz w:val="15"/>
          <w:szCs w:val="15"/>
          <w:color w:val="auto"/>
        </w:rPr>
        <w:t xml:space="preserve"> in the </w:t>
      </w:r>
      <w:r>
        <w:rPr>
          <w:rFonts w:ascii="Arial" w:cs="Arial" w:eastAsia="Arial" w:hAnsi="Arial"/>
          <w:sz w:val="15"/>
          <w:szCs w:val="15"/>
          <w:i w:val="1"/>
          <w:iCs w:val="1"/>
          <w:color w:val="auto"/>
        </w:rPr>
        <w:t xml:space="preserve">Consolidated Statement of Income </w:t>
      </w:r>
      <w:r>
        <w:rPr>
          <w:rFonts w:ascii="Arial" w:cs="Arial" w:eastAsia="Arial" w:hAnsi="Arial"/>
          <w:sz w:val="15"/>
          <w:szCs w:val="15"/>
          <w:color w:val="auto"/>
        </w:rPr>
        <w:t>and, in 2002, include results of operations of $32 million and gain on sale of $66 million. The net assets were $185 million.</w:t>
      </w:r>
    </w:p>
    <w:p>
      <w:pPr>
        <w:spacing w:after="0" w:line="74" w:lineRule="exact"/>
        <w:rPr>
          <w:sz w:val="20"/>
          <w:szCs w:val="20"/>
          <w:color w:val="auto"/>
        </w:rPr>
      </w:pPr>
    </w:p>
    <w:p>
      <w:pPr>
        <w:spacing w:after="0"/>
        <w:tabs>
          <w:tab w:leader="none" w:pos="10400" w:val="left"/>
        </w:tabs>
        <w:rPr>
          <w:sz w:val="20"/>
          <w:szCs w:val="20"/>
          <w:color w:val="auto"/>
        </w:rPr>
      </w:pPr>
      <w:r>
        <w:rPr>
          <w:rFonts w:ascii="Arial" w:cs="Arial" w:eastAsia="Arial" w:hAnsi="Arial"/>
          <w:sz w:val="14"/>
          <w:szCs w:val="14"/>
          <w:color w:val="auto"/>
        </w:rPr>
        <w:t>40 / SLB</w:t>
      </w:r>
      <w:r>
        <w:rPr>
          <w:sz w:val="20"/>
          <w:szCs w:val="20"/>
          <w:color w:val="auto"/>
        </w:rPr>
        <w:tab/>
      </w:r>
      <w:r>
        <w:rPr>
          <w:rFonts w:ascii="Arial" w:cs="Arial" w:eastAsia="Arial" w:hAnsi="Arial"/>
          <w:sz w:val="12"/>
          <w:szCs w:val="12"/>
          <w:color w:val="auto"/>
        </w:rPr>
        <w:t>2003 FORM 10-K</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4"/>
          <w:szCs w:val="14"/>
          <w:color w:val="auto"/>
        </w:rPr>
        <w:t>Part II, Item 8</w:t>
      </w:r>
    </w:p>
    <w:p>
      <w:pPr>
        <w:spacing w:after="0" w:line="13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Revenue and operating income (loss) from discontinued operations for 2003, 2002 and 2001 were as follows:</w:t>
      </w:r>
    </w:p>
    <w:p>
      <w:pPr>
        <w:spacing w:after="0" w:line="7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(Stated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46620"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120" w:type="dxa"/>
            <w:vAlign w:val="bottom"/>
          </w:tcPr>
          <w:p>
            <w:pPr>
              <w:spacing w:after="0"/>
              <w:rPr>
                <w:sz w:val="15"/>
                <w:szCs w:val="15"/>
                <w:color w:val="auto"/>
              </w:rPr>
            </w:pPr>
          </w:p>
        </w:tc>
        <w:tc>
          <w:tcPr>
            <w:tcW w:w="3500" w:type="dxa"/>
            <w:vAlign w:val="bottom"/>
          </w:tcPr>
          <w:p>
            <w:pPr>
              <w:spacing w:after="0"/>
              <w:rPr>
                <w:sz w:val="15"/>
                <w:szCs w:val="15"/>
                <w:color w:val="auto"/>
              </w:rPr>
            </w:pPr>
          </w:p>
        </w:tc>
        <w:tc>
          <w:tcPr>
            <w:tcW w:w="760" w:type="dxa"/>
            <w:vAlign w:val="bottom"/>
          </w:tcPr>
          <w:p>
            <w:pPr>
              <w:jc w:val="right"/>
              <w:ind w:right="232"/>
              <w:spacing w:after="0"/>
              <w:rPr>
                <w:sz w:val="20"/>
                <w:szCs w:val="20"/>
                <w:color w:val="auto"/>
              </w:rPr>
            </w:pPr>
            <w:r>
              <w:rPr>
                <w:rFonts w:ascii="Arial" w:cs="Arial" w:eastAsia="Arial" w:hAnsi="Arial"/>
                <w:sz w:val="14"/>
                <w:szCs w:val="14"/>
                <w:b w:val="1"/>
                <w:bCs w:val="1"/>
                <w:color w:val="auto"/>
              </w:rPr>
              <w:t>2003</w:t>
            </w:r>
          </w:p>
        </w:tc>
        <w:tc>
          <w:tcPr>
            <w:tcW w:w="340" w:type="dxa"/>
            <w:vAlign w:val="bottom"/>
          </w:tcPr>
          <w:p>
            <w:pPr>
              <w:spacing w:after="0"/>
              <w:rPr>
                <w:sz w:val="15"/>
                <w:szCs w:val="15"/>
                <w:color w:val="auto"/>
              </w:rPr>
            </w:pPr>
          </w:p>
        </w:tc>
        <w:tc>
          <w:tcPr>
            <w:tcW w:w="760" w:type="dxa"/>
            <w:vAlign w:val="bottom"/>
          </w:tcPr>
          <w:p>
            <w:pPr>
              <w:jc w:val="right"/>
              <w:ind w:right="232"/>
              <w:spacing w:after="0"/>
              <w:rPr>
                <w:sz w:val="20"/>
                <w:szCs w:val="20"/>
                <w:color w:val="auto"/>
              </w:rPr>
            </w:pPr>
            <w:r>
              <w:rPr>
                <w:rFonts w:ascii="Arial" w:cs="Arial" w:eastAsia="Arial" w:hAnsi="Arial"/>
                <w:sz w:val="14"/>
                <w:szCs w:val="14"/>
                <w:b w:val="1"/>
                <w:bCs w:val="1"/>
                <w:color w:val="auto"/>
              </w:rPr>
              <w:t>2002</w:t>
            </w:r>
          </w:p>
        </w:tc>
        <w:tc>
          <w:tcPr>
            <w:tcW w:w="340" w:type="dxa"/>
            <w:vAlign w:val="bottom"/>
          </w:tcPr>
          <w:p>
            <w:pPr>
              <w:spacing w:after="0"/>
              <w:rPr>
                <w:sz w:val="15"/>
                <w:szCs w:val="15"/>
                <w:color w:val="auto"/>
              </w:rPr>
            </w:pPr>
          </w:p>
        </w:tc>
        <w:tc>
          <w:tcPr>
            <w:tcW w:w="580" w:type="dxa"/>
            <w:vAlign w:val="bottom"/>
          </w:tcPr>
          <w:p>
            <w:pPr>
              <w:jc w:val="right"/>
              <w:ind w:right="32"/>
              <w:spacing w:after="0"/>
              <w:rPr>
                <w:sz w:val="20"/>
                <w:szCs w:val="20"/>
                <w:color w:val="auto"/>
              </w:rPr>
            </w:pPr>
            <w:r>
              <w:rPr>
                <w:rFonts w:ascii="Arial" w:cs="Arial" w:eastAsia="Arial" w:hAnsi="Arial"/>
                <w:sz w:val="14"/>
                <w:szCs w:val="14"/>
                <w:b w:val="1"/>
                <w:bCs w:val="1"/>
                <w:color w:val="auto"/>
              </w:rPr>
              <w:t>2001</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5120" w:type="dxa"/>
            <w:vAlign w:val="bottom"/>
          </w:tcPr>
          <w:p>
            <w:pPr>
              <w:spacing w:after="0"/>
              <w:rPr>
                <w:sz w:val="8"/>
                <w:szCs w:val="8"/>
                <w:color w:val="auto"/>
              </w:rPr>
            </w:pPr>
          </w:p>
        </w:tc>
        <w:tc>
          <w:tcPr>
            <w:tcW w:w="3500" w:type="dxa"/>
            <w:vAlign w:val="bottom"/>
          </w:tcPr>
          <w:p>
            <w:pPr>
              <w:spacing w:after="0"/>
              <w:rPr>
                <w:sz w:val="8"/>
                <w:szCs w:val="8"/>
                <w:color w:val="auto"/>
              </w:rPr>
            </w:pPr>
          </w:p>
        </w:tc>
        <w:tc>
          <w:tcPr>
            <w:tcW w:w="760" w:type="dxa"/>
            <w:vAlign w:val="bottom"/>
          </w:tcPr>
          <w:p>
            <w:pPr>
              <w:spacing w:after="0"/>
              <w:rPr>
                <w:sz w:val="8"/>
                <w:szCs w:val="8"/>
                <w:color w:val="auto"/>
              </w:rPr>
            </w:pPr>
          </w:p>
        </w:tc>
        <w:tc>
          <w:tcPr>
            <w:tcW w:w="340" w:type="dxa"/>
            <w:vAlign w:val="bottom"/>
          </w:tcPr>
          <w:p>
            <w:pPr>
              <w:spacing w:after="0"/>
              <w:rPr>
                <w:sz w:val="8"/>
                <w:szCs w:val="8"/>
                <w:color w:val="auto"/>
              </w:rPr>
            </w:pPr>
          </w:p>
        </w:tc>
        <w:tc>
          <w:tcPr>
            <w:tcW w:w="760" w:type="dxa"/>
            <w:vAlign w:val="bottom"/>
          </w:tcPr>
          <w:p>
            <w:pPr>
              <w:spacing w:after="0"/>
              <w:rPr>
                <w:sz w:val="8"/>
                <w:szCs w:val="8"/>
                <w:color w:val="auto"/>
              </w:rPr>
            </w:pPr>
          </w:p>
        </w:tc>
        <w:tc>
          <w:tcPr>
            <w:tcW w:w="340" w:type="dxa"/>
            <w:vAlign w:val="bottom"/>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e-City:</w:t>
            </w:r>
          </w:p>
        </w:tc>
        <w:tc>
          <w:tcPr>
            <w:tcW w:w="35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20" w:type="dxa"/>
            <w:vAlign w:val="bottom"/>
          </w:tcPr>
          <w:p>
            <w:pPr>
              <w:ind w:left="420"/>
              <w:spacing w:after="0" w:line="149" w:lineRule="exact"/>
              <w:rPr>
                <w:sz w:val="20"/>
                <w:szCs w:val="20"/>
                <w:color w:val="auto"/>
              </w:rPr>
            </w:pPr>
            <w:r>
              <w:rPr>
                <w:rFonts w:ascii="Arial" w:cs="Arial" w:eastAsia="Arial" w:hAnsi="Arial"/>
                <w:sz w:val="14"/>
                <w:szCs w:val="14"/>
                <w:color w:val="auto"/>
              </w:rPr>
              <w:t>Revenue</w:t>
            </w:r>
          </w:p>
        </w:tc>
        <w:tc>
          <w:tcPr>
            <w:tcW w:w="35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760" w:type="dxa"/>
            <w:vAlign w:val="bottom"/>
          </w:tcPr>
          <w:p>
            <w:pPr>
              <w:jc w:val="right"/>
              <w:ind w:right="232"/>
              <w:spacing w:after="0" w:line="149" w:lineRule="exact"/>
              <w:rPr>
                <w:sz w:val="20"/>
                <w:szCs w:val="20"/>
                <w:color w:val="auto"/>
              </w:rPr>
            </w:pPr>
            <w:r>
              <w:rPr>
                <w:rFonts w:ascii="Arial" w:cs="Arial" w:eastAsia="Arial" w:hAnsi="Arial"/>
                <w:sz w:val="14"/>
                <w:szCs w:val="14"/>
                <w:b w:val="1"/>
                <w:bCs w:val="1"/>
                <w:color w:val="auto"/>
              </w:rPr>
              <w:t>99,388</w:t>
            </w:r>
          </w:p>
        </w:tc>
        <w:tc>
          <w:tcPr>
            <w:tcW w:w="3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60" w:type="dxa"/>
            <w:vAlign w:val="bottom"/>
          </w:tcPr>
          <w:p>
            <w:pPr>
              <w:jc w:val="right"/>
              <w:ind w:right="232"/>
              <w:spacing w:after="0" w:line="149" w:lineRule="exact"/>
              <w:rPr>
                <w:sz w:val="20"/>
                <w:szCs w:val="20"/>
                <w:color w:val="auto"/>
              </w:rPr>
            </w:pPr>
            <w:r>
              <w:rPr>
                <w:rFonts w:ascii="Arial" w:cs="Arial" w:eastAsia="Arial" w:hAnsi="Arial"/>
                <w:sz w:val="14"/>
                <w:szCs w:val="14"/>
                <w:color w:val="auto"/>
                <w:w w:val="86"/>
              </w:rPr>
              <w:t>124,500</w:t>
            </w:r>
          </w:p>
        </w:tc>
        <w:tc>
          <w:tcPr>
            <w:tcW w:w="3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jc w:val="right"/>
              <w:ind w:right="32"/>
              <w:spacing w:after="0" w:line="149" w:lineRule="exact"/>
              <w:rPr>
                <w:sz w:val="20"/>
                <w:szCs w:val="20"/>
                <w:color w:val="auto"/>
              </w:rPr>
            </w:pPr>
            <w:r>
              <w:rPr>
                <w:rFonts w:ascii="Arial" w:cs="Arial" w:eastAsia="Arial" w:hAnsi="Arial"/>
                <w:sz w:val="14"/>
                <w:szCs w:val="14"/>
                <w:color w:val="auto"/>
                <w:w w:val="90"/>
              </w:rPr>
              <w:t>121,575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Operating income (loss)</w:t>
            </w:r>
          </w:p>
        </w:tc>
        <w:tc>
          <w:tcPr>
            <w:tcW w:w="3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760" w:type="dxa"/>
            <w:vAlign w:val="bottom"/>
            <w:shd w:val="clear" w:color="auto" w:fill="CCEEFF"/>
          </w:tcPr>
          <w:p>
            <w:pPr>
              <w:jc w:val="right"/>
              <w:ind w:right="192"/>
              <w:spacing w:after="0" w:line="149" w:lineRule="exact"/>
              <w:rPr>
                <w:sz w:val="20"/>
                <w:szCs w:val="20"/>
                <w:color w:val="auto"/>
              </w:rPr>
            </w:pPr>
            <w:r>
              <w:rPr>
                <w:rFonts w:ascii="Arial" w:cs="Arial" w:eastAsia="Arial" w:hAnsi="Arial"/>
                <w:sz w:val="14"/>
                <w:szCs w:val="14"/>
                <w:b w:val="1"/>
                <w:bCs w:val="1"/>
                <w:color w:val="auto"/>
              </w:rPr>
              <w:t>(4,328)</w:t>
            </w: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192"/>
              <w:spacing w:after="0" w:line="149" w:lineRule="exact"/>
              <w:rPr>
                <w:sz w:val="20"/>
                <w:szCs w:val="20"/>
                <w:color w:val="auto"/>
              </w:rPr>
            </w:pPr>
            <w:r>
              <w:rPr>
                <w:rFonts w:ascii="Arial" w:cs="Arial" w:eastAsia="Arial" w:hAnsi="Arial"/>
                <w:sz w:val="14"/>
                <w:szCs w:val="14"/>
                <w:color w:val="auto"/>
              </w:rPr>
              <w:t>(1,224)</w:t>
            </w: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7,826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20" w:type="dxa"/>
            <w:vAlign w:val="bottom"/>
          </w:tcPr>
          <w:p>
            <w:pPr>
              <w:spacing w:after="0" w:line="149" w:lineRule="exact"/>
              <w:rPr>
                <w:sz w:val="20"/>
                <w:szCs w:val="20"/>
                <w:color w:val="auto"/>
              </w:rPr>
            </w:pPr>
            <w:r>
              <w:rPr>
                <w:rFonts w:ascii="Arial" w:cs="Arial" w:eastAsia="Arial" w:hAnsi="Arial"/>
                <w:sz w:val="14"/>
                <w:szCs w:val="14"/>
                <w:color w:val="auto"/>
              </w:rPr>
              <w:t>NPTest &amp; Verification Systems:</w:t>
            </w:r>
          </w:p>
        </w:tc>
        <w:tc>
          <w:tcPr>
            <w:tcW w:w="35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Revenue</w:t>
            </w:r>
          </w:p>
        </w:tc>
        <w:tc>
          <w:tcPr>
            <w:tcW w:w="3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760" w:type="dxa"/>
            <w:vAlign w:val="bottom"/>
            <w:shd w:val="clear" w:color="auto" w:fill="CCEEFF"/>
          </w:tcPr>
          <w:p>
            <w:pPr>
              <w:jc w:val="right"/>
              <w:ind w:right="232"/>
              <w:spacing w:after="0" w:line="149" w:lineRule="exact"/>
              <w:rPr>
                <w:sz w:val="20"/>
                <w:szCs w:val="20"/>
                <w:color w:val="auto"/>
              </w:rPr>
            </w:pPr>
            <w:r>
              <w:rPr>
                <w:rFonts w:ascii="Arial" w:cs="Arial" w:eastAsia="Arial" w:hAnsi="Arial"/>
                <w:sz w:val="14"/>
                <w:szCs w:val="14"/>
                <w:b w:val="1"/>
                <w:bCs w:val="1"/>
                <w:color w:val="auto"/>
                <w:w w:val="86"/>
              </w:rPr>
              <w:t>120,318</w:t>
            </w: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232"/>
              <w:spacing w:after="0" w:line="149" w:lineRule="exact"/>
              <w:rPr>
                <w:sz w:val="20"/>
                <w:szCs w:val="20"/>
                <w:color w:val="auto"/>
              </w:rPr>
            </w:pPr>
            <w:r>
              <w:rPr>
                <w:rFonts w:ascii="Arial" w:cs="Arial" w:eastAsia="Arial" w:hAnsi="Arial"/>
                <w:sz w:val="14"/>
                <w:szCs w:val="14"/>
                <w:color w:val="auto"/>
                <w:w w:val="86"/>
              </w:rPr>
              <w:t>240,113</w:t>
            </w: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w w:val="90"/>
              </w:rPr>
              <w:t>180,865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20" w:type="dxa"/>
            <w:vAlign w:val="bottom"/>
          </w:tcPr>
          <w:p>
            <w:pPr>
              <w:ind w:left="420"/>
              <w:spacing w:after="0" w:line="149" w:lineRule="exact"/>
              <w:rPr>
                <w:sz w:val="20"/>
                <w:szCs w:val="20"/>
                <w:color w:val="auto"/>
              </w:rPr>
            </w:pPr>
            <w:r>
              <w:rPr>
                <w:rFonts w:ascii="Arial" w:cs="Arial" w:eastAsia="Arial" w:hAnsi="Arial"/>
                <w:sz w:val="14"/>
                <w:szCs w:val="14"/>
                <w:color w:val="auto"/>
              </w:rPr>
              <w:t>Operating income (loss)</w:t>
            </w:r>
          </w:p>
        </w:tc>
        <w:tc>
          <w:tcPr>
            <w:tcW w:w="35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760" w:type="dxa"/>
            <w:vAlign w:val="bottom"/>
          </w:tcPr>
          <w:p>
            <w:pPr>
              <w:jc w:val="right"/>
              <w:ind w:right="232"/>
              <w:spacing w:after="0" w:line="149" w:lineRule="exact"/>
              <w:rPr>
                <w:sz w:val="20"/>
                <w:szCs w:val="20"/>
                <w:color w:val="auto"/>
              </w:rPr>
            </w:pPr>
            <w:r>
              <w:rPr>
                <w:rFonts w:ascii="Arial" w:cs="Arial" w:eastAsia="Arial" w:hAnsi="Arial"/>
                <w:sz w:val="14"/>
                <w:szCs w:val="14"/>
                <w:b w:val="1"/>
                <w:bCs w:val="1"/>
                <w:color w:val="auto"/>
              </w:rPr>
              <w:t>967</w:t>
            </w:r>
          </w:p>
        </w:tc>
        <w:tc>
          <w:tcPr>
            <w:tcW w:w="3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60" w:type="dxa"/>
            <w:vAlign w:val="bottom"/>
          </w:tcPr>
          <w:p>
            <w:pPr>
              <w:jc w:val="right"/>
              <w:ind w:right="232"/>
              <w:spacing w:after="0" w:line="149" w:lineRule="exact"/>
              <w:rPr>
                <w:sz w:val="20"/>
                <w:szCs w:val="20"/>
                <w:color w:val="auto"/>
              </w:rPr>
            </w:pPr>
            <w:r>
              <w:rPr>
                <w:rFonts w:ascii="Arial" w:cs="Arial" w:eastAsia="Arial" w:hAnsi="Arial"/>
                <w:sz w:val="14"/>
                <w:szCs w:val="14"/>
                <w:color w:val="auto"/>
              </w:rPr>
              <w:t>909</w:t>
            </w:r>
          </w:p>
        </w:tc>
        <w:tc>
          <w:tcPr>
            <w:tcW w:w="3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w w:val="95"/>
              </w:rPr>
              <w:t>(11,045)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Reed Hycalog:</w:t>
            </w:r>
          </w:p>
        </w:tc>
        <w:tc>
          <w:tcPr>
            <w:tcW w:w="35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20" w:type="dxa"/>
            <w:vAlign w:val="bottom"/>
          </w:tcPr>
          <w:p>
            <w:pPr>
              <w:ind w:left="420"/>
              <w:spacing w:after="0" w:line="149" w:lineRule="exact"/>
              <w:rPr>
                <w:sz w:val="20"/>
                <w:szCs w:val="20"/>
                <w:color w:val="auto"/>
              </w:rPr>
            </w:pPr>
            <w:r>
              <w:rPr>
                <w:rFonts w:ascii="Arial" w:cs="Arial" w:eastAsia="Arial" w:hAnsi="Arial"/>
                <w:sz w:val="14"/>
                <w:szCs w:val="14"/>
                <w:color w:val="auto"/>
              </w:rPr>
              <w:t>Revenue</w:t>
            </w:r>
          </w:p>
        </w:tc>
        <w:tc>
          <w:tcPr>
            <w:tcW w:w="35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760" w:type="dxa"/>
            <w:vAlign w:val="bottom"/>
          </w:tcPr>
          <w:p>
            <w:pPr>
              <w:jc w:val="right"/>
              <w:ind w:right="232"/>
              <w:spacing w:after="0" w:line="149" w:lineRule="exact"/>
              <w:rPr>
                <w:sz w:val="20"/>
                <w:szCs w:val="20"/>
                <w:color w:val="auto"/>
              </w:rPr>
            </w:pPr>
            <w:r>
              <w:rPr>
                <w:rFonts w:ascii="Arial" w:cs="Arial" w:eastAsia="Arial" w:hAnsi="Arial"/>
                <w:sz w:val="14"/>
                <w:szCs w:val="14"/>
                <w:b w:val="1"/>
                <w:bCs w:val="1"/>
                <w:color w:val="auto"/>
              </w:rPr>
              <w:t>–</w:t>
            </w:r>
          </w:p>
        </w:tc>
        <w:tc>
          <w:tcPr>
            <w:tcW w:w="3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60" w:type="dxa"/>
            <w:vAlign w:val="bottom"/>
          </w:tcPr>
          <w:p>
            <w:pPr>
              <w:jc w:val="right"/>
              <w:ind w:right="232"/>
              <w:spacing w:after="0" w:line="149" w:lineRule="exact"/>
              <w:rPr>
                <w:sz w:val="20"/>
                <w:szCs w:val="20"/>
                <w:color w:val="auto"/>
              </w:rPr>
            </w:pPr>
            <w:r>
              <w:rPr>
                <w:rFonts w:ascii="Arial" w:cs="Arial" w:eastAsia="Arial" w:hAnsi="Arial"/>
                <w:sz w:val="14"/>
                <w:szCs w:val="14"/>
                <w:color w:val="auto"/>
                <w:w w:val="86"/>
              </w:rPr>
              <w:t>212,433</w:t>
            </w:r>
          </w:p>
        </w:tc>
        <w:tc>
          <w:tcPr>
            <w:tcW w:w="3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jc w:val="right"/>
              <w:ind w:right="32"/>
              <w:spacing w:after="0" w:line="149" w:lineRule="exact"/>
              <w:rPr>
                <w:sz w:val="20"/>
                <w:szCs w:val="20"/>
                <w:color w:val="auto"/>
              </w:rPr>
            </w:pPr>
            <w:r>
              <w:rPr>
                <w:rFonts w:ascii="Arial" w:cs="Arial" w:eastAsia="Arial" w:hAnsi="Arial"/>
                <w:sz w:val="14"/>
                <w:szCs w:val="14"/>
                <w:color w:val="auto"/>
                <w:w w:val="90"/>
              </w:rPr>
              <w:t>244,639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Operating income</w:t>
            </w:r>
          </w:p>
        </w:tc>
        <w:tc>
          <w:tcPr>
            <w:tcW w:w="3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760" w:type="dxa"/>
            <w:vAlign w:val="bottom"/>
            <w:shd w:val="clear" w:color="auto" w:fill="CCEEFF"/>
          </w:tcPr>
          <w:p>
            <w:pPr>
              <w:jc w:val="right"/>
              <w:ind w:right="232"/>
              <w:spacing w:after="0" w:line="149" w:lineRule="exact"/>
              <w:rPr>
                <w:sz w:val="20"/>
                <w:szCs w:val="20"/>
                <w:color w:val="auto"/>
              </w:rPr>
            </w:pPr>
            <w:r>
              <w:rPr>
                <w:rFonts w:ascii="Arial" w:cs="Arial" w:eastAsia="Arial" w:hAnsi="Arial"/>
                <w:sz w:val="14"/>
                <w:szCs w:val="14"/>
                <w:b w:val="1"/>
                <w:bCs w:val="1"/>
                <w:color w:val="auto"/>
              </w:rPr>
              <w:t>–</w:t>
            </w: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232"/>
              <w:spacing w:after="0" w:line="149" w:lineRule="exact"/>
              <w:rPr>
                <w:sz w:val="20"/>
                <w:szCs w:val="20"/>
                <w:color w:val="auto"/>
              </w:rPr>
            </w:pPr>
            <w:r>
              <w:rPr>
                <w:rFonts w:ascii="Arial" w:cs="Arial" w:eastAsia="Arial" w:hAnsi="Arial"/>
                <w:sz w:val="14"/>
                <w:szCs w:val="14"/>
                <w:color w:val="auto"/>
              </w:rPr>
              <w:t>31,553</w:t>
            </w: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31,582</w:t>
            </w:r>
          </w:p>
        </w:tc>
        <w:tc>
          <w:tcPr>
            <w:tcW w:w="0" w:type="dxa"/>
            <w:vAlign w:val="bottom"/>
          </w:tcPr>
          <w:p>
            <w:pPr>
              <w:spacing w:after="0"/>
              <w:rPr>
                <w:sz w:val="1"/>
                <w:szCs w:val="1"/>
                <w:color w:val="auto"/>
              </w:rPr>
            </w:pPr>
          </w:p>
        </w:tc>
      </w:tr>
    </w:tbl>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72" w:lineRule="exact"/>
        <w:rPr>
          <w:sz w:val="20"/>
          <w:szCs w:val="20"/>
          <w:color w:val="auto"/>
        </w:rPr>
      </w:pPr>
    </w:p>
    <w:p>
      <w:pPr>
        <w:jc w:val="both"/>
        <w:ind w:right="120"/>
        <w:spacing w:after="0" w:line="259" w:lineRule="auto"/>
        <w:rPr>
          <w:sz w:val="20"/>
          <w:szCs w:val="20"/>
          <w:color w:val="auto"/>
        </w:rPr>
      </w:pPr>
      <w:r>
        <w:rPr>
          <w:rFonts w:ascii="Arial" w:cs="Arial" w:eastAsia="Arial" w:hAnsi="Arial"/>
          <w:sz w:val="18"/>
          <w:szCs w:val="18"/>
          <w:color w:val="auto"/>
        </w:rPr>
        <w:t xml:space="preserve">The Consolidated Financial Statements include the accounts of majority-owned subsidiaries. Significant 20% – 50% owned companies are carried on the equity method and classified in </w:t>
      </w:r>
      <w:r>
        <w:rPr>
          <w:rFonts w:ascii="Arial" w:cs="Arial" w:eastAsia="Arial" w:hAnsi="Arial"/>
          <w:sz w:val="18"/>
          <w:szCs w:val="18"/>
          <w:i w:val="1"/>
          <w:iCs w:val="1"/>
          <w:color w:val="auto"/>
        </w:rPr>
        <w:t>Investments in Affiliated Companies</w:t>
      </w:r>
      <w:r>
        <w:rPr>
          <w:rFonts w:ascii="Arial" w:cs="Arial" w:eastAsia="Arial" w:hAnsi="Arial"/>
          <w:sz w:val="18"/>
          <w:szCs w:val="18"/>
          <w:color w:val="auto"/>
        </w:rPr>
        <w:t xml:space="preserve">. The pro rata share of Schlumberger after-tax earnings is included in </w:t>
      </w:r>
      <w:r>
        <w:rPr>
          <w:rFonts w:ascii="Arial" w:cs="Arial" w:eastAsia="Arial" w:hAnsi="Arial"/>
          <w:sz w:val="18"/>
          <w:szCs w:val="18"/>
          <w:i w:val="1"/>
          <w:iCs w:val="1"/>
          <w:color w:val="auto"/>
        </w:rPr>
        <w:t>Interest and other income</w:t>
      </w:r>
      <w:r>
        <w:rPr>
          <w:rFonts w:ascii="Arial" w:cs="Arial" w:eastAsia="Arial" w:hAnsi="Arial"/>
          <w:sz w:val="18"/>
          <w:szCs w:val="18"/>
          <w:color w:val="auto"/>
        </w:rPr>
        <w:t>. All inter-company accounts and transactions have been eliminated.</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Reclassifications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Certain items from prior years have been reclassified to conform to the current year presentation.</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72"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The preparation of financial statements in conformity with generally accepted accounting principles requires management to make estimates and assumptions that affect the reported amounts of assets and liabilities, disclosure of contingent assets and liabilities at the date of the financial statements and the reported amounts of revenue and expenses during the reporting period. On an on-going basis, Schlumberger evaluates its estimates, including those related to bad debts, valuation of inventories and investments, recoverability of goodwill and intangible assets, income tax provision and deferred taxes, profit assumptions on long-term percentage-of-completion contracts, contingencies and litigation and actuarial assumptions for employee benefit plans. Schlumberger bases its estimates on historical experience and on various other assumptions that are believed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Products and Services Revenue</w:t>
      </w:r>
    </w:p>
    <w:p>
      <w:pPr>
        <w:spacing w:after="0" w:line="70" w:lineRule="exact"/>
        <w:rPr>
          <w:sz w:val="20"/>
          <w:szCs w:val="20"/>
          <w:color w:val="auto"/>
        </w:rPr>
      </w:pPr>
    </w:p>
    <w:p>
      <w:pPr>
        <w:ind w:right="120"/>
        <w:spacing w:after="0" w:line="284" w:lineRule="auto"/>
        <w:rPr>
          <w:sz w:val="20"/>
          <w:szCs w:val="20"/>
          <w:color w:val="auto"/>
        </w:rPr>
      </w:pPr>
      <w:r>
        <w:rPr>
          <w:rFonts w:ascii="Arial" w:cs="Arial" w:eastAsia="Arial" w:hAnsi="Arial"/>
          <w:sz w:val="16"/>
          <w:szCs w:val="16"/>
          <w:color w:val="auto"/>
        </w:rPr>
        <w:t>Schlumberger’s products and services are generally sold based upon purchase orders or contracts with the customer that include fixed or determinable prices and that do not include right of return or other similar provisions or other significant post delivery obligations. Revenue is recognized for products upon delivery, customer acceptance and when title passes. Revenue is recognized when services are rendered and collectibility is reasonably assured.</w:t>
      </w:r>
    </w:p>
    <w:p>
      <w:pPr>
        <w:spacing w:after="0" w:line="1" w:lineRule="exact"/>
        <w:rPr>
          <w:sz w:val="20"/>
          <w:szCs w:val="20"/>
          <w:color w:val="auto"/>
        </w:rPr>
      </w:pPr>
    </w:p>
    <w:p>
      <w:pPr>
        <w:ind w:right="200" w:firstLine="228"/>
        <w:spacing w:after="0" w:line="295" w:lineRule="auto"/>
        <w:rPr>
          <w:sz w:val="20"/>
          <w:szCs w:val="20"/>
          <w:color w:val="auto"/>
        </w:rPr>
      </w:pPr>
      <w:r>
        <w:rPr>
          <w:rFonts w:ascii="Arial" w:cs="Arial" w:eastAsia="Arial" w:hAnsi="Arial"/>
          <w:sz w:val="16"/>
          <w:szCs w:val="16"/>
          <w:color w:val="auto"/>
        </w:rPr>
        <w:t>Certain revenues are recognized on a time and materials basis, or on a percentage of completion basis, depending on the contract, as services are provided. Revenue from time and material service contracts is recognized as the services are provided. Revenue from fixed price contracts is recognized over the contract term based on the percentage of the cost of services provided during the period compared to the total estimated cost of services to be provided over the entire contract. Losses on contracts are recognized during the period in which the loss first becomes probable and reasonably estimated.</w:t>
      </w:r>
    </w:p>
    <w:p>
      <w:pPr>
        <w:spacing w:after="0" w:line="100" w:lineRule="exact"/>
        <w:rPr>
          <w:sz w:val="20"/>
          <w:szCs w:val="20"/>
          <w:color w:val="auto"/>
        </w:rPr>
      </w:pPr>
    </w:p>
    <w:p>
      <w:pPr>
        <w:spacing w:after="0"/>
        <w:tabs>
          <w:tab w:leader="none" w:pos="10400" w:val="left"/>
        </w:tabs>
        <w:rPr>
          <w:sz w:val="20"/>
          <w:szCs w:val="20"/>
          <w:color w:val="auto"/>
        </w:rPr>
      </w:pPr>
      <w:r>
        <w:rPr>
          <w:rFonts w:ascii="Arial" w:cs="Arial" w:eastAsia="Arial" w:hAnsi="Arial"/>
          <w:sz w:val="14"/>
          <w:szCs w:val="14"/>
          <w:color w:val="auto"/>
        </w:rPr>
        <w:t>41 / SLB</w:t>
      </w:r>
      <w:r>
        <w:rPr>
          <w:sz w:val="20"/>
          <w:szCs w:val="20"/>
          <w:color w:val="auto"/>
        </w:rPr>
        <w:tab/>
      </w:r>
      <w:r>
        <w:rPr>
          <w:rFonts w:ascii="Arial" w:cs="Arial" w:eastAsia="Arial" w:hAnsi="Arial"/>
          <w:sz w:val="12"/>
          <w:szCs w:val="12"/>
          <w:color w:val="auto"/>
        </w:rPr>
        <w:t>2003 FORM 10-K</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4"/>
          <w:szCs w:val="14"/>
          <w:color w:val="auto"/>
        </w:rPr>
        <w:t>Part II, Item 8</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Software Revenue</w:t>
      </w:r>
    </w:p>
    <w:p>
      <w:pPr>
        <w:spacing w:after="0" w:line="70" w:lineRule="exact"/>
        <w:rPr>
          <w:sz w:val="20"/>
          <w:szCs w:val="20"/>
          <w:color w:val="auto"/>
        </w:rPr>
      </w:pPr>
    </w:p>
    <w:p>
      <w:pPr>
        <w:spacing w:after="0"/>
        <w:rPr>
          <w:sz w:val="20"/>
          <w:szCs w:val="20"/>
          <w:color w:val="auto"/>
        </w:rPr>
      </w:pPr>
      <w:r>
        <w:rPr>
          <w:rFonts w:ascii="Arial" w:cs="Arial" w:eastAsia="Arial" w:hAnsi="Arial"/>
          <w:sz w:val="16"/>
          <w:szCs w:val="16"/>
          <w:color w:val="auto"/>
        </w:rPr>
        <w:t>Revenue derived from the sale of licenses for its software, maintenance and related services may include installation, consulting and training services.</w:t>
      </w:r>
    </w:p>
    <w:p>
      <w:pPr>
        <w:spacing w:after="0" w:line="38" w:lineRule="exact"/>
        <w:rPr>
          <w:sz w:val="20"/>
          <w:szCs w:val="20"/>
          <w:color w:val="auto"/>
        </w:rPr>
      </w:pPr>
    </w:p>
    <w:p>
      <w:pPr>
        <w:ind w:right="60" w:firstLine="228"/>
        <w:spacing w:after="0" w:line="250" w:lineRule="auto"/>
        <w:rPr>
          <w:sz w:val="20"/>
          <w:szCs w:val="20"/>
          <w:color w:val="auto"/>
        </w:rPr>
      </w:pPr>
      <w:r>
        <w:rPr>
          <w:rFonts w:ascii="Arial" w:cs="Arial" w:eastAsia="Arial" w:hAnsi="Arial"/>
          <w:sz w:val="18"/>
          <w:szCs w:val="18"/>
          <w:color w:val="auto"/>
        </w:rPr>
        <w:t>If services are not essential to the functionality of the software, the revenue for each element of the contract is recognized separately based on its respective vendor specific objective evidence of fair value when all of the following conditions are met: a signed contract is obtained, delivery has occurred, fee is fixed and determinable and collectibility is probable.</w:t>
      </w:r>
    </w:p>
    <w:p>
      <w:pPr>
        <w:spacing w:after="0" w:line="1" w:lineRule="exact"/>
        <w:rPr>
          <w:sz w:val="20"/>
          <w:szCs w:val="20"/>
          <w:color w:val="auto"/>
        </w:rPr>
      </w:pPr>
    </w:p>
    <w:p>
      <w:pPr>
        <w:ind w:firstLine="228"/>
        <w:spacing w:after="0" w:line="254" w:lineRule="auto"/>
        <w:rPr>
          <w:sz w:val="20"/>
          <w:szCs w:val="20"/>
          <w:color w:val="auto"/>
        </w:rPr>
      </w:pPr>
      <w:r>
        <w:rPr>
          <w:rFonts w:ascii="Arial" w:cs="Arial" w:eastAsia="Arial" w:hAnsi="Arial"/>
          <w:sz w:val="18"/>
          <w:szCs w:val="18"/>
          <w:color w:val="auto"/>
        </w:rPr>
        <w:t>If an ongoing vendor obligation exists under the license arrangement, or if any uncertainties with regard to customer acceptance are significant, revenue for the related element is deferred based on its vendor specific objective evidence of fair value. Vendor specific objective evidence of fair value is determined as being the price for the element when sold separately. If vendor specific objective evidence of fair value does not exist for all undelivered elements, all revenue is deferred until sufficient evidence exists or all elements have been delivered.</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Multiple Element Arrangement and Collectibility</w:t>
      </w:r>
    </w:p>
    <w:p>
      <w:pPr>
        <w:spacing w:after="0" w:line="70" w:lineRule="exact"/>
        <w:rPr>
          <w:sz w:val="20"/>
          <w:szCs w:val="20"/>
          <w:color w:val="auto"/>
        </w:rPr>
      </w:pPr>
    </w:p>
    <w:p>
      <w:pPr>
        <w:ind w:right="80"/>
        <w:spacing w:after="0" w:line="303" w:lineRule="auto"/>
        <w:rPr>
          <w:sz w:val="20"/>
          <w:szCs w:val="20"/>
          <w:color w:val="auto"/>
        </w:rPr>
      </w:pPr>
      <w:r>
        <w:rPr>
          <w:rFonts w:ascii="Arial" w:cs="Arial" w:eastAsia="Arial" w:hAnsi="Arial"/>
          <w:sz w:val="15"/>
          <w:szCs w:val="15"/>
          <w:color w:val="auto"/>
        </w:rPr>
        <w:t>Many sales are generated from complex contractual arrangements that require significant revenue recognition judgments, particularly in the areas of multiple element arrangements. Revenues from contracts with multiple element arrangements, such as those including installation and integration services, are recognized as each element is earned based on the relative fair value of each element and when the delivered elements have stand alone value to the customers.</w:t>
      </w:r>
    </w:p>
    <w:p>
      <w:pPr>
        <w:spacing w:after="0" w:line="1" w:lineRule="exact"/>
        <w:rPr>
          <w:sz w:val="20"/>
          <w:szCs w:val="20"/>
          <w:color w:val="auto"/>
        </w:rPr>
      </w:pPr>
    </w:p>
    <w:p>
      <w:pPr>
        <w:ind w:right="60" w:firstLine="228"/>
        <w:spacing w:after="0" w:line="290" w:lineRule="auto"/>
        <w:rPr>
          <w:sz w:val="20"/>
          <w:szCs w:val="20"/>
          <w:color w:val="auto"/>
        </w:rPr>
      </w:pPr>
      <w:r>
        <w:rPr>
          <w:rFonts w:ascii="Arial" w:cs="Arial" w:eastAsia="Arial" w:hAnsi="Arial"/>
          <w:sz w:val="16"/>
          <w:szCs w:val="16"/>
          <w:color w:val="auto"/>
        </w:rPr>
        <w:t>The assessment of collectibility is particularly critical in determining whether revenue should be recognized in the current market environment. As part of the revenue recognition process, Schlumberger determines whether trade and notes receivables are reasonably assured of collection based on various factors, including the ability to sell those receivables and whether there has been deterioration in the credit quality of customers that could result in the inability to sell the receivables. In situations where Schlumberger has the ability to sell the receivables without recourse, revenue is recognized to the extent of the value Schlumberger could reasonably expect to realize from the sale. Schlumberger defers revenue and related costs when it is uncertain as to whether it will be able to collect or sell the receivable. Schlumberger defers revenue but recognizes costs when it determines that the collection or sale of the receivable is unlikely.</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Translation of Non-US Currencies</w:t>
      </w:r>
    </w:p>
    <w:p>
      <w:pPr>
        <w:spacing w:after="0" w:line="72" w:lineRule="exact"/>
        <w:rPr>
          <w:sz w:val="20"/>
          <w:szCs w:val="20"/>
          <w:color w:val="auto"/>
        </w:rPr>
      </w:pPr>
    </w:p>
    <w:p>
      <w:pPr>
        <w:ind w:right="40"/>
        <w:spacing w:after="0" w:line="283" w:lineRule="auto"/>
        <w:rPr>
          <w:sz w:val="20"/>
          <w:szCs w:val="20"/>
          <w:color w:val="auto"/>
        </w:rPr>
      </w:pPr>
      <w:r>
        <w:rPr>
          <w:rFonts w:ascii="Arial" w:cs="Arial" w:eastAsia="Arial" w:hAnsi="Arial"/>
          <w:sz w:val="16"/>
          <w:szCs w:val="16"/>
          <w:color w:val="auto"/>
        </w:rPr>
        <w:t xml:space="preserve">The Oilfield Services and WesternGeco segments functional currency is primarily the US dollar. The SchlumbergerSema segment and Other segment functional currencies are primarily local currencies. All assets and liabilities recorded in functional currencies other than US dollars are translated at current exchange rates. The resulting adjustments are charged or credited directly to the </w:t>
      </w:r>
      <w:r>
        <w:rPr>
          <w:rFonts w:ascii="Arial" w:cs="Arial" w:eastAsia="Arial" w:hAnsi="Arial"/>
          <w:sz w:val="16"/>
          <w:szCs w:val="16"/>
          <w:i w:val="1"/>
          <w:iCs w:val="1"/>
          <w:color w:val="auto"/>
        </w:rPr>
        <w:t>Stockholders’ Equity</w:t>
      </w:r>
      <w:r>
        <w:rPr>
          <w:rFonts w:ascii="Arial" w:cs="Arial" w:eastAsia="Arial" w:hAnsi="Arial"/>
          <w:sz w:val="16"/>
          <w:szCs w:val="16"/>
          <w:color w:val="auto"/>
        </w:rPr>
        <w:t xml:space="preserve"> section of the </w:t>
      </w:r>
      <w:r>
        <w:rPr>
          <w:rFonts w:ascii="Arial" w:cs="Arial" w:eastAsia="Arial" w:hAnsi="Arial"/>
          <w:sz w:val="16"/>
          <w:szCs w:val="16"/>
          <w:i w:val="1"/>
          <w:iCs w:val="1"/>
          <w:color w:val="auto"/>
        </w:rPr>
        <w:t>Consolidated Balance Sheet</w:t>
      </w:r>
      <w:r>
        <w:rPr>
          <w:rFonts w:ascii="Arial" w:cs="Arial" w:eastAsia="Arial" w:hAnsi="Arial"/>
          <w:sz w:val="16"/>
          <w:szCs w:val="16"/>
          <w:color w:val="auto"/>
        </w:rPr>
        <w:t>. Revenue and expenses are translated at the weighted-average exchange rates for the period. All realized and unrealized transaction gains and losses are included in income in the period in which they occur. Schlumberger’s policy is to hedge against unrealized gains and losses on a monthly basis. Included in the 2003 results were transaction gains of $1 million, compared with losses of $2 million and $7 million in 2002 and 2001, respectively.</w:t>
      </w:r>
    </w:p>
    <w:p>
      <w:pPr>
        <w:spacing w:after="0" w:line="1" w:lineRule="exact"/>
        <w:rPr>
          <w:sz w:val="20"/>
          <w:szCs w:val="20"/>
          <w:color w:val="auto"/>
        </w:rPr>
      </w:pPr>
    </w:p>
    <w:p>
      <w:pPr>
        <w:ind w:right="40" w:firstLine="228"/>
        <w:spacing w:after="0" w:line="295" w:lineRule="auto"/>
        <w:rPr>
          <w:sz w:val="20"/>
          <w:szCs w:val="20"/>
          <w:color w:val="auto"/>
        </w:rPr>
      </w:pPr>
      <w:r>
        <w:rPr>
          <w:rFonts w:ascii="Arial" w:cs="Arial" w:eastAsia="Arial" w:hAnsi="Arial"/>
          <w:sz w:val="16"/>
          <w:szCs w:val="16"/>
          <w:color w:val="auto"/>
        </w:rPr>
        <w:t>Currency exchange contracts are entered into as a hedge against the effect of future settlement of assets and liabilities denominated in other than the functional currency of the individual businesses. Gains or losses on the contracts are recognized when the currency exchange rates fluctuate, and the resulting charge or credit partially offsets the unrealized currency gains or losses on those assets and liabilities. On December 31, 2003, contracts were outstanding for the US dollar equivalent of $2.2 billion in various foreign currencies. These contracts mature on various dates in 2004.</w:t>
      </w:r>
    </w:p>
    <w:p>
      <w:pPr>
        <w:spacing w:after="0" w:line="100" w:lineRule="exact"/>
        <w:rPr>
          <w:sz w:val="20"/>
          <w:szCs w:val="20"/>
          <w:color w:val="auto"/>
        </w:rPr>
      </w:pPr>
    </w:p>
    <w:p>
      <w:pPr>
        <w:spacing w:after="0"/>
        <w:tabs>
          <w:tab w:leader="none" w:pos="10400" w:val="left"/>
        </w:tabs>
        <w:rPr>
          <w:sz w:val="20"/>
          <w:szCs w:val="20"/>
          <w:color w:val="auto"/>
        </w:rPr>
      </w:pPr>
      <w:r>
        <w:rPr>
          <w:rFonts w:ascii="Arial" w:cs="Arial" w:eastAsia="Arial" w:hAnsi="Arial"/>
          <w:sz w:val="14"/>
          <w:szCs w:val="14"/>
          <w:color w:val="auto"/>
        </w:rPr>
        <w:t>42 / SLB</w:t>
      </w:r>
      <w:r>
        <w:rPr>
          <w:sz w:val="20"/>
          <w:szCs w:val="20"/>
          <w:color w:val="auto"/>
        </w:rPr>
        <w:tab/>
      </w:r>
      <w:r>
        <w:rPr>
          <w:rFonts w:ascii="Arial" w:cs="Arial" w:eastAsia="Arial" w:hAnsi="Arial"/>
          <w:sz w:val="12"/>
          <w:szCs w:val="12"/>
          <w:color w:val="auto"/>
        </w:rPr>
        <w:t>2003 FORM 10-K</w:t>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4"/>
          <w:szCs w:val="14"/>
          <w:color w:val="auto"/>
        </w:rPr>
        <w:t>Part II, Item 8</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w:t>
      </w:r>
    </w:p>
    <w:p>
      <w:pPr>
        <w:spacing w:after="0" w:line="72"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Both short-term investments and fixed income investments, held to maturity comprise primarily eurodollar time deposits, certificates of deposit and commercial paper, euronotes and eurobonds, substantially all denominated in US dollars. They are stated at cost plus accrued interest, which approximates market. Substantially all the investments designated as held to maturity that were purchased and matured during the year had original maturities of less than three months. Short-term investments that are designated as trading are stated at market. The unrealized gains/losses on such securities at December 31, 2003 were not significant.</w:t>
      </w:r>
    </w:p>
    <w:p>
      <w:pPr>
        <w:ind w:right="220" w:firstLine="228"/>
        <w:spacing w:after="0" w:line="261" w:lineRule="auto"/>
        <w:rPr>
          <w:sz w:val="20"/>
          <w:szCs w:val="20"/>
          <w:color w:val="auto"/>
        </w:rPr>
      </w:pPr>
      <w:r>
        <w:rPr>
          <w:rFonts w:ascii="Arial" w:cs="Arial" w:eastAsia="Arial" w:hAnsi="Arial"/>
          <w:sz w:val="18"/>
          <w:szCs w:val="18"/>
          <w:color w:val="auto"/>
        </w:rPr>
        <w:t xml:space="preserve">For purposes of the </w:t>
      </w:r>
      <w:r>
        <w:rPr>
          <w:rFonts w:ascii="Arial" w:cs="Arial" w:eastAsia="Arial" w:hAnsi="Arial"/>
          <w:sz w:val="18"/>
          <w:szCs w:val="18"/>
          <w:i w:val="1"/>
          <w:iCs w:val="1"/>
          <w:color w:val="auto"/>
        </w:rPr>
        <w:t>Consolidated Statement of Cash Flows</w:t>
      </w:r>
      <w:r>
        <w:rPr>
          <w:rFonts w:ascii="Arial" w:cs="Arial" w:eastAsia="Arial" w:hAnsi="Arial"/>
          <w:sz w:val="18"/>
          <w:szCs w:val="18"/>
          <w:color w:val="auto"/>
        </w:rPr>
        <w:t>, Schlumberger does not consider short-term investments to be cash equivalents as they generally have original maturities in excess of three months.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Inventories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Inventories are stated at average cost or at market, whichever is lower. Inventory consists of materials, supplies and finished goods.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Fixed Assets and Depreciation</w:t>
      </w:r>
    </w:p>
    <w:p>
      <w:pPr>
        <w:spacing w:after="0" w:line="72" w:lineRule="exact"/>
        <w:rPr>
          <w:sz w:val="20"/>
          <w:szCs w:val="20"/>
          <w:color w:val="auto"/>
        </w:rPr>
      </w:pPr>
    </w:p>
    <w:p>
      <w:pPr>
        <w:ind w:right="220"/>
        <w:spacing w:after="0" w:line="294" w:lineRule="auto"/>
        <w:rPr>
          <w:sz w:val="20"/>
          <w:szCs w:val="20"/>
          <w:color w:val="auto"/>
        </w:rPr>
      </w:pPr>
      <w:r>
        <w:rPr>
          <w:rFonts w:ascii="Arial" w:cs="Arial" w:eastAsia="Arial" w:hAnsi="Arial"/>
          <w:sz w:val="16"/>
          <w:szCs w:val="16"/>
          <w:color w:val="auto"/>
        </w:rPr>
        <w:t>Fixed assets are stated at cost less accumulated depreciation, which is provided for by charges to income over the estimated useful lives of the assets using the straight-line method. Fixed assets include the manufacturing cost (average cost) of oilfield technical equipment manufactured or assembled by subsidiaries of Schlumberger. Expenditures for renewals, replacements and improvements are capitalized. Maintenance and repairs are charged to operating expenses as incurred. Upon sale or other disposition, the applicable amounts of asset cost and accumulated depreciation are removed from the accounts and the net amount, less proceeds from disposal, is charged or credited to income.</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Multiclient Seismic Data</w:t>
      </w:r>
    </w:p>
    <w:p>
      <w:pPr>
        <w:spacing w:after="0" w:line="72"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 xml:space="preserve">Schlumberger capitalizes the cost of obtaining multiclient surveys. Such costs are charged to </w:t>
      </w:r>
      <w:r>
        <w:rPr>
          <w:rFonts w:ascii="Arial" w:cs="Arial" w:eastAsia="Arial" w:hAnsi="Arial"/>
          <w:sz w:val="18"/>
          <w:szCs w:val="18"/>
          <w:i w:val="1"/>
          <w:iCs w:val="1"/>
          <w:color w:val="auto"/>
        </w:rPr>
        <w:t>Cost of goods sold and services</w:t>
      </w:r>
      <w:r>
        <w:rPr>
          <w:rFonts w:ascii="Arial" w:cs="Arial" w:eastAsia="Arial" w:hAnsi="Arial"/>
          <w:sz w:val="18"/>
          <w:szCs w:val="18"/>
          <w:color w:val="auto"/>
        </w:rPr>
        <w:t xml:space="preserve"> based on a percentage of estimated total revenue that Schlumberger expects to receive from the sales of such data. The carrying value of individual surveys is reviewed, at least annually, and adjustments to the value are made based upon the revised estimated revenues for the surveys.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Capitalized Software</w:t>
      </w:r>
    </w:p>
    <w:p>
      <w:pPr>
        <w:spacing w:after="0" w:line="72"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The costs incurred for the development of computer software that will be sold, leased or otherwise marketed are capitalized when technological feasibility has been established, generally when all of the planning, designing, coding and testing activities that are necessary in order to establish that the product can be produced to meet its design specifications including functions, features and technical performance requirements are completed. These capitalized costs are subject to an ongoing assessment of recoverability based on anticipated future revenues and changes in hardware and software technologies. Costs that are capitalized include direct labor and related overheads. Total capitalized internally developed software costs was $47 million at December 31, 2003 of which $33 million was deferred in 2003.</w:t>
      </w:r>
    </w:p>
    <w:p>
      <w:pPr>
        <w:spacing w:after="0" w:line="4" w:lineRule="exact"/>
        <w:rPr>
          <w:sz w:val="20"/>
          <w:szCs w:val="20"/>
          <w:color w:val="auto"/>
        </w:rPr>
      </w:pPr>
    </w:p>
    <w:p>
      <w:pPr>
        <w:ind w:firstLine="228"/>
        <w:spacing w:after="0" w:line="250" w:lineRule="auto"/>
        <w:rPr>
          <w:sz w:val="20"/>
          <w:szCs w:val="20"/>
          <w:color w:val="auto"/>
        </w:rPr>
      </w:pPr>
      <w:r>
        <w:rPr>
          <w:rFonts w:ascii="Arial" w:cs="Arial" w:eastAsia="Arial" w:hAnsi="Arial"/>
          <w:sz w:val="18"/>
          <w:szCs w:val="18"/>
          <w:color w:val="auto"/>
        </w:rPr>
        <w:t>Amortization of capitalized software development costs begins when the product is available for general release. Amortization is provided on the greater of the straight-line method or the sales ratio method over the estimated useful life. Unamortized capitalized software development costs determined to be in excess of the net realizable value of the product are expensed immediately.</w:t>
      </w:r>
    </w:p>
    <w:p>
      <w:pPr>
        <w:spacing w:after="0" w:line="1" w:lineRule="exact"/>
        <w:rPr>
          <w:sz w:val="20"/>
          <w:szCs w:val="20"/>
          <w:color w:val="auto"/>
        </w:rPr>
      </w:pPr>
    </w:p>
    <w:p>
      <w:pPr>
        <w:jc w:val="both"/>
        <w:ind w:right="40" w:firstLine="228"/>
        <w:spacing w:after="0" w:line="361" w:lineRule="auto"/>
        <w:rPr>
          <w:sz w:val="20"/>
          <w:szCs w:val="20"/>
          <w:color w:val="auto"/>
        </w:rPr>
      </w:pPr>
      <w:r>
        <w:rPr>
          <w:rFonts w:ascii="Arial" w:cs="Arial" w:eastAsia="Arial" w:hAnsi="Arial"/>
          <w:sz w:val="15"/>
          <w:szCs w:val="15"/>
          <w:color w:val="auto"/>
        </w:rPr>
        <w:t>Schlumberger capitalizes certain costs of internally developed software. Capitalized costs include purchased materials and services, payroll and payroll related costs and interest costs. The costs of internally developed software is amortized on a straight-line basis over the estimated useful life which is principally 6 years.</w:t>
      </w:r>
    </w:p>
    <w:p>
      <w:pPr>
        <w:spacing w:after="0" w:line="53" w:lineRule="exact"/>
        <w:rPr>
          <w:sz w:val="20"/>
          <w:szCs w:val="20"/>
          <w:color w:val="auto"/>
        </w:rPr>
      </w:pPr>
    </w:p>
    <w:p>
      <w:pPr>
        <w:spacing w:after="0"/>
        <w:tabs>
          <w:tab w:leader="none" w:pos="10400" w:val="left"/>
        </w:tabs>
        <w:rPr>
          <w:sz w:val="20"/>
          <w:szCs w:val="20"/>
          <w:color w:val="auto"/>
        </w:rPr>
      </w:pPr>
      <w:r>
        <w:rPr>
          <w:rFonts w:ascii="Arial" w:cs="Arial" w:eastAsia="Arial" w:hAnsi="Arial"/>
          <w:sz w:val="14"/>
          <w:szCs w:val="14"/>
          <w:color w:val="auto"/>
        </w:rPr>
        <w:t>43 / SLB</w:t>
      </w:r>
      <w:r>
        <w:rPr>
          <w:sz w:val="20"/>
          <w:szCs w:val="20"/>
          <w:color w:val="auto"/>
        </w:rPr>
        <w:tab/>
      </w:r>
      <w:r>
        <w:rPr>
          <w:rFonts w:ascii="Arial" w:cs="Arial" w:eastAsia="Arial" w:hAnsi="Arial"/>
          <w:sz w:val="12"/>
          <w:szCs w:val="12"/>
          <w:color w:val="auto"/>
        </w:rPr>
        <w:t>2003 FORM 10-K</w:t>
      </w:r>
    </w:p>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4"/>
          <w:szCs w:val="14"/>
          <w:color w:val="auto"/>
        </w:rPr>
        <w:t>Part II, Item 8</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72"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On an annual basis Schlumberger reviews the carrying value of its long-lived assets, including goodwill, intangible assets and investments. In addition, whenever events or changes in circumstances indicate that the historical cost-carrying value of an asset may no longer be recoverable, a review is performed. Schlumberger assesses recoverability of the carrying value of the asset by estimating the future net cash flows expected to result from the asset, including eventual disposition. If the future net cash flows are less than the carrying value of the asset, an impairment loss is recorded equal to the difference between the asset’s carrying value and fair value.</w:t>
      </w:r>
    </w:p>
    <w:p>
      <w:pPr>
        <w:ind w:right="80" w:firstLine="228"/>
        <w:spacing w:after="0" w:line="261" w:lineRule="auto"/>
        <w:rPr>
          <w:sz w:val="20"/>
          <w:szCs w:val="20"/>
          <w:color w:val="auto"/>
        </w:rPr>
      </w:pPr>
      <w:r>
        <w:rPr>
          <w:rFonts w:ascii="Arial" w:cs="Arial" w:eastAsia="Arial" w:hAnsi="Arial"/>
          <w:sz w:val="18"/>
          <w:szCs w:val="18"/>
          <w:color w:val="auto"/>
        </w:rPr>
        <w:t>In accordance with SFAS 142 (</w:t>
      </w:r>
      <w:r>
        <w:rPr>
          <w:rFonts w:ascii="Arial" w:cs="Arial" w:eastAsia="Arial" w:hAnsi="Arial"/>
          <w:sz w:val="18"/>
          <w:szCs w:val="18"/>
          <w:i w:val="1"/>
          <w:iCs w:val="1"/>
          <w:color w:val="auto"/>
        </w:rPr>
        <w:t>Goodwill and Other Intangible Assets</w:t>
      </w:r>
      <w:r>
        <w:rPr>
          <w:rFonts w:ascii="Arial" w:cs="Arial" w:eastAsia="Arial" w:hAnsi="Arial"/>
          <w:sz w:val="18"/>
          <w:szCs w:val="18"/>
          <w:color w:val="auto"/>
        </w:rPr>
        <w:t>), which was adopted by Schlumberger commencing January 1, 2002, goodwill ceased to be amortized.</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Taxes on Income</w:t>
      </w:r>
    </w:p>
    <w:p>
      <w:pPr>
        <w:spacing w:after="0" w:line="72" w:lineRule="exact"/>
        <w:rPr>
          <w:sz w:val="20"/>
          <w:szCs w:val="20"/>
          <w:color w:val="auto"/>
        </w:rPr>
      </w:pPr>
    </w:p>
    <w:p>
      <w:pPr>
        <w:ind w:right="60"/>
        <w:spacing w:after="0" w:line="283" w:lineRule="auto"/>
        <w:rPr>
          <w:sz w:val="20"/>
          <w:szCs w:val="20"/>
          <w:color w:val="auto"/>
        </w:rPr>
      </w:pPr>
      <w:r>
        <w:rPr>
          <w:rFonts w:ascii="Arial" w:cs="Arial" w:eastAsia="Arial" w:hAnsi="Arial"/>
          <w:sz w:val="16"/>
          <w:szCs w:val="16"/>
          <w:color w:val="auto"/>
        </w:rPr>
        <w:t>Schlumberger and its subsidiaries compute taxes on income in accordance with the tax rules and regulations of the many taxing authorities where the income is earned. The income tax rates imposed by these taxing authorities vary substantially. Taxable income may differ from pretax income for financial accounting purposes. To the extent that differences are due to revenue or expense items reported in one period for tax purposes and in another period for financial accounting purposes, an appropriate provision for deferred income taxes is made. Any effect of changes in income tax rates or tax laws are included in the provision for income taxes in the period of enactment. When it is more likely than not that a portion or all of the deferred tax asset will not be realized in the future, Schlumberger provides a corresponding valuation allowance against deferred tax assets.</w:t>
      </w:r>
    </w:p>
    <w:p>
      <w:pPr>
        <w:spacing w:after="0" w:line="1" w:lineRule="exact"/>
        <w:rPr>
          <w:sz w:val="20"/>
          <w:szCs w:val="20"/>
          <w:color w:val="auto"/>
        </w:rPr>
      </w:pPr>
    </w:p>
    <w:p>
      <w:pPr>
        <w:jc w:val="both"/>
        <w:ind w:right="140" w:firstLine="228"/>
        <w:spacing w:after="0" w:line="255" w:lineRule="auto"/>
        <w:rPr>
          <w:sz w:val="20"/>
          <w:szCs w:val="20"/>
          <w:color w:val="auto"/>
        </w:rPr>
      </w:pPr>
      <w:r>
        <w:rPr>
          <w:rFonts w:ascii="Arial" w:cs="Arial" w:eastAsia="Arial" w:hAnsi="Arial"/>
          <w:sz w:val="18"/>
          <w:szCs w:val="18"/>
          <w:color w:val="auto"/>
        </w:rPr>
        <w:t>Approximately $2.3 billion of consolidated income retained for use in the business on December 31, 2003 represented undistributed earnings of consolidated subsidiaries and the pro rata Schlumberger share of 20% –50% owned companies. No provision is made for deferred income taxes on those earnings considered to be indefinitely reinvested or earnings that would not be taxed when remitted.</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72" w:lineRule="exact"/>
        <w:rPr>
          <w:sz w:val="20"/>
          <w:szCs w:val="20"/>
          <w:color w:val="auto"/>
        </w:rPr>
      </w:pPr>
    </w:p>
    <w:p>
      <w:pPr>
        <w:ind w:right="580"/>
        <w:spacing w:after="0" w:line="259" w:lineRule="auto"/>
        <w:rPr>
          <w:sz w:val="20"/>
          <w:szCs w:val="20"/>
          <w:color w:val="auto"/>
        </w:rPr>
      </w:pPr>
      <w:r>
        <w:rPr>
          <w:rFonts w:ascii="Arial" w:cs="Arial" w:eastAsia="Arial" w:hAnsi="Arial"/>
          <w:sz w:val="18"/>
          <w:szCs w:val="18"/>
          <w:color w:val="auto"/>
        </w:rPr>
        <w:t>Schlumberger’s financial instruments which potentially subject the company to concentration of credit risk consist primarily of accounts receivable. Schlumberger maintains an allowance for uncollectible accounts receivable based on expected collectibility and performs ongoing credit evaluations of its customers’ financial condition.</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Earnings per Share</w:t>
      </w:r>
    </w:p>
    <w:p>
      <w:pPr>
        <w:spacing w:after="0" w:line="72"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Basic earnings per share is calculated by dividing net income by the average number of common shares outstanding during the year. Diluted earnings per share is calculated by dividing net income, as adjusted for the interest on convertible debentures unless the adjustment is anti-dilutive, by the average number of common shares outstanding assuming dilution, the calculation of which assumes (i) that all stock options which are in the money are exercised at the beginning of the period and the proceeds used, by Schlumberger, to purchase shares at the average market price for the period, and (ii) the convertible debentures have been converted unless the effect is anti-dilutive.</w:t>
      </w:r>
    </w:p>
    <w:p>
      <w:pPr>
        <w:spacing w:after="0" w:line="127" w:lineRule="exact"/>
        <w:rPr>
          <w:sz w:val="20"/>
          <w:szCs w:val="20"/>
          <w:color w:val="auto"/>
        </w:rPr>
      </w:pPr>
    </w:p>
    <w:p>
      <w:pPr>
        <w:spacing w:after="0"/>
        <w:tabs>
          <w:tab w:leader="none" w:pos="10400" w:val="left"/>
        </w:tabs>
        <w:rPr>
          <w:sz w:val="20"/>
          <w:szCs w:val="20"/>
          <w:color w:val="auto"/>
        </w:rPr>
      </w:pPr>
      <w:r>
        <w:rPr>
          <w:rFonts w:ascii="Arial" w:cs="Arial" w:eastAsia="Arial" w:hAnsi="Arial"/>
          <w:sz w:val="14"/>
          <w:szCs w:val="14"/>
          <w:color w:val="auto"/>
        </w:rPr>
        <w:t>44 / SLB</w:t>
      </w:r>
      <w:r>
        <w:rPr>
          <w:sz w:val="20"/>
          <w:szCs w:val="20"/>
          <w:color w:val="auto"/>
        </w:rPr>
        <w:tab/>
      </w:r>
      <w:r>
        <w:rPr>
          <w:rFonts w:ascii="Arial" w:cs="Arial" w:eastAsia="Arial" w:hAnsi="Arial"/>
          <w:sz w:val="12"/>
          <w:szCs w:val="12"/>
          <w:color w:val="auto"/>
        </w:rPr>
        <w:t>2003 FORM 10-K</w:t>
      </w:r>
    </w:p>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4"/>
          <w:szCs w:val="14"/>
          <w:color w:val="auto"/>
        </w:rPr>
        <w:t>Part II, Item 8</w:t>
      </w:r>
    </w:p>
    <w:p>
      <w:pPr>
        <w:spacing w:after="0" w:line="139" w:lineRule="exact"/>
        <w:rPr>
          <w:sz w:val="20"/>
          <w:szCs w:val="20"/>
          <w:color w:val="auto"/>
        </w:rPr>
      </w:pPr>
    </w:p>
    <w:p>
      <w:pPr>
        <w:ind w:left="240"/>
        <w:spacing w:after="0"/>
        <w:rPr>
          <w:sz w:val="20"/>
          <w:szCs w:val="20"/>
          <w:color w:val="auto"/>
        </w:rPr>
      </w:pPr>
      <w:r>
        <w:rPr>
          <w:rFonts w:ascii="Arial" w:cs="Arial" w:eastAsia="Arial" w:hAnsi="Arial"/>
          <w:sz w:val="16"/>
          <w:szCs w:val="16"/>
          <w:color w:val="auto"/>
        </w:rPr>
        <w:t>The following is a reconciliation from basic earnings per share to diluted earnings per share from continuing operations for each of the last three years:</w:t>
      </w:r>
    </w:p>
    <w:p>
      <w:pPr>
        <w:spacing w:after="0" w:line="9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(Stated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178040"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78040" cy="8890"/>
                    </a:xfrm>
                    <a:prstGeom prst="rect">
                      <a:avLst/>
                    </a:prstGeom>
                    <a:noFill/>
                  </pic:spPr>
                </pic:pic>
              </a:graphicData>
            </a:graphic>
          </wp:anchor>
        </w:drawing>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Earnings (loss)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80" w:type="dxa"/>
            <w:vAlign w:val="bottom"/>
            <w:gridSpan w:val="2"/>
          </w:tcPr>
          <w:p>
            <w:pPr>
              <w:jc w:val="right"/>
              <w:ind w:right="660"/>
              <w:spacing w:after="0" w:line="149" w:lineRule="exact"/>
              <w:rPr>
                <w:sz w:val="20"/>
                <w:szCs w:val="20"/>
                <w:color w:val="auto"/>
              </w:rPr>
            </w:pPr>
            <w:r>
              <w:rPr>
                <w:rFonts w:ascii="Arial" w:cs="Arial" w:eastAsia="Arial" w:hAnsi="Arial"/>
                <w:sz w:val="14"/>
                <w:szCs w:val="14"/>
                <w:b w:val="1"/>
                <w:bCs w:val="1"/>
                <w:color w:val="auto"/>
              </w:rPr>
              <w:t>Income (loss)</w:t>
            </w:r>
          </w:p>
        </w:tc>
        <w:tc>
          <w:tcPr>
            <w:tcW w:w="1400" w:type="dxa"/>
            <w:vAlign w:val="bottom"/>
            <w:gridSpan w:val="2"/>
          </w:tcPr>
          <w:p>
            <w:pPr>
              <w:jc w:val="right"/>
              <w:ind w:right="660"/>
              <w:spacing w:after="0" w:line="149" w:lineRule="exact"/>
              <w:rPr>
                <w:sz w:val="20"/>
                <w:szCs w:val="20"/>
                <w:color w:val="auto"/>
              </w:rPr>
            </w:pPr>
            <w:r>
              <w:rPr>
                <w:rFonts w:ascii="Arial" w:cs="Arial" w:eastAsia="Arial" w:hAnsi="Arial"/>
                <w:sz w:val="14"/>
                <w:szCs w:val="14"/>
                <w:b w:val="1"/>
                <w:bCs w:val="1"/>
                <w:color w:val="auto"/>
              </w:rPr>
              <w:t>Average</w:t>
            </w:r>
          </w:p>
        </w:tc>
        <w:tc>
          <w:tcPr>
            <w:tcW w:w="100" w:type="dxa"/>
            <w:vAlign w:val="bottom"/>
          </w:tcPr>
          <w:p>
            <w:pPr>
              <w:spacing w:after="0"/>
              <w:rPr>
                <w:sz w:val="12"/>
                <w:szCs w:val="12"/>
                <w:color w:val="auto"/>
              </w:rPr>
            </w:pPr>
          </w:p>
        </w:tc>
        <w:tc>
          <w:tcPr>
            <w:tcW w:w="114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Per Share from</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80" w:type="dxa"/>
            <w:vAlign w:val="bottom"/>
            <w:gridSpan w:val="2"/>
          </w:tcPr>
          <w:p>
            <w:pPr>
              <w:jc w:val="right"/>
              <w:ind w:right="660"/>
              <w:spacing w:after="0" w:line="149" w:lineRule="exact"/>
              <w:rPr>
                <w:sz w:val="20"/>
                <w:szCs w:val="20"/>
                <w:color w:val="auto"/>
              </w:rPr>
            </w:pPr>
            <w:r>
              <w:rPr>
                <w:rFonts w:ascii="Arial" w:cs="Arial" w:eastAsia="Arial" w:hAnsi="Arial"/>
                <w:sz w:val="14"/>
                <w:szCs w:val="14"/>
                <w:b w:val="1"/>
                <w:bCs w:val="1"/>
                <w:color w:val="auto"/>
                <w:w w:val="91"/>
              </w:rPr>
              <w:t>from Continuing</w:t>
            </w:r>
          </w:p>
        </w:tc>
        <w:tc>
          <w:tcPr>
            <w:tcW w:w="1400" w:type="dxa"/>
            <w:vAlign w:val="bottom"/>
            <w:gridSpan w:val="2"/>
          </w:tcPr>
          <w:p>
            <w:pPr>
              <w:jc w:val="right"/>
              <w:ind w:right="660"/>
              <w:spacing w:after="0" w:line="149" w:lineRule="exact"/>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2"/>
                <w:szCs w:val="12"/>
                <w:color w:val="auto"/>
              </w:rPr>
            </w:pPr>
          </w:p>
        </w:tc>
        <w:tc>
          <w:tcPr>
            <w:tcW w:w="114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Continuing</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8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Operations</w:t>
            </w:r>
          </w:p>
        </w:tc>
        <w:tc>
          <w:tcPr>
            <w:tcW w:w="140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w w:val="87"/>
              </w:rPr>
              <w:t>Outstanding</w:t>
            </w:r>
          </w:p>
        </w:tc>
        <w:tc>
          <w:tcPr>
            <w:tcW w:w="100" w:type="dxa"/>
            <w:vAlign w:val="bottom"/>
          </w:tcPr>
          <w:p>
            <w:pPr>
              <w:spacing w:after="0"/>
              <w:rPr>
                <w:sz w:val="15"/>
                <w:szCs w:val="15"/>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Operations</w:t>
            </w: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300" w:type="dxa"/>
            <w:vAlign w:val="bottom"/>
          </w:tcPr>
          <w:p>
            <w:pPr>
              <w:spacing w:after="0"/>
              <w:rPr>
                <w:sz w:val="4"/>
                <w:szCs w:val="4"/>
                <w:color w:val="auto"/>
              </w:rPr>
            </w:pPr>
          </w:p>
        </w:tc>
        <w:tc>
          <w:tcPr>
            <w:tcW w:w="6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660" w:type="dxa"/>
            <w:vAlign w:val="bottom"/>
          </w:tcPr>
          <w:p>
            <w:pPr>
              <w:spacing w:after="0"/>
              <w:rPr>
                <w:sz w:val="4"/>
                <w:szCs w:val="4"/>
                <w:color w:val="auto"/>
              </w:rPr>
            </w:pPr>
          </w:p>
        </w:tc>
        <w:tc>
          <w:tcPr>
            <w:tcW w:w="740" w:type="dxa"/>
            <w:vAlign w:val="bottom"/>
          </w:tcPr>
          <w:p>
            <w:pPr>
              <w:spacing w:after="0"/>
              <w:rPr>
                <w:sz w:val="4"/>
                <w:szCs w:val="4"/>
                <w:color w:val="auto"/>
              </w:rPr>
            </w:pPr>
          </w:p>
        </w:tc>
        <w:tc>
          <w:tcPr>
            <w:tcW w:w="6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w w:val="89"/>
              </w:rPr>
              <w:t>2003</w:t>
            </w:r>
          </w:p>
        </w:tc>
        <w:tc>
          <w:tcPr>
            <w:tcW w:w="66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00" w:type="dxa"/>
            <w:vAlign w:val="bottom"/>
          </w:tcPr>
          <w:p>
            <w:pPr>
              <w:spacing w:after="0"/>
              <w:rPr>
                <w:sz w:val="20"/>
                <w:szCs w:val="20"/>
                <w:color w:val="auto"/>
              </w:rPr>
            </w:pPr>
            <w:r>
              <w:rPr>
                <w:rFonts w:ascii="Arial" w:cs="Arial" w:eastAsia="Arial" w:hAnsi="Arial"/>
                <w:sz w:val="14"/>
                <w:szCs w:val="14"/>
                <w:color w:val="auto"/>
                <w:w w:val="81"/>
              </w:rPr>
              <w:t>Basic</w:t>
            </w:r>
          </w:p>
        </w:tc>
        <w:tc>
          <w:tcPr>
            <w:tcW w:w="6660" w:type="dxa"/>
            <w:vAlign w:val="bottom"/>
          </w:tcPr>
          <w:p>
            <w:pPr>
              <w:spacing w:after="0"/>
              <w:rPr>
                <w:sz w:val="15"/>
                <w:szCs w:val="15"/>
                <w:color w:val="auto"/>
              </w:rPr>
            </w:pPr>
          </w:p>
        </w:tc>
        <w:tc>
          <w:tcPr>
            <w:tcW w:w="12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w w:val="76"/>
              </w:rPr>
              <w:t>$</w:t>
            </w: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472,557</w:t>
            </w:r>
          </w:p>
        </w:tc>
        <w:tc>
          <w:tcPr>
            <w:tcW w:w="6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583,904</w:t>
            </w:r>
          </w:p>
        </w:tc>
        <w:tc>
          <w:tcPr>
            <w:tcW w:w="66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0"/>
                <w:szCs w:val="10"/>
                <w:b w:val="1"/>
                <w:bCs w:val="1"/>
                <w:color w:val="auto"/>
                <w:w w:val="71"/>
              </w:rPr>
              <w:t>$</w:t>
            </w: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0.81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696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6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00" w:type="dxa"/>
            <w:vAlign w:val="bottom"/>
          </w:tcPr>
          <w:p>
            <w:pPr>
              <w:spacing w:after="0"/>
              <w:rPr>
                <w:sz w:val="9"/>
                <w:szCs w:val="9"/>
                <w:color w:val="auto"/>
              </w:rPr>
            </w:pPr>
          </w:p>
        </w:tc>
        <w:tc>
          <w:tcPr>
            <w:tcW w:w="6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6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9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Dilutive effect of convertible debentures</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15,938</w:t>
            </w:r>
          </w:p>
        </w:tc>
        <w:tc>
          <w:tcPr>
            <w:tcW w:w="6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10,566</w:t>
            </w: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960" w:type="dxa"/>
            <w:vAlign w:val="bottom"/>
            <w:gridSpan w:val="2"/>
          </w:tcPr>
          <w:p>
            <w:pPr>
              <w:spacing w:after="0"/>
              <w:rPr>
                <w:sz w:val="20"/>
                <w:szCs w:val="20"/>
                <w:color w:val="auto"/>
              </w:rPr>
            </w:pPr>
            <w:r>
              <w:rPr>
                <w:rFonts w:ascii="Arial" w:cs="Arial" w:eastAsia="Arial" w:hAnsi="Arial"/>
                <w:sz w:val="14"/>
                <w:szCs w:val="14"/>
                <w:color w:val="auto"/>
              </w:rPr>
              <w:t>Dilutive effect of options</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2,587</w:t>
            </w: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66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020" w:type="dxa"/>
            <w:vAlign w:val="bottom"/>
            <w:tcBorders>
              <w:bottom w:val="single" w:sz="8" w:color="auto"/>
            </w:tcBorders>
          </w:tcPr>
          <w:p>
            <w:pPr>
              <w:spacing w:after="0"/>
              <w:rPr>
                <w:sz w:val="7"/>
                <w:szCs w:val="7"/>
                <w:color w:val="auto"/>
              </w:rPr>
            </w:pPr>
          </w:p>
        </w:tc>
        <w:tc>
          <w:tcPr>
            <w:tcW w:w="660" w:type="dxa"/>
            <w:vAlign w:val="bottom"/>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6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6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660" w:type="dxa"/>
            <w:vAlign w:val="bottom"/>
          </w:tcPr>
          <w:p>
            <w:pPr>
              <w:spacing w:after="0"/>
              <w:rPr>
                <w:sz w:val="8"/>
                <w:szCs w:val="8"/>
                <w:color w:val="auto"/>
              </w:rPr>
            </w:pPr>
          </w:p>
        </w:tc>
        <w:tc>
          <w:tcPr>
            <w:tcW w:w="7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660" w:type="dxa"/>
            <w:vAlign w:val="bottom"/>
            <w:shd w:val="clear" w:color="auto" w:fill="CCEEFF"/>
          </w:tcPr>
          <w:p>
            <w:pPr>
              <w:spacing w:after="0"/>
              <w:rPr>
                <w:sz w:val="12"/>
                <w:szCs w:val="12"/>
                <w:color w:val="auto"/>
              </w:rPr>
            </w:pPr>
          </w:p>
        </w:tc>
        <w:tc>
          <w:tcPr>
            <w:tcW w:w="1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b w:val="1"/>
                <w:bCs w:val="1"/>
                <w:color w:val="auto"/>
                <w:w w:val="76"/>
              </w:rPr>
              <w:t>$</w:t>
            </w: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488,495</w:t>
            </w:r>
          </w:p>
        </w:tc>
        <w:tc>
          <w:tcPr>
            <w:tcW w:w="6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597,057</w:t>
            </w: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10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0.82</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960" w:type="dxa"/>
            <w:vAlign w:val="bottom"/>
            <w:gridSpan w:val="2"/>
          </w:tcPr>
          <w:p>
            <w:pPr>
              <w:spacing w:after="0"/>
              <w:rPr>
                <w:sz w:val="20"/>
                <w:szCs w:val="20"/>
                <w:color w:val="auto"/>
              </w:rPr>
            </w:pPr>
            <w:r>
              <w:rPr>
                <w:rFonts w:ascii="Arial" w:cs="Arial" w:eastAsia="Arial" w:hAnsi="Arial"/>
                <w:sz w:val="14"/>
                <w:szCs w:val="14"/>
                <w:color w:val="auto"/>
              </w:rPr>
              <w:t>less: Anti-dilutive effect of convertible debentures</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8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(15,938)</w:t>
            </w:r>
          </w:p>
        </w:tc>
        <w:tc>
          <w:tcPr>
            <w:tcW w:w="140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(10,566)</w:t>
            </w:r>
          </w:p>
        </w:tc>
        <w:tc>
          <w:tcPr>
            <w:tcW w:w="100" w:type="dxa"/>
            <w:vAlign w:val="bottom"/>
          </w:tcPr>
          <w:p>
            <w:pPr>
              <w:spacing w:after="0"/>
              <w:rPr>
                <w:sz w:val="15"/>
                <w:szCs w:val="15"/>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(0.01)</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6960" w:type="dxa"/>
            <w:vAlign w:val="bottom"/>
            <w:tcBorders>
              <w:bottom w:val="single" w:sz="8" w:color="auto"/>
            </w:tcBorders>
            <w:gridSpan w:val="2"/>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020" w:type="dxa"/>
            <w:vAlign w:val="bottom"/>
            <w:tcBorders>
              <w:bottom w:val="single" w:sz="8" w:color="auto"/>
            </w:tcBorders>
          </w:tcPr>
          <w:p>
            <w:pPr>
              <w:spacing w:after="0"/>
              <w:rPr>
                <w:sz w:val="7"/>
                <w:szCs w:val="7"/>
                <w:color w:val="auto"/>
              </w:rPr>
            </w:pPr>
          </w:p>
        </w:tc>
        <w:tc>
          <w:tcPr>
            <w:tcW w:w="660" w:type="dxa"/>
            <w:vAlign w:val="bottom"/>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66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04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00" w:type="dxa"/>
            <w:vAlign w:val="bottom"/>
          </w:tcPr>
          <w:p>
            <w:pPr>
              <w:spacing w:after="0"/>
              <w:rPr>
                <w:sz w:val="8"/>
                <w:szCs w:val="8"/>
                <w:color w:val="auto"/>
              </w:rPr>
            </w:pPr>
          </w:p>
        </w:tc>
        <w:tc>
          <w:tcPr>
            <w:tcW w:w="6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660" w:type="dxa"/>
            <w:vAlign w:val="bottom"/>
          </w:tcPr>
          <w:p>
            <w:pPr>
              <w:spacing w:after="0"/>
              <w:rPr>
                <w:sz w:val="8"/>
                <w:szCs w:val="8"/>
                <w:color w:val="auto"/>
              </w:rPr>
            </w:pPr>
          </w:p>
        </w:tc>
        <w:tc>
          <w:tcPr>
            <w:tcW w:w="7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9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Diluted</w:t>
            </w:r>
          </w:p>
        </w:tc>
        <w:tc>
          <w:tcPr>
            <w:tcW w:w="1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b w:val="1"/>
                <w:bCs w:val="1"/>
                <w:color w:val="auto"/>
                <w:w w:val="76"/>
              </w:rPr>
              <w:t>$</w:t>
            </w: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472,557</w:t>
            </w:r>
          </w:p>
        </w:tc>
        <w:tc>
          <w:tcPr>
            <w:tcW w:w="6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586,491</w:t>
            </w: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10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0.81</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0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00" w:type="dxa"/>
            <w:vAlign w:val="bottom"/>
          </w:tcPr>
          <w:p>
            <w:pPr>
              <w:spacing w:after="0"/>
              <w:rPr>
                <w:sz w:val="9"/>
                <w:szCs w:val="9"/>
                <w:color w:val="auto"/>
              </w:rPr>
            </w:pPr>
          </w:p>
        </w:tc>
        <w:tc>
          <w:tcPr>
            <w:tcW w:w="6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6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89"/>
              </w:rPr>
              <w:t>2002</w:t>
            </w:r>
          </w:p>
        </w:tc>
        <w:tc>
          <w:tcPr>
            <w:tcW w:w="66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00" w:type="dxa"/>
            <w:vAlign w:val="bottom"/>
          </w:tcPr>
          <w:p>
            <w:pPr>
              <w:spacing w:after="0"/>
              <w:rPr>
                <w:sz w:val="20"/>
                <w:szCs w:val="20"/>
                <w:color w:val="auto"/>
              </w:rPr>
            </w:pPr>
            <w:r>
              <w:rPr>
                <w:rFonts w:ascii="Arial" w:cs="Arial" w:eastAsia="Arial" w:hAnsi="Arial"/>
                <w:sz w:val="14"/>
                <w:szCs w:val="14"/>
                <w:color w:val="auto"/>
                <w:w w:val="81"/>
              </w:rPr>
              <w:t>Basic</w:t>
            </w:r>
          </w:p>
        </w:tc>
        <w:tc>
          <w:tcPr>
            <w:tcW w:w="6660" w:type="dxa"/>
            <w:vAlign w:val="bottom"/>
          </w:tcPr>
          <w:p>
            <w:pPr>
              <w:spacing w:after="0"/>
              <w:rPr>
                <w:sz w:val="14"/>
                <w:szCs w:val="14"/>
                <w:color w:val="auto"/>
              </w:rPr>
            </w:pPr>
          </w:p>
        </w:tc>
        <w:tc>
          <w:tcPr>
            <w:tcW w:w="120" w:type="dxa"/>
            <w:vAlign w:val="bottom"/>
            <w:gridSpan w:val="2"/>
          </w:tcPr>
          <w:p>
            <w:pPr>
              <w:jc w:val="right"/>
              <w:ind w:right="40"/>
              <w:spacing w:after="0"/>
              <w:rPr>
                <w:sz w:val="20"/>
                <w:szCs w:val="20"/>
                <w:color w:val="auto"/>
              </w:rPr>
            </w:pPr>
            <w:r>
              <w:rPr>
                <w:rFonts w:ascii="Arial" w:cs="Arial" w:eastAsia="Arial" w:hAnsi="Arial"/>
                <w:sz w:val="14"/>
                <w:szCs w:val="14"/>
                <w:color w:val="auto"/>
                <w:w w:val="76"/>
              </w:rPr>
              <w:t>$</w:t>
            </w:r>
          </w:p>
        </w:tc>
        <w:tc>
          <w:tcPr>
            <w:tcW w:w="1680" w:type="dxa"/>
            <w:vAlign w:val="bottom"/>
            <w:gridSpan w:val="2"/>
          </w:tcPr>
          <w:p>
            <w:pPr>
              <w:jc w:val="right"/>
              <w:ind w:right="620"/>
              <w:spacing w:after="0"/>
              <w:rPr>
                <w:sz w:val="20"/>
                <w:szCs w:val="20"/>
                <w:color w:val="auto"/>
              </w:rPr>
            </w:pPr>
            <w:r>
              <w:rPr>
                <w:rFonts w:ascii="Arial" w:cs="Arial" w:eastAsia="Arial" w:hAnsi="Arial"/>
                <w:sz w:val="14"/>
                <w:szCs w:val="14"/>
                <w:color w:val="auto"/>
              </w:rPr>
              <w:t>(2,417,214)</w:t>
            </w:r>
          </w:p>
        </w:tc>
        <w:tc>
          <w:tcPr>
            <w:tcW w:w="740" w:type="dxa"/>
            <w:vAlign w:val="bottom"/>
          </w:tcPr>
          <w:p>
            <w:pPr>
              <w:jc w:val="right"/>
              <w:spacing w:after="0"/>
              <w:rPr>
                <w:sz w:val="20"/>
                <w:szCs w:val="20"/>
                <w:color w:val="auto"/>
              </w:rPr>
            </w:pPr>
            <w:r>
              <w:rPr>
                <w:rFonts w:ascii="Arial" w:cs="Arial" w:eastAsia="Arial" w:hAnsi="Arial"/>
                <w:sz w:val="14"/>
                <w:szCs w:val="14"/>
                <w:color w:val="auto"/>
              </w:rPr>
              <w:t>578,588</w:t>
            </w:r>
          </w:p>
        </w:tc>
        <w:tc>
          <w:tcPr>
            <w:tcW w:w="66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gridSpan w:val="2"/>
          </w:tcPr>
          <w:p>
            <w:pPr>
              <w:jc w:val="right"/>
              <w:ind w:right="60"/>
              <w:spacing w:after="0"/>
              <w:rPr>
                <w:sz w:val="20"/>
                <w:szCs w:val="20"/>
                <w:color w:val="auto"/>
              </w:rPr>
            </w:pPr>
            <w:r>
              <w:rPr>
                <w:rFonts w:ascii="Arial" w:cs="Arial" w:eastAsia="Arial" w:hAnsi="Arial"/>
                <w:sz w:val="14"/>
                <w:szCs w:val="14"/>
                <w:color w:val="auto"/>
              </w:rPr>
              <w:t>(4.18)</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96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6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00" w:type="dxa"/>
            <w:vAlign w:val="bottom"/>
          </w:tcPr>
          <w:p>
            <w:pPr>
              <w:spacing w:after="0"/>
              <w:rPr>
                <w:sz w:val="9"/>
                <w:szCs w:val="9"/>
                <w:color w:val="auto"/>
              </w:rPr>
            </w:pPr>
          </w:p>
        </w:tc>
        <w:tc>
          <w:tcPr>
            <w:tcW w:w="6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6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9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Dilutive effect of options</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0" w:type="dxa"/>
            <w:vAlign w:val="bottom"/>
            <w:gridSpan w:val="2"/>
            <w:shd w:val="clear" w:color="auto" w:fill="CCEEFF"/>
          </w:tcPr>
          <w:p>
            <w:pPr>
              <w:jc w:val="right"/>
              <w:ind w:right="6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960" w:type="dxa"/>
            <w:vAlign w:val="bottom"/>
            <w:tcBorders>
              <w:bottom w:val="single" w:sz="8" w:color="auto"/>
            </w:tcBorders>
            <w:gridSpan w:val="2"/>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660" w:type="dxa"/>
            <w:vAlign w:val="bottom"/>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00" w:type="dxa"/>
            <w:vAlign w:val="bottom"/>
          </w:tcPr>
          <w:p>
            <w:pPr>
              <w:spacing w:after="0"/>
              <w:rPr>
                <w:sz w:val="8"/>
                <w:szCs w:val="8"/>
                <w:color w:val="auto"/>
              </w:rPr>
            </w:pPr>
          </w:p>
        </w:tc>
        <w:tc>
          <w:tcPr>
            <w:tcW w:w="6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660" w:type="dxa"/>
            <w:vAlign w:val="bottom"/>
          </w:tcPr>
          <w:p>
            <w:pPr>
              <w:spacing w:after="0"/>
              <w:rPr>
                <w:sz w:val="8"/>
                <w:szCs w:val="8"/>
                <w:color w:val="auto"/>
              </w:rPr>
            </w:pPr>
          </w:p>
        </w:tc>
        <w:tc>
          <w:tcPr>
            <w:tcW w:w="7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6960" w:type="dxa"/>
            <w:vAlign w:val="bottom"/>
            <w:gridSpan w:val="2"/>
            <w:shd w:val="clear" w:color="auto" w:fill="CCEEFF"/>
          </w:tcPr>
          <w:p>
            <w:pPr>
              <w:spacing w:after="0" w:line="176" w:lineRule="exact"/>
              <w:rPr>
                <w:sz w:val="20"/>
                <w:szCs w:val="20"/>
                <w:color w:val="auto"/>
              </w:rPr>
            </w:pPr>
            <w:r>
              <w:rPr>
                <w:rFonts w:ascii="Arial" w:cs="Arial" w:eastAsia="Arial" w:hAnsi="Arial"/>
                <w:sz w:val="13"/>
                <w:szCs w:val="13"/>
                <w:color w:val="auto"/>
              </w:rPr>
              <w:t>Diluted</w:t>
            </w:r>
            <w:r>
              <w:rPr>
                <w:rFonts w:ascii="Arial" w:cs="Arial" w:eastAsia="Arial" w:hAnsi="Arial"/>
                <w:sz w:val="20"/>
                <w:szCs w:val="20"/>
                <w:color w:val="auto"/>
                <w:vertAlign w:val="superscript"/>
              </w:rPr>
              <w:t>1</w:t>
            </w:r>
          </w:p>
        </w:tc>
        <w:tc>
          <w:tcPr>
            <w:tcW w:w="1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w w:val="76"/>
              </w:rPr>
              <w:t>$</w:t>
            </w:r>
          </w:p>
        </w:tc>
        <w:tc>
          <w:tcPr>
            <w:tcW w:w="1680" w:type="dxa"/>
            <w:vAlign w:val="bottom"/>
            <w:gridSpan w:val="2"/>
            <w:shd w:val="clear" w:color="auto" w:fill="CCEEFF"/>
          </w:tcPr>
          <w:p>
            <w:pPr>
              <w:jc w:val="right"/>
              <w:ind w:right="620"/>
              <w:spacing w:after="0"/>
              <w:rPr>
                <w:sz w:val="20"/>
                <w:szCs w:val="20"/>
                <w:color w:val="auto"/>
              </w:rPr>
            </w:pPr>
            <w:r>
              <w:rPr>
                <w:rFonts w:ascii="Arial" w:cs="Arial" w:eastAsia="Arial" w:hAnsi="Arial"/>
                <w:sz w:val="14"/>
                <w:szCs w:val="14"/>
                <w:color w:val="auto"/>
              </w:rPr>
              <w:t>(2,417,214)</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578,588</w:t>
            </w: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(4.18)</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00" w:type="dxa"/>
            <w:vAlign w:val="bottom"/>
          </w:tcPr>
          <w:p>
            <w:pPr>
              <w:spacing w:after="0"/>
              <w:rPr>
                <w:sz w:val="9"/>
                <w:szCs w:val="9"/>
                <w:color w:val="auto"/>
              </w:rPr>
            </w:pPr>
          </w:p>
        </w:tc>
        <w:tc>
          <w:tcPr>
            <w:tcW w:w="6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6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89"/>
              </w:rPr>
              <w:t>2001</w:t>
            </w:r>
          </w:p>
        </w:tc>
        <w:tc>
          <w:tcPr>
            <w:tcW w:w="66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00" w:type="dxa"/>
            <w:vAlign w:val="bottom"/>
          </w:tcPr>
          <w:p>
            <w:pPr>
              <w:spacing w:after="0"/>
              <w:rPr>
                <w:sz w:val="20"/>
                <w:szCs w:val="20"/>
                <w:color w:val="auto"/>
              </w:rPr>
            </w:pPr>
            <w:r>
              <w:rPr>
                <w:rFonts w:ascii="Arial" w:cs="Arial" w:eastAsia="Arial" w:hAnsi="Arial"/>
                <w:sz w:val="14"/>
                <w:szCs w:val="14"/>
                <w:color w:val="auto"/>
                <w:w w:val="81"/>
              </w:rPr>
              <w:t>Basic</w:t>
            </w:r>
          </w:p>
        </w:tc>
        <w:tc>
          <w:tcPr>
            <w:tcW w:w="6660" w:type="dxa"/>
            <w:vAlign w:val="bottom"/>
          </w:tcPr>
          <w:p>
            <w:pPr>
              <w:spacing w:after="0"/>
              <w:rPr>
                <w:sz w:val="14"/>
                <w:szCs w:val="14"/>
                <w:color w:val="auto"/>
              </w:rPr>
            </w:pPr>
          </w:p>
        </w:tc>
        <w:tc>
          <w:tcPr>
            <w:tcW w:w="120" w:type="dxa"/>
            <w:vAlign w:val="bottom"/>
            <w:gridSpan w:val="2"/>
          </w:tcPr>
          <w:p>
            <w:pPr>
              <w:jc w:val="right"/>
              <w:ind w:right="40"/>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493,854</w:t>
            </w:r>
          </w:p>
        </w:tc>
        <w:tc>
          <w:tcPr>
            <w:tcW w:w="6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574,328</w:t>
            </w:r>
          </w:p>
        </w:tc>
        <w:tc>
          <w:tcPr>
            <w:tcW w:w="66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0.86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96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6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00" w:type="dxa"/>
            <w:vAlign w:val="bottom"/>
          </w:tcPr>
          <w:p>
            <w:pPr>
              <w:spacing w:after="0"/>
              <w:rPr>
                <w:sz w:val="9"/>
                <w:szCs w:val="9"/>
                <w:color w:val="auto"/>
              </w:rPr>
            </w:pPr>
          </w:p>
        </w:tc>
        <w:tc>
          <w:tcPr>
            <w:tcW w:w="6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6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9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Dilutive effect of options</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5,886</w:t>
            </w: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960" w:type="dxa"/>
            <w:vAlign w:val="bottom"/>
            <w:tcBorders>
              <w:bottom w:val="single" w:sz="8" w:color="auto"/>
            </w:tcBorders>
            <w:gridSpan w:val="2"/>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660" w:type="dxa"/>
            <w:vAlign w:val="bottom"/>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00" w:type="dxa"/>
            <w:vAlign w:val="bottom"/>
          </w:tcPr>
          <w:p>
            <w:pPr>
              <w:spacing w:after="0"/>
              <w:rPr>
                <w:sz w:val="8"/>
                <w:szCs w:val="8"/>
                <w:color w:val="auto"/>
              </w:rPr>
            </w:pPr>
          </w:p>
        </w:tc>
        <w:tc>
          <w:tcPr>
            <w:tcW w:w="6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660" w:type="dxa"/>
            <w:vAlign w:val="bottom"/>
          </w:tcPr>
          <w:p>
            <w:pPr>
              <w:spacing w:after="0"/>
              <w:rPr>
                <w:sz w:val="8"/>
                <w:szCs w:val="8"/>
                <w:color w:val="auto"/>
              </w:rPr>
            </w:pPr>
          </w:p>
        </w:tc>
        <w:tc>
          <w:tcPr>
            <w:tcW w:w="7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9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Diluted</w:t>
            </w:r>
          </w:p>
        </w:tc>
        <w:tc>
          <w:tcPr>
            <w:tcW w:w="1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76"/>
              </w:rPr>
              <w:t>$</w:t>
            </w: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493,854</w:t>
            </w:r>
          </w:p>
        </w:tc>
        <w:tc>
          <w:tcPr>
            <w:tcW w:w="6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580,214</w:t>
            </w: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0.85</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320" w:type="dxa"/>
            <w:vAlign w:val="bottom"/>
            <w:gridSpan w:val="2"/>
            <w:vMerge w:val="restart"/>
          </w:tcPr>
          <w:p>
            <w:pPr>
              <w:spacing w:after="0"/>
              <w:rPr>
                <w:sz w:val="20"/>
                <w:szCs w:val="20"/>
                <w:color w:val="auto"/>
              </w:rPr>
            </w:pPr>
            <w:r>
              <w:rPr>
                <w:rFonts w:ascii="Arial" w:cs="Arial" w:eastAsia="Arial" w:hAnsi="Arial"/>
                <w:sz w:val="14"/>
                <w:szCs w:val="14"/>
                <w:color w:val="auto"/>
              </w:rPr>
              <w:t>1.</w:t>
            </w:r>
          </w:p>
        </w:tc>
        <w:tc>
          <w:tcPr>
            <w:tcW w:w="6660" w:type="dxa"/>
            <w:vAlign w:val="bottom"/>
            <w:vMerge w:val="restart"/>
          </w:tcPr>
          <w:p>
            <w:pPr>
              <w:spacing w:after="0"/>
              <w:rPr>
                <w:sz w:val="20"/>
                <w:szCs w:val="20"/>
                <w:color w:val="auto"/>
              </w:rPr>
            </w:pPr>
            <w:r>
              <w:rPr>
                <w:rFonts w:ascii="Arial" w:cs="Arial" w:eastAsia="Arial" w:hAnsi="Arial"/>
                <w:sz w:val="14"/>
                <w:szCs w:val="14"/>
                <w:color w:val="auto"/>
              </w:rPr>
              <w:t>There is no dilution of shares or earnings per share in 2002 due to the net loss.</w:t>
            </w:r>
          </w:p>
        </w:tc>
        <w:tc>
          <w:tcPr>
            <w:tcW w:w="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0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34"/>
        </w:trPr>
        <w:tc>
          <w:tcPr>
            <w:tcW w:w="320" w:type="dxa"/>
            <w:vAlign w:val="bottom"/>
            <w:gridSpan w:val="2"/>
            <w:vMerge w:val="continue"/>
          </w:tcPr>
          <w:p>
            <w:pPr>
              <w:spacing w:after="0"/>
              <w:rPr>
                <w:sz w:val="24"/>
                <w:szCs w:val="24"/>
                <w:color w:val="auto"/>
              </w:rPr>
            </w:pPr>
          </w:p>
        </w:tc>
        <w:tc>
          <w:tcPr>
            <w:tcW w:w="666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6460490</wp:posOffset>
            </wp:positionH>
            <wp:positionV relativeFrom="paragraph">
              <wp:posOffset>-2882265</wp:posOffset>
            </wp:positionV>
            <wp:extent cx="12700" cy="298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-2882265</wp:posOffset>
            </wp:positionV>
            <wp:extent cx="21590" cy="298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-2882265</wp:posOffset>
            </wp:positionV>
            <wp:extent cx="38735" cy="298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-1956435</wp:posOffset>
            </wp:positionV>
            <wp:extent cx="749935" cy="298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49935" cy="2984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-1956435</wp:posOffset>
            </wp:positionV>
            <wp:extent cx="12700" cy="298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6031865</wp:posOffset>
            </wp:positionH>
            <wp:positionV relativeFrom="paragraph">
              <wp:posOffset>-1956435</wp:posOffset>
            </wp:positionV>
            <wp:extent cx="38735" cy="298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-1956435</wp:posOffset>
            </wp:positionV>
            <wp:extent cx="749935" cy="298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49935" cy="29845"/>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-1604645</wp:posOffset>
            </wp:positionV>
            <wp:extent cx="12700" cy="298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-1604645</wp:posOffset>
            </wp:positionV>
            <wp:extent cx="21590" cy="298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-1604645</wp:posOffset>
            </wp:positionV>
            <wp:extent cx="38735" cy="298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-1090295</wp:posOffset>
            </wp:positionV>
            <wp:extent cx="12700" cy="298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-1090295</wp:posOffset>
            </wp:positionV>
            <wp:extent cx="21590" cy="298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-1090295</wp:posOffset>
            </wp:positionV>
            <wp:extent cx="38735" cy="298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-1090295</wp:posOffset>
            </wp:positionV>
            <wp:extent cx="12700" cy="298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6031865</wp:posOffset>
            </wp:positionH>
            <wp:positionV relativeFrom="paragraph">
              <wp:posOffset>-1090295</wp:posOffset>
            </wp:positionV>
            <wp:extent cx="38735" cy="298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-1090295</wp:posOffset>
            </wp:positionV>
            <wp:extent cx="12700" cy="298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-1090295</wp:posOffset>
            </wp:positionV>
            <wp:extent cx="21590" cy="298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-1090295</wp:posOffset>
            </wp:positionV>
            <wp:extent cx="38735" cy="298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-738505</wp:posOffset>
            </wp:positionV>
            <wp:extent cx="12700" cy="298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-738505</wp:posOffset>
            </wp:positionV>
            <wp:extent cx="21590" cy="298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-738505</wp:posOffset>
            </wp:positionV>
            <wp:extent cx="38735" cy="298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-241300</wp:posOffset>
            </wp:positionV>
            <wp:extent cx="749935" cy="298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49935" cy="2984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-241300</wp:posOffset>
            </wp:positionV>
            <wp:extent cx="12700" cy="298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6031865</wp:posOffset>
            </wp:positionH>
            <wp:positionV relativeFrom="paragraph">
              <wp:posOffset>-241300</wp:posOffset>
            </wp:positionV>
            <wp:extent cx="38735" cy="298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-241300</wp:posOffset>
            </wp:positionV>
            <wp:extent cx="12700" cy="298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-241300</wp:posOffset>
            </wp:positionV>
            <wp:extent cx="21590" cy="298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-241300</wp:posOffset>
            </wp:positionV>
            <wp:extent cx="38735" cy="298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Net Income</w:t>
      </w:r>
    </w:p>
    <w:p>
      <w:pPr>
        <w:spacing w:after="0" w:line="72"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The following is a reconciliation of reported net income (loss) to adjusted net income (loss) following the adoption of SFAS 142 (</w:t>
      </w:r>
      <w:r>
        <w:rPr>
          <w:rFonts w:ascii="Arial" w:cs="Arial" w:eastAsia="Arial" w:hAnsi="Arial"/>
          <w:sz w:val="18"/>
          <w:szCs w:val="18"/>
          <w:i w:val="1"/>
          <w:iCs w:val="1"/>
          <w:color w:val="auto"/>
        </w:rPr>
        <w:t>Goodwill and Other Intangible</w:t>
      </w:r>
      <w:r>
        <w:rPr>
          <w:rFonts w:ascii="Arial" w:cs="Arial" w:eastAsia="Arial" w:hAnsi="Arial"/>
          <w:sz w:val="18"/>
          <w:szCs w:val="18"/>
          <w:color w:val="auto"/>
        </w:rPr>
        <w:t xml:space="preserve"> </w:t>
      </w:r>
      <w:r>
        <w:rPr>
          <w:rFonts w:ascii="Arial" w:cs="Arial" w:eastAsia="Arial" w:hAnsi="Arial"/>
          <w:sz w:val="18"/>
          <w:szCs w:val="18"/>
          <w:i w:val="1"/>
          <w:iCs w:val="1"/>
          <w:color w:val="auto"/>
        </w:rPr>
        <w:t>Assets</w:t>
      </w:r>
      <w:r>
        <w:rPr>
          <w:rFonts w:ascii="Arial" w:cs="Arial" w:eastAsia="Arial" w:hAnsi="Arial"/>
          <w:sz w:val="18"/>
          <w:szCs w:val="18"/>
          <w:color w:val="auto"/>
        </w:rPr>
        <w:t>) on January 1, 2002.</w:t>
      </w:r>
    </w:p>
    <w:p>
      <w:pPr>
        <w:spacing w:after="0" w:line="11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(Stated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46620" cy="88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846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rPr>
              <w:t>2003</w:t>
            </w:r>
          </w:p>
        </w:tc>
        <w:tc>
          <w:tcPr>
            <w:tcW w:w="1280" w:type="dxa"/>
            <w:vAlign w:val="bottom"/>
            <w:gridSpan w:val="3"/>
          </w:tcPr>
          <w:p>
            <w:pPr>
              <w:jc w:val="right"/>
              <w:spacing w:after="0"/>
              <w:rPr>
                <w:sz w:val="20"/>
                <w:szCs w:val="20"/>
                <w:color w:val="auto"/>
              </w:rPr>
            </w:pPr>
            <w:r>
              <w:rPr>
                <w:rFonts w:ascii="Arial" w:cs="Arial" w:eastAsia="Arial" w:hAnsi="Arial"/>
                <w:sz w:val="14"/>
                <w:szCs w:val="14"/>
                <w:b w:val="1"/>
                <w:bCs w:val="1"/>
                <w:color w:val="auto"/>
              </w:rPr>
              <w:t>2002</w:t>
            </w:r>
          </w:p>
        </w:tc>
        <w:tc>
          <w:tcPr>
            <w:tcW w:w="540" w:type="dxa"/>
            <w:vAlign w:val="bottom"/>
          </w:tcPr>
          <w:p>
            <w:pPr>
              <w:spacing w:after="0"/>
              <w:rPr>
                <w:sz w:val="15"/>
                <w:szCs w:val="15"/>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2001</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8460" w:type="dxa"/>
            <w:vAlign w:val="bottom"/>
          </w:tcPr>
          <w:p>
            <w:pPr>
              <w:spacing w:after="0"/>
              <w:rPr>
                <w:sz w:val="8"/>
                <w:szCs w:val="8"/>
                <w:color w:val="auto"/>
              </w:rPr>
            </w:pPr>
          </w:p>
        </w:tc>
        <w:tc>
          <w:tcPr>
            <w:tcW w:w="56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5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84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Reported Net Income (Loss)</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86"/>
              </w:rPr>
              <w:t>$ 383,002</w:t>
            </w:r>
          </w:p>
        </w:tc>
        <w:tc>
          <w:tcPr>
            <w:tcW w:w="1820" w:type="dxa"/>
            <w:vAlign w:val="bottom"/>
            <w:gridSpan w:val="4"/>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 (2,319,995)</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6"/>
              </w:rPr>
              <w:t>$ 522,217</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460" w:type="dxa"/>
            <w:vAlign w:val="bottom"/>
          </w:tcPr>
          <w:p>
            <w:pPr>
              <w:spacing w:after="0"/>
              <w:rPr>
                <w:sz w:val="20"/>
                <w:szCs w:val="20"/>
                <w:color w:val="auto"/>
              </w:rPr>
            </w:pPr>
            <w:r>
              <w:rPr>
                <w:rFonts w:ascii="Arial" w:cs="Arial" w:eastAsia="Arial" w:hAnsi="Arial"/>
                <w:sz w:val="14"/>
                <w:szCs w:val="14"/>
                <w:color w:val="auto"/>
              </w:rPr>
              <w:t>Goodwill amortization</w:t>
            </w: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40" w:type="dxa"/>
            <w:vAlign w:val="bottom"/>
            <w:gridSpan w:val="2"/>
          </w:tcPr>
          <w:p>
            <w:pPr>
              <w:jc w:val="right"/>
              <w:ind w:right="540"/>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291,574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8460" w:type="dxa"/>
            <w:vAlign w:val="bottom"/>
            <w:tcBorders>
              <w:bottom w:val="single" w:sz="8" w:color="auto"/>
            </w:tcBorders>
          </w:tcPr>
          <w:p>
            <w:pPr>
              <w:spacing w:after="0"/>
              <w:rPr>
                <w:sz w:val="7"/>
                <w:szCs w:val="7"/>
                <w:color w:val="auto"/>
              </w:rPr>
            </w:pPr>
          </w:p>
        </w:tc>
        <w:tc>
          <w:tcPr>
            <w:tcW w:w="560" w:type="dxa"/>
            <w:vAlign w:val="bottom"/>
            <w:tcBorders>
              <w:bottom w:val="single" w:sz="8" w:color="auto"/>
            </w:tcBorders>
          </w:tcPr>
          <w:p>
            <w:pPr>
              <w:spacing w:after="0"/>
              <w:rPr>
                <w:sz w:val="7"/>
                <w:szCs w:val="7"/>
                <w:color w:val="auto"/>
              </w:rPr>
            </w:pPr>
          </w:p>
        </w:tc>
        <w:tc>
          <w:tcPr>
            <w:tcW w:w="560" w:type="dxa"/>
            <w:vAlign w:val="bottom"/>
          </w:tcPr>
          <w:p>
            <w:pPr>
              <w:spacing w:after="0"/>
              <w:rPr>
                <w:sz w:val="7"/>
                <w:szCs w:val="7"/>
                <w:color w:val="auto"/>
              </w:rPr>
            </w:pPr>
          </w:p>
        </w:tc>
        <w:tc>
          <w:tcPr>
            <w:tcW w:w="20" w:type="dxa"/>
            <w:vAlign w:val="bottom"/>
          </w:tcPr>
          <w:p>
            <w:pPr>
              <w:spacing w:after="0"/>
              <w:rPr>
                <w:sz w:val="7"/>
                <w:szCs w:val="7"/>
                <w:color w:val="auto"/>
              </w:rPr>
            </w:pPr>
          </w:p>
        </w:tc>
        <w:tc>
          <w:tcPr>
            <w:tcW w:w="700" w:type="dxa"/>
            <w:vAlign w:val="bottom"/>
            <w:tcBorders>
              <w:bottom w:val="single" w:sz="8" w:color="auto"/>
            </w:tcBorders>
          </w:tcPr>
          <w:p>
            <w:pPr>
              <w:spacing w:after="0"/>
              <w:rPr>
                <w:sz w:val="7"/>
                <w:szCs w:val="7"/>
                <w:color w:val="auto"/>
              </w:rPr>
            </w:pPr>
          </w:p>
        </w:tc>
        <w:tc>
          <w:tcPr>
            <w:tcW w:w="540" w:type="dxa"/>
            <w:vAlign w:val="bottom"/>
          </w:tcPr>
          <w:p>
            <w:pPr>
              <w:spacing w:after="0"/>
              <w:rPr>
                <w:sz w:val="7"/>
                <w:szCs w:val="7"/>
                <w:color w:val="auto"/>
              </w:rPr>
            </w:pPr>
          </w:p>
        </w:tc>
        <w:tc>
          <w:tcPr>
            <w:tcW w:w="56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460" w:type="dxa"/>
            <w:vAlign w:val="bottom"/>
          </w:tcPr>
          <w:p>
            <w:pPr>
              <w:spacing w:after="0"/>
              <w:rPr>
                <w:sz w:val="8"/>
                <w:szCs w:val="8"/>
                <w:color w:val="auto"/>
              </w:rPr>
            </w:pPr>
          </w:p>
        </w:tc>
        <w:tc>
          <w:tcPr>
            <w:tcW w:w="56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5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84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Adjusted Net Income (Loss)</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86"/>
              </w:rPr>
              <w:t>$ 383,002</w:t>
            </w:r>
          </w:p>
        </w:tc>
        <w:tc>
          <w:tcPr>
            <w:tcW w:w="1820" w:type="dxa"/>
            <w:vAlign w:val="bottom"/>
            <w:gridSpan w:val="4"/>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 (2,319,995)</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6"/>
              </w:rPr>
              <w:t>$ 813,791</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460" w:type="dxa"/>
            <w:vAlign w:val="bottom"/>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5380355</wp:posOffset>
            </wp:positionH>
            <wp:positionV relativeFrom="paragraph">
              <wp:posOffset>-29210</wp:posOffset>
            </wp:positionV>
            <wp:extent cx="12700" cy="298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-29210</wp:posOffset>
            </wp:positionV>
            <wp:extent cx="12700" cy="298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5448935</wp:posOffset>
            </wp:positionH>
            <wp:positionV relativeFrom="paragraph">
              <wp:posOffset>-29210</wp:posOffset>
            </wp:positionV>
            <wp:extent cx="21590" cy="298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6100445</wp:posOffset>
            </wp:positionH>
            <wp:positionV relativeFrom="paragraph">
              <wp:posOffset>-29210</wp:posOffset>
            </wp:positionV>
            <wp:extent cx="12700" cy="298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6160770</wp:posOffset>
            </wp:positionH>
            <wp:positionV relativeFrom="paragraph">
              <wp:posOffset>-29210</wp:posOffset>
            </wp:positionV>
            <wp:extent cx="21590" cy="298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6537960</wp:posOffset>
            </wp:positionH>
            <wp:positionV relativeFrom="paragraph">
              <wp:posOffset>-29210</wp:posOffset>
            </wp:positionV>
            <wp:extent cx="38735" cy="298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6898005</wp:posOffset>
            </wp:positionH>
            <wp:positionV relativeFrom="paragraph">
              <wp:posOffset>-29210</wp:posOffset>
            </wp:positionV>
            <wp:extent cx="12700" cy="298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6958330</wp:posOffset>
            </wp:positionH>
            <wp:positionV relativeFrom="paragraph">
              <wp:posOffset>-29210</wp:posOffset>
            </wp:positionV>
            <wp:extent cx="21590" cy="298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&amp; Engineering</w:t>
      </w:r>
    </w:p>
    <w:p>
      <w:pPr>
        <w:spacing w:after="0" w:line="72"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All research and engineering expenditures are expensed as incurred, including costs relating to patents or rights that may result from such expenditures. Included in 2001 expenditures was a charge of $25 million for in-process R&amp;D related to the Bull CP8 acquisition.</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Accounting Standards</w:t>
      </w:r>
    </w:p>
    <w:p>
      <w:pPr>
        <w:spacing w:after="0" w:line="72" w:lineRule="exact"/>
        <w:rPr>
          <w:sz w:val="20"/>
          <w:szCs w:val="20"/>
          <w:color w:val="auto"/>
        </w:rPr>
      </w:pPr>
    </w:p>
    <w:p>
      <w:pPr>
        <w:spacing w:after="0"/>
        <w:rPr>
          <w:sz w:val="20"/>
          <w:szCs w:val="20"/>
          <w:color w:val="auto"/>
        </w:rPr>
      </w:pPr>
      <w:r>
        <w:rPr>
          <w:rFonts w:ascii="Arial" w:cs="Arial" w:eastAsia="Arial" w:hAnsi="Arial"/>
          <w:sz w:val="16"/>
          <w:szCs w:val="16"/>
          <w:color w:val="auto"/>
        </w:rPr>
        <w:t>In July 2002, the Financial Accounting Standards Board issued SFAS 146 (</w:t>
      </w:r>
      <w:r>
        <w:rPr>
          <w:rFonts w:ascii="Arial" w:cs="Arial" w:eastAsia="Arial" w:hAnsi="Arial"/>
          <w:sz w:val="16"/>
          <w:szCs w:val="16"/>
          <w:i w:val="1"/>
          <w:iCs w:val="1"/>
          <w:color w:val="auto"/>
        </w:rPr>
        <w:t>Accounting for Costs Associated with Exit or Disposal Activities</w:t>
      </w:r>
      <w:r>
        <w:rPr>
          <w:rFonts w:ascii="Arial" w:cs="Arial" w:eastAsia="Arial" w:hAnsi="Arial"/>
          <w:sz w:val="16"/>
          <w:szCs w:val="16"/>
          <w:color w:val="auto"/>
        </w:rPr>
        <w:t>). The standard</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required companies to recognize costs associated with exit or disposal activities when they are incurred rather than at the date of a commitment to an exit 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disposal plan. Examples of costs covered by the standard include lease termination costs and certain employee severance costs that are associated with 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restructuring, discontinued operation, plant closing, or other exit or disposal activity. Previous accounting guidance was provided by EITF Issue No. 94-3,</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Liability Recognition for Certain Employee Termination Benefits and Other Costs to Exit an Activity [including Certain Costs Incurred in a Restructuring])</w:t>
      </w:r>
      <w:r>
        <w:rPr>
          <w:rFonts w:ascii="Arial" w:cs="Arial" w:eastAsia="Arial" w:hAnsi="Arial"/>
          <w:sz w:val="16"/>
          <w:szCs w:val="16"/>
          <w:color w:val="auto"/>
        </w:rPr>
        <w: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SFAS 146 replaced Issue 94-3. Schlumberger adopted SFAS 146 prospectively to exit or disposal activities initiated after December 31, 2002.</w:t>
      </w:r>
    </w:p>
    <w:p>
      <w:pPr>
        <w:spacing w:after="0" w:line="149" w:lineRule="exact"/>
        <w:rPr>
          <w:sz w:val="20"/>
          <w:szCs w:val="20"/>
          <w:color w:val="auto"/>
        </w:rPr>
      </w:pPr>
    </w:p>
    <w:p>
      <w:pPr>
        <w:spacing w:after="0"/>
        <w:tabs>
          <w:tab w:leader="none" w:pos="10400" w:val="left"/>
        </w:tabs>
        <w:rPr>
          <w:sz w:val="20"/>
          <w:szCs w:val="20"/>
          <w:color w:val="auto"/>
        </w:rPr>
      </w:pPr>
      <w:r>
        <w:rPr>
          <w:rFonts w:ascii="Arial" w:cs="Arial" w:eastAsia="Arial" w:hAnsi="Arial"/>
          <w:sz w:val="14"/>
          <w:szCs w:val="14"/>
          <w:color w:val="auto"/>
        </w:rPr>
        <w:t>45 / SLB</w:t>
      </w:r>
      <w:r>
        <w:rPr>
          <w:sz w:val="20"/>
          <w:szCs w:val="20"/>
          <w:color w:val="auto"/>
        </w:rPr>
        <w:tab/>
      </w:r>
      <w:r>
        <w:rPr>
          <w:rFonts w:ascii="Arial" w:cs="Arial" w:eastAsia="Arial" w:hAnsi="Arial"/>
          <w:sz w:val="12"/>
          <w:szCs w:val="12"/>
          <w:color w:val="auto"/>
        </w:rPr>
        <w:t>2003 FORM 10-K</w:t>
      </w:r>
    </w:p>
    <w:p>
      <w:pPr>
        <w:sectPr>
          <w:pgSz w:w="11900" w:h="16838" w:orient="portrait"/>
          <w:cols w:equalWidth="0" w:num="1">
            <w:col w:w="11420"/>
          </w:cols>
          <w:pgMar w:left="240" w:top="45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4"/>
          <w:szCs w:val="14"/>
          <w:color w:val="auto"/>
        </w:rPr>
        <w:t>Part II, Item 8</w:t>
      </w:r>
    </w:p>
    <w:p>
      <w:pPr>
        <w:spacing w:after="0" w:line="139" w:lineRule="exact"/>
        <w:rPr>
          <w:sz w:val="20"/>
          <w:szCs w:val="20"/>
          <w:color w:val="auto"/>
        </w:rPr>
      </w:pPr>
    </w:p>
    <w:p>
      <w:pPr>
        <w:jc w:val="both"/>
        <w:ind w:right="400" w:firstLine="228"/>
        <w:spacing w:after="0" w:line="252" w:lineRule="auto"/>
        <w:rPr>
          <w:sz w:val="20"/>
          <w:szCs w:val="20"/>
          <w:color w:val="auto"/>
        </w:rPr>
      </w:pPr>
      <w:r>
        <w:rPr>
          <w:rFonts w:ascii="Arial" w:cs="Arial" w:eastAsia="Arial" w:hAnsi="Arial"/>
          <w:sz w:val="18"/>
          <w:szCs w:val="18"/>
          <w:color w:val="auto"/>
        </w:rPr>
        <w:t>In November 2002, FASB Interpretation No. 45 (</w:t>
      </w:r>
      <w:r>
        <w:rPr>
          <w:rFonts w:ascii="Arial" w:cs="Arial" w:eastAsia="Arial" w:hAnsi="Arial"/>
          <w:sz w:val="18"/>
          <w:szCs w:val="18"/>
          <w:i w:val="1"/>
          <w:iCs w:val="1"/>
          <w:color w:val="auto"/>
        </w:rPr>
        <w:t>Guarantor’s Accounting and Disclosure Requirements for Guarantees, Including Indirect Guarantees of</w:t>
      </w:r>
      <w:r>
        <w:rPr>
          <w:rFonts w:ascii="Arial" w:cs="Arial" w:eastAsia="Arial" w:hAnsi="Arial"/>
          <w:sz w:val="18"/>
          <w:szCs w:val="18"/>
          <w:color w:val="auto"/>
        </w:rPr>
        <w:t xml:space="preserve"> </w:t>
      </w:r>
      <w:r>
        <w:rPr>
          <w:rFonts w:ascii="Arial" w:cs="Arial" w:eastAsia="Arial" w:hAnsi="Arial"/>
          <w:sz w:val="18"/>
          <w:szCs w:val="18"/>
          <w:i w:val="1"/>
          <w:iCs w:val="1"/>
          <w:color w:val="auto"/>
        </w:rPr>
        <w:t>Indebtedness of Others</w:t>
      </w:r>
      <w:r>
        <w:rPr>
          <w:rFonts w:ascii="Arial" w:cs="Arial" w:eastAsia="Arial" w:hAnsi="Arial"/>
          <w:sz w:val="18"/>
          <w:szCs w:val="18"/>
          <w:color w:val="auto"/>
        </w:rPr>
        <w:t>) was issued. It requires certain accounting and disclosures of guarantees to third parties including indebtedness. The interpretation is</w:t>
      </w:r>
      <w:r>
        <w:rPr>
          <w:rFonts w:ascii="Arial" w:cs="Arial" w:eastAsia="Arial" w:hAnsi="Arial"/>
          <w:sz w:val="18"/>
          <w:szCs w:val="18"/>
          <w:i w:val="1"/>
          <w:iCs w:val="1"/>
          <w:color w:val="auto"/>
        </w:rPr>
        <w:t xml:space="preserve"> </w:t>
      </w:r>
      <w:r>
        <w:rPr>
          <w:rFonts w:ascii="Arial" w:cs="Arial" w:eastAsia="Arial" w:hAnsi="Arial"/>
          <w:sz w:val="18"/>
          <w:szCs w:val="18"/>
          <w:color w:val="auto"/>
        </w:rPr>
        <w:t>effective on a prospective basis for guarantees issued or modified after December 31, 2002. The implementation of this interpretation did not have a material effect on Schlumberger’s financial position or results of operations.</w:t>
      </w:r>
    </w:p>
    <w:p>
      <w:pPr>
        <w:spacing w:after="0" w:line="1" w:lineRule="exact"/>
        <w:rPr>
          <w:sz w:val="20"/>
          <w:szCs w:val="20"/>
          <w:color w:val="auto"/>
        </w:rPr>
      </w:pPr>
    </w:p>
    <w:p>
      <w:pPr>
        <w:ind w:right="280" w:firstLine="228"/>
        <w:spacing w:after="0" w:line="281" w:lineRule="auto"/>
        <w:rPr>
          <w:sz w:val="20"/>
          <w:szCs w:val="20"/>
          <w:color w:val="auto"/>
        </w:rPr>
      </w:pPr>
      <w:r>
        <w:rPr>
          <w:rFonts w:ascii="Arial" w:cs="Arial" w:eastAsia="Arial" w:hAnsi="Arial"/>
          <w:sz w:val="16"/>
          <w:szCs w:val="16"/>
          <w:color w:val="auto"/>
        </w:rPr>
        <w:t>In January 2003, the Emerging Issues Task Force (EITF) issued No. 00-21 (</w:t>
      </w:r>
      <w:r>
        <w:rPr>
          <w:rFonts w:ascii="Arial" w:cs="Arial" w:eastAsia="Arial" w:hAnsi="Arial"/>
          <w:sz w:val="16"/>
          <w:szCs w:val="16"/>
          <w:i w:val="1"/>
          <w:iCs w:val="1"/>
          <w:color w:val="auto"/>
        </w:rPr>
        <w:t>Accounting for Revenue Arrangements with Multiple Deliverables</w:t>
      </w:r>
      <w:r>
        <w:rPr>
          <w:rFonts w:ascii="Arial" w:cs="Arial" w:eastAsia="Arial" w:hAnsi="Arial"/>
          <w:sz w:val="16"/>
          <w:szCs w:val="16"/>
          <w:color w:val="auto"/>
        </w:rPr>
        <w:t>). This EITF establishes the criteria for recognizing revenue in arrangements when several items are bundled into one agreement. EITF 00-21 does not allow revenue recognition unless the fair value of the undelivered element(s) is available and the element has stand-alone value to the customer. EITF 00-21 also provides guidance on allocating the total contract revenue to the individual elements based upon the available fair value of each deliverable. The implementation of this pronouncement did not have a material impact on Schlumberger’s financial position or results of operations.</w:t>
      </w:r>
    </w:p>
    <w:p>
      <w:pPr>
        <w:spacing w:after="0" w:line="3" w:lineRule="exact"/>
        <w:rPr>
          <w:sz w:val="20"/>
          <w:szCs w:val="20"/>
          <w:color w:val="auto"/>
        </w:rPr>
      </w:pPr>
    </w:p>
    <w:p>
      <w:pPr>
        <w:ind w:right="100" w:firstLine="228"/>
        <w:spacing w:after="0" w:line="281" w:lineRule="auto"/>
        <w:rPr>
          <w:sz w:val="20"/>
          <w:szCs w:val="20"/>
          <w:color w:val="auto"/>
        </w:rPr>
      </w:pPr>
      <w:r>
        <w:rPr>
          <w:rFonts w:ascii="Arial" w:cs="Arial" w:eastAsia="Arial" w:hAnsi="Arial"/>
          <w:sz w:val="16"/>
          <w:szCs w:val="16"/>
          <w:color w:val="auto"/>
        </w:rPr>
        <w:t>In January 2003, the Financial Accounting Standards Board issued FASB Interpretation No. 46, (</w:t>
      </w:r>
      <w:r>
        <w:rPr>
          <w:rFonts w:ascii="Arial" w:cs="Arial" w:eastAsia="Arial" w:hAnsi="Arial"/>
          <w:sz w:val="16"/>
          <w:szCs w:val="16"/>
          <w:i w:val="1"/>
          <w:iCs w:val="1"/>
          <w:color w:val="auto"/>
        </w:rPr>
        <w:t>Consolidation of Variable Interest Entities, an Interpretation</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of ARB No. 51). </w:t>
      </w:r>
      <w:r>
        <w:rPr>
          <w:rFonts w:ascii="Arial" w:cs="Arial" w:eastAsia="Arial" w:hAnsi="Arial"/>
          <w:sz w:val="16"/>
          <w:szCs w:val="16"/>
          <w:color w:val="auto"/>
        </w:rPr>
        <w:t>The primary objective of the interpretation is to provide guidance on the identification of, and financial reporting for entities over which control</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is achieved through means other than voting rights; such entities are known as variable-interest entities (VIE’s). FIN 46 provides guidance that determines (1) whether consolidation is required under the “controlling financial interest” model of Accounting Research Bulletin No. 51 (ARB 51), </w:t>
      </w:r>
      <w:r>
        <w:rPr>
          <w:rFonts w:ascii="Arial" w:cs="Arial" w:eastAsia="Arial" w:hAnsi="Arial"/>
          <w:sz w:val="16"/>
          <w:szCs w:val="16"/>
          <w:i w:val="1"/>
          <w:iCs w:val="1"/>
          <w:color w:val="auto"/>
        </w:rPr>
        <w:t>Consolidated Financial</w:t>
      </w:r>
      <w:r>
        <w:rPr>
          <w:rFonts w:ascii="Arial" w:cs="Arial" w:eastAsia="Arial" w:hAnsi="Arial"/>
          <w:sz w:val="16"/>
          <w:szCs w:val="16"/>
          <w:color w:val="auto"/>
        </w:rPr>
        <w:t xml:space="preserve"> </w:t>
      </w:r>
      <w:r>
        <w:rPr>
          <w:rFonts w:ascii="Arial" w:cs="Arial" w:eastAsia="Arial" w:hAnsi="Arial"/>
          <w:sz w:val="16"/>
          <w:szCs w:val="16"/>
          <w:i w:val="1"/>
          <w:iCs w:val="1"/>
          <w:color w:val="auto"/>
        </w:rPr>
        <w:t>Statements</w:t>
      </w:r>
      <w:r>
        <w:rPr>
          <w:rFonts w:ascii="Arial" w:cs="Arial" w:eastAsia="Arial" w:hAnsi="Arial"/>
          <w:sz w:val="16"/>
          <w:szCs w:val="16"/>
          <w:color w:val="auto"/>
        </w:rPr>
        <w:t>, or other existing authoritative guidance, or, alternative, (2) whether the variable-interest model under FIN 46 should be used to account for existing</w:t>
      </w:r>
      <w:r>
        <w:rPr>
          <w:rFonts w:ascii="Arial" w:cs="Arial" w:eastAsia="Arial" w:hAnsi="Arial"/>
          <w:sz w:val="16"/>
          <w:szCs w:val="16"/>
          <w:i w:val="1"/>
          <w:iCs w:val="1"/>
          <w:color w:val="auto"/>
        </w:rPr>
        <w:t xml:space="preserve"> </w:t>
      </w:r>
      <w:r>
        <w:rPr>
          <w:rFonts w:ascii="Arial" w:cs="Arial" w:eastAsia="Arial" w:hAnsi="Arial"/>
          <w:sz w:val="16"/>
          <w:szCs w:val="16"/>
          <w:color w:val="auto"/>
        </w:rPr>
        <w:t>and new entities. Schlumberger does not believe that the adoption of this statement will have a material effect on the financial position or results of operations.</w:t>
      </w:r>
    </w:p>
    <w:p>
      <w:pPr>
        <w:spacing w:after="0" w:line="4" w:lineRule="exact"/>
        <w:rPr>
          <w:sz w:val="20"/>
          <w:szCs w:val="20"/>
          <w:color w:val="auto"/>
        </w:rPr>
      </w:pPr>
    </w:p>
    <w:p>
      <w:pPr>
        <w:ind w:right="20" w:firstLine="228"/>
        <w:spacing w:after="0" w:line="281" w:lineRule="auto"/>
        <w:rPr>
          <w:sz w:val="20"/>
          <w:szCs w:val="20"/>
          <w:color w:val="auto"/>
        </w:rPr>
      </w:pPr>
      <w:r>
        <w:rPr>
          <w:rFonts w:ascii="Arial" w:cs="Arial" w:eastAsia="Arial" w:hAnsi="Arial"/>
          <w:sz w:val="16"/>
          <w:szCs w:val="16"/>
          <w:color w:val="auto"/>
        </w:rPr>
        <w:t>In April 2003, the Financial Accounting Standards Board issued SFAS No. 149 (</w:t>
      </w:r>
      <w:r>
        <w:rPr>
          <w:rFonts w:ascii="Arial" w:cs="Arial" w:eastAsia="Arial" w:hAnsi="Arial"/>
          <w:sz w:val="16"/>
          <w:szCs w:val="16"/>
          <w:i w:val="1"/>
          <w:iCs w:val="1"/>
          <w:color w:val="auto"/>
        </w:rPr>
        <w:t>Amendment of Statement 133 on Derivative Instruments and Hedging</w:t>
      </w:r>
      <w:r>
        <w:rPr>
          <w:rFonts w:ascii="Arial" w:cs="Arial" w:eastAsia="Arial" w:hAnsi="Arial"/>
          <w:sz w:val="16"/>
          <w:szCs w:val="16"/>
          <w:color w:val="auto"/>
        </w:rPr>
        <w:t xml:space="preserve"> </w:t>
      </w:r>
      <w:r>
        <w:rPr>
          <w:rFonts w:ascii="Arial" w:cs="Arial" w:eastAsia="Arial" w:hAnsi="Arial"/>
          <w:sz w:val="16"/>
          <w:szCs w:val="16"/>
          <w:i w:val="1"/>
          <w:iCs w:val="1"/>
          <w:color w:val="auto"/>
        </w:rPr>
        <w:t>Activities</w:t>
      </w:r>
      <w:r>
        <w:rPr>
          <w:rFonts w:ascii="Arial" w:cs="Arial" w:eastAsia="Arial" w:hAnsi="Arial"/>
          <w:sz w:val="16"/>
          <w:szCs w:val="16"/>
          <w:color w:val="auto"/>
        </w:rPr>
        <w:t>) which amends and clarifies financial accounting and reporting for derivative instruments, including certain derivative instruments embedded in other</w:t>
      </w:r>
      <w:r>
        <w:rPr>
          <w:rFonts w:ascii="Arial" w:cs="Arial" w:eastAsia="Arial" w:hAnsi="Arial"/>
          <w:sz w:val="16"/>
          <w:szCs w:val="16"/>
          <w:i w:val="1"/>
          <w:iCs w:val="1"/>
          <w:color w:val="auto"/>
        </w:rPr>
        <w:t xml:space="preserve"> </w:t>
      </w:r>
      <w:r>
        <w:rPr>
          <w:rFonts w:ascii="Arial" w:cs="Arial" w:eastAsia="Arial" w:hAnsi="Arial"/>
          <w:sz w:val="16"/>
          <w:szCs w:val="16"/>
          <w:color w:val="auto"/>
        </w:rPr>
        <w:t>contracts and for hedging activities under SFAS No. 133 (</w:t>
      </w:r>
      <w:r>
        <w:rPr>
          <w:rFonts w:ascii="Arial" w:cs="Arial" w:eastAsia="Arial" w:hAnsi="Arial"/>
          <w:sz w:val="16"/>
          <w:szCs w:val="16"/>
          <w:i w:val="1"/>
          <w:iCs w:val="1"/>
          <w:color w:val="auto"/>
        </w:rPr>
        <w:t>Accounting for Derivative Instruments and Hedging Activities</w:t>
      </w:r>
      <w:r>
        <w:rPr>
          <w:rFonts w:ascii="Arial" w:cs="Arial" w:eastAsia="Arial" w:hAnsi="Arial"/>
          <w:sz w:val="16"/>
          <w:szCs w:val="16"/>
          <w:color w:val="auto"/>
        </w:rPr>
        <w:t>). SFAS 149, which is to be applied prospectively, is effective for contracts entered into or modified after June 30, 2003, and for hedging relationships designated after June 30, 2003. The adoption of this new standard did not have a material impact on Schlumberger’s results of operations or financial position.</w:t>
      </w:r>
    </w:p>
    <w:p>
      <w:pPr>
        <w:spacing w:after="0" w:line="3" w:lineRule="exact"/>
        <w:rPr>
          <w:sz w:val="20"/>
          <w:szCs w:val="20"/>
          <w:color w:val="auto"/>
        </w:rPr>
      </w:pPr>
    </w:p>
    <w:p>
      <w:pPr>
        <w:jc w:val="both"/>
        <w:ind w:right="200" w:firstLine="228"/>
        <w:spacing w:after="0" w:line="281" w:lineRule="auto"/>
        <w:rPr>
          <w:sz w:val="20"/>
          <w:szCs w:val="20"/>
          <w:color w:val="auto"/>
        </w:rPr>
      </w:pPr>
      <w:r>
        <w:rPr>
          <w:rFonts w:ascii="Arial" w:cs="Arial" w:eastAsia="Arial" w:hAnsi="Arial"/>
          <w:sz w:val="16"/>
          <w:szCs w:val="16"/>
          <w:color w:val="auto"/>
        </w:rPr>
        <w:t>In May 2003, the Financial Accounting Standards Board, issued SFAS No. 150, (Accounting for Certain Financial Instruments with Characteristics of Both Liabilities and Equity). The Standard specifies that instruments within its scope embody obligations of the issues and therefore, the issuer must classify them as liabilities. The Standard was effective July 1, 2003, and had no material effect on Schlumberger’s financial position.</w:t>
      </w:r>
    </w:p>
    <w:p>
      <w:pPr>
        <w:spacing w:after="0" w:line="2" w:lineRule="exact"/>
        <w:rPr>
          <w:sz w:val="20"/>
          <w:szCs w:val="20"/>
          <w:color w:val="auto"/>
        </w:rPr>
      </w:pPr>
    </w:p>
    <w:p>
      <w:pPr>
        <w:ind w:right="40" w:firstLine="228"/>
        <w:spacing w:after="0" w:line="295" w:lineRule="auto"/>
        <w:rPr>
          <w:sz w:val="20"/>
          <w:szCs w:val="20"/>
          <w:color w:val="auto"/>
        </w:rPr>
      </w:pPr>
      <w:r>
        <w:rPr>
          <w:rFonts w:ascii="Arial" w:cs="Arial" w:eastAsia="Arial" w:hAnsi="Arial"/>
          <w:sz w:val="16"/>
          <w:szCs w:val="16"/>
          <w:color w:val="auto"/>
        </w:rPr>
        <w:t>In January 2004, the Financial Accounting Standards Board issued FSP No. FAS 106-1 (</w:t>
      </w:r>
      <w:r>
        <w:rPr>
          <w:rFonts w:ascii="Arial" w:cs="Arial" w:eastAsia="Arial" w:hAnsi="Arial"/>
          <w:sz w:val="16"/>
          <w:szCs w:val="16"/>
          <w:i w:val="1"/>
          <w:iCs w:val="1"/>
          <w:color w:val="auto"/>
        </w:rPr>
        <w:t>Accounting and Disclosure Requirements Related to the Medicare</w:t>
      </w:r>
      <w:r>
        <w:rPr>
          <w:rFonts w:ascii="Arial" w:cs="Arial" w:eastAsia="Arial" w:hAnsi="Arial"/>
          <w:sz w:val="16"/>
          <w:szCs w:val="16"/>
          <w:color w:val="auto"/>
        </w:rPr>
        <w:t xml:space="preserve"> </w:t>
      </w:r>
      <w:r>
        <w:rPr>
          <w:rFonts w:ascii="Arial" w:cs="Arial" w:eastAsia="Arial" w:hAnsi="Arial"/>
          <w:sz w:val="16"/>
          <w:szCs w:val="16"/>
          <w:i w:val="1"/>
          <w:iCs w:val="1"/>
          <w:color w:val="auto"/>
        </w:rPr>
        <w:t>Prescription Drug Improvement and Modernization Act of 2003</w:t>
      </w:r>
      <w:r>
        <w:rPr>
          <w:rFonts w:ascii="Arial" w:cs="Arial" w:eastAsia="Arial" w:hAnsi="Arial"/>
          <w:sz w:val="16"/>
          <w:szCs w:val="16"/>
          <w:color w:val="auto"/>
        </w:rPr>
        <w:t>). The statement permits the deferral of accounting related to the effects of the legislation until the</w:t>
      </w:r>
      <w:r>
        <w:rPr>
          <w:rFonts w:ascii="Arial" w:cs="Arial" w:eastAsia="Arial" w:hAnsi="Arial"/>
          <w:sz w:val="16"/>
          <w:szCs w:val="16"/>
          <w:i w:val="1"/>
          <w:iCs w:val="1"/>
          <w:color w:val="auto"/>
        </w:rPr>
        <w:t xml:space="preserve"> </w:t>
      </w:r>
      <w:r>
        <w:rPr>
          <w:rFonts w:ascii="Arial" w:cs="Arial" w:eastAsia="Arial" w:hAnsi="Arial"/>
          <w:sz w:val="16"/>
          <w:szCs w:val="16"/>
          <w:color w:val="auto"/>
        </w:rPr>
        <w:t>earlier of issuance of final accounting guidance by the FASB or a significant plan amendment/curtailment event requiring remeasurement, occurring after January 31, 2004. Schlumberger expects the new legislation will significantly reduce future postretirement medical costs.</w:t>
      </w:r>
    </w:p>
    <w:p>
      <w:pPr>
        <w:spacing w:after="0" w:line="91" w:lineRule="exact"/>
        <w:rPr>
          <w:sz w:val="20"/>
          <w:szCs w:val="20"/>
          <w:color w:val="auto"/>
        </w:rPr>
      </w:pPr>
    </w:p>
    <w:p>
      <w:pPr>
        <w:ind w:left="340" w:hanging="332"/>
        <w:spacing w:after="0"/>
        <w:tabs>
          <w:tab w:leader="none" w:pos="34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Hanover Compressor Company</w:t>
      </w:r>
    </w:p>
    <w:p>
      <w:pPr>
        <w:spacing w:after="0" w:line="74"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August 2001, Schlumberger sold its Oilfield Services worldwide gas compression activity to Hanover Compressor Company. The proceeds included 8.7 million shares of Hanover Compressor common stock, with a value at closing of $173 million, which is restricted from marketability until August 30, 2004, and a $150 million long-term subordinated note maturing December 15, 2005.</w:t>
      </w:r>
    </w:p>
    <w:p>
      <w:pPr>
        <w:spacing w:after="0" w:line="124" w:lineRule="exact"/>
        <w:rPr>
          <w:sz w:val="20"/>
          <w:szCs w:val="20"/>
          <w:color w:val="auto"/>
        </w:rPr>
      </w:pPr>
    </w:p>
    <w:p>
      <w:pPr>
        <w:spacing w:after="0"/>
        <w:tabs>
          <w:tab w:leader="none" w:pos="10400" w:val="left"/>
        </w:tabs>
        <w:rPr>
          <w:sz w:val="20"/>
          <w:szCs w:val="20"/>
          <w:color w:val="auto"/>
        </w:rPr>
      </w:pPr>
      <w:r>
        <w:rPr>
          <w:rFonts w:ascii="Arial" w:cs="Arial" w:eastAsia="Arial" w:hAnsi="Arial"/>
          <w:sz w:val="14"/>
          <w:szCs w:val="14"/>
          <w:color w:val="auto"/>
        </w:rPr>
        <w:t>46 / SLB</w:t>
      </w:r>
      <w:r>
        <w:rPr>
          <w:sz w:val="20"/>
          <w:szCs w:val="20"/>
          <w:color w:val="auto"/>
        </w:rPr>
        <w:tab/>
      </w:r>
      <w:r>
        <w:rPr>
          <w:rFonts w:ascii="Arial" w:cs="Arial" w:eastAsia="Arial" w:hAnsi="Arial"/>
          <w:sz w:val="12"/>
          <w:szCs w:val="12"/>
          <w:color w:val="auto"/>
        </w:rPr>
        <w:t>2003 FORM 10-K</w:t>
      </w:r>
    </w:p>
    <w:p>
      <w:pPr>
        <w:sectPr>
          <w:pgSz w:w="11900" w:h="16838" w:orient="portrait"/>
          <w:cols w:equalWidth="0" w:num="1">
            <w:col w:w="11420"/>
          </w:cols>
          <w:pgMar w:left="240" w:top="45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4"/>
          <w:szCs w:val="14"/>
          <w:color w:val="auto"/>
        </w:rPr>
        <w:t>Part II, Item 8</w:t>
      </w:r>
    </w:p>
    <w:p>
      <w:pPr>
        <w:spacing w:after="0" w:line="139" w:lineRule="exact"/>
        <w:rPr>
          <w:sz w:val="20"/>
          <w:szCs w:val="20"/>
          <w:color w:val="auto"/>
        </w:rPr>
      </w:pPr>
    </w:p>
    <w:p>
      <w:pPr>
        <w:ind w:left="240" w:right="280"/>
        <w:spacing w:after="0" w:line="286" w:lineRule="auto"/>
        <w:rPr>
          <w:sz w:val="20"/>
          <w:szCs w:val="20"/>
          <w:color w:val="auto"/>
        </w:rPr>
      </w:pPr>
      <w:r>
        <w:rPr>
          <w:rFonts w:ascii="Arial" w:cs="Arial" w:eastAsia="Arial" w:hAnsi="Arial"/>
          <w:sz w:val="16"/>
          <w:szCs w:val="16"/>
          <w:color w:val="auto"/>
        </w:rPr>
        <w:t>In the fourth quarter of 2003, Schlumberger sold the subordinated note for $177 million and realized a pretax gain of $32 million ($20 million after-tax). At December 31, 2003 the carrying value of Schlumberger’s investment in Hanover Compressor common stock exceeded the market value. As required by</w:t>
      </w:r>
    </w:p>
    <w:p>
      <w:pPr>
        <w:ind w:right="260"/>
        <w:spacing w:after="0" w:line="250" w:lineRule="auto"/>
        <w:rPr>
          <w:sz w:val="20"/>
          <w:szCs w:val="20"/>
          <w:color w:val="auto"/>
        </w:rPr>
      </w:pPr>
      <w:r>
        <w:rPr>
          <w:rFonts w:ascii="Arial" w:cs="Arial" w:eastAsia="Arial" w:hAnsi="Arial"/>
          <w:sz w:val="18"/>
          <w:szCs w:val="18"/>
          <w:color w:val="auto"/>
        </w:rPr>
        <w:t>generally accepted accounting principles (SFAS 115), Schlumberger wrote down its investment to the fair market value of $91.4 million at December 31, 2003 and recorded a pretax and after-tax charge of $81.2 million.</w:t>
      </w:r>
    </w:p>
    <w:p>
      <w:pPr>
        <w:spacing w:after="0" w:line="1" w:lineRule="exact"/>
        <w:rPr>
          <w:sz w:val="20"/>
          <w:szCs w:val="20"/>
          <w:color w:val="auto"/>
        </w:rPr>
      </w:pPr>
    </w:p>
    <w:p>
      <w:pPr>
        <w:ind w:right="40" w:firstLine="228"/>
        <w:spacing w:after="0" w:line="261" w:lineRule="auto"/>
        <w:rPr>
          <w:sz w:val="20"/>
          <w:szCs w:val="20"/>
          <w:color w:val="auto"/>
        </w:rPr>
      </w:pPr>
      <w:r>
        <w:rPr>
          <w:rFonts w:ascii="Arial" w:cs="Arial" w:eastAsia="Arial" w:hAnsi="Arial"/>
          <w:sz w:val="18"/>
          <w:szCs w:val="18"/>
          <w:color w:val="auto"/>
        </w:rPr>
        <w:t>As part of the sale agreement, Hanover Compressor had an option to put its interest in the PIGAP II joint venture in Venezuela back to Schlumberger if certain financing conditions were not met. Hanover Compressor did not exercise this option.</w:t>
      </w:r>
    </w:p>
    <w:p>
      <w:pPr>
        <w:spacing w:after="0" w:line="114" w:lineRule="exact"/>
        <w:rPr>
          <w:sz w:val="20"/>
          <w:szCs w:val="20"/>
          <w:color w:val="auto"/>
        </w:rPr>
      </w:pPr>
    </w:p>
    <w:p>
      <w:pPr>
        <w:ind w:left="340" w:hanging="332"/>
        <w:spacing w:after="0"/>
        <w:tabs>
          <w:tab w:leader="none" w:pos="34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Charges – Continuing Operations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Schlumberger recorded the following charges/credits in continuing operations:</w:t>
      </w:r>
    </w:p>
    <w:p>
      <w:pPr>
        <w:spacing w:after="0" w:line="15" w:lineRule="exact"/>
        <w:rPr>
          <w:sz w:val="20"/>
          <w:szCs w:val="20"/>
          <w:color w:val="auto"/>
        </w:rPr>
      </w:pPr>
    </w:p>
    <w:p>
      <w:pPr>
        <w:ind w:right="80" w:firstLine="228"/>
        <w:spacing w:after="0" w:line="250" w:lineRule="auto"/>
        <w:rPr>
          <w:sz w:val="20"/>
          <w:szCs w:val="20"/>
          <w:color w:val="auto"/>
        </w:rPr>
      </w:pPr>
      <w:r>
        <w:rPr>
          <w:rFonts w:ascii="Arial" w:cs="Arial" w:eastAsia="Arial" w:hAnsi="Arial"/>
          <w:sz w:val="18"/>
          <w:szCs w:val="18"/>
          <w:color w:val="auto"/>
        </w:rPr>
        <w:t xml:space="preserve">In December 2003, a pretax gain of $32 million ($20 million after-tax, $0.03 per share – diluted) resulting from the sale of the Hanover Compressor note. The pretax gain is classified in </w:t>
      </w:r>
      <w:r>
        <w:rPr>
          <w:rFonts w:ascii="Arial" w:cs="Arial" w:eastAsia="Arial" w:hAnsi="Arial"/>
          <w:sz w:val="18"/>
          <w:szCs w:val="18"/>
          <w:i w:val="1"/>
          <w:iCs w:val="1"/>
          <w:color w:val="auto"/>
        </w:rPr>
        <w:t>Interest and other income</w:t>
      </w:r>
      <w:r>
        <w:rPr>
          <w:rFonts w:ascii="Arial" w:cs="Arial" w:eastAsia="Arial" w:hAnsi="Arial"/>
          <w:sz w:val="18"/>
          <w:szCs w:val="18"/>
          <w:color w:val="auto"/>
        </w:rPr>
        <w:t xml:space="preserve"> in the </w:t>
      </w:r>
      <w:r>
        <w:rPr>
          <w:rFonts w:ascii="Arial" w:cs="Arial" w:eastAsia="Arial" w:hAnsi="Arial"/>
          <w:sz w:val="18"/>
          <w:szCs w:val="18"/>
          <w:i w:val="1"/>
          <w:iCs w:val="1"/>
          <w:color w:val="auto"/>
        </w:rPr>
        <w:t>Consolidated Statement of Income</w:t>
      </w:r>
      <w:r>
        <w:rPr>
          <w:rFonts w:ascii="Arial" w:cs="Arial" w:eastAsia="Arial" w:hAnsi="Arial"/>
          <w:sz w:val="18"/>
          <w:szCs w:val="18"/>
          <w:color w:val="auto"/>
        </w:rPr>
        <w:t>.</w:t>
      </w:r>
    </w:p>
    <w:p>
      <w:pPr>
        <w:spacing w:after="0" w:line="1" w:lineRule="exact"/>
        <w:rPr>
          <w:sz w:val="20"/>
          <w:szCs w:val="20"/>
          <w:color w:val="auto"/>
        </w:rPr>
      </w:pPr>
    </w:p>
    <w:p>
      <w:pPr>
        <w:ind w:right="200" w:firstLine="228"/>
        <w:spacing w:after="0" w:line="281" w:lineRule="auto"/>
        <w:rPr>
          <w:sz w:val="20"/>
          <w:szCs w:val="20"/>
          <w:color w:val="auto"/>
        </w:rPr>
      </w:pPr>
      <w:r>
        <w:rPr>
          <w:rFonts w:ascii="Arial" w:cs="Arial" w:eastAsia="Arial" w:hAnsi="Arial"/>
          <w:sz w:val="16"/>
          <w:szCs w:val="16"/>
          <w:color w:val="auto"/>
        </w:rPr>
        <w:t xml:space="preserve">In December 2003, a pretax and after-tax charge of $81 million ($0.13 per share – diluted) relating to the write-down to fair market value of Schlumberger’s investment in Hanover Compressor common stock. The write-down was required by SFAS 115 as the decline in the market value of the stock is “other than temporary” and is classified in </w:t>
      </w:r>
      <w:r>
        <w:rPr>
          <w:rFonts w:ascii="Arial" w:cs="Arial" w:eastAsia="Arial" w:hAnsi="Arial"/>
          <w:sz w:val="16"/>
          <w:szCs w:val="16"/>
          <w:i w:val="1"/>
          <w:iCs w:val="1"/>
          <w:color w:val="auto"/>
        </w:rPr>
        <w:t>Cost of goods sold and services</w:t>
      </w:r>
      <w:r>
        <w:rPr>
          <w:rFonts w:ascii="Arial" w:cs="Arial" w:eastAsia="Arial" w:hAnsi="Arial"/>
          <w:sz w:val="16"/>
          <w:szCs w:val="16"/>
          <w:color w:val="auto"/>
        </w:rPr>
        <w:t xml:space="preserve"> in the </w:t>
      </w:r>
      <w:r>
        <w:rPr>
          <w:rFonts w:ascii="Arial" w:cs="Arial" w:eastAsia="Arial" w:hAnsi="Arial"/>
          <w:sz w:val="16"/>
          <w:szCs w:val="16"/>
          <w:i w:val="1"/>
          <w:iCs w:val="1"/>
          <w:color w:val="auto"/>
        </w:rPr>
        <w:t>Consolidated Statement of Income</w:t>
      </w:r>
      <w:r>
        <w:rPr>
          <w:rFonts w:ascii="Arial" w:cs="Arial" w:eastAsia="Arial" w:hAnsi="Arial"/>
          <w:sz w:val="16"/>
          <w:szCs w:val="16"/>
          <w:color w:val="auto"/>
        </w:rPr>
        <w:t>.</w:t>
      </w:r>
    </w:p>
    <w:p>
      <w:pPr>
        <w:spacing w:after="0" w:line="2" w:lineRule="exact"/>
        <w:rPr>
          <w:sz w:val="20"/>
          <w:szCs w:val="20"/>
          <w:color w:val="auto"/>
        </w:rPr>
      </w:pPr>
    </w:p>
    <w:p>
      <w:pPr>
        <w:ind w:right="20" w:firstLine="228"/>
        <w:spacing w:after="0" w:line="281" w:lineRule="auto"/>
        <w:rPr>
          <w:sz w:val="20"/>
          <w:szCs w:val="20"/>
          <w:color w:val="auto"/>
        </w:rPr>
      </w:pPr>
      <w:r>
        <w:rPr>
          <w:rFonts w:ascii="Arial" w:cs="Arial" w:eastAsia="Arial" w:hAnsi="Arial"/>
          <w:sz w:val="16"/>
          <w:szCs w:val="16"/>
          <w:color w:val="auto"/>
        </w:rPr>
        <w:t xml:space="preserve">In September 2003, a pretax multiclient library impairment charge of $398 million ($205 million, $0.34 per share – diluted, after a tax credit of $106 million and a minority interest of $88 million), following an evaluation of current and expected future conditions in the seismic sector, a pretax seismic vessel impairment charge of $54 million ($38 million, $0.06 per share – diluted, after a minority interest credit of $16 million) and a $31 million pretax and after-tax gain ($0.05 per share – diluted) on the sale of a drilling rig. The pretax amounts are classified in </w:t>
      </w:r>
      <w:r>
        <w:rPr>
          <w:rFonts w:ascii="Arial" w:cs="Arial" w:eastAsia="Arial" w:hAnsi="Arial"/>
          <w:sz w:val="16"/>
          <w:szCs w:val="16"/>
          <w:i w:val="1"/>
          <w:iCs w:val="1"/>
          <w:color w:val="auto"/>
        </w:rPr>
        <w:t>Cost of goods sold and services</w:t>
      </w:r>
      <w:r>
        <w:rPr>
          <w:rFonts w:ascii="Arial" w:cs="Arial" w:eastAsia="Arial" w:hAnsi="Arial"/>
          <w:sz w:val="16"/>
          <w:szCs w:val="16"/>
          <w:color w:val="auto"/>
        </w:rPr>
        <w:t xml:space="preserve"> in the </w:t>
      </w:r>
      <w:r>
        <w:rPr>
          <w:rFonts w:ascii="Arial" w:cs="Arial" w:eastAsia="Arial" w:hAnsi="Arial"/>
          <w:sz w:val="16"/>
          <w:szCs w:val="16"/>
          <w:i w:val="1"/>
          <w:iCs w:val="1"/>
          <w:color w:val="auto"/>
        </w:rPr>
        <w:t>Consolidated Statement of Income</w:t>
      </w:r>
      <w:r>
        <w:rPr>
          <w:rFonts w:ascii="Arial" w:cs="Arial" w:eastAsia="Arial" w:hAnsi="Arial"/>
          <w:sz w:val="16"/>
          <w:szCs w:val="16"/>
          <w:color w:val="auto"/>
        </w:rPr>
        <w:t>.</w:t>
      </w:r>
    </w:p>
    <w:p>
      <w:pPr>
        <w:spacing w:after="0" w:line="3" w:lineRule="exact"/>
        <w:rPr>
          <w:sz w:val="20"/>
          <w:szCs w:val="20"/>
          <w:color w:val="auto"/>
        </w:rPr>
      </w:pPr>
    </w:p>
    <w:p>
      <w:pPr>
        <w:ind w:right="20" w:firstLine="228"/>
        <w:spacing w:after="0" w:line="250" w:lineRule="auto"/>
        <w:rPr>
          <w:sz w:val="20"/>
          <w:szCs w:val="20"/>
          <w:color w:val="auto"/>
        </w:rPr>
      </w:pPr>
      <w:r>
        <w:rPr>
          <w:rFonts w:ascii="Arial" w:cs="Arial" w:eastAsia="Arial" w:hAnsi="Arial"/>
          <w:sz w:val="18"/>
          <w:szCs w:val="18"/>
          <w:color w:val="auto"/>
        </w:rPr>
        <w:t>Between June 12 and July 22, 2003 subsidiaries of Schlumberger launched and concluded tender offers to acquire three series of outstanding European bonds; $1.3 billion of principal was repurchased for a total cost of $1.5 billion, which included the premium, and issuing and tender costs. The total charge on the tenders was $168 million, of which $81.5 million was recorded in the second quarter of 2003, when the first tender closed, with the balance of $86.3 million recorded in the third quarter of 2003.</w:t>
      </w:r>
    </w:p>
    <w:p>
      <w:pPr>
        <w:spacing w:after="0" w:line="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total of the above 2003 charges was $440 million. A summary is as follows:</w:t>
      </w:r>
    </w:p>
    <w:p>
      <w:pPr>
        <w:spacing w:after="0" w:line="6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(Stated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178040" cy="88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78040" cy="8890"/>
                    </a:xfrm>
                    <a:prstGeom prst="rect">
                      <a:avLst/>
                    </a:prstGeom>
                    <a:noFill/>
                  </pic:spPr>
                </pic:pic>
              </a:graphicData>
            </a:graphic>
          </wp:anchor>
        </w:drawing>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4"/>
                <w:szCs w:val="14"/>
                <w:color w:val="auto"/>
              </w:rPr>
              <w:t>Gain on sale of Hanover Compressor note</w:t>
            </w:r>
          </w:p>
        </w:tc>
        <w:tc>
          <w:tcPr>
            <w:tcW w:w="44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(32)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00" w:type="dxa"/>
            <w:vAlign w:val="bottom"/>
          </w:tcPr>
          <w:p>
            <w:pPr>
              <w:spacing w:after="0" w:line="149" w:lineRule="exact"/>
              <w:rPr>
                <w:sz w:val="20"/>
                <w:szCs w:val="20"/>
                <w:color w:val="auto"/>
              </w:rPr>
            </w:pPr>
            <w:r>
              <w:rPr>
                <w:rFonts w:ascii="Arial" w:cs="Arial" w:eastAsia="Arial" w:hAnsi="Arial"/>
                <w:sz w:val="14"/>
                <w:szCs w:val="14"/>
                <w:color w:val="auto"/>
              </w:rPr>
              <w:t>Write-down of Hanover Compressor stock</w:t>
            </w:r>
          </w:p>
        </w:tc>
        <w:tc>
          <w:tcPr>
            <w:tcW w:w="4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81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Multiclient seismic library impairment</w:t>
            </w:r>
          </w:p>
        </w:tc>
        <w:tc>
          <w:tcPr>
            <w:tcW w:w="4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398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00" w:type="dxa"/>
            <w:vAlign w:val="bottom"/>
          </w:tcPr>
          <w:p>
            <w:pPr>
              <w:spacing w:after="0" w:line="149" w:lineRule="exact"/>
              <w:rPr>
                <w:sz w:val="20"/>
                <w:szCs w:val="20"/>
                <w:color w:val="auto"/>
              </w:rPr>
            </w:pPr>
            <w:r>
              <w:rPr>
                <w:rFonts w:ascii="Arial" w:cs="Arial" w:eastAsia="Arial" w:hAnsi="Arial"/>
                <w:sz w:val="14"/>
                <w:szCs w:val="14"/>
                <w:color w:val="auto"/>
              </w:rPr>
              <w:t>Seismic vessel impairment</w:t>
            </w:r>
          </w:p>
        </w:tc>
        <w:tc>
          <w:tcPr>
            <w:tcW w:w="4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54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Gain on sale of rig</w:t>
            </w:r>
          </w:p>
        </w:tc>
        <w:tc>
          <w:tcPr>
            <w:tcW w:w="4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(31)</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600" w:type="dxa"/>
            <w:vAlign w:val="bottom"/>
          </w:tcPr>
          <w:p>
            <w:pPr>
              <w:spacing w:after="0"/>
              <w:rPr>
                <w:sz w:val="20"/>
                <w:szCs w:val="20"/>
                <w:color w:val="auto"/>
              </w:rPr>
            </w:pPr>
            <w:r>
              <w:rPr>
                <w:rFonts w:ascii="Arial" w:cs="Arial" w:eastAsia="Arial" w:hAnsi="Arial"/>
                <w:sz w:val="14"/>
                <w:szCs w:val="14"/>
                <w:color w:val="auto"/>
              </w:rPr>
              <w:t>Bond repurchase premium and costs</w:t>
            </w:r>
          </w:p>
        </w:tc>
        <w:tc>
          <w:tcPr>
            <w:tcW w:w="4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gridSpan w:val="2"/>
          </w:tcPr>
          <w:p>
            <w:pPr>
              <w:jc w:val="right"/>
              <w:ind w:right="100"/>
              <w:spacing w:after="0"/>
              <w:rPr>
                <w:sz w:val="20"/>
                <w:szCs w:val="20"/>
                <w:color w:val="auto"/>
              </w:rPr>
            </w:pPr>
            <w:r>
              <w:rPr>
                <w:rFonts w:ascii="Arial" w:cs="Arial" w:eastAsia="Arial" w:hAnsi="Arial"/>
                <w:sz w:val="14"/>
                <w:szCs w:val="14"/>
                <w:color w:val="auto"/>
              </w:rPr>
              <w:t>168</w:t>
            </w: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6600" w:type="dxa"/>
            <w:vAlign w:val="bottom"/>
            <w:tcBorders>
              <w:bottom w:val="single" w:sz="8" w:color="auto"/>
            </w:tcBorders>
          </w:tcPr>
          <w:p>
            <w:pPr>
              <w:spacing w:after="0"/>
              <w:rPr>
                <w:sz w:val="7"/>
                <w:szCs w:val="7"/>
                <w:color w:val="auto"/>
              </w:rPr>
            </w:pPr>
          </w:p>
        </w:tc>
        <w:tc>
          <w:tcPr>
            <w:tcW w:w="432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600" w:type="dxa"/>
            <w:vAlign w:val="bottom"/>
          </w:tcPr>
          <w:p>
            <w:pPr>
              <w:spacing w:after="0"/>
              <w:rPr>
                <w:sz w:val="8"/>
                <w:szCs w:val="8"/>
                <w:color w:val="auto"/>
              </w:rPr>
            </w:pPr>
          </w:p>
        </w:tc>
        <w:tc>
          <w:tcPr>
            <w:tcW w:w="4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6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Charges before tax and Minority interest</w:t>
            </w:r>
          </w:p>
        </w:tc>
        <w:tc>
          <w:tcPr>
            <w:tcW w:w="4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638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00" w:type="dxa"/>
            <w:vAlign w:val="bottom"/>
          </w:tcPr>
          <w:p>
            <w:pPr>
              <w:spacing w:after="0" w:line="149" w:lineRule="exact"/>
              <w:rPr>
                <w:sz w:val="20"/>
                <w:szCs w:val="20"/>
                <w:color w:val="auto"/>
              </w:rPr>
            </w:pPr>
            <w:r>
              <w:rPr>
                <w:rFonts w:ascii="Arial" w:cs="Arial" w:eastAsia="Arial" w:hAnsi="Arial"/>
                <w:sz w:val="14"/>
                <w:szCs w:val="14"/>
                <w:color w:val="auto"/>
              </w:rPr>
              <w:t>Tax</w:t>
            </w:r>
          </w:p>
        </w:tc>
        <w:tc>
          <w:tcPr>
            <w:tcW w:w="4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(94)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Minority interest</w:t>
            </w:r>
          </w:p>
        </w:tc>
        <w:tc>
          <w:tcPr>
            <w:tcW w:w="4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85"/>
              </w:rPr>
              <w:t>(104)</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600" w:type="dxa"/>
            <w:vAlign w:val="bottom"/>
            <w:tcBorders>
              <w:bottom w:val="single" w:sz="8" w:color="auto"/>
            </w:tcBorders>
          </w:tcPr>
          <w:p>
            <w:pPr>
              <w:spacing w:after="0"/>
              <w:rPr>
                <w:sz w:val="9"/>
                <w:szCs w:val="9"/>
                <w:color w:val="auto"/>
              </w:rPr>
            </w:pPr>
          </w:p>
        </w:tc>
        <w:tc>
          <w:tcPr>
            <w:tcW w:w="432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600" w:type="dxa"/>
            <w:vAlign w:val="bottom"/>
          </w:tcPr>
          <w:p>
            <w:pPr>
              <w:spacing w:after="0"/>
              <w:rPr>
                <w:sz w:val="8"/>
                <w:szCs w:val="8"/>
                <w:color w:val="auto"/>
              </w:rPr>
            </w:pPr>
          </w:p>
        </w:tc>
        <w:tc>
          <w:tcPr>
            <w:tcW w:w="4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00" w:type="dxa"/>
            <w:vAlign w:val="bottom"/>
            <w:shd w:val="clear" w:color="auto" w:fill="CCEEFF"/>
          </w:tcPr>
          <w:p>
            <w:pPr>
              <w:spacing w:after="0"/>
              <w:rPr>
                <w:sz w:val="12"/>
                <w:szCs w:val="12"/>
                <w:color w:val="auto"/>
              </w:rPr>
            </w:pPr>
          </w:p>
        </w:tc>
        <w:tc>
          <w:tcPr>
            <w:tcW w:w="44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3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440</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600" w:type="dxa"/>
            <w:vAlign w:val="bottom"/>
          </w:tcPr>
          <w:p>
            <w:pPr>
              <w:spacing w:after="0"/>
              <w:rPr>
                <w:sz w:val="11"/>
                <w:szCs w:val="11"/>
                <w:color w:val="auto"/>
              </w:rPr>
            </w:pPr>
          </w:p>
        </w:tc>
        <w:tc>
          <w:tcPr>
            <w:tcW w:w="43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6949440</wp:posOffset>
            </wp:positionH>
            <wp:positionV relativeFrom="paragraph">
              <wp:posOffset>-27305</wp:posOffset>
            </wp:positionV>
            <wp:extent cx="261620" cy="298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261620" cy="29845"/>
                    </a:xfrm>
                    <a:prstGeom prst="rect">
                      <a:avLst/>
                    </a:prstGeom>
                    <a:noFill/>
                  </pic:spPr>
                </pic:pic>
              </a:graphicData>
            </a:graphic>
          </wp:anchor>
        </w:drawing>
      </w:r>
    </w:p>
    <w:p>
      <w:pPr>
        <w:spacing w:after="0" w:line="147" w:lineRule="exact"/>
        <w:rPr>
          <w:sz w:val="20"/>
          <w:szCs w:val="20"/>
          <w:color w:val="auto"/>
        </w:rPr>
      </w:pPr>
    </w:p>
    <w:p>
      <w:pPr>
        <w:ind w:right="420" w:firstLine="228"/>
        <w:spacing w:after="0" w:line="298" w:lineRule="auto"/>
        <w:rPr>
          <w:sz w:val="20"/>
          <w:szCs w:val="20"/>
          <w:color w:val="auto"/>
        </w:rPr>
      </w:pPr>
      <w:r>
        <w:rPr>
          <w:rFonts w:ascii="Arial" w:cs="Arial" w:eastAsia="Arial" w:hAnsi="Arial"/>
          <w:sz w:val="16"/>
          <w:szCs w:val="16"/>
          <w:color w:val="auto"/>
        </w:rPr>
        <w:t>In December 2002, a net charge of $3,081 million ($5.30 per share). On December 10, 2002, Schlumberger announced that the Board of Directors had approved an updated strategy for its SchlumbergerSema business segment. The new strategic plan outlook, current business values and the reorganization of SchlumbergerSema constitute significant events that required an impairment analysis to be performed in accordance with FAS 142. SchlumbergerSema was ‘valued’ on a stand-alone basis; each reporting unit within SchlumbergerSema</w:t>
      </w:r>
    </w:p>
    <w:p>
      <w:pPr>
        <w:spacing w:after="0" w:line="97" w:lineRule="exact"/>
        <w:rPr>
          <w:sz w:val="20"/>
          <w:szCs w:val="20"/>
          <w:color w:val="auto"/>
        </w:rPr>
      </w:pPr>
    </w:p>
    <w:p>
      <w:pPr>
        <w:spacing w:after="0"/>
        <w:tabs>
          <w:tab w:leader="none" w:pos="10400" w:val="left"/>
        </w:tabs>
        <w:rPr>
          <w:sz w:val="20"/>
          <w:szCs w:val="20"/>
          <w:color w:val="auto"/>
        </w:rPr>
      </w:pPr>
      <w:r>
        <w:rPr>
          <w:rFonts w:ascii="Arial" w:cs="Arial" w:eastAsia="Arial" w:hAnsi="Arial"/>
          <w:sz w:val="14"/>
          <w:szCs w:val="14"/>
          <w:color w:val="auto"/>
        </w:rPr>
        <w:t>47 / SLB</w:t>
      </w:r>
      <w:r>
        <w:rPr>
          <w:sz w:val="20"/>
          <w:szCs w:val="20"/>
          <w:color w:val="auto"/>
        </w:rPr>
        <w:tab/>
      </w:r>
      <w:r>
        <w:rPr>
          <w:rFonts w:ascii="Arial" w:cs="Arial" w:eastAsia="Arial" w:hAnsi="Arial"/>
          <w:sz w:val="12"/>
          <w:szCs w:val="12"/>
          <w:color w:val="auto"/>
        </w:rPr>
        <w:t>2003 FORM 10-K</w:t>
      </w:r>
    </w:p>
    <w:p>
      <w:pPr>
        <w:sectPr>
          <w:pgSz w:w="11900" w:h="16838" w:orient="portrait"/>
          <w:cols w:equalWidth="0" w:num="1">
            <w:col w:w="11420"/>
          </w:cols>
          <w:pgMar w:left="240" w:top="45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4"/>
          <w:szCs w:val="14"/>
          <w:color w:val="auto"/>
        </w:rPr>
        <w:t>Part II, Item 8</w:t>
      </w:r>
    </w:p>
    <w:p>
      <w:pPr>
        <w:spacing w:after="0" w:line="139" w:lineRule="exact"/>
        <w:rPr>
          <w:sz w:val="20"/>
          <w:szCs w:val="20"/>
          <w:color w:val="auto"/>
        </w:rPr>
      </w:pPr>
    </w:p>
    <w:p>
      <w:pPr>
        <w:ind w:right="100"/>
        <w:spacing w:after="0" w:line="283" w:lineRule="auto"/>
        <w:rPr>
          <w:sz w:val="20"/>
          <w:szCs w:val="20"/>
          <w:color w:val="auto"/>
        </w:rPr>
      </w:pPr>
      <w:r>
        <w:rPr>
          <w:rFonts w:ascii="Arial" w:cs="Arial" w:eastAsia="Arial" w:hAnsi="Arial"/>
          <w:sz w:val="16"/>
          <w:szCs w:val="16"/>
          <w:color w:val="auto"/>
        </w:rPr>
        <w:t>was valued using a discounted cash flow analysis based on a long-term forecast prepared by SchlumbergerSema management with the assistance of a third party valuation expert. The implied multiples yielded by the discounted cash flow analysis were compared to observed trading multiples of comparable companies and recent transactions in the IT services industry to assess the fair value of the reporting units. The fair value was below the book value. As a result, goodwill was written down to its estimated fair value based on Schlumberger’s valuation. The impairment of goodwill mainly reflects the current difficulties of the telecommunications industry and the severely depressed market values of the IT companies serving SchlumbergerSema’s sector. Certain intangible assets were also identified and written down as part of this process.</w:t>
      </w:r>
    </w:p>
    <w:p>
      <w:pPr>
        <w:spacing w:after="0" w:line="1" w:lineRule="exact"/>
        <w:rPr>
          <w:sz w:val="20"/>
          <w:szCs w:val="20"/>
          <w:color w:val="auto"/>
        </w:rPr>
      </w:pPr>
    </w:p>
    <w:p>
      <w:pPr>
        <w:ind w:right="20" w:firstLine="228"/>
        <w:spacing w:after="0" w:line="250" w:lineRule="auto"/>
        <w:rPr>
          <w:sz w:val="20"/>
          <w:szCs w:val="20"/>
          <w:color w:val="auto"/>
        </w:rPr>
      </w:pPr>
      <w:r>
        <w:rPr>
          <w:rFonts w:ascii="Arial" w:cs="Arial" w:eastAsia="Arial" w:hAnsi="Arial"/>
          <w:sz w:val="18"/>
          <w:szCs w:val="18"/>
          <w:color w:val="auto"/>
        </w:rPr>
        <w:t>Schlumberger recorded severance, facility and other costs in an effort to reduce costs at SchlumbergerSema and WesternGeco. These costs related to expenses that offer no future benefit to the ongoing operations of these businesses. During the fourth quarter, Schlumberger also recorded an impairment charge, to reflect a change in the business projections of the WesternGeco business, related to capitalized multiclient seismic library costs, a deferred tax valuation allowance and other costs.</w:t>
      </w:r>
    </w:p>
    <w:p>
      <w:pPr>
        <w:spacing w:after="0" w:line="2" w:lineRule="exact"/>
        <w:rPr>
          <w:sz w:val="20"/>
          <w:szCs w:val="20"/>
          <w:color w:val="auto"/>
        </w:rPr>
      </w:pPr>
    </w:p>
    <w:p>
      <w:pPr>
        <w:ind w:left="240"/>
        <w:spacing w:after="0"/>
        <w:rPr>
          <w:sz w:val="20"/>
          <w:szCs w:val="20"/>
          <w:color w:val="auto"/>
        </w:rPr>
      </w:pPr>
      <w:r>
        <w:rPr>
          <w:rFonts w:ascii="Arial" w:cs="Arial" w:eastAsia="Arial" w:hAnsi="Arial"/>
          <w:sz w:val="16"/>
          <w:szCs w:val="16"/>
          <w:color w:val="auto"/>
        </w:rPr>
        <w:t>The total of the above 2002 charges was $3,168 million. A summary, including the gain on the sale of drilling rigs of $87 million, is as follows:</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4"/>
                <w:szCs w:val="14"/>
                <w:color w:val="auto"/>
              </w:rPr>
              <w:t>Goodwill impairment</w:t>
            </w:r>
          </w:p>
        </w:tc>
        <w:tc>
          <w:tcPr>
            <w:tcW w:w="4880" w:type="dxa"/>
            <w:vAlign w:val="bottom"/>
            <w:gridSpan w:val="4"/>
            <w:shd w:val="clear" w:color="auto" w:fill="CCEEFF"/>
          </w:tcPr>
          <w:p>
            <w:pPr>
              <w:jc w:val="right"/>
              <w:ind w:right="100"/>
              <w:spacing w:after="0"/>
              <w:rPr>
                <w:sz w:val="20"/>
                <w:szCs w:val="20"/>
                <w:color w:val="auto"/>
              </w:rPr>
            </w:pPr>
            <w:r>
              <w:rPr>
                <w:rFonts w:ascii="Arial" w:cs="Arial" w:eastAsia="Arial" w:hAnsi="Arial"/>
                <w:sz w:val="14"/>
                <w:szCs w:val="14"/>
                <w:color w:val="auto"/>
              </w:rPr>
              <w:t>$ 2,638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20" w:type="dxa"/>
            <w:vAlign w:val="bottom"/>
          </w:tcPr>
          <w:p>
            <w:pPr>
              <w:spacing w:after="0" w:line="149" w:lineRule="exact"/>
              <w:rPr>
                <w:sz w:val="20"/>
                <w:szCs w:val="20"/>
                <w:color w:val="auto"/>
              </w:rPr>
            </w:pPr>
            <w:r>
              <w:rPr>
                <w:rFonts w:ascii="Arial" w:cs="Arial" w:eastAsia="Arial" w:hAnsi="Arial"/>
                <w:sz w:val="14"/>
                <w:szCs w:val="14"/>
                <w:color w:val="auto"/>
              </w:rPr>
              <w:t>Intangibles impairment</w:t>
            </w:r>
          </w:p>
        </w:tc>
        <w:tc>
          <w:tcPr>
            <w:tcW w:w="4880" w:type="dxa"/>
            <w:vAlign w:val="bottom"/>
            <w:gridSpan w:val="4"/>
          </w:tcPr>
          <w:p>
            <w:pPr>
              <w:jc w:val="right"/>
              <w:ind w:right="100"/>
              <w:spacing w:after="0" w:line="149" w:lineRule="exact"/>
              <w:rPr>
                <w:sz w:val="20"/>
                <w:szCs w:val="20"/>
                <w:color w:val="auto"/>
              </w:rPr>
            </w:pPr>
            <w:r>
              <w:rPr>
                <w:rFonts w:ascii="Arial" w:cs="Arial" w:eastAsia="Arial" w:hAnsi="Arial"/>
                <w:sz w:val="14"/>
                <w:szCs w:val="14"/>
                <w:color w:val="auto"/>
              </w:rPr>
              <w:t>147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SchlumbergerSema severance &amp; other</w:t>
            </w:r>
          </w:p>
        </w:tc>
        <w:tc>
          <w:tcPr>
            <w:tcW w:w="4880" w:type="dxa"/>
            <w:vAlign w:val="bottom"/>
            <w:gridSpan w:val="4"/>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97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20" w:type="dxa"/>
            <w:vAlign w:val="bottom"/>
          </w:tcPr>
          <w:p>
            <w:pPr>
              <w:spacing w:after="0" w:line="149" w:lineRule="exact"/>
              <w:rPr>
                <w:sz w:val="20"/>
                <w:szCs w:val="20"/>
                <w:color w:val="auto"/>
              </w:rPr>
            </w:pPr>
            <w:r>
              <w:rPr>
                <w:rFonts w:ascii="Arial" w:cs="Arial" w:eastAsia="Arial" w:hAnsi="Arial"/>
                <w:sz w:val="14"/>
                <w:szCs w:val="14"/>
                <w:color w:val="auto"/>
              </w:rPr>
              <w:t>WesternGeco severance &amp; other</w:t>
            </w:r>
          </w:p>
        </w:tc>
        <w:tc>
          <w:tcPr>
            <w:tcW w:w="4880" w:type="dxa"/>
            <w:vAlign w:val="bottom"/>
            <w:gridSpan w:val="4"/>
          </w:tcPr>
          <w:p>
            <w:pPr>
              <w:jc w:val="right"/>
              <w:ind w:right="100"/>
              <w:spacing w:after="0" w:line="149" w:lineRule="exact"/>
              <w:rPr>
                <w:sz w:val="20"/>
                <w:szCs w:val="20"/>
                <w:color w:val="auto"/>
              </w:rPr>
            </w:pPr>
            <w:r>
              <w:rPr>
                <w:rFonts w:ascii="Arial" w:cs="Arial" w:eastAsia="Arial" w:hAnsi="Arial"/>
                <w:sz w:val="14"/>
                <w:szCs w:val="14"/>
                <w:color w:val="auto"/>
              </w:rPr>
              <w:t>117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Multiclient seismic library impairment</w:t>
            </w:r>
          </w:p>
        </w:tc>
        <w:tc>
          <w:tcPr>
            <w:tcW w:w="4880" w:type="dxa"/>
            <w:vAlign w:val="bottom"/>
            <w:gridSpan w:val="4"/>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184</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520" w:type="dxa"/>
            <w:vAlign w:val="bottom"/>
          </w:tcPr>
          <w:p>
            <w:pPr>
              <w:spacing w:after="0"/>
              <w:rPr>
                <w:sz w:val="20"/>
                <w:szCs w:val="20"/>
                <w:color w:val="auto"/>
              </w:rPr>
            </w:pPr>
            <w:r>
              <w:rPr>
                <w:rFonts w:ascii="Arial" w:cs="Arial" w:eastAsia="Arial" w:hAnsi="Arial"/>
                <w:sz w:val="14"/>
                <w:szCs w:val="14"/>
                <w:color w:val="auto"/>
              </w:rPr>
              <w:t>Other</w:t>
            </w:r>
          </w:p>
        </w:tc>
        <w:tc>
          <w:tcPr>
            <w:tcW w:w="4880" w:type="dxa"/>
            <w:vAlign w:val="bottom"/>
            <w:gridSpan w:val="4"/>
          </w:tcPr>
          <w:p>
            <w:pPr>
              <w:jc w:val="right"/>
              <w:ind w:right="100"/>
              <w:spacing w:after="0"/>
              <w:rPr>
                <w:sz w:val="20"/>
                <w:szCs w:val="20"/>
                <w:color w:val="auto"/>
              </w:rPr>
            </w:pPr>
            <w:r>
              <w:rPr>
                <w:rFonts w:ascii="Arial" w:cs="Arial" w:eastAsia="Arial" w:hAnsi="Arial"/>
                <w:sz w:val="14"/>
                <w:szCs w:val="14"/>
                <w:color w:val="auto"/>
              </w:rPr>
              <w:t>42</w:t>
            </w: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6520" w:type="dxa"/>
            <w:vAlign w:val="bottom"/>
            <w:tcBorders>
              <w:bottom w:val="single" w:sz="8" w:color="auto"/>
            </w:tcBorders>
          </w:tcPr>
          <w:p>
            <w:pPr>
              <w:spacing w:after="0"/>
              <w:rPr>
                <w:sz w:val="7"/>
                <w:szCs w:val="7"/>
                <w:color w:val="auto"/>
              </w:rPr>
            </w:pPr>
          </w:p>
        </w:tc>
        <w:tc>
          <w:tcPr>
            <w:tcW w:w="436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520" w:type="dxa"/>
            <w:vAlign w:val="bottom"/>
          </w:tcPr>
          <w:p>
            <w:pPr>
              <w:spacing w:after="0"/>
              <w:rPr>
                <w:sz w:val="8"/>
                <w:szCs w:val="8"/>
                <w:color w:val="auto"/>
              </w:rPr>
            </w:pPr>
          </w:p>
        </w:tc>
        <w:tc>
          <w:tcPr>
            <w:tcW w:w="4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Charges before tax and minority interest</w:t>
            </w:r>
          </w:p>
        </w:tc>
        <w:tc>
          <w:tcPr>
            <w:tcW w:w="4880" w:type="dxa"/>
            <w:vAlign w:val="bottom"/>
            <w:gridSpan w:val="4"/>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3,225</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520" w:type="dxa"/>
            <w:vAlign w:val="bottom"/>
          </w:tcPr>
          <w:p>
            <w:pPr>
              <w:spacing w:after="0" w:line="176" w:lineRule="exact"/>
              <w:rPr>
                <w:sz w:val="20"/>
                <w:szCs w:val="20"/>
                <w:color w:val="auto"/>
              </w:rPr>
            </w:pPr>
            <w:r>
              <w:rPr>
                <w:rFonts w:ascii="Arial" w:cs="Arial" w:eastAsia="Arial" w:hAnsi="Arial"/>
                <w:sz w:val="13"/>
                <w:szCs w:val="13"/>
                <w:color w:val="auto"/>
              </w:rPr>
              <w:t>Tax</w:t>
            </w:r>
            <w:r>
              <w:rPr>
                <w:rFonts w:ascii="Arial" w:cs="Arial" w:eastAsia="Arial" w:hAnsi="Arial"/>
                <w:sz w:val="20"/>
                <w:szCs w:val="20"/>
                <w:color w:val="auto"/>
                <w:vertAlign w:val="superscript"/>
              </w:rPr>
              <w:t>1</w:t>
            </w:r>
          </w:p>
        </w:tc>
        <w:tc>
          <w:tcPr>
            <w:tcW w:w="4880" w:type="dxa"/>
            <w:vAlign w:val="bottom"/>
            <w:gridSpan w:val="4"/>
          </w:tcPr>
          <w:p>
            <w:pPr>
              <w:jc w:val="right"/>
              <w:ind w:right="100"/>
              <w:spacing w:after="0"/>
              <w:rPr>
                <w:sz w:val="20"/>
                <w:szCs w:val="20"/>
                <w:color w:val="auto"/>
              </w:rPr>
            </w:pPr>
            <w:r>
              <w:rPr>
                <w:rFonts w:ascii="Arial" w:cs="Arial" w:eastAsia="Arial" w:hAnsi="Arial"/>
                <w:sz w:val="14"/>
                <w:szCs w:val="14"/>
                <w:color w:val="auto"/>
              </w:rPr>
              <w:t>33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Minority interest</w:t>
            </w:r>
          </w:p>
        </w:tc>
        <w:tc>
          <w:tcPr>
            <w:tcW w:w="4880" w:type="dxa"/>
            <w:vAlign w:val="bottom"/>
            <w:gridSpan w:val="4"/>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(90)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520" w:type="dxa"/>
            <w:vAlign w:val="bottom"/>
            <w:tcBorders>
              <w:bottom w:val="single" w:sz="8" w:color="auto"/>
            </w:tcBorders>
          </w:tcPr>
          <w:p>
            <w:pPr>
              <w:spacing w:after="0"/>
              <w:rPr>
                <w:sz w:val="9"/>
                <w:szCs w:val="9"/>
                <w:color w:val="auto"/>
              </w:rPr>
            </w:pPr>
          </w:p>
        </w:tc>
        <w:tc>
          <w:tcPr>
            <w:tcW w:w="436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520" w:type="dxa"/>
            <w:vAlign w:val="bottom"/>
          </w:tcPr>
          <w:p>
            <w:pPr>
              <w:spacing w:after="0"/>
              <w:rPr>
                <w:sz w:val="8"/>
                <w:szCs w:val="8"/>
                <w:color w:val="auto"/>
              </w:rPr>
            </w:pPr>
          </w:p>
        </w:tc>
        <w:tc>
          <w:tcPr>
            <w:tcW w:w="4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20" w:type="dxa"/>
            <w:vAlign w:val="bottom"/>
            <w:shd w:val="clear" w:color="auto" w:fill="CCEEFF"/>
          </w:tcPr>
          <w:p>
            <w:pPr>
              <w:spacing w:after="0"/>
              <w:rPr>
                <w:sz w:val="12"/>
                <w:szCs w:val="12"/>
                <w:color w:val="auto"/>
              </w:rPr>
            </w:pPr>
          </w:p>
        </w:tc>
        <w:tc>
          <w:tcPr>
            <w:tcW w:w="4880" w:type="dxa"/>
            <w:vAlign w:val="bottom"/>
            <w:gridSpan w:val="4"/>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3,168</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520" w:type="dxa"/>
            <w:vAlign w:val="bottom"/>
          </w:tcPr>
          <w:p>
            <w:pPr>
              <w:spacing w:after="0"/>
              <w:rPr>
                <w:sz w:val="20"/>
                <w:szCs w:val="20"/>
                <w:color w:val="auto"/>
              </w:rPr>
            </w:pPr>
            <w:r>
              <w:rPr>
                <w:rFonts w:ascii="Arial" w:cs="Arial" w:eastAsia="Arial" w:hAnsi="Arial"/>
                <w:sz w:val="14"/>
                <w:szCs w:val="14"/>
                <w:color w:val="auto"/>
              </w:rPr>
              <w:t>Gain on sale of drilling rigs</w:t>
            </w:r>
          </w:p>
        </w:tc>
        <w:tc>
          <w:tcPr>
            <w:tcW w:w="4880" w:type="dxa"/>
            <w:vAlign w:val="bottom"/>
            <w:gridSpan w:val="4"/>
          </w:tcPr>
          <w:p>
            <w:pPr>
              <w:jc w:val="right"/>
              <w:ind w:right="60"/>
              <w:spacing w:after="0"/>
              <w:rPr>
                <w:sz w:val="20"/>
                <w:szCs w:val="20"/>
                <w:color w:val="auto"/>
              </w:rPr>
            </w:pPr>
            <w:r>
              <w:rPr>
                <w:rFonts w:ascii="Arial" w:cs="Arial" w:eastAsia="Arial" w:hAnsi="Arial"/>
                <w:sz w:val="14"/>
                <w:szCs w:val="14"/>
                <w:color w:val="auto"/>
              </w:rPr>
              <w:t>(87)</w:t>
            </w: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6520" w:type="dxa"/>
            <w:vAlign w:val="bottom"/>
            <w:tcBorders>
              <w:bottom w:val="single" w:sz="8" w:color="auto"/>
            </w:tcBorders>
          </w:tcPr>
          <w:p>
            <w:pPr>
              <w:spacing w:after="0"/>
              <w:rPr>
                <w:sz w:val="7"/>
                <w:szCs w:val="7"/>
                <w:color w:val="auto"/>
              </w:rPr>
            </w:pPr>
          </w:p>
        </w:tc>
        <w:tc>
          <w:tcPr>
            <w:tcW w:w="436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520" w:type="dxa"/>
            <w:vAlign w:val="bottom"/>
          </w:tcPr>
          <w:p>
            <w:pPr>
              <w:spacing w:after="0"/>
              <w:rPr>
                <w:sz w:val="8"/>
                <w:szCs w:val="8"/>
                <w:color w:val="auto"/>
              </w:rPr>
            </w:pPr>
          </w:p>
        </w:tc>
        <w:tc>
          <w:tcPr>
            <w:tcW w:w="4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20" w:type="dxa"/>
            <w:vAlign w:val="bottom"/>
            <w:shd w:val="clear" w:color="auto" w:fill="CCEEFF"/>
          </w:tcPr>
          <w:p>
            <w:pPr>
              <w:spacing w:after="0"/>
              <w:rPr>
                <w:sz w:val="12"/>
                <w:szCs w:val="12"/>
                <w:color w:val="auto"/>
              </w:rPr>
            </w:pPr>
          </w:p>
        </w:tc>
        <w:tc>
          <w:tcPr>
            <w:tcW w:w="4880" w:type="dxa"/>
            <w:vAlign w:val="bottom"/>
            <w:gridSpan w:val="4"/>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$ 3,081</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520" w:type="dxa"/>
            <w:vAlign w:val="bottom"/>
          </w:tcPr>
          <w:p>
            <w:pPr>
              <w:spacing w:after="0"/>
              <w:rPr>
                <w:sz w:val="11"/>
                <w:szCs w:val="11"/>
                <w:color w:val="auto"/>
              </w:rPr>
            </w:pPr>
          </w:p>
        </w:tc>
        <w:tc>
          <w:tcPr>
            <w:tcW w:w="43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6915150</wp:posOffset>
            </wp:positionH>
            <wp:positionV relativeFrom="paragraph">
              <wp:posOffset>-27305</wp:posOffset>
            </wp:positionV>
            <wp:extent cx="295910" cy="298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295910" cy="29845"/>
                    </a:xfrm>
                    <a:prstGeom prst="rect">
                      <a:avLst/>
                    </a:prstGeom>
                    <a:noFill/>
                  </pic:spPr>
                </pic:pic>
              </a:graphicData>
            </a:graphic>
          </wp:anchor>
        </w:drawing>
      </w:r>
    </w:p>
    <w:p>
      <w:pPr>
        <w:spacing w:after="0" w:line="145" w:lineRule="exact"/>
        <w:rPr>
          <w:sz w:val="20"/>
          <w:szCs w:val="20"/>
          <w:color w:val="auto"/>
        </w:rPr>
      </w:pPr>
    </w:p>
    <w:p>
      <w:pPr>
        <w:ind w:left="360" w:hanging="352"/>
        <w:spacing w:after="0"/>
        <w:tabs>
          <w:tab w:leader="none" w:pos="360" w:val="left"/>
        </w:tabs>
        <w:numPr>
          <w:ilvl w:val="0"/>
          <w:numId w:val="25"/>
        </w:numPr>
        <w:rPr>
          <w:rFonts w:ascii="Arial" w:cs="Arial" w:eastAsia="Arial" w:hAnsi="Arial"/>
          <w:sz w:val="14"/>
          <w:szCs w:val="14"/>
          <w:color w:val="auto"/>
        </w:rPr>
      </w:pPr>
      <w:r>
        <w:rPr>
          <w:rFonts w:ascii="Arial" w:cs="Arial" w:eastAsia="Arial" w:hAnsi="Arial"/>
          <w:sz w:val="14"/>
          <w:szCs w:val="14"/>
          <w:color w:val="auto"/>
        </w:rPr>
        <w:t>Includes deferred tax valuation allowance of $94 million.</w:t>
      </w:r>
    </w:p>
    <w:p>
      <w:pPr>
        <w:spacing w:after="0" w:line="58"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The above charges before tax and minority interest and the gain on sale of drilling rigs are recorded in </w:t>
      </w:r>
      <w:r>
        <w:rPr>
          <w:rFonts w:ascii="Arial" w:cs="Arial" w:eastAsia="Arial" w:hAnsi="Arial"/>
          <w:sz w:val="18"/>
          <w:szCs w:val="18"/>
          <w:i w:val="1"/>
          <w:iCs w:val="1"/>
          <w:color w:val="auto"/>
        </w:rPr>
        <w:t>Cost of goods sold &amp; services</w:t>
      </w:r>
      <w:r>
        <w:rPr>
          <w:rFonts w:ascii="Arial" w:cs="Arial" w:eastAsia="Arial" w:hAnsi="Arial"/>
          <w:sz w:val="18"/>
          <w:szCs w:val="18"/>
          <w:color w:val="auto"/>
        </w:rPr>
        <w:t>.</w:t>
      </w:r>
    </w:p>
    <w:p>
      <w:pPr>
        <w:spacing w:after="0" w:line="15" w:lineRule="exact"/>
        <w:rPr>
          <w:sz w:val="20"/>
          <w:szCs w:val="20"/>
          <w:color w:val="auto"/>
        </w:rPr>
      </w:pPr>
    </w:p>
    <w:p>
      <w:pPr>
        <w:ind w:right="40" w:firstLine="228"/>
        <w:spacing w:after="0" w:line="281" w:lineRule="auto"/>
        <w:rPr>
          <w:sz w:val="20"/>
          <w:szCs w:val="20"/>
          <w:color w:val="auto"/>
        </w:rPr>
      </w:pPr>
      <w:r>
        <w:rPr>
          <w:rFonts w:ascii="Arial" w:cs="Arial" w:eastAsia="Arial" w:hAnsi="Arial"/>
          <w:sz w:val="16"/>
          <w:szCs w:val="16"/>
          <w:color w:val="auto"/>
        </w:rPr>
        <w:t xml:space="preserve">In March 2002, a charge of $29 million (pretax $30 million and minority interest credit of $1 million; $0.05 per share – diluted) related to the financial/economic crisis in Argentina where in January, the government eliminated all US dollar contracts and converted US dollar denominated accounts receivable into pesos. As a result, Schlumberger’s currency exposure increased significantly. With currency devaluation, an exchange loss (net of hedging) on net assets, primarily customer receivables, was incurred. In addition, a provision was recorded for downsizing facilities and headcount. The small SchlumbergerSema exposure in Argentina was also provided for. The pretax change is classified in </w:t>
      </w:r>
      <w:r>
        <w:rPr>
          <w:rFonts w:ascii="Arial" w:cs="Arial" w:eastAsia="Arial" w:hAnsi="Arial"/>
          <w:sz w:val="16"/>
          <w:szCs w:val="16"/>
          <w:i w:val="1"/>
          <w:iCs w:val="1"/>
          <w:color w:val="auto"/>
        </w:rPr>
        <w:t>Cost of goods sold and services</w:t>
      </w:r>
      <w:r>
        <w:rPr>
          <w:rFonts w:ascii="Arial" w:cs="Arial" w:eastAsia="Arial" w:hAnsi="Arial"/>
          <w:sz w:val="16"/>
          <w:szCs w:val="16"/>
          <w:color w:val="auto"/>
        </w:rPr>
        <w:t xml:space="preserve"> in the </w:t>
      </w:r>
      <w:r>
        <w:rPr>
          <w:rFonts w:ascii="Arial" w:cs="Arial" w:eastAsia="Arial" w:hAnsi="Arial"/>
          <w:sz w:val="16"/>
          <w:szCs w:val="16"/>
          <w:i w:val="1"/>
          <w:iCs w:val="1"/>
          <w:color w:val="auto"/>
        </w:rPr>
        <w:t>Consolidated Statement of Income</w:t>
      </w:r>
      <w:r>
        <w:rPr>
          <w:rFonts w:ascii="Arial" w:cs="Arial" w:eastAsia="Arial" w:hAnsi="Arial"/>
          <w:sz w:val="16"/>
          <w:szCs w:val="16"/>
          <w:color w:val="auto"/>
        </w:rPr>
        <w:t>.</w:t>
      </w:r>
    </w:p>
    <w:p>
      <w:pPr>
        <w:spacing w:after="0" w:line="3" w:lineRule="exact"/>
        <w:rPr>
          <w:sz w:val="20"/>
          <w:szCs w:val="20"/>
          <w:color w:val="auto"/>
        </w:rPr>
      </w:pPr>
    </w:p>
    <w:p>
      <w:pPr>
        <w:ind w:right="460" w:firstLine="228"/>
        <w:spacing w:after="0" w:line="261" w:lineRule="auto"/>
        <w:rPr>
          <w:sz w:val="20"/>
          <w:szCs w:val="20"/>
          <w:color w:val="auto"/>
        </w:rPr>
      </w:pPr>
      <w:r>
        <w:rPr>
          <w:rFonts w:ascii="Arial" w:cs="Arial" w:eastAsia="Arial" w:hAnsi="Arial"/>
          <w:sz w:val="18"/>
          <w:szCs w:val="18"/>
          <w:color w:val="auto"/>
        </w:rPr>
        <w:t>In December 2001, a pretax credit of $119 million (net – $5 million after-tax and minority interest, $0.01 per share – diluted), consisting primarily of the following:</w:t>
      </w:r>
    </w:p>
    <w:p>
      <w:pPr>
        <w:spacing w:after="0" w:line="43" w:lineRule="exact"/>
        <w:rPr>
          <w:sz w:val="20"/>
          <w:szCs w:val="20"/>
          <w:color w:val="auto"/>
        </w:rPr>
      </w:pPr>
    </w:p>
    <w:p>
      <w:pPr>
        <w:ind w:left="780" w:hanging="326"/>
        <w:spacing w:after="0"/>
        <w:tabs>
          <w:tab w:leader="none" w:pos="7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A credit of $223 million ($117 million after-tax) from the sale of the former Resource Management Services North American Water division.</w:t>
      </w:r>
    </w:p>
    <w:p>
      <w:pPr>
        <w:spacing w:after="0" w:line="126" w:lineRule="exact"/>
        <w:rPr>
          <w:rFonts w:ascii="Arial" w:cs="Arial" w:eastAsia="Arial" w:hAnsi="Arial"/>
          <w:sz w:val="16"/>
          <w:szCs w:val="16"/>
          <w:color w:val="auto"/>
        </w:rPr>
      </w:pPr>
    </w:p>
    <w:p>
      <w:pPr>
        <w:ind w:left="780" w:right="260" w:hanging="326"/>
        <w:spacing w:after="0" w:line="268" w:lineRule="auto"/>
        <w:tabs>
          <w:tab w:leader="none" w:pos="7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 pretax charge of $43 million ($37 million after-tax) for employee termination costs, principally in Europe and the US, related to Oilfield Services and SchlumbergerSema in response to the prevailing business conditions.</w:t>
      </w:r>
    </w:p>
    <w:p>
      <w:pPr>
        <w:spacing w:after="0" w:line="37" w:lineRule="exact"/>
        <w:rPr>
          <w:rFonts w:ascii="Arial" w:cs="Arial" w:eastAsia="Arial" w:hAnsi="Arial"/>
          <w:sz w:val="18"/>
          <w:szCs w:val="18"/>
          <w:color w:val="auto"/>
        </w:rPr>
      </w:pPr>
    </w:p>
    <w:p>
      <w:pPr>
        <w:ind w:left="780" w:hanging="326"/>
        <w:spacing w:after="0"/>
        <w:tabs>
          <w:tab w:leader="none" w:pos="7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 tax charge for reorganization costs of $29 million.</w:t>
      </w:r>
    </w:p>
    <w:p>
      <w:pPr>
        <w:spacing w:after="0" w:line="182" w:lineRule="exact"/>
        <w:rPr>
          <w:sz w:val="20"/>
          <w:szCs w:val="20"/>
          <w:color w:val="auto"/>
        </w:rPr>
      </w:pPr>
    </w:p>
    <w:p>
      <w:pPr>
        <w:spacing w:after="0"/>
        <w:tabs>
          <w:tab w:leader="none" w:pos="10400" w:val="left"/>
        </w:tabs>
        <w:rPr>
          <w:sz w:val="20"/>
          <w:szCs w:val="20"/>
          <w:color w:val="auto"/>
        </w:rPr>
      </w:pPr>
      <w:r>
        <w:rPr>
          <w:rFonts w:ascii="Arial" w:cs="Arial" w:eastAsia="Arial" w:hAnsi="Arial"/>
          <w:sz w:val="14"/>
          <w:szCs w:val="14"/>
          <w:color w:val="auto"/>
        </w:rPr>
        <w:t>48 / SLB</w:t>
      </w:r>
      <w:r>
        <w:rPr>
          <w:sz w:val="20"/>
          <w:szCs w:val="20"/>
          <w:color w:val="auto"/>
        </w:rPr>
        <w:tab/>
      </w:r>
      <w:r>
        <w:rPr>
          <w:rFonts w:ascii="Arial" w:cs="Arial" w:eastAsia="Arial" w:hAnsi="Arial"/>
          <w:sz w:val="12"/>
          <w:szCs w:val="12"/>
          <w:color w:val="auto"/>
        </w:rPr>
        <w:t>2003 FORM 10-K</w:t>
      </w:r>
    </w:p>
    <w:p>
      <w:pPr>
        <w:sectPr>
          <w:pgSz w:w="11900" w:h="16838" w:orient="portrait"/>
          <w:cols w:equalWidth="0" w:num="1">
            <w:col w:w="11420"/>
          </w:cols>
          <w:pgMar w:left="240" w:top="45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4"/>
          <w:szCs w:val="14"/>
          <w:color w:val="auto"/>
        </w:rPr>
        <w:t>Part II, Item 8</w:t>
      </w:r>
    </w:p>
    <w:p>
      <w:pPr>
        <w:spacing w:after="0" w:line="139" w:lineRule="exact"/>
        <w:rPr>
          <w:sz w:val="20"/>
          <w:szCs w:val="20"/>
          <w:color w:val="auto"/>
        </w:rPr>
      </w:pPr>
    </w:p>
    <w:p>
      <w:pPr>
        <w:ind w:left="780" w:right="600" w:hanging="326"/>
        <w:spacing w:after="0" w:line="268" w:lineRule="auto"/>
        <w:tabs>
          <w:tab w:leader="none" w:pos="7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further pretax charge of $28 million ($20 million after-tax) related to the second quarter estimated loss on the divestiture of certain Resource Management Services businesses following the actual closing in the fourth quarter.</w:t>
      </w:r>
    </w:p>
    <w:p>
      <w:pPr>
        <w:spacing w:after="0" w:line="37" w:lineRule="exact"/>
        <w:rPr>
          <w:rFonts w:ascii="Arial" w:cs="Arial" w:eastAsia="Arial" w:hAnsi="Arial"/>
          <w:sz w:val="18"/>
          <w:szCs w:val="18"/>
          <w:color w:val="auto"/>
        </w:rPr>
      </w:pPr>
    </w:p>
    <w:p>
      <w:pPr>
        <w:ind w:left="780" w:right="80" w:hanging="326"/>
        <w:spacing w:after="0" w:line="268" w:lineRule="auto"/>
        <w:tabs>
          <w:tab w:leader="none" w:pos="7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$33 million pretax asset write-down ($23 million after-tax and minority interest) for technological impairment related to certain Land seismic assets in the newly formed joint venture.</w:t>
      </w:r>
    </w:p>
    <w:p>
      <w:pPr>
        <w:spacing w:after="0" w:line="118" w:lineRule="exact"/>
        <w:rPr>
          <w:sz w:val="20"/>
          <w:szCs w:val="20"/>
          <w:color w:val="auto"/>
        </w:rPr>
      </w:pPr>
    </w:p>
    <w:p>
      <w:pPr>
        <w:ind w:right="60" w:firstLine="228"/>
        <w:spacing w:after="0" w:line="302" w:lineRule="auto"/>
        <w:rPr>
          <w:sz w:val="20"/>
          <w:szCs w:val="20"/>
          <w:color w:val="auto"/>
        </w:rPr>
      </w:pPr>
      <w:r>
        <w:rPr>
          <w:rFonts w:ascii="Arial" w:cs="Arial" w:eastAsia="Arial" w:hAnsi="Arial"/>
          <w:sz w:val="15"/>
          <w:szCs w:val="15"/>
          <w:color w:val="auto"/>
        </w:rPr>
        <w:t>In September 2001, a pretax credit of $42 million (after-tax $3 million) representing the gain on the sale of the worldwide gas compression business, partially offset by an impairment charge relating to the expected disposition of certain activities. The proceeds from the sale of the worldwide gas compression business included $274 million in cash, a $150 million long-term subordinated note and newly issued Hanover Compressor Company shares with a value of $173 million. The shares have a three year marketability restriction. As part of the transaction, Schlumberger agreed that the financing of a certain joint venture project (PIGAP</w:t>
      </w:r>
    </w:p>
    <w:p>
      <w:pPr>
        <w:spacing w:after="0" w:line="3" w:lineRule="exact"/>
        <w:rPr>
          <w:sz w:val="20"/>
          <w:szCs w:val="20"/>
          <w:color w:val="auto"/>
        </w:rPr>
      </w:pPr>
    </w:p>
    <w:p>
      <w:pPr>
        <w:ind w:right="320" w:firstLine="8"/>
        <w:spacing w:after="0" w:line="281" w:lineRule="auto"/>
        <w:tabs>
          <w:tab w:leader="none" w:pos="219" w:val="left"/>
        </w:tabs>
        <w:numPr>
          <w:ilvl w:val="0"/>
          <w:numId w:val="28"/>
        </w:numPr>
        <w:rPr>
          <w:rFonts w:ascii="Arial" w:cs="Arial" w:eastAsia="Arial" w:hAnsi="Arial"/>
          <w:sz w:val="16"/>
          <w:szCs w:val="16"/>
          <w:color w:val="auto"/>
        </w:rPr>
      </w:pPr>
      <w:r>
        <w:rPr>
          <w:rFonts w:ascii="Arial" w:cs="Arial" w:eastAsia="Arial" w:hAnsi="Arial"/>
          <w:sz w:val="16"/>
          <w:szCs w:val="16"/>
          <w:color w:val="auto"/>
        </w:rPr>
        <w:t>would be non-recourse to the buyer and would be executed prior to December 31, 2002. Accordingly, Schlumberger was obligated with respect to the financing to guarantee 30% (approximately $80 million) until the project was completed in late 2002. If as of December 31, 2002 refinancing had not become non-recourse to the buyer or the project has not achieved substantial completion, the buyer has an option to put its interest in such joint venture back to Schlumberger. The gain on the sale of this joint venture was deferred and recognized in 2003.</w:t>
      </w:r>
    </w:p>
    <w:p>
      <w:pPr>
        <w:spacing w:after="0" w:line="2" w:lineRule="exact"/>
        <w:rPr>
          <w:rFonts w:ascii="Arial" w:cs="Arial" w:eastAsia="Arial" w:hAnsi="Arial"/>
          <w:sz w:val="16"/>
          <w:szCs w:val="16"/>
          <w:color w:val="auto"/>
        </w:rPr>
      </w:pPr>
    </w:p>
    <w:p>
      <w:pPr>
        <w:jc w:val="both"/>
        <w:ind w:right="140" w:firstLine="228"/>
        <w:spacing w:after="0" w:line="250" w:lineRule="auto"/>
        <w:rPr>
          <w:rFonts w:ascii="Arial" w:cs="Arial" w:eastAsia="Arial" w:hAnsi="Arial"/>
          <w:sz w:val="16"/>
          <w:szCs w:val="16"/>
          <w:color w:val="auto"/>
        </w:rPr>
      </w:pPr>
      <w:r>
        <w:rPr>
          <w:rFonts w:ascii="Arial" w:cs="Arial" w:eastAsia="Arial" w:hAnsi="Arial"/>
          <w:sz w:val="18"/>
          <w:szCs w:val="18"/>
          <w:color w:val="auto"/>
        </w:rPr>
        <w:t>In June 2001, a charge of $280 million ($0.48 per share – diluted) for the estimated impairment charge from the disposition of certain Resource Management Services businesses (Electricity and Water outside North America and worldwide Gas businesses). This charge included the write-off of goodwill ($139 million) and cumulative translation adjustment ($79 million).</w:t>
      </w:r>
    </w:p>
    <w:p>
      <w:pPr>
        <w:spacing w:after="0" w:line="1" w:lineRule="exact"/>
        <w:rPr>
          <w:rFonts w:ascii="Arial" w:cs="Arial" w:eastAsia="Arial" w:hAnsi="Arial"/>
          <w:sz w:val="16"/>
          <w:szCs w:val="16"/>
          <w:color w:val="auto"/>
        </w:rPr>
      </w:pPr>
    </w:p>
    <w:p>
      <w:pPr>
        <w:ind w:left="240"/>
        <w:spacing w:after="0"/>
        <w:rPr>
          <w:rFonts w:ascii="Arial" w:cs="Arial" w:eastAsia="Arial" w:hAnsi="Arial"/>
          <w:sz w:val="16"/>
          <w:szCs w:val="16"/>
          <w:color w:val="auto"/>
        </w:rPr>
      </w:pPr>
      <w:r>
        <w:rPr>
          <w:rFonts w:ascii="Arial" w:cs="Arial" w:eastAsia="Arial" w:hAnsi="Arial"/>
          <w:sz w:val="16"/>
          <w:szCs w:val="16"/>
          <w:color w:val="auto"/>
        </w:rPr>
        <w:t>In March 2001, a charge of $25 million ($0.04 per share – diluted) for in-process research and development related to the Bull CP8 acquisition.</w:t>
      </w:r>
    </w:p>
    <w:p>
      <w:pPr>
        <w:spacing w:after="0" w:line="32" w:lineRule="exact"/>
        <w:rPr>
          <w:rFonts w:ascii="Arial" w:cs="Arial" w:eastAsia="Arial" w:hAnsi="Arial"/>
          <w:sz w:val="16"/>
          <w:szCs w:val="16"/>
          <w:color w:val="auto"/>
        </w:rPr>
      </w:pPr>
    </w:p>
    <w:p>
      <w:pPr>
        <w:ind w:right="460" w:firstLine="228"/>
        <w:spacing w:after="0" w:line="250" w:lineRule="auto"/>
        <w:rPr>
          <w:rFonts w:ascii="Arial" w:cs="Arial" w:eastAsia="Arial" w:hAnsi="Arial"/>
          <w:sz w:val="16"/>
          <w:szCs w:val="16"/>
          <w:color w:val="auto"/>
        </w:rPr>
      </w:pPr>
      <w:r>
        <w:rPr>
          <w:rFonts w:ascii="Arial" w:cs="Arial" w:eastAsia="Arial" w:hAnsi="Arial"/>
          <w:sz w:val="18"/>
          <w:szCs w:val="18"/>
          <w:color w:val="auto"/>
        </w:rPr>
        <w:t xml:space="preserve">The above 2001 pretax amounts are recorded: an aggregated $119 million charge in </w:t>
      </w:r>
      <w:r>
        <w:rPr>
          <w:rFonts w:ascii="Arial" w:cs="Arial" w:eastAsia="Arial" w:hAnsi="Arial"/>
          <w:sz w:val="18"/>
          <w:szCs w:val="18"/>
          <w:i w:val="1"/>
          <w:iCs w:val="1"/>
          <w:color w:val="auto"/>
        </w:rPr>
        <w:t>Cost of goods sold and services</w:t>
      </w:r>
      <w:r>
        <w:rPr>
          <w:rFonts w:ascii="Arial" w:cs="Arial" w:eastAsia="Arial" w:hAnsi="Arial"/>
          <w:sz w:val="18"/>
          <w:szCs w:val="18"/>
          <w:color w:val="auto"/>
        </w:rPr>
        <w:t xml:space="preserve">, a $25 million charge in </w:t>
      </w:r>
      <w:r>
        <w:rPr>
          <w:rFonts w:ascii="Arial" w:cs="Arial" w:eastAsia="Arial" w:hAnsi="Arial"/>
          <w:sz w:val="18"/>
          <w:szCs w:val="18"/>
          <w:i w:val="1"/>
          <w:iCs w:val="1"/>
          <w:color w:val="auto"/>
        </w:rPr>
        <w:t>Research &amp;</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engineering </w:t>
      </w:r>
      <w:r>
        <w:rPr>
          <w:rFonts w:ascii="Arial" w:cs="Arial" w:eastAsia="Arial" w:hAnsi="Arial"/>
          <w:sz w:val="18"/>
          <w:szCs w:val="18"/>
          <w:color w:val="auto"/>
        </w:rPr>
        <w:t>and a $10 million credit in</w:t>
      </w:r>
      <w:r>
        <w:rPr>
          <w:rFonts w:ascii="Arial" w:cs="Arial" w:eastAsia="Arial" w:hAnsi="Arial"/>
          <w:sz w:val="18"/>
          <w:szCs w:val="18"/>
          <w:i w:val="1"/>
          <w:iCs w:val="1"/>
          <w:color w:val="auto"/>
        </w:rPr>
        <w:t xml:space="preserve"> Minority interest</w:t>
      </w:r>
      <w:r>
        <w:rPr>
          <w:rFonts w:ascii="Arial" w:cs="Arial" w:eastAsia="Arial" w:hAnsi="Arial"/>
          <w:sz w:val="18"/>
          <w:szCs w:val="18"/>
          <w:color w:val="auto"/>
        </w:rPr>
        <w:t>.</w:t>
      </w:r>
    </w:p>
    <w:p>
      <w:pPr>
        <w:ind w:left="240"/>
        <w:spacing w:after="0"/>
        <w:rPr>
          <w:rFonts w:ascii="Arial" w:cs="Arial" w:eastAsia="Arial" w:hAnsi="Arial"/>
          <w:sz w:val="16"/>
          <w:szCs w:val="16"/>
          <w:color w:val="auto"/>
        </w:rPr>
      </w:pPr>
      <w:r>
        <w:rPr>
          <w:rFonts w:ascii="Arial" w:cs="Arial" w:eastAsia="Arial" w:hAnsi="Arial"/>
          <w:sz w:val="18"/>
          <w:szCs w:val="18"/>
          <w:color w:val="auto"/>
        </w:rPr>
        <w:t>An analysis of the December 2002 pretax severance and facility charges is as follows:</w:t>
      </w:r>
    </w:p>
    <w:p>
      <w:pPr>
        <w:spacing w:after="0" w:line="6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stated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46620" cy="88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8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gridSpan w:val="2"/>
          </w:tcPr>
          <w:p>
            <w:pPr>
              <w:ind w:left="380"/>
              <w:spacing w:after="0"/>
              <w:rPr>
                <w:sz w:val="20"/>
                <w:szCs w:val="20"/>
                <w:color w:val="auto"/>
              </w:rPr>
            </w:pPr>
            <w:r>
              <w:rPr>
                <w:rFonts w:ascii="Arial" w:cs="Arial" w:eastAsia="Arial" w:hAnsi="Arial"/>
                <w:sz w:val="14"/>
                <w:szCs w:val="14"/>
                <w:b w:val="1"/>
                <w:bCs w:val="1"/>
                <w:color w:val="auto"/>
                <w:w w:val="91"/>
              </w:rPr>
              <w:t>Severance</w:t>
            </w:r>
          </w:p>
        </w:tc>
        <w:tc>
          <w:tcPr>
            <w:tcW w:w="4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6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gridSpan w:val="2"/>
            <w:vMerge w:val="restart"/>
          </w:tcPr>
          <w:p>
            <w:pPr>
              <w:jc w:val="right"/>
              <w:ind w:right="20"/>
              <w:spacing w:after="0"/>
              <w:rPr>
                <w:sz w:val="20"/>
                <w:szCs w:val="20"/>
                <w:color w:val="auto"/>
              </w:rPr>
            </w:pPr>
            <w:r>
              <w:rPr>
                <w:rFonts w:ascii="Arial" w:cs="Arial" w:eastAsia="Arial" w:hAnsi="Arial"/>
                <w:sz w:val="14"/>
                <w:szCs w:val="14"/>
                <w:b w:val="1"/>
                <w:bCs w:val="1"/>
                <w:color w:val="auto"/>
                <w:w w:val="90"/>
              </w:rPr>
              <w:t>Facilities</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64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560" w:type="dxa"/>
            <w:vAlign w:val="bottom"/>
          </w:tcPr>
          <w:p>
            <w:pPr>
              <w:spacing w:after="0"/>
              <w:rPr>
                <w:sz w:val="7"/>
                <w:szCs w:val="7"/>
                <w:color w:val="auto"/>
              </w:rPr>
            </w:pPr>
          </w:p>
        </w:tc>
        <w:tc>
          <w:tcPr>
            <w:tcW w:w="400" w:type="dxa"/>
            <w:vAlign w:val="bottom"/>
          </w:tcPr>
          <w:p>
            <w:pPr>
              <w:spacing w:after="0"/>
              <w:rPr>
                <w:sz w:val="7"/>
                <w:szCs w:val="7"/>
                <w:color w:val="auto"/>
              </w:rPr>
            </w:pPr>
          </w:p>
        </w:tc>
        <w:tc>
          <w:tcPr>
            <w:tcW w:w="5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gridSpan w:val="2"/>
          </w:tcPr>
          <w:p>
            <w:pPr>
              <w:spacing w:after="0"/>
              <w:rPr>
                <w:sz w:val="20"/>
                <w:szCs w:val="20"/>
                <w:color w:val="auto"/>
              </w:rPr>
            </w:pPr>
            <w:r>
              <w:rPr>
                <w:rFonts w:ascii="Arial" w:cs="Arial" w:eastAsia="Arial" w:hAnsi="Arial"/>
                <w:sz w:val="14"/>
                <w:szCs w:val="14"/>
                <w:b w:val="1"/>
                <w:bCs w:val="1"/>
                <w:color w:val="auto"/>
              </w:rPr>
              <w:t>Amount</w:t>
            </w: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w w:val="82"/>
              </w:rPr>
              <w:t>People</w:t>
            </w: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864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8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Charges</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94.5</w:t>
            </w:r>
          </w:p>
        </w:tc>
        <w:tc>
          <w:tcPr>
            <w:tcW w:w="56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3,492</w:t>
            </w:r>
          </w:p>
        </w:tc>
        <w:tc>
          <w:tcPr>
            <w:tcW w:w="6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42.8</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640" w:type="dxa"/>
            <w:vAlign w:val="bottom"/>
          </w:tcPr>
          <w:p>
            <w:pPr>
              <w:spacing w:after="0"/>
              <w:rPr>
                <w:sz w:val="20"/>
                <w:szCs w:val="20"/>
                <w:color w:val="auto"/>
              </w:rPr>
            </w:pPr>
            <w:r>
              <w:rPr>
                <w:rFonts w:ascii="Arial" w:cs="Arial" w:eastAsia="Arial" w:hAnsi="Arial"/>
                <w:sz w:val="14"/>
                <w:szCs w:val="14"/>
                <w:color w:val="auto"/>
              </w:rPr>
              <w:t>Paid in December 2002</w:t>
            </w:r>
          </w:p>
        </w:tc>
        <w:tc>
          <w:tcPr>
            <w:tcW w:w="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32.9</w:t>
            </w:r>
          </w:p>
        </w:tc>
        <w:tc>
          <w:tcPr>
            <w:tcW w:w="56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1,643</w:t>
            </w: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6.6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864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560" w:type="dxa"/>
            <w:vAlign w:val="bottom"/>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56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56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64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8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Balance December 31, 2002</w:t>
            </w: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61.6</w:t>
            </w:r>
          </w:p>
        </w:tc>
        <w:tc>
          <w:tcPr>
            <w:tcW w:w="56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1,849</w:t>
            </w: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36.2</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640" w:type="dxa"/>
            <w:vAlign w:val="bottom"/>
          </w:tcPr>
          <w:p>
            <w:pPr>
              <w:spacing w:after="0"/>
              <w:rPr>
                <w:sz w:val="20"/>
                <w:szCs w:val="20"/>
                <w:color w:val="auto"/>
              </w:rPr>
            </w:pPr>
            <w:r>
              <w:rPr>
                <w:rFonts w:ascii="Arial" w:cs="Arial" w:eastAsia="Arial" w:hAnsi="Arial"/>
                <w:sz w:val="14"/>
                <w:szCs w:val="14"/>
                <w:color w:val="auto"/>
              </w:rPr>
              <w:t>Paid/reversed in 2003</w:t>
            </w:r>
          </w:p>
        </w:tc>
        <w:tc>
          <w:tcPr>
            <w:tcW w:w="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60.6</w:t>
            </w:r>
          </w:p>
        </w:tc>
        <w:tc>
          <w:tcPr>
            <w:tcW w:w="56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1,841</w:t>
            </w: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25.1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864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560" w:type="dxa"/>
            <w:vAlign w:val="bottom"/>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56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56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64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8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Balance December 31, 2003</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w:t>
            </w:r>
          </w:p>
        </w:tc>
        <w:tc>
          <w:tcPr>
            <w:tcW w:w="56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w:t>
            </w:r>
          </w:p>
        </w:tc>
        <w:tc>
          <w:tcPr>
            <w:tcW w:w="6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11.1</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6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5500370</wp:posOffset>
            </wp:positionH>
            <wp:positionV relativeFrom="paragraph">
              <wp:posOffset>-29210</wp:posOffset>
            </wp:positionV>
            <wp:extent cx="12700" cy="298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5843270</wp:posOffset>
            </wp:positionH>
            <wp:positionV relativeFrom="paragraph">
              <wp:posOffset>-29210</wp:posOffset>
            </wp:positionV>
            <wp:extent cx="12700" cy="298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-29210</wp:posOffset>
            </wp:positionV>
            <wp:extent cx="21590" cy="298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6452235</wp:posOffset>
            </wp:positionH>
            <wp:positionV relativeFrom="paragraph">
              <wp:posOffset>-29210</wp:posOffset>
            </wp:positionV>
            <wp:extent cx="12700" cy="298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6212205</wp:posOffset>
            </wp:positionH>
            <wp:positionV relativeFrom="paragraph">
              <wp:posOffset>-29210</wp:posOffset>
            </wp:positionV>
            <wp:extent cx="12700" cy="298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6820535</wp:posOffset>
            </wp:positionH>
            <wp:positionV relativeFrom="paragraph">
              <wp:posOffset>-29210</wp:posOffset>
            </wp:positionV>
            <wp:extent cx="12700" cy="298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6880860</wp:posOffset>
            </wp:positionH>
            <wp:positionV relativeFrom="paragraph">
              <wp:posOffset>-29210</wp:posOffset>
            </wp:positionV>
            <wp:extent cx="21590" cy="298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144" w:lineRule="exact"/>
        <w:rPr>
          <w:sz w:val="20"/>
          <w:szCs w:val="20"/>
          <w:color w:val="auto"/>
        </w:rPr>
      </w:pPr>
    </w:p>
    <w:p>
      <w:pPr>
        <w:ind w:right="340" w:firstLine="228"/>
        <w:spacing w:after="0" w:line="254" w:lineRule="auto"/>
        <w:rPr>
          <w:sz w:val="20"/>
          <w:szCs w:val="20"/>
          <w:color w:val="auto"/>
        </w:rPr>
      </w:pPr>
      <w:r>
        <w:rPr>
          <w:rFonts w:ascii="Arial" w:cs="Arial" w:eastAsia="Arial" w:hAnsi="Arial"/>
          <w:sz w:val="18"/>
          <w:szCs w:val="18"/>
          <w:color w:val="auto"/>
        </w:rPr>
        <w:t xml:space="preserve">At December 31, 2003, the Severance balance of $1.0 million is classified as </w:t>
      </w:r>
      <w:r>
        <w:rPr>
          <w:rFonts w:ascii="Arial" w:cs="Arial" w:eastAsia="Arial" w:hAnsi="Arial"/>
          <w:sz w:val="18"/>
          <w:szCs w:val="18"/>
          <w:i w:val="1"/>
          <w:iCs w:val="1"/>
          <w:color w:val="auto"/>
        </w:rPr>
        <w:t>Accounts Payable and Accrued Liabilities</w:t>
      </w:r>
      <w:r>
        <w:rPr>
          <w:rFonts w:ascii="Arial" w:cs="Arial" w:eastAsia="Arial" w:hAnsi="Arial"/>
          <w:sz w:val="18"/>
          <w:szCs w:val="18"/>
          <w:color w:val="auto"/>
        </w:rPr>
        <w:t xml:space="preserve"> and the Facilities balance of $11.1 million is classified in </w:t>
      </w:r>
      <w:r>
        <w:rPr>
          <w:rFonts w:ascii="Arial" w:cs="Arial" w:eastAsia="Arial" w:hAnsi="Arial"/>
          <w:sz w:val="18"/>
          <w:szCs w:val="18"/>
          <w:i w:val="1"/>
          <w:iCs w:val="1"/>
          <w:color w:val="auto"/>
        </w:rPr>
        <w:t>Liabilities held for sale</w:t>
      </w:r>
      <w:r>
        <w:rPr>
          <w:rFonts w:ascii="Arial" w:cs="Arial" w:eastAsia="Arial" w:hAnsi="Arial"/>
          <w:sz w:val="18"/>
          <w:szCs w:val="18"/>
          <w:color w:val="auto"/>
        </w:rPr>
        <w:t xml:space="preserve"> on the </w:t>
      </w:r>
      <w:r>
        <w:rPr>
          <w:rFonts w:ascii="Arial" w:cs="Arial" w:eastAsia="Arial" w:hAnsi="Arial"/>
          <w:sz w:val="18"/>
          <w:szCs w:val="18"/>
          <w:i w:val="1"/>
          <w:iCs w:val="1"/>
          <w:color w:val="auto"/>
        </w:rPr>
        <w:t>Consolidated Balance Sheet</w:t>
      </w:r>
      <w:r>
        <w:rPr>
          <w:rFonts w:ascii="Arial" w:cs="Arial" w:eastAsia="Arial" w:hAnsi="Arial"/>
          <w:sz w:val="18"/>
          <w:szCs w:val="18"/>
          <w:color w:val="auto"/>
        </w:rPr>
        <w:t>.</w:t>
      </w:r>
    </w:p>
    <w:p>
      <w:pPr>
        <w:ind w:left="240"/>
        <w:spacing w:after="0"/>
        <w:rPr>
          <w:sz w:val="20"/>
          <w:szCs w:val="20"/>
          <w:color w:val="auto"/>
        </w:rPr>
      </w:pPr>
      <w:r>
        <w:rPr>
          <w:rFonts w:ascii="Arial" w:cs="Arial" w:eastAsia="Arial" w:hAnsi="Arial"/>
          <w:sz w:val="18"/>
          <w:szCs w:val="18"/>
          <w:color w:val="auto"/>
        </w:rPr>
        <w:t>The December 2001 charge included severance costs of $41 million (775 people) which have been paid.</w:t>
      </w:r>
    </w:p>
    <w:p>
      <w:pPr>
        <w:spacing w:after="0" w:line="141" w:lineRule="exact"/>
        <w:rPr>
          <w:sz w:val="20"/>
          <w:szCs w:val="20"/>
          <w:color w:val="auto"/>
        </w:rPr>
      </w:pPr>
    </w:p>
    <w:p>
      <w:pPr>
        <w:ind w:left="340" w:hanging="332"/>
        <w:spacing w:after="0"/>
        <w:tabs>
          <w:tab w:leader="none" w:pos="34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 of Sema plc</w:t>
      </w:r>
    </w:p>
    <w:p>
      <w:pPr>
        <w:spacing w:after="0" w:line="72" w:lineRule="exact"/>
        <w:rPr>
          <w:sz w:val="20"/>
          <w:szCs w:val="20"/>
          <w:color w:val="auto"/>
        </w:rPr>
      </w:pPr>
    </w:p>
    <w:p>
      <w:pPr>
        <w:jc w:val="both"/>
        <w:ind w:right="120"/>
        <w:spacing w:after="0" w:line="259" w:lineRule="auto"/>
        <w:rPr>
          <w:sz w:val="20"/>
          <w:szCs w:val="20"/>
          <w:color w:val="auto"/>
        </w:rPr>
      </w:pPr>
      <w:r>
        <w:rPr>
          <w:rFonts w:ascii="Arial" w:cs="Arial" w:eastAsia="Arial" w:hAnsi="Arial"/>
          <w:sz w:val="18"/>
          <w:szCs w:val="18"/>
          <w:color w:val="auto"/>
        </w:rPr>
        <w:t>On April 6, 2001, the offer for the shares of Sema plc was declared unconditional in all respects. The aggregate consideration for the acquisition of 100% of the issued Sema shares was $5.15 billion (including expenses of the transaction) which was financed from existing cash resources and borrowings under a $3 billion credit facility.</w:t>
      </w:r>
    </w:p>
    <w:p>
      <w:pPr>
        <w:spacing w:after="0" w:line="124" w:lineRule="exact"/>
        <w:rPr>
          <w:sz w:val="20"/>
          <w:szCs w:val="20"/>
          <w:color w:val="auto"/>
        </w:rPr>
      </w:pPr>
    </w:p>
    <w:p>
      <w:pPr>
        <w:spacing w:after="0"/>
        <w:tabs>
          <w:tab w:leader="none" w:pos="10400" w:val="left"/>
        </w:tabs>
        <w:rPr>
          <w:sz w:val="20"/>
          <w:szCs w:val="20"/>
          <w:color w:val="auto"/>
        </w:rPr>
      </w:pPr>
      <w:r>
        <w:rPr>
          <w:rFonts w:ascii="Arial" w:cs="Arial" w:eastAsia="Arial" w:hAnsi="Arial"/>
          <w:sz w:val="14"/>
          <w:szCs w:val="14"/>
          <w:color w:val="auto"/>
        </w:rPr>
        <w:t>49 / SLB</w:t>
      </w:r>
      <w:r>
        <w:rPr>
          <w:sz w:val="20"/>
          <w:szCs w:val="20"/>
          <w:color w:val="auto"/>
        </w:rPr>
        <w:tab/>
      </w:r>
      <w:r>
        <w:rPr>
          <w:rFonts w:ascii="Arial" w:cs="Arial" w:eastAsia="Arial" w:hAnsi="Arial"/>
          <w:sz w:val="12"/>
          <w:szCs w:val="12"/>
          <w:color w:val="auto"/>
        </w:rPr>
        <w:t>2003 FORM 10-K</w:t>
      </w:r>
    </w:p>
    <w:p>
      <w:pPr>
        <w:sectPr>
          <w:pgSz w:w="11900" w:h="16838" w:orient="portrait"/>
          <w:cols w:equalWidth="0" w:num="1">
            <w:col w:w="11420"/>
          </w:cols>
          <w:pgMar w:left="240" w:top="45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4"/>
          <w:szCs w:val="14"/>
          <w:color w:val="auto"/>
        </w:rPr>
        <w:t>Part II, Item 8</w:t>
      </w:r>
    </w:p>
    <w:p>
      <w:pPr>
        <w:spacing w:after="0" w:line="13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aggregate value of goodwill and identifiable intangibles comprised the following:</w:t>
      </w:r>
    </w:p>
    <w:p>
      <w:pPr>
        <w:spacing w:after="0" w:line="7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(Stated in billions)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46620" cy="88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920" w:type="dxa"/>
            <w:vAlign w:val="bottom"/>
            <w:shd w:val="clear" w:color="auto" w:fill="CCEEFF"/>
          </w:tcPr>
          <w:p>
            <w:pPr>
              <w:spacing w:after="0"/>
              <w:rPr>
                <w:sz w:val="20"/>
                <w:szCs w:val="20"/>
                <w:color w:val="auto"/>
              </w:rPr>
            </w:pPr>
            <w:r>
              <w:rPr>
                <w:rFonts w:ascii="Arial" w:cs="Arial" w:eastAsia="Arial" w:hAnsi="Arial"/>
                <w:sz w:val="14"/>
                <w:szCs w:val="14"/>
                <w:color w:val="auto"/>
              </w:rPr>
              <w:t>Cost (including expenses)</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5.15</w:t>
            </w:r>
          </w:p>
        </w:tc>
        <w:tc>
          <w:tcPr>
            <w:tcW w:w="100" w:type="dxa"/>
            <w:vAlign w:val="bottom"/>
            <w:shd w:val="clear" w:color="auto" w:fill="CCEEFF"/>
          </w:tcPr>
          <w:p>
            <w:pPr>
              <w:spacing w:after="0"/>
              <w:rPr>
                <w:sz w:val="14"/>
                <w:szCs w:val="14"/>
                <w:color w:val="auto"/>
              </w:rPr>
            </w:pPr>
          </w:p>
        </w:tc>
      </w:tr>
      <w:tr>
        <w:trPr>
          <w:trHeight w:val="149"/>
        </w:trPr>
        <w:tc>
          <w:tcPr>
            <w:tcW w:w="10920" w:type="dxa"/>
            <w:vAlign w:val="bottom"/>
          </w:tcPr>
          <w:p>
            <w:pPr>
              <w:spacing w:after="0" w:line="149" w:lineRule="exact"/>
              <w:rPr>
                <w:sz w:val="20"/>
                <w:szCs w:val="20"/>
                <w:color w:val="auto"/>
              </w:rPr>
            </w:pPr>
            <w:r>
              <w:rPr>
                <w:rFonts w:ascii="Arial" w:cs="Arial" w:eastAsia="Arial" w:hAnsi="Arial"/>
                <w:sz w:val="14"/>
                <w:szCs w:val="14"/>
                <w:color w:val="auto"/>
              </w:rPr>
              <w:t>Purchase accounting adjustments</w:t>
            </w:r>
          </w:p>
        </w:tc>
        <w:tc>
          <w:tcPr>
            <w:tcW w:w="100" w:type="dxa"/>
            <w:vAlign w:val="bottom"/>
          </w:tcPr>
          <w:p>
            <w:pPr>
              <w:spacing w:after="0"/>
              <w:rPr>
                <w:sz w:val="12"/>
                <w:szCs w:val="12"/>
                <w:color w:val="auto"/>
              </w:rPr>
            </w:pP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rPr>
              <w:t>0.34</w:t>
            </w:r>
          </w:p>
        </w:tc>
        <w:tc>
          <w:tcPr>
            <w:tcW w:w="100" w:type="dxa"/>
            <w:vAlign w:val="bottom"/>
          </w:tcPr>
          <w:p>
            <w:pPr>
              <w:spacing w:after="0"/>
              <w:rPr>
                <w:sz w:val="12"/>
                <w:szCs w:val="12"/>
                <w:color w:val="auto"/>
              </w:rPr>
            </w:pPr>
          </w:p>
        </w:tc>
      </w:tr>
      <w:tr>
        <w:trPr>
          <w:trHeight w:val="149"/>
        </w:trPr>
        <w:tc>
          <w:tcPr>
            <w:tcW w:w="109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tangible assets acquired</w:t>
            </w:r>
          </w:p>
        </w:tc>
        <w:tc>
          <w:tcPr>
            <w:tcW w:w="10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87"/>
              </w:rPr>
              <w:t>(0.30)</w:t>
            </w:r>
          </w:p>
        </w:tc>
      </w:tr>
      <w:tr>
        <w:trPr>
          <w:trHeight w:val="108"/>
        </w:trPr>
        <w:tc>
          <w:tcPr>
            <w:tcW w:w="109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r>
      <w:tr>
        <w:trPr>
          <w:trHeight w:val="102"/>
        </w:trPr>
        <w:tc>
          <w:tcPr>
            <w:tcW w:w="10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149"/>
        </w:trPr>
        <w:tc>
          <w:tcPr>
            <w:tcW w:w="1092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5.19</w:t>
            </w:r>
          </w:p>
        </w:tc>
        <w:tc>
          <w:tcPr>
            <w:tcW w:w="100" w:type="dxa"/>
            <w:vAlign w:val="bottom"/>
            <w:shd w:val="clear" w:color="auto" w:fill="CCEEFF"/>
          </w:tcPr>
          <w:p>
            <w:pPr>
              <w:spacing w:after="0"/>
              <w:rPr>
                <w:sz w:val="12"/>
                <w:szCs w:val="12"/>
                <w:color w:val="auto"/>
              </w:rPr>
            </w:pPr>
          </w:p>
        </w:tc>
      </w:tr>
      <w:tr>
        <w:trPr>
          <w:trHeight w:val="132"/>
        </w:trPr>
        <w:tc>
          <w:tcPr>
            <w:tcW w:w="109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6932295</wp:posOffset>
            </wp:positionH>
            <wp:positionV relativeFrom="paragraph">
              <wp:posOffset>-29210</wp:posOffset>
            </wp:positionV>
            <wp:extent cx="12700" cy="298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6992620</wp:posOffset>
            </wp:positionH>
            <wp:positionV relativeFrom="paragraph">
              <wp:posOffset>-29210</wp:posOffset>
            </wp:positionV>
            <wp:extent cx="21590" cy="298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-29210</wp:posOffset>
            </wp:positionV>
            <wp:extent cx="38735" cy="298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144" w:lineRule="exact"/>
        <w:rPr>
          <w:sz w:val="20"/>
          <w:szCs w:val="20"/>
          <w:color w:val="auto"/>
        </w:rPr>
      </w:pPr>
    </w:p>
    <w:p>
      <w:pPr>
        <w:ind w:right="200" w:firstLine="228"/>
        <w:spacing w:after="0" w:line="253" w:lineRule="auto"/>
        <w:rPr>
          <w:sz w:val="20"/>
          <w:szCs w:val="20"/>
          <w:color w:val="auto"/>
        </w:rPr>
      </w:pPr>
      <w:r>
        <w:rPr>
          <w:rFonts w:ascii="Arial" w:cs="Arial" w:eastAsia="Arial" w:hAnsi="Arial"/>
          <w:sz w:val="18"/>
          <w:szCs w:val="18"/>
          <w:color w:val="auto"/>
        </w:rPr>
        <w:t>Purchase accounting adjustments consisted primarily of severance costs ($84 million – 1781 people), facility reductions ($33 million), pension plan adjustments ($136 million) and tax restructuring costs ($50 million). At December 31, 2001, $26 million (593 people) of the severance costs had been paid. All remaining severance costs were paid in 2002.</w:t>
      </w:r>
    </w:p>
    <w:p>
      <w:pPr>
        <w:ind w:firstLine="228"/>
        <w:spacing w:after="0" w:line="295" w:lineRule="auto"/>
        <w:rPr>
          <w:sz w:val="20"/>
          <w:szCs w:val="20"/>
          <w:color w:val="auto"/>
        </w:rPr>
      </w:pPr>
      <w:r>
        <w:rPr>
          <w:rFonts w:ascii="Arial" w:cs="Arial" w:eastAsia="Arial" w:hAnsi="Arial"/>
          <w:sz w:val="16"/>
          <w:szCs w:val="16"/>
          <w:color w:val="auto"/>
        </w:rPr>
        <w:t>For financial reporting purposes, Schlumberger included the results of operations of Sema in its consolidated accounts commencing April 1, 2001. If Sema had been included in the consolidated financial statements of Schlumberger from January 1, consolidated revenue for the twelve months ended December 31, 2001 would have increased by $538 million (unaudited) to $14.3 billion (unaudited) and consolidated net income would have decreased by approximately $140 million (unaudited), to $382 million (unaudited), related primarily to increased interest expense and amortization of intangibles, and lower interest income.</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Acquisitions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During 2002, subsidiaries of Schlumberger acquired the following:</w:t>
      </w:r>
    </w:p>
    <w:p>
      <w:pPr>
        <w:spacing w:after="0" w:line="77" w:lineRule="exact"/>
        <w:rPr>
          <w:sz w:val="20"/>
          <w:szCs w:val="20"/>
          <w:color w:val="auto"/>
        </w:rPr>
      </w:pPr>
    </w:p>
    <w:p>
      <w:pPr>
        <w:ind w:left="780" w:right="120" w:hanging="326"/>
        <w:spacing w:after="0" w:line="268" w:lineRule="auto"/>
        <w:tabs>
          <w:tab w:leader="none" w:pos="7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 March, Inside Reality, a Norwegian based company specializing in virtual reality technology for the oil and gas industry. The acquisition price was $18 million in cash. Assets acquired included intangible assets of $18 million.</w:t>
      </w:r>
    </w:p>
    <w:p>
      <w:pPr>
        <w:spacing w:after="0" w:line="37" w:lineRule="exact"/>
        <w:rPr>
          <w:rFonts w:ascii="Arial" w:cs="Arial" w:eastAsia="Arial" w:hAnsi="Arial"/>
          <w:sz w:val="18"/>
          <w:szCs w:val="18"/>
          <w:color w:val="auto"/>
        </w:rPr>
      </w:pPr>
    </w:p>
    <w:p>
      <w:pPr>
        <w:ind w:left="780" w:right="380" w:hanging="326"/>
        <w:spacing w:after="0" w:line="325" w:lineRule="auto"/>
        <w:tabs>
          <w:tab w:leader="none" w:pos="7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In April, DBR International Inc., a Canadian based company which manufacturers fluid analysis equipment and provides fluid analysis consulting services to the oil and gas industry. The acquisition price was $12 million in cash. Assets acquired included $6 million of goodwill.</w:t>
      </w:r>
    </w:p>
    <w:p>
      <w:pPr>
        <w:spacing w:after="0" w:line="1" w:lineRule="exact"/>
        <w:rPr>
          <w:rFonts w:ascii="Arial" w:cs="Arial" w:eastAsia="Arial" w:hAnsi="Arial"/>
          <w:sz w:val="16"/>
          <w:szCs w:val="16"/>
          <w:color w:val="auto"/>
        </w:rPr>
      </w:pPr>
    </w:p>
    <w:p>
      <w:pPr>
        <w:ind w:left="780" w:right="620" w:hanging="326"/>
        <w:spacing w:after="0" w:line="268" w:lineRule="auto"/>
        <w:tabs>
          <w:tab w:leader="none" w:pos="7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 April, A. Comeau and Associates, a Canadian based provider of electrical engineering products and services for artificially lifted wells. The purchase price was $6 million in cash. Assets acquired included goodwill of $6 million.</w:t>
      </w:r>
    </w:p>
    <w:p>
      <w:pPr>
        <w:spacing w:after="0" w:line="37" w:lineRule="exact"/>
        <w:rPr>
          <w:rFonts w:ascii="Arial" w:cs="Arial" w:eastAsia="Arial" w:hAnsi="Arial"/>
          <w:sz w:val="18"/>
          <w:szCs w:val="18"/>
          <w:color w:val="auto"/>
        </w:rPr>
      </w:pPr>
    </w:p>
    <w:p>
      <w:pPr>
        <w:ind w:left="780" w:right="240" w:hanging="326"/>
        <w:spacing w:after="0" w:line="259" w:lineRule="auto"/>
        <w:tabs>
          <w:tab w:leader="none" w:pos="7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 December, Technoguide AS, a software leader in the reservoir modeling domain. The purchase price was $68 million comprising of $8 million in cash and 1.35 million shares of Schlumberger stock valued at $60 million. Assets acquired included goodwill of $23 million and $44 million of intangible assets (primarily Intellectual Property).</w:t>
      </w:r>
    </w:p>
    <w:p>
      <w:pPr>
        <w:spacing w:after="0" w:line="46"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These acquisitions were accounted for using the purchase method of accounting.</w:t>
      </w:r>
    </w:p>
    <w:p>
      <w:pPr>
        <w:spacing w:after="0" w:line="7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During 2001, subsidiaries of Schlumberger acquired the following:</w:t>
      </w:r>
    </w:p>
    <w:p>
      <w:pPr>
        <w:spacing w:after="0" w:line="77" w:lineRule="exact"/>
        <w:rPr>
          <w:sz w:val="20"/>
          <w:szCs w:val="20"/>
          <w:color w:val="auto"/>
        </w:rPr>
      </w:pPr>
    </w:p>
    <w:p>
      <w:pPr>
        <w:jc w:val="both"/>
        <w:ind w:left="780" w:right="20" w:hanging="326"/>
        <w:spacing w:after="0" w:line="331" w:lineRule="auto"/>
        <w:tabs>
          <w:tab w:leader="none" w:pos="780" w:val="left"/>
        </w:tabs>
        <w:numPr>
          <w:ilvl w:val="0"/>
          <w:numId w:val="31"/>
        </w:numPr>
        <w:rPr>
          <w:rFonts w:ascii="Arial" w:cs="Arial" w:eastAsia="Arial" w:hAnsi="Arial"/>
          <w:sz w:val="15"/>
          <w:szCs w:val="15"/>
          <w:color w:val="auto"/>
        </w:rPr>
      </w:pPr>
      <w:r>
        <w:rPr>
          <w:rFonts w:ascii="Arial" w:cs="Arial" w:eastAsia="Arial" w:hAnsi="Arial"/>
          <w:sz w:val="15"/>
          <w:szCs w:val="15"/>
          <w:color w:val="auto"/>
        </w:rPr>
        <w:t>In March, Bull CP8, a market leader in microprocessor-based smart cards and associated systems applications for the banking, mobile communications and network security industries. The acquisition price was $313 million in cash. Assets acquired included identifiable intangibles (primarily patents) of $136 million and goodwill of $140 million. In-process R&amp;D, which aggregated $25 million, was charged to expense in the first quarter.</w:t>
      </w:r>
    </w:p>
    <w:p>
      <w:pPr>
        <w:spacing w:after="0" w:line="2" w:lineRule="exact"/>
        <w:rPr>
          <w:rFonts w:ascii="Arial" w:cs="Arial" w:eastAsia="Arial" w:hAnsi="Arial"/>
          <w:sz w:val="15"/>
          <w:szCs w:val="15"/>
          <w:color w:val="auto"/>
        </w:rPr>
      </w:pPr>
    </w:p>
    <w:p>
      <w:pPr>
        <w:ind w:left="780" w:right="280" w:hanging="326"/>
        <w:spacing w:after="0" w:line="268" w:lineRule="auto"/>
        <w:tabs>
          <w:tab w:leader="none" w:pos="7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 June, Infosynergy ASA, a Norwegian based company specializing in customer information and billing systems integration. The acquisition price was $29 million in cash. Assets acquired included goodwill of $29 million.</w:t>
      </w:r>
    </w:p>
    <w:p>
      <w:pPr>
        <w:spacing w:after="0" w:line="116" w:lineRule="exact"/>
        <w:rPr>
          <w:sz w:val="20"/>
          <w:szCs w:val="20"/>
          <w:color w:val="auto"/>
        </w:rPr>
      </w:pPr>
    </w:p>
    <w:p>
      <w:pPr>
        <w:spacing w:after="0"/>
        <w:tabs>
          <w:tab w:leader="none" w:pos="10400" w:val="left"/>
        </w:tabs>
        <w:rPr>
          <w:sz w:val="20"/>
          <w:szCs w:val="20"/>
          <w:color w:val="auto"/>
        </w:rPr>
      </w:pPr>
      <w:r>
        <w:rPr>
          <w:rFonts w:ascii="Arial" w:cs="Arial" w:eastAsia="Arial" w:hAnsi="Arial"/>
          <w:sz w:val="14"/>
          <w:szCs w:val="14"/>
          <w:color w:val="auto"/>
        </w:rPr>
        <w:t>50 / SLB</w:t>
      </w:r>
      <w:r>
        <w:rPr>
          <w:sz w:val="20"/>
          <w:szCs w:val="20"/>
          <w:color w:val="auto"/>
        </w:rPr>
        <w:tab/>
      </w:r>
      <w:r>
        <w:rPr>
          <w:rFonts w:ascii="Arial" w:cs="Arial" w:eastAsia="Arial" w:hAnsi="Arial"/>
          <w:sz w:val="12"/>
          <w:szCs w:val="12"/>
          <w:color w:val="auto"/>
        </w:rPr>
        <w:t>2003 FORM 10-K</w:t>
      </w:r>
    </w:p>
    <w:p>
      <w:pPr>
        <w:sectPr>
          <w:pgSz w:w="11900" w:h="16838" w:orient="portrait"/>
          <w:cols w:equalWidth="0" w:num="1">
            <w:col w:w="11420"/>
          </w:cols>
          <w:pgMar w:left="240" w:top="45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4"/>
          <w:szCs w:val="14"/>
          <w:color w:val="auto"/>
        </w:rPr>
        <w:t>Part II, Item 8</w:t>
      </w:r>
    </w:p>
    <w:p>
      <w:pPr>
        <w:spacing w:after="0" w:line="139" w:lineRule="exact"/>
        <w:rPr>
          <w:sz w:val="20"/>
          <w:szCs w:val="20"/>
          <w:color w:val="auto"/>
        </w:rPr>
      </w:pPr>
    </w:p>
    <w:p>
      <w:pPr>
        <w:ind w:left="780" w:right="280" w:hanging="326"/>
        <w:spacing w:after="0" w:line="256" w:lineRule="auto"/>
        <w:tabs>
          <w:tab w:leader="none" w:pos="7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 September, Sensor Highways Limited, a UK based market leader in the design, manufacture and deployment of a new generation of fiber optic sensors specializing in real-time data solutions to the oil and gas, process and power distribution industries. The acquisition price was $100 million, consisting of $70 million in cash and $30 million in notes. Assets acquired included identifiable intangibles of $48 million and goodwill of $50 million.</w:t>
      </w:r>
    </w:p>
    <w:p>
      <w:pPr>
        <w:spacing w:after="0" w:line="48" w:lineRule="exact"/>
        <w:rPr>
          <w:rFonts w:ascii="Arial" w:cs="Arial" w:eastAsia="Arial" w:hAnsi="Arial"/>
          <w:sz w:val="18"/>
          <w:szCs w:val="18"/>
          <w:color w:val="auto"/>
        </w:rPr>
      </w:pPr>
    </w:p>
    <w:p>
      <w:pPr>
        <w:ind w:left="780" w:right="80" w:hanging="326"/>
        <w:spacing w:after="0" w:line="259" w:lineRule="auto"/>
        <w:tabs>
          <w:tab w:leader="none" w:pos="7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 September, Phoenix Petroleum Services, a UK based leader in providing tools, technologies and techniques for optimizing production in artificially lifted wells, particularly those using submersible pumps. The acquisition price was $33 million in cash. Assets acquired included goodwill of $26 million.</w:t>
      </w:r>
    </w:p>
    <w:p>
      <w:pPr>
        <w:spacing w:after="0" w:line="46"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These acquisitions were accounted for using the purchase method of accounting.</w:t>
      </w:r>
    </w:p>
    <w:p>
      <w:pPr>
        <w:spacing w:after="0" w:line="15" w:lineRule="exact"/>
        <w:rPr>
          <w:sz w:val="20"/>
          <w:szCs w:val="20"/>
          <w:color w:val="auto"/>
        </w:rPr>
      </w:pPr>
    </w:p>
    <w:p>
      <w:pPr>
        <w:ind w:left="240"/>
        <w:spacing w:after="0"/>
        <w:rPr>
          <w:sz w:val="20"/>
          <w:szCs w:val="20"/>
          <w:color w:val="auto"/>
        </w:rPr>
      </w:pPr>
      <w:r>
        <w:rPr>
          <w:rFonts w:ascii="Arial" w:cs="Arial" w:eastAsia="Arial" w:hAnsi="Arial"/>
          <w:sz w:val="18"/>
          <w:szCs w:val="18"/>
          <w:color w:val="auto"/>
        </w:rPr>
        <w:t>Pro forma results pertaining to the above acquisitions are not presented as the impact was not significant.</w:t>
      </w:r>
    </w:p>
    <w:p>
      <w:pPr>
        <w:spacing w:after="0" w:line="141" w:lineRule="exact"/>
        <w:rPr>
          <w:sz w:val="20"/>
          <w:szCs w:val="20"/>
          <w:color w:val="auto"/>
        </w:rPr>
      </w:pPr>
    </w:p>
    <w:p>
      <w:pPr>
        <w:ind w:left="340" w:hanging="332"/>
        <w:spacing w:after="0"/>
        <w:tabs>
          <w:tab w:leader="none" w:pos="340"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Sale of SchlumbergerSema to Atos Origin</w:t>
      </w:r>
    </w:p>
    <w:p>
      <w:pPr>
        <w:spacing w:after="0" w:line="74" w:lineRule="exact"/>
        <w:rPr>
          <w:sz w:val="20"/>
          <w:szCs w:val="20"/>
          <w:color w:val="auto"/>
        </w:rPr>
      </w:pPr>
    </w:p>
    <w:p>
      <w:pPr>
        <w:spacing w:after="0"/>
        <w:rPr>
          <w:sz w:val="20"/>
          <w:szCs w:val="20"/>
          <w:color w:val="auto"/>
        </w:rPr>
      </w:pPr>
      <w:r>
        <w:rPr>
          <w:rFonts w:ascii="Arial" w:cs="Arial" w:eastAsia="Arial" w:hAnsi="Arial"/>
          <w:sz w:val="16"/>
          <w:szCs w:val="16"/>
          <w:color w:val="auto"/>
        </w:rPr>
        <w:t>On September 22, 2003, Schlumberger announced the signing of an agreement with Atos Origin for the sale of the SchlumbergerSema business.</w:t>
      </w:r>
    </w:p>
    <w:p>
      <w:pPr>
        <w:spacing w:after="0" w:line="38" w:lineRule="exact"/>
        <w:rPr>
          <w:sz w:val="20"/>
          <w:szCs w:val="20"/>
          <w:color w:val="auto"/>
        </w:rPr>
      </w:pPr>
    </w:p>
    <w:p>
      <w:pPr>
        <w:ind w:right="160" w:firstLine="228"/>
        <w:spacing w:after="0" w:line="281" w:lineRule="auto"/>
        <w:rPr>
          <w:sz w:val="20"/>
          <w:szCs w:val="20"/>
          <w:color w:val="auto"/>
        </w:rPr>
      </w:pPr>
      <w:r>
        <w:rPr>
          <w:rFonts w:ascii="Arial" w:cs="Arial" w:eastAsia="Arial" w:hAnsi="Arial"/>
          <w:sz w:val="16"/>
          <w:szCs w:val="16"/>
          <w:color w:val="auto"/>
        </w:rPr>
        <w:t xml:space="preserve">On January 29, 2004 the sale transaction was completed. As consideration for the transaction, Schlumberger received €443 million ($550 million) in cash which included a working capital adjustment, and 19.3 million shares of common stock of Atos with a value of €1.02 billion ($1.275 billion), which represented approximately 29% of the outstanding common shares of Atos Origin after the transaction was completed. Schlumberger expects the result of the sale will be a gain which will be recorded as part of </w:t>
      </w:r>
      <w:r>
        <w:rPr>
          <w:rFonts w:ascii="Arial" w:cs="Arial" w:eastAsia="Arial" w:hAnsi="Arial"/>
          <w:sz w:val="16"/>
          <w:szCs w:val="16"/>
          <w:i w:val="1"/>
          <w:iCs w:val="1"/>
          <w:color w:val="auto"/>
        </w:rPr>
        <w:t>Discontinued Operations</w:t>
      </w:r>
      <w:r>
        <w:rPr>
          <w:rFonts w:ascii="Arial" w:cs="Arial" w:eastAsia="Arial" w:hAnsi="Arial"/>
          <w:sz w:val="16"/>
          <w:szCs w:val="16"/>
          <w:color w:val="auto"/>
        </w:rPr>
        <w:t xml:space="preserve"> in the first quarter of 2004.</w:t>
      </w:r>
    </w:p>
    <w:p>
      <w:pPr>
        <w:spacing w:after="0" w:line="3" w:lineRule="exact"/>
        <w:rPr>
          <w:sz w:val="20"/>
          <w:szCs w:val="20"/>
          <w:color w:val="auto"/>
        </w:rPr>
      </w:pPr>
    </w:p>
    <w:p>
      <w:pPr>
        <w:jc w:val="both"/>
        <w:ind w:right="220" w:firstLine="228"/>
        <w:spacing w:after="0" w:line="255" w:lineRule="auto"/>
        <w:rPr>
          <w:sz w:val="20"/>
          <w:szCs w:val="20"/>
          <w:color w:val="auto"/>
        </w:rPr>
      </w:pPr>
      <w:r>
        <w:rPr>
          <w:rFonts w:ascii="Arial" w:cs="Arial" w:eastAsia="Arial" w:hAnsi="Arial"/>
          <w:sz w:val="18"/>
          <w:szCs w:val="18"/>
          <w:color w:val="auto"/>
        </w:rPr>
        <w:t>On February 2, 2004 Schlumberger sold 9.6 million of the Atos Origin shares for a net consideration of €500 million ($625 million). As a result of this sale, Schlumberger’s investment was reduced to approximately 15% of the outstanding common shares of Atos Origin. Schlumberger will account for the remaining investment in Atos Origin on the cost method.</w:t>
      </w:r>
    </w:p>
    <w:p>
      <w:pPr>
        <w:spacing w:after="0" w:line="120" w:lineRule="exact"/>
        <w:rPr>
          <w:sz w:val="20"/>
          <w:szCs w:val="20"/>
          <w:color w:val="auto"/>
        </w:rPr>
      </w:pPr>
    </w:p>
    <w:p>
      <w:pPr>
        <w:ind w:left="340" w:hanging="332"/>
        <w:spacing w:after="0"/>
        <w:tabs>
          <w:tab w:leader="none" w:pos="34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Investments in Affiliated Companies</w:t>
      </w:r>
    </w:p>
    <w:p>
      <w:pPr>
        <w:spacing w:after="0" w:line="74"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Schlumberger and Smith International Inc. operate a drilling fluids joint venture of which Schlumberger owns a 40% interest and records income using the equity method of accounting. Schlumberger’s investment on December 31, 2003 and 2002 was $657 million and $592 million, respectively. Schlumberger’s equity income from this joint venture in 2003 was $52 million, $48 million in 2002 and $51 million in 2001.</w:t>
      </w:r>
    </w:p>
    <w:p>
      <w:pPr>
        <w:spacing w:after="0" w:line="116" w:lineRule="exact"/>
        <w:rPr>
          <w:sz w:val="20"/>
          <w:szCs w:val="20"/>
          <w:color w:val="auto"/>
        </w:rPr>
      </w:pPr>
    </w:p>
    <w:p>
      <w:pPr>
        <w:ind w:left="340" w:hanging="332"/>
        <w:spacing w:after="0"/>
        <w:tabs>
          <w:tab w:leader="none" w:pos="340"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Investments</w:t>
      </w:r>
    </w:p>
    <w:p>
      <w:pPr>
        <w:spacing w:after="0" w:line="74"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The Consolidated Balance Sheet reflects the Schlumberger investment portfolio separated between current and long term, based on maturity. Under normal circumstances it is the intent of Schlumberger to hold the investments until maturity, with the exception of investments which are considered trading (December 31, 2003 – $151 million; December 31, 2002 – $0).</w:t>
      </w:r>
    </w:p>
    <w:p>
      <w:pPr>
        <w:ind w:left="240"/>
        <w:spacing w:after="0"/>
        <w:rPr>
          <w:sz w:val="20"/>
          <w:szCs w:val="20"/>
          <w:color w:val="auto"/>
        </w:rPr>
      </w:pPr>
      <w:r>
        <w:rPr>
          <w:rFonts w:ascii="Arial" w:cs="Arial" w:eastAsia="Arial" w:hAnsi="Arial"/>
          <w:sz w:val="18"/>
          <w:szCs w:val="18"/>
          <w:color w:val="auto"/>
        </w:rPr>
        <w:t>Fixed income investments of $223 million mature in 2005.</w:t>
      </w:r>
    </w:p>
    <w:p>
      <w:pPr>
        <w:spacing w:after="0" w:line="9" w:lineRule="exact"/>
        <w:rPr>
          <w:sz w:val="20"/>
          <w:szCs w:val="20"/>
          <w:color w:val="auto"/>
        </w:rPr>
      </w:pPr>
    </w:p>
    <w:p>
      <w:pPr>
        <w:ind w:right="340" w:firstLine="228"/>
        <w:spacing w:after="0" w:line="261" w:lineRule="auto"/>
        <w:rPr>
          <w:sz w:val="20"/>
          <w:szCs w:val="20"/>
          <w:color w:val="auto"/>
        </w:rPr>
      </w:pPr>
      <w:r>
        <w:rPr>
          <w:rFonts w:ascii="Arial" w:cs="Arial" w:eastAsia="Arial" w:hAnsi="Arial"/>
          <w:sz w:val="18"/>
          <w:szCs w:val="18"/>
          <w:color w:val="auto"/>
        </w:rPr>
        <w:t>On December 31, 2003, there were no interest rate swap arrangements outstanding related to investments. Interest rate swap arrangements had no material effect on consolidated interest income.</w:t>
      </w:r>
    </w:p>
    <w:p>
      <w:pPr>
        <w:spacing w:after="0" w:line="114" w:lineRule="exact"/>
        <w:rPr>
          <w:sz w:val="20"/>
          <w:szCs w:val="20"/>
          <w:color w:val="auto"/>
        </w:rPr>
      </w:pPr>
    </w:p>
    <w:p>
      <w:pPr>
        <w:ind w:left="340" w:hanging="332"/>
        <w:spacing w:after="0"/>
        <w:tabs>
          <w:tab w:leader="none" w:pos="340"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color w:val="auto"/>
        </w:rPr>
        <w:t>Securitization</w:t>
      </w:r>
    </w:p>
    <w:p>
      <w:pPr>
        <w:spacing w:after="0" w:line="74" w:lineRule="exact"/>
        <w:rPr>
          <w:sz w:val="20"/>
          <w:szCs w:val="20"/>
          <w:color w:val="auto"/>
        </w:rPr>
      </w:pPr>
    </w:p>
    <w:p>
      <w:pPr>
        <w:ind w:right="300"/>
        <w:spacing w:after="0" w:line="306" w:lineRule="auto"/>
        <w:rPr>
          <w:sz w:val="20"/>
          <w:szCs w:val="20"/>
          <w:color w:val="auto"/>
        </w:rPr>
      </w:pPr>
      <w:r>
        <w:rPr>
          <w:rFonts w:ascii="Arial" w:cs="Arial" w:eastAsia="Arial" w:hAnsi="Arial"/>
          <w:sz w:val="16"/>
          <w:szCs w:val="16"/>
          <w:color w:val="auto"/>
        </w:rPr>
        <w:t>In September 2000, a wholly owned subsidiary of Schlumberger entered into an agreement to sell, on an ongoing basis, up to $220 million of an undivided interest in its accounts receivable, and subsequently amended up to $250 million. The amount of receivables sold under this agreement totaled $224 million at December 31, 2003 and $155 million at December 31, 2002. Unless extended by amendment, the agreement expires in September 2004.</w:t>
      </w:r>
    </w:p>
    <w:p>
      <w:pPr>
        <w:spacing w:after="0" w:line="91" w:lineRule="exact"/>
        <w:rPr>
          <w:sz w:val="20"/>
          <w:szCs w:val="20"/>
          <w:color w:val="auto"/>
        </w:rPr>
      </w:pPr>
    </w:p>
    <w:p>
      <w:pPr>
        <w:spacing w:after="0"/>
        <w:tabs>
          <w:tab w:leader="none" w:pos="10400" w:val="left"/>
        </w:tabs>
        <w:rPr>
          <w:sz w:val="20"/>
          <w:szCs w:val="20"/>
          <w:color w:val="auto"/>
        </w:rPr>
      </w:pPr>
      <w:r>
        <w:rPr>
          <w:rFonts w:ascii="Arial" w:cs="Arial" w:eastAsia="Arial" w:hAnsi="Arial"/>
          <w:sz w:val="14"/>
          <w:szCs w:val="14"/>
          <w:color w:val="auto"/>
        </w:rPr>
        <w:t>51 / SLB</w:t>
      </w:r>
      <w:r>
        <w:rPr>
          <w:sz w:val="20"/>
          <w:szCs w:val="20"/>
          <w:color w:val="auto"/>
        </w:rPr>
        <w:tab/>
      </w:r>
      <w:r>
        <w:rPr>
          <w:rFonts w:ascii="Arial" w:cs="Arial" w:eastAsia="Arial" w:hAnsi="Arial"/>
          <w:sz w:val="12"/>
          <w:szCs w:val="12"/>
          <w:color w:val="auto"/>
        </w:rPr>
        <w:t>2003 FORM 10-K</w:t>
      </w:r>
    </w:p>
    <w:p>
      <w:pPr>
        <w:sectPr>
          <w:pgSz w:w="11900" w:h="16838" w:orient="portrait"/>
          <w:cols w:equalWidth="0" w:num="1">
            <w:col w:w="11420"/>
          </w:cols>
          <w:pgMar w:left="240" w:top="45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4"/>
          <w:szCs w:val="14"/>
          <w:color w:val="auto"/>
        </w:rPr>
        <w:t>Part II, Item 8</w:t>
      </w:r>
    </w:p>
    <w:p>
      <w:pPr>
        <w:spacing w:after="0" w:line="128" w:lineRule="exact"/>
        <w:rPr>
          <w:sz w:val="20"/>
          <w:szCs w:val="20"/>
          <w:color w:val="auto"/>
        </w:rPr>
      </w:pPr>
    </w:p>
    <w:p>
      <w:pPr>
        <w:ind w:left="440" w:hanging="432"/>
        <w:spacing w:after="0"/>
        <w:tabs>
          <w:tab w:leader="none" w:pos="440"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Inventory</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A summary of inventory follows:</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(Stated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46620" cy="88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0120" w:type="dxa"/>
            <w:vAlign w:val="bottom"/>
            <w:gridSpan w:val="2"/>
          </w:tcPr>
          <w:p>
            <w:pPr>
              <w:spacing w:after="0"/>
              <w:rPr>
                <w:sz w:val="20"/>
                <w:szCs w:val="20"/>
                <w:color w:val="auto"/>
              </w:rPr>
            </w:pPr>
            <w:r>
              <w:rPr>
                <w:rFonts w:ascii="Arial" w:cs="Arial" w:eastAsia="Arial" w:hAnsi="Arial"/>
                <w:sz w:val="14"/>
                <w:szCs w:val="14"/>
                <w:b w:val="1"/>
                <w:bCs w:val="1"/>
                <w:color w:val="auto"/>
              </w:rPr>
              <w:t>As at December 31</w:t>
            </w:r>
          </w:p>
        </w:tc>
        <w:tc>
          <w:tcPr>
            <w:tcW w:w="320" w:type="dxa"/>
            <w:vAlign w:val="bottom"/>
          </w:tcPr>
          <w:p>
            <w:pPr>
              <w:jc w:val="right"/>
              <w:spacing w:after="0"/>
              <w:rPr>
                <w:sz w:val="20"/>
                <w:szCs w:val="20"/>
                <w:color w:val="auto"/>
              </w:rPr>
            </w:pPr>
            <w:r>
              <w:rPr>
                <w:rFonts w:ascii="Arial" w:cs="Arial" w:eastAsia="Arial" w:hAnsi="Arial"/>
                <w:sz w:val="14"/>
                <w:szCs w:val="14"/>
                <w:b w:val="1"/>
                <w:bCs w:val="1"/>
                <w:color w:val="auto"/>
                <w:w w:val="96"/>
              </w:rPr>
              <w:t>2003</w:t>
            </w:r>
          </w:p>
        </w:tc>
        <w:tc>
          <w:tcPr>
            <w:tcW w:w="100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rPr>
              <w:t>2002</w:t>
            </w: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10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560" w:type="dxa"/>
            <w:vAlign w:val="bottom"/>
          </w:tcPr>
          <w:p>
            <w:pPr>
              <w:spacing w:after="0"/>
              <w:rPr>
                <w:sz w:val="4"/>
                <w:szCs w:val="4"/>
                <w:color w:val="auto"/>
              </w:rPr>
            </w:pPr>
          </w:p>
        </w:tc>
        <w:tc>
          <w:tcPr>
            <w:tcW w:w="420" w:type="dxa"/>
            <w:vAlign w:val="bottom"/>
          </w:tcPr>
          <w:p>
            <w:pPr>
              <w:spacing w:after="0"/>
              <w:rPr>
                <w:sz w:val="4"/>
                <w:szCs w:val="4"/>
                <w:color w:val="auto"/>
              </w:rPr>
            </w:pPr>
          </w:p>
        </w:tc>
        <w:tc>
          <w:tcPr>
            <w:tcW w:w="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10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Raw Materials &amp; Field Materials</w:t>
            </w: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85"/>
              </w:rPr>
              <w:t>$ 778</w:t>
            </w:r>
          </w:p>
        </w:tc>
        <w:tc>
          <w:tcPr>
            <w:tcW w:w="9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$ 1,010</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100" w:type="dxa"/>
            <w:vAlign w:val="bottom"/>
          </w:tcPr>
          <w:p>
            <w:pPr>
              <w:spacing w:after="0" w:line="149" w:lineRule="exact"/>
              <w:rPr>
                <w:sz w:val="20"/>
                <w:szCs w:val="20"/>
                <w:color w:val="auto"/>
              </w:rPr>
            </w:pPr>
            <w:r>
              <w:rPr>
                <w:rFonts w:ascii="Arial" w:cs="Arial" w:eastAsia="Arial" w:hAnsi="Arial"/>
                <w:sz w:val="14"/>
                <w:szCs w:val="14"/>
                <w:color w:val="auto"/>
              </w:rPr>
              <w:t>Work in Process</w:t>
            </w:r>
          </w:p>
        </w:tc>
        <w:tc>
          <w:tcPr>
            <w:tcW w:w="3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96</w:t>
            </w:r>
          </w:p>
        </w:tc>
        <w:tc>
          <w:tcPr>
            <w:tcW w:w="9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118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Finished Goods</w:t>
            </w: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62</w:t>
            </w:r>
          </w:p>
        </w:tc>
        <w:tc>
          <w:tcPr>
            <w:tcW w:w="9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138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10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5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10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936</w:t>
            </w:r>
          </w:p>
        </w:tc>
        <w:tc>
          <w:tcPr>
            <w:tcW w:w="9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1,266</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0100" w:type="dxa"/>
            <w:vAlign w:val="bottom"/>
          </w:tcPr>
          <w:p>
            <w:pPr>
              <w:spacing w:after="0"/>
              <w:rPr>
                <w:sz w:val="20"/>
                <w:szCs w:val="20"/>
                <w:color w:val="auto"/>
              </w:rPr>
            </w:pPr>
            <w:r>
              <w:rPr>
                <w:rFonts w:ascii="Arial" w:cs="Arial" w:eastAsia="Arial" w:hAnsi="Arial"/>
                <w:sz w:val="14"/>
                <w:szCs w:val="14"/>
                <w:color w:val="auto"/>
              </w:rPr>
              <w:t>Less reserves for obsolescence</w:t>
            </w:r>
          </w:p>
        </w:tc>
        <w:tc>
          <w:tcPr>
            <w:tcW w:w="320" w:type="dxa"/>
            <w:vAlign w:val="bottom"/>
          </w:tcPr>
          <w:p>
            <w:pPr>
              <w:jc w:val="right"/>
              <w:spacing w:after="0"/>
              <w:rPr>
                <w:sz w:val="20"/>
                <w:szCs w:val="20"/>
                <w:color w:val="auto"/>
              </w:rPr>
            </w:pPr>
            <w:r>
              <w:rPr>
                <w:rFonts w:ascii="Arial" w:cs="Arial" w:eastAsia="Arial" w:hAnsi="Arial"/>
                <w:sz w:val="14"/>
                <w:szCs w:val="14"/>
                <w:b w:val="1"/>
                <w:bCs w:val="1"/>
                <w:color w:val="auto"/>
              </w:rPr>
              <w:t>139</w:t>
            </w:r>
          </w:p>
        </w:tc>
        <w:tc>
          <w:tcPr>
            <w:tcW w:w="980" w:type="dxa"/>
            <w:vAlign w:val="bottom"/>
            <w:gridSpan w:val="2"/>
          </w:tcPr>
          <w:p>
            <w:pPr>
              <w:jc w:val="right"/>
              <w:spacing w:after="0"/>
              <w:rPr>
                <w:sz w:val="20"/>
                <w:szCs w:val="20"/>
                <w:color w:val="auto"/>
              </w:rPr>
            </w:pPr>
            <w:r>
              <w:rPr>
                <w:rFonts w:ascii="Arial" w:cs="Arial" w:eastAsia="Arial" w:hAnsi="Arial"/>
                <w:sz w:val="14"/>
                <w:szCs w:val="14"/>
                <w:color w:val="auto"/>
              </w:rPr>
              <w:t>223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10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560" w:type="dxa"/>
            <w:vAlign w:val="bottom"/>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5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10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85"/>
              </w:rPr>
              <w:t>$ 797</w:t>
            </w:r>
          </w:p>
        </w:tc>
        <w:tc>
          <w:tcPr>
            <w:tcW w:w="9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$ 1,043</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100" w:type="dxa"/>
            <w:vAlign w:val="bottom"/>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6426200</wp:posOffset>
            </wp:positionH>
            <wp:positionV relativeFrom="paragraph">
              <wp:posOffset>-29210</wp:posOffset>
            </wp:positionV>
            <wp:extent cx="12700" cy="298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6614795</wp:posOffset>
            </wp:positionH>
            <wp:positionV relativeFrom="paragraph">
              <wp:posOffset>-29210</wp:posOffset>
            </wp:positionV>
            <wp:extent cx="12700" cy="298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-29210</wp:posOffset>
            </wp:positionV>
            <wp:extent cx="21590" cy="298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6983730</wp:posOffset>
            </wp:positionH>
            <wp:positionV relativeFrom="paragraph">
              <wp:posOffset>-29210</wp:posOffset>
            </wp:positionV>
            <wp:extent cx="12700" cy="298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7044055</wp:posOffset>
            </wp:positionH>
            <wp:positionV relativeFrom="paragraph">
              <wp:posOffset>-29210</wp:posOffset>
            </wp:positionV>
            <wp:extent cx="21590" cy="298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215" w:lineRule="exact"/>
        <w:rPr>
          <w:sz w:val="20"/>
          <w:szCs w:val="20"/>
          <w:color w:val="auto"/>
        </w:rPr>
      </w:pPr>
    </w:p>
    <w:p>
      <w:pPr>
        <w:ind w:left="440" w:hanging="432"/>
        <w:spacing w:after="0"/>
        <w:tabs>
          <w:tab w:leader="none" w:pos="440"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t>Assets held for sale and Liabilities held for sale</w:t>
      </w:r>
    </w:p>
    <w:p>
      <w:pPr>
        <w:spacing w:after="0" w:line="74" w:lineRule="exact"/>
        <w:rPr>
          <w:sz w:val="20"/>
          <w:szCs w:val="20"/>
          <w:color w:val="auto"/>
        </w:rPr>
      </w:pPr>
    </w:p>
    <w:p>
      <w:pPr>
        <w:jc w:val="both"/>
        <w:ind w:right="80"/>
        <w:spacing w:after="0" w:line="283" w:lineRule="auto"/>
        <w:rPr>
          <w:sz w:val="20"/>
          <w:szCs w:val="20"/>
          <w:color w:val="auto"/>
        </w:rPr>
      </w:pPr>
      <w:r>
        <w:rPr>
          <w:rFonts w:ascii="Arial" w:cs="Arial" w:eastAsia="Arial" w:hAnsi="Arial"/>
          <w:sz w:val="16"/>
          <w:szCs w:val="16"/>
          <w:color w:val="auto"/>
        </w:rPr>
        <w:t xml:space="preserve">On September 22, 2003, Schlumberger announced the signing of an agreement, with Atos Origin, for the sale of its SchlumbergerSema business. On January 29, 2004 the sale transaction was completed. In accordance with generally accepted accounting principles, the assets and liabilities which will be eliminated from the Schlumberger </w:t>
      </w:r>
      <w:r>
        <w:rPr>
          <w:rFonts w:ascii="Arial" w:cs="Arial" w:eastAsia="Arial" w:hAnsi="Arial"/>
          <w:sz w:val="16"/>
          <w:szCs w:val="16"/>
          <w:i w:val="1"/>
          <w:iCs w:val="1"/>
          <w:color w:val="auto"/>
        </w:rPr>
        <w:t>Consolidated Balance Sheet</w:t>
      </w:r>
      <w:r>
        <w:rPr>
          <w:rFonts w:ascii="Arial" w:cs="Arial" w:eastAsia="Arial" w:hAnsi="Arial"/>
          <w:sz w:val="16"/>
          <w:szCs w:val="16"/>
          <w:color w:val="auto"/>
        </w:rPr>
        <w:t xml:space="preserve"> subsequent to the sale have been aggregated and presented on the </w:t>
      </w:r>
      <w:r>
        <w:rPr>
          <w:rFonts w:ascii="Arial" w:cs="Arial" w:eastAsia="Arial" w:hAnsi="Arial"/>
          <w:sz w:val="16"/>
          <w:szCs w:val="16"/>
          <w:i w:val="1"/>
          <w:iCs w:val="1"/>
          <w:color w:val="auto"/>
        </w:rPr>
        <w:t>Consolidated Balance Sheet</w:t>
      </w:r>
      <w:r>
        <w:rPr>
          <w:rFonts w:ascii="Arial" w:cs="Arial" w:eastAsia="Arial" w:hAnsi="Arial"/>
          <w:sz w:val="16"/>
          <w:szCs w:val="16"/>
          <w:color w:val="auto"/>
        </w:rPr>
        <w:t xml:space="preserve"> at December 31, 2003 as </w:t>
      </w:r>
      <w:r>
        <w:rPr>
          <w:rFonts w:ascii="Arial" w:cs="Arial" w:eastAsia="Arial" w:hAnsi="Arial"/>
          <w:sz w:val="16"/>
          <w:szCs w:val="16"/>
          <w:i w:val="1"/>
          <w:iCs w:val="1"/>
          <w:color w:val="auto"/>
        </w:rPr>
        <w:t>Assets held for sale</w:t>
      </w:r>
      <w:r>
        <w:rPr>
          <w:rFonts w:ascii="Arial" w:cs="Arial" w:eastAsia="Arial" w:hAnsi="Arial"/>
          <w:sz w:val="16"/>
          <w:szCs w:val="16"/>
          <w:color w:val="auto"/>
        </w:rPr>
        <w:t xml:space="preserve"> ($3.24 billion) and </w:t>
      </w:r>
      <w:r>
        <w:rPr>
          <w:rFonts w:ascii="Arial" w:cs="Arial" w:eastAsia="Arial" w:hAnsi="Arial"/>
          <w:sz w:val="16"/>
          <w:szCs w:val="16"/>
          <w:i w:val="1"/>
          <w:iCs w:val="1"/>
          <w:color w:val="auto"/>
        </w:rPr>
        <w:t>Liabilities held for sale</w:t>
      </w:r>
      <w:r>
        <w:rPr>
          <w:rFonts w:ascii="Arial" w:cs="Arial" w:eastAsia="Arial" w:hAnsi="Arial"/>
          <w:sz w:val="16"/>
          <w:szCs w:val="16"/>
          <w:color w:val="auto"/>
        </w:rPr>
        <w:t xml:space="preserve"> ($1.22 billion).</w:t>
      </w:r>
    </w:p>
    <w:p>
      <w:pPr>
        <w:spacing w:after="0" w:line="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An analysis of the Assets and Liabilities held for sale is as follows:</w:t>
      </w:r>
    </w:p>
    <w:p>
      <w:pPr>
        <w:spacing w:after="0" w:line="14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(Stated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46620" cy="889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980" w:type="dxa"/>
            <w:vAlign w:val="bottom"/>
            <w:shd w:val="clear" w:color="auto" w:fill="CCEEFF"/>
          </w:tcPr>
          <w:p>
            <w:pPr>
              <w:spacing w:after="0"/>
              <w:rPr>
                <w:sz w:val="20"/>
                <w:szCs w:val="20"/>
                <w:color w:val="auto"/>
              </w:rPr>
            </w:pPr>
            <w:r>
              <w:rPr>
                <w:rFonts w:ascii="Arial" w:cs="Arial" w:eastAsia="Arial" w:hAnsi="Arial"/>
                <w:sz w:val="14"/>
                <w:szCs w:val="14"/>
                <w:i w:val="1"/>
                <w:iCs w:val="1"/>
                <w:color w:val="auto"/>
              </w:rPr>
              <w:t>Assets held for sale</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980" w:type="dxa"/>
            <w:vAlign w:val="bottom"/>
          </w:tcPr>
          <w:p>
            <w:pPr>
              <w:spacing w:after="0" w:line="149" w:lineRule="exact"/>
              <w:rPr>
                <w:sz w:val="20"/>
                <w:szCs w:val="20"/>
                <w:color w:val="auto"/>
              </w:rPr>
            </w:pPr>
            <w:r>
              <w:rPr>
                <w:rFonts w:ascii="Arial" w:cs="Arial" w:eastAsia="Arial" w:hAnsi="Arial"/>
                <w:sz w:val="14"/>
                <w:szCs w:val="14"/>
                <w:color w:val="auto"/>
              </w:rPr>
              <w:t>Receivables</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320" w:type="dxa"/>
            <w:vAlign w:val="bottom"/>
          </w:tcPr>
          <w:p>
            <w:pPr>
              <w:jc w:val="right"/>
              <w:spacing w:after="0" w:line="149" w:lineRule="exact"/>
              <w:rPr>
                <w:sz w:val="20"/>
                <w:szCs w:val="20"/>
                <w:color w:val="auto"/>
              </w:rPr>
            </w:pPr>
            <w:r>
              <w:rPr>
                <w:rFonts w:ascii="Arial" w:cs="Arial" w:eastAsia="Arial" w:hAnsi="Arial"/>
                <w:sz w:val="14"/>
                <w:szCs w:val="14"/>
                <w:color w:val="auto"/>
              </w:rPr>
              <w:t>978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9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Inventories</w:t>
            </w: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980" w:type="dxa"/>
            <w:vAlign w:val="bottom"/>
          </w:tcPr>
          <w:p>
            <w:pPr>
              <w:spacing w:after="0" w:line="149" w:lineRule="exact"/>
              <w:rPr>
                <w:sz w:val="20"/>
                <w:szCs w:val="20"/>
                <w:color w:val="auto"/>
              </w:rPr>
            </w:pPr>
            <w:r>
              <w:rPr>
                <w:rFonts w:ascii="Arial" w:cs="Arial" w:eastAsia="Arial" w:hAnsi="Arial"/>
                <w:sz w:val="14"/>
                <w:szCs w:val="14"/>
                <w:color w:val="auto"/>
              </w:rPr>
              <w:t>Other current assets</w:t>
            </w:r>
          </w:p>
        </w:tc>
        <w:tc>
          <w:tcPr>
            <w:tcW w:w="100" w:type="dxa"/>
            <w:vAlign w:val="bottom"/>
          </w:tcPr>
          <w:p>
            <w:pPr>
              <w:spacing w:after="0"/>
              <w:rPr>
                <w:sz w:val="12"/>
                <w:szCs w:val="12"/>
                <w:color w:val="auto"/>
              </w:rPr>
            </w:pPr>
          </w:p>
        </w:tc>
        <w:tc>
          <w:tcPr>
            <w:tcW w:w="320" w:type="dxa"/>
            <w:vAlign w:val="bottom"/>
          </w:tcPr>
          <w:p>
            <w:pPr>
              <w:jc w:val="right"/>
              <w:spacing w:after="0" w:line="149" w:lineRule="exact"/>
              <w:rPr>
                <w:sz w:val="20"/>
                <w:szCs w:val="20"/>
                <w:color w:val="auto"/>
              </w:rPr>
            </w:pPr>
            <w:r>
              <w:rPr>
                <w:rFonts w:ascii="Arial" w:cs="Arial" w:eastAsia="Arial" w:hAnsi="Arial"/>
                <w:sz w:val="14"/>
                <w:szCs w:val="14"/>
                <w:color w:val="auto"/>
              </w:rPr>
              <w:t>159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9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Fixed assets</w:t>
            </w: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481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980" w:type="dxa"/>
            <w:vAlign w:val="bottom"/>
          </w:tcPr>
          <w:p>
            <w:pPr>
              <w:spacing w:after="0" w:line="149" w:lineRule="exact"/>
              <w:rPr>
                <w:sz w:val="20"/>
                <w:szCs w:val="20"/>
                <w:color w:val="auto"/>
              </w:rPr>
            </w:pPr>
            <w:r>
              <w:rPr>
                <w:rFonts w:ascii="Arial" w:cs="Arial" w:eastAsia="Arial" w:hAnsi="Arial"/>
                <w:sz w:val="14"/>
                <w:szCs w:val="14"/>
                <w:color w:val="auto"/>
              </w:rPr>
              <w:t>Goodwill</w:t>
            </w:r>
          </w:p>
        </w:tc>
        <w:tc>
          <w:tcPr>
            <w:tcW w:w="100" w:type="dxa"/>
            <w:vAlign w:val="bottom"/>
          </w:tcPr>
          <w:p>
            <w:pPr>
              <w:spacing w:after="0"/>
              <w:rPr>
                <w:sz w:val="12"/>
                <w:szCs w:val="12"/>
                <w:color w:val="auto"/>
              </w:rPr>
            </w:pPr>
          </w:p>
        </w:tc>
        <w:tc>
          <w:tcPr>
            <w:tcW w:w="320" w:type="dxa"/>
            <w:vAlign w:val="bottom"/>
          </w:tcPr>
          <w:p>
            <w:pPr>
              <w:jc w:val="right"/>
              <w:spacing w:after="0" w:line="149" w:lineRule="exact"/>
              <w:rPr>
                <w:sz w:val="20"/>
                <w:szCs w:val="20"/>
                <w:color w:val="auto"/>
              </w:rPr>
            </w:pPr>
            <w:r>
              <w:rPr>
                <w:rFonts w:ascii="Arial" w:cs="Arial" w:eastAsia="Arial" w:hAnsi="Arial"/>
                <w:sz w:val="14"/>
                <w:szCs w:val="14"/>
                <w:color w:val="auto"/>
                <w:w w:val="85"/>
              </w:rPr>
              <w:t>1,334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9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Intangible assets</w:t>
            </w: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980" w:type="dxa"/>
            <w:vAlign w:val="bottom"/>
          </w:tcPr>
          <w:p>
            <w:pPr>
              <w:spacing w:after="0" w:line="149" w:lineRule="exact"/>
              <w:rPr>
                <w:sz w:val="20"/>
                <w:szCs w:val="20"/>
                <w:color w:val="auto"/>
              </w:rPr>
            </w:pPr>
            <w:r>
              <w:rPr>
                <w:rFonts w:ascii="Arial" w:cs="Arial" w:eastAsia="Arial" w:hAnsi="Arial"/>
                <w:sz w:val="14"/>
                <w:szCs w:val="14"/>
                <w:color w:val="auto"/>
              </w:rPr>
              <w:t>Deferred taxes</w:t>
            </w:r>
          </w:p>
        </w:tc>
        <w:tc>
          <w:tcPr>
            <w:tcW w:w="100" w:type="dxa"/>
            <w:vAlign w:val="bottom"/>
          </w:tcPr>
          <w:p>
            <w:pPr>
              <w:spacing w:after="0"/>
              <w:rPr>
                <w:sz w:val="12"/>
                <w:szCs w:val="12"/>
                <w:color w:val="auto"/>
              </w:rPr>
            </w:pPr>
          </w:p>
        </w:tc>
        <w:tc>
          <w:tcPr>
            <w:tcW w:w="320" w:type="dxa"/>
            <w:vAlign w:val="bottom"/>
          </w:tcPr>
          <w:p>
            <w:pPr>
              <w:jc w:val="right"/>
              <w:spacing w:after="0" w:line="149" w:lineRule="exact"/>
              <w:rPr>
                <w:sz w:val="20"/>
                <w:szCs w:val="20"/>
                <w:color w:val="auto"/>
              </w:rPr>
            </w:pPr>
            <w:r>
              <w:rPr>
                <w:rFonts w:ascii="Arial" w:cs="Arial" w:eastAsia="Arial" w:hAnsi="Arial"/>
                <w:sz w:val="14"/>
                <w:szCs w:val="14"/>
                <w:color w:val="auto"/>
              </w:rPr>
              <w:t>35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9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assets</w:t>
            </w: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98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98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5"/>
              </w:rPr>
              <w:t>3,238</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9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0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10980" w:type="dxa"/>
            <w:vAlign w:val="bottom"/>
            <w:shd w:val="clear" w:color="auto" w:fill="CCEEFF"/>
          </w:tcPr>
          <w:p>
            <w:pPr>
              <w:spacing w:after="0" w:line="149" w:lineRule="exact"/>
              <w:rPr>
                <w:sz w:val="20"/>
                <w:szCs w:val="20"/>
                <w:color w:val="auto"/>
              </w:rPr>
            </w:pPr>
            <w:r>
              <w:rPr>
                <w:rFonts w:ascii="Arial" w:cs="Arial" w:eastAsia="Arial" w:hAnsi="Arial"/>
                <w:sz w:val="14"/>
                <w:szCs w:val="14"/>
                <w:i w:val="1"/>
                <w:iCs w:val="1"/>
                <w:color w:val="auto"/>
              </w:rPr>
              <w:t>Liabilities held for sale</w:t>
            </w: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980" w:type="dxa"/>
            <w:vAlign w:val="bottom"/>
          </w:tcPr>
          <w:p>
            <w:pPr>
              <w:spacing w:after="0" w:line="149" w:lineRule="exact"/>
              <w:rPr>
                <w:sz w:val="20"/>
                <w:szCs w:val="20"/>
                <w:color w:val="auto"/>
              </w:rPr>
            </w:pPr>
            <w:r>
              <w:rPr>
                <w:rFonts w:ascii="Arial" w:cs="Arial" w:eastAsia="Arial" w:hAnsi="Arial"/>
                <w:sz w:val="14"/>
                <w:szCs w:val="14"/>
                <w:color w:val="auto"/>
              </w:rPr>
              <w:t>Accounts payable and accrued liabilities</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320" w:type="dxa"/>
            <w:vAlign w:val="bottom"/>
          </w:tcPr>
          <w:p>
            <w:pPr>
              <w:jc w:val="right"/>
              <w:spacing w:after="0" w:line="149" w:lineRule="exact"/>
              <w:rPr>
                <w:sz w:val="20"/>
                <w:szCs w:val="20"/>
                <w:color w:val="auto"/>
              </w:rPr>
            </w:pPr>
            <w:r>
              <w:rPr>
                <w:rFonts w:ascii="Arial" w:cs="Arial" w:eastAsia="Arial" w:hAnsi="Arial"/>
                <w:sz w:val="14"/>
                <w:szCs w:val="14"/>
                <w:color w:val="auto"/>
                <w:w w:val="85"/>
              </w:rPr>
              <w:t>1,066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9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Liability for taxes on income</w:t>
            </w: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980" w:type="dxa"/>
            <w:vAlign w:val="bottom"/>
          </w:tcPr>
          <w:p>
            <w:pPr>
              <w:spacing w:after="0" w:line="149" w:lineRule="exact"/>
              <w:rPr>
                <w:sz w:val="20"/>
                <w:szCs w:val="20"/>
                <w:color w:val="auto"/>
              </w:rPr>
            </w:pPr>
            <w:r>
              <w:rPr>
                <w:rFonts w:ascii="Arial" w:cs="Arial" w:eastAsia="Arial" w:hAnsi="Arial"/>
                <w:sz w:val="14"/>
                <w:szCs w:val="14"/>
                <w:color w:val="auto"/>
              </w:rPr>
              <w:t>Other liabilities</w:t>
            </w:r>
          </w:p>
        </w:tc>
        <w:tc>
          <w:tcPr>
            <w:tcW w:w="100" w:type="dxa"/>
            <w:vAlign w:val="bottom"/>
          </w:tcPr>
          <w:p>
            <w:pPr>
              <w:spacing w:after="0"/>
              <w:rPr>
                <w:sz w:val="12"/>
                <w:szCs w:val="12"/>
                <w:color w:val="auto"/>
              </w:rPr>
            </w:pPr>
          </w:p>
        </w:tc>
        <w:tc>
          <w:tcPr>
            <w:tcW w:w="320" w:type="dxa"/>
            <w:vAlign w:val="bottom"/>
          </w:tcPr>
          <w:p>
            <w:pPr>
              <w:jc w:val="right"/>
              <w:spacing w:after="0" w:line="149" w:lineRule="exact"/>
              <w:rPr>
                <w:sz w:val="20"/>
                <w:szCs w:val="20"/>
                <w:color w:val="auto"/>
              </w:rPr>
            </w:pPr>
            <w:r>
              <w:rPr>
                <w:rFonts w:ascii="Arial" w:cs="Arial" w:eastAsia="Arial" w:hAnsi="Arial"/>
                <w:sz w:val="14"/>
                <w:szCs w:val="14"/>
                <w:color w:val="auto"/>
              </w:rPr>
              <w:t>133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9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Minority interest</w:t>
            </w: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98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98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5"/>
              </w:rPr>
              <w:t>1,218</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9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6983730</wp:posOffset>
            </wp:positionH>
            <wp:positionV relativeFrom="paragraph">
              <wp:posOffset>-901700</wp:posOffset>
            </wp:positionV>
            <wp:extent cx="12700" cy="298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-901700</wp:posOffset>
            </wp:positionV>
            <wp:extent cx="12700" cy="298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7044055</wp:posOffset>
            </wp:positionH>
            <wp:positionV relativeFrom="paragraph">
              <wp:posOffset>-901700</wp:posOffset>
            </wp:positionV>
            <wp:extent cx="21590" cy="298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6983730</wp:posOffset>
            </wp:positionH>
            <wp:positionV relativeFrom="paragraph">
              <wp:posOffset>-27305</wp:posOffset>
            </wp:positionV>
            <wp:extent cx="269875" cy="298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269875" cy="29845"/>
                    </a:xfrm>
                    <a:prstGeom prst="rect">
                      <a:avLst/>
                    </a:prstGeom>
                    <a:noFill/>
                  </pic:spPr>
                </pic:pic>
              </a:graphicData>
            </a:graphic>
          </wp:anchor>
        </w:drawing>
      </w:r>
    </w:p>
    <w:p>
      <w:pPr>
        <w:spacing w:after="0" w:line="218" w:lineRule="exact"/>
        <w:rPr>
          <w:sz w:val="20"/>
          <w:szCs w:val="20"/>
          <w:color w:val="auto"/>
        </w:rPr>
      </w:pPr>
    </w:p>
    <w:p>
      <w:pPr>
        <w:ind w:left="440" w:hanging="432"/>
        <w:spacing w:after="0"/>
        <w:tabs>
          <w:tab w:leader="none" w:pos="440"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color w:val="auto"/>
        </w:rPr>
        <w:t>Fixed Assets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A summary of fixed assets follows:</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(Stated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46620" cy="889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9880" w:type="dxa"/>
            <w:vAlign w:val="bottom"/>
            <w:gridSpan w:val="2"/>
          </w:tcPr>
          <w:p>
            <w:pPr>
              <w:spacing w:after="0"/>
              <w:rPr>
                <w:sz w:val="20"/>
                <w:szCs w:val="20"/>
                <w:color w:val="auto"/>
              </w:rPr>
            </w:pPr>
            <w:r>
              <w:rPr>
                <w:rFonts w:ascii="Arial" w:cs="Arial" w:eastAsia="Arial" w:hAnsi="Arial"/>
                <w:sz w:val="14"/>
                <w:szCs w:val="14"/>
                <w:b w:val="1"/>
                <w:bCs w:val="1"/>
                <w:color w:val="auto"/>
              </w:rPr>
              <w:t>As at December 31,</w:t>
            </w:r>
          </w:p>
        </w:tc>
        <w:tc>
          <w:tcPr>
            <w:tcW w:w="10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4"/>
                <w:szCs w:val="14"/>
                <w:b w:val="1"/>
                <w:bCs w:val="1"/>
                <w:color w:val="auto"/>
              </w:rPr>
              <w:t>2003</w:t>
            </w: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2002</w:t>
            </w: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9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80" w:type="dxa"/>
            <w:vAlign w:val="bottom"/>
          </w:tcPr>
          <w:p>
            <w:pPr>
              <w:spacing w:after="0"/>
              <w:rPr>
                <w:sz w:val="4"/>
                <w:szCs w:val="4"/>
                <w:color w:val="auto"/>
              </w:rPr>
            </w:pPr>
          </w:p>
        </w:tc>
        <w:tc>
          <w:tcPr>
            <w:tcW w:w="580" w:type="dxa"/>
            <w:vAlign w:val="bottom"/>
          </w:tcPr>
          <w:p>
            <w:pPr>
              <w:spacing w:after="0"/>
              <w:rPr>
                <w:sz w:val="4"/>
                <w:szCs w:val="4"/>
                <w:color w:val="auto"/>
              </w:rPr>
            </w:pPr>
          </w:p>
        </w:tc>
        <w:tc>
          <w:tcPr>
            <w:tcW w:w="80" w:type="dxa"/>
            <w:vAlign w:val="bottom"/>
          </w:tcPr>
          <w:p>
            <w:pPr>
              <w:spacing w:after="0"/>
              <w:rPr>
                <w:sz w:val="4"/>
                <w:szCs w:val="4"/>
                <w:color w:val="auto"/>
              </w:rPr>
            </w:pPr>
          </w:p>
        </w:tc>
        <w:tc>
          <w:tcPr>
            <w:tcW w:w="400" w:type="dxa"/>
            <w:vAlign w:val="bottom"/>
          </w:tcPr>
          <w:p>
            <w:pPr>
              <w:spacing w:after="0"/>
              <w:rPr>
                <w:sz w:val="4"/>
                <w:szCs w:val="4"/>
                <w:color w:val="auto"/>
              </w:rPr>
            </w:pPr>
          </w:p>
        </w:tc>
        <w:tc>
          <w:tcPr>
            <w:tcW w:w="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98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Land</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56</w:t>
            </w: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63</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860" w:type="dxa"/>
            <w:vAlign w:val="bottom"/>
          </w:tcPr>
          <w:p>
            <w:pPr>
              <w:spacing w:after="0" w:line="149" w:lineRule="exact"/>
              <w:rPr>
                <w:sz w:val="20"/>
                <w:szCs w:val="20"/>
                <w:color w:val="auto"/>
              </w:rPr>
            </w:pPr>
            <w:r>
              <w:rPr>
                <w:rFonts w:ascii="Arial" w:cs="Arial" w:eastAsia="Arial" w:hAnsi="Arial"/>
                <w:sz w:val="14"/>
                <w:szCs w:val="14"/>
                <w:color w:val="auto"/>
              </w:rPr>
              <w:t>Buildings &amp; Improvements</w:t>
            </w:r>
          </w:p>
        </w:tc>
        <w:tc>
          <w:tcPr>
            <w:tcW w:w="10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1,239</w:t>
            </w: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1,225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8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Machinery &amp; Equipment</w:t>
            </w: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9,682</w:t>
            </w: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8"/>
              </w:rPr>
              <w:t>10,314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86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98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cost</w:t>
            </w: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83"/>
              </w:rPr>
              <w:t>10,977</w:t>
            </w: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8"/>
              </w:rPr>
              <w:t>11,602</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9860" w:type="dxa"/>
            <w:vAlign w:val="bottom"/>
          </w:tcPr>
          <w:p>
            <w:pPr>
              <w:spacing w:after="0"/>
              <w:rPr>
                <w:sz w:val="20"/>
                <w:szCs w:val="20"/>
                <w:color w:val="auto"/>
              </w:rPr>
            </w:pPr>
            <w:r>
              <w:rPr>
                <w:rFonts w:ascii="Arial" w:cs="Arial" w:eastAsia="Arial" w:hAnsi="Arial"/>
                <w:sz w:val="14"/>
                <w:szCs w:val="14"/>
                <w:color w:val="auto"/>
              </w:rPr>
              <w:t>Less accumulated depreciation</w:t>
            </w:r>
          </w:p>
        </w:tc>
        <w:tc>
          <w:tcPr>
            <w:tcW w:w="10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4"/>
                <w:szCs w:val="14"/>
                <w:b w:val="1"/>
                <w:bCs w:val="1"/>
                <w:color w:val="auto"/>
              </w:rPr>
              <w:t>7,177</w:t>
            </w: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6,938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986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58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86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3,800</w:t>
            </w: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4,664</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8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6271895</wp:posOffset>
            </wp:positionH>
            <wp:positionV relativeFrom="paragraph">
              <wp:posOffset>-29210</wp:posOffset>
            </wp:positionV>
            <wp:extent cx="12700" cy="298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-29210</wp:posOffset>
            </wp:positionV>
            <wp:extent cx="12700" cy="298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6332220</wp:posOffset>
            </wp:positionH>
            <wp:positionV relativeFrom="paragraph">
              <wp:posOffset>-29210</wp:posOffset>
            </wp:positionV>
            <wp:extent cx="21590" cy="298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6941185</wp:posOffset>
            </wp:positionH>
            <wp:positionV relativeFrom="paragraph">
              <wp:posOffset>-29210</wp:posOffset>
            </wp:positionV>
            <wp:extent cx="12700" cy="298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7000875</wp:posOffset>
            </wp:positionH>
            <wp:positionV relativeFrom="paragraph">
              <wp:posOffset>-29210</wp:posOffset>
            </wp:positionV>
            <wp:extent cx="21590" cy="298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144" w:lineRule="exact"/>
        <w:rPr>
          <w:sz w:val="20"/>
          <w:szCs w:val="20"/>
          <w:color w:val="auto"/>
        </w:rPr>
      </w:pPr>
    </w:p>
    <w:p>
      <w:pPr>
        <w:ind w:right="240" w:firstLine="228"/>
        <w:spacing w:after="0" w:line="268" w:lineRule="auto"/>
        <w:rPr>
          <w:sz w:val="20"/>
          <w:szCs w:val="20"/>
          <w:color w:val="auto"/>
        </w:rPr>
      </w:pPr>
      <w:r>
        <w:rPr>
          <w:rFonts w:ascii="Arial" w:cs="Arial" w:eastAsia="Arial" w:hAnsi="Arial"/>
          <w:sz w:val="18"/>
          <w:szCs w:val="18"/>
          <w:color w:val="auto"/>
        </w:rPr>
        <w:t>The estimated useful lives of Buildings &amp; Improvements are primarily 30 to 40 years. For Machinery &amp; Equipment, 12% is being depreciated over 16 to 25 years, 10% over 10 to 15 years and 78% over 2 to 9 years.</w:t>
      </w:r>
    </w:p>
    <w:p>
      <w:pPr>
        <w:spacing w:after="0" w:line="116" w:lineRule="exact"/>
        <w:rPr>
          <w:sz w:val="20"/>
          <w:szCs w:val="20"/>
          <w:color w:val="auto"/>
        </w:rPr>
      </w:pPr>
    </w:p>
    <w:p>
      <w:pPr>
        <w:spacing w:after="0"/>
        <w:tabs>
          <w:tab w:leader="none" w:pos="10400" w:val="left"/>
        </w:tabs>
        <w:rPr>
          <w:sz w:val="20"/>
          <w:szCs w:val="20"/>
          <w:color w:val="auto"/>
        </w:rPr>
      </w:pPr>
      <w:r>
        <w:rPr>
          <w:rFonts w:ascii="Arial" w:cs="Arial" w:eastAsia="Arial" w:hAnsi="Arial"/>
          <w:sz w:val="14"/>
          <w:szCs w:val="14"/>
          <w:color w:val="auto"/>
        </w:rPr>
        <w:t>52 / SLB</w:t>
      </w:r>
      <w:r>
        <w:rPr>
          <w:sz w:val="20"/>
          <w:szCs w:val="20"/>
          <w:color w:val="auto"/>
        </w:rPr>
        <w:tab/>
      </w:r>
      <w:r>
        <w:rPr>
          <w:rFonts w:ascii="Arial" w:cs="Arial" w:eastAsia="Arial" w:hAnsi="Arial"/>
          <w:sz w:val="12"/>
          <w:szCs w:val="12"/>
          <w:color w:val="auto"/>
        </w:rPr>
        <w:t>2003 FORM 10-K</w:t>
      </w:r>
    </w:p>
    <w:p>
      <w:pPr>
        <w:sectPr>
          <w:pgSz w:w="11900" w:h="16838" w:orient="portrait"/>
          <w:cols w:equalWidth="0" w:num="1">
            <w:col w:w="11420"/>
          </w:cols>
          <w:pgMar w:left="240" w:top="459"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4"/>
          <w:szCs w:val="14"/>
          <w:color w:val="auto"/>
        </w:rPr>
        <w:t>Part II, Item 8</w:t>
      </w:r>
    </w:p>
    <w:p>
      <w:pPr>
        <w:spacing w:after="0" w:line="128"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b w:val="1"/>
          <w:bCs w:val="1"/>
          <w:color w:val="auto"/>
        </w:rPr>
        <w:t>13.</w:t>
      </w:r>
      <w:r>
        <w:rPr>
          <w:sz w:val="20"/>
          <w:szCs w:val="20"/>
          <w:color w:val="auto"/>
        </w:rPr>
        <w:tab/>
      </w:r>
      <w:r>
        <w:rPr>
          <w:rFonts w:ascii="Arial" w:cs="Arial" w:eastAsia="Arial" w:hAnsi="Arial"/>
          <w:sz w:val="16"/>
          <w:szCs w:val="16"/>
          <w:b w:val="1"/>
          <w:bCs w:val="1"/>
          <w:color w:val="auto"/>
        </w:rPr>
        <w:t>Multiclient Seismic Data</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The change in the carrying amount of multiclient seismic data is as follows:</w:t>
      </w:r>
    </w:p>
    <w:p>
      <w:pPr>
        <w:spacing w:after="0" w:line="7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(Stated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46620" cy="889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9780" w:type="dxa"/>
            <w:vAlign w:val="bottom"/>
          </w:tcPr>
          <w:p>
            <w:pPr>
              <w:spacing w:after="0"/>
              <w:rPr>
                <w:sz w:val="15"/>
                <w:szCs w:val="15"/>
                <w:color w:val="auto"/>
              </w:rPr>
            </w:pPr>
          </w:p>
        </w:tc>
        <w:tc>
          <w:tcPr>
            <w:tcW w:w="110" w:type="dxa"/>
            <w:vAlign w:val="bottom"/>
          </w:tcPr>
          <w:p>
            <w:pPr>
              <w:spacing w:after="0"/>
              <w:rPr>
                <w:sz w:val="15"/>
                <w:szCs w:val="15"/>
                <w:color w:val="auto"/>
              </w:rPr>
            </w:pPr>
          </w:p>
        </w:tc>
        <w:tc>
          <w:tcPr>
            <w:tcW w:w="330" w:type="dxa"/>
            <w:vAlign w:val="bottom"/>
          </w:tcPr>
          <w:p>
            <w:pPr>
              <w:jc w:val="right"/>
              <w:spacing w:after="0"/>
              <w:rPr>
                <w:sz w:val="20"/>
                <w:szCs w:val="20"/>
                <w:color w:val="auto"/>
              </w:rPr>
            </w:pPr>
            <w:r>
              <w:rPr>
                <w:rFonts w:ascii="Arial" w:cs="Arial" w:eastAsia="Arial" w:hAnsi="Arial"/>
                <w:sz w:val="14"/>
                <w:szCs w:val="14"/>
                <w:b w:val="1"/>
                <w:bCs w:val="1"/>
                <w:color w:val="auto"/>
                <w:w w:val="96"/>
              </w:rPr>
              <w:t>2003</w:t>
            </w:r>
          </w:p>
        </w:tc>
        <w:tc>
          <w:tcPr>
            <w:tcW w:w="340" w:type="dxa"/>
            <w:vAlign w:val="bottom"/>
          </w:tcPr>
          <w:p>
            <w:pPr>
              <w:spacing w:after="0"/>
              <w:rPr>
                <w:sz w:val="15"/>
                <w:szCs w:val="15"/>
                <w:color w:val="auto"/>
              </w:rPr>
            </w:pPr>
          </w:p>
        </w:tc>
        <w:tc>
          <w:tcPr>
            <w:tcW w:w="840" w:type="dxa"/>
            <w:vAlign w:val="bottom"/>
            <w:gridSpan w:val="4"/>
          </w:tcPr>
          <w:p>
            <w:pPr>
              <w:jc w:val="right"/>
              <w:ind w:right="100"/>
              <w:spacing w:after="0"/>
              <w:rPr>
                <w:sz w:val="20"/>
                <w:szCs w:val="20"/>
                <w:color w:val="auto"/>
              </w:rPr>
            </w:pPr>
            <w:r>
              <w:rPr>
                <w:rFonts w:ascii="Arial" w:cs="Arial" w:eastAsia="Arial" w:hAnsi="Arial"/>
                <w:sz w:val="14"/>
                <w:szCs w:val="14"/>
                <w:b w:val="1"/>
                <w:bCs w:val="1"/>
                <w:color w:val="auto"/>
              </w:rPr>
              <w:t>2002</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9780" w:type="dxa"/>
            <w:vAlign w:val="bottom"/>
          </w:tcPr>
          <w:p>
            <w:pPr>
              <w:spacing w:after="0"/>
              <w:rPr>
                <w:sz w:val="8"/>
                <w:szCs w:val="8"/>
                <w:color w:val="auto"/>
              </w:rPr>
            </w:pPr>
          </w:p>
        </w:tc>
        <w:tc>
          <w:tcPr>
            <w:tcW w:w="110" w:type="dxa"/>
            <w:vAlign w:val="bottom"/>
          </w:tcPr>
          <w:p>
            <w:pPr>
              <w:spacing w:after="0"/>
              <w:rPr>
                <w:sz w:val="8"/>
                <w:szCs w:val="8"/>
                <w:color w:val="auto"/>
              </w:rPr>
            </w:pPr>
          </w:p>
        </w:tc>
        <w:tc>
          <w:tcPr>
            <w:tcW w:w="330" w:type="dxa"/>
            <w:vAlign w:val="bottom"/>
          </w:tcPr>
          <w:p>
            <w:pPr>
              <w:spacing w:after="0"/>
              <w:rPr>
                <w:sz w:val="8"/>
                <w:szCs w:val="8"/>
                <w:color w:val="auto"/>
              </w:rPr>
            </w:pPr>
          </w:p>
        </w:tc>
        <w:tc>
          <w:tcPr>
            <w:tcW w:w="3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97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Balance at beginning of year</w:t>
            </w:r>
          </w:p>
        </w:tc>
        <w:tc>
          <w:tcPr>
            <w:tcW w:w="11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76"/>
              </w:rPr>
              <w:t>$</w:t>
            </w:r>
          </w:p>
        </w:tc>
        <w:tc>
          <w:tcPr>
            <w:tcW w:w="33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85"/>
              </w:rPr>
              <w:t>1,018</w:t>
            </w:r>
          </w:p>
        </w:tc>
        <w:tc>
          <w:tcPr>
            <w:tcW w:w="340" w:type="dxa"/>
            <w:vAlign w:val="bottom"/>
            <w:shd w:val="clear" w:color="auto" w:fill="CCEEFF"/>
          </w:tcPr>
          <w:p>
            <w:pPr>
              <w:spacing w:after="0"/>
              <w:rPr>
                <w:sz w:val="12"/>
                <w:szCs w:val="12"/>
                <w:color w:val="auto"/>
              </w:rPr>
            </w:pPr>
          </w:p>
        </w:tc>
        <w:tc>
          <w:tcPr>
            <w:tcW w:w="840" w:type="dxa"/>
            <w:vAlign w:val="bottom"/>
            <w:gridSpan w:val="4"/>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$ 1,029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780" w:type="dxa"/>
            <w:vAlign w:val="bottom"/>
          </w:tcPr>
          <w:p>
            <w:pPr>
              <w:spacing w:after="0" w:line="149" w:lineRule="exact"/>
              <w:rPr>
                <w:sz w:val="20"/>
                <w:szCs w:val="20"/>
                <w:color w:val="auto"/>
              </w:rPr>
            </w:pPr>
            <w:r>
              <w:rPr>
                <w:rFonts w:ascii="Arial" w:cs="Arial" w:eastAsia="Arial" w:hAnsi="Arial"/>
                <w:sz w:val="14"/>
                <w:szCs w:val="14"/>
                <w:color w:val="auto"/>
              </w:rPr>
              <w:t>Capitalized in year</w:t>
            </w:r>
          </w:p>
        </w:tc>
        <w:tc>
          <w:tcPr>
            <w:tcW w:w="110" w:type="dxa"/>
            <w:vAlign w:val="bottom"/>
          </w:tcPr>
          <w:p>
            <w:pPr>
              <w:spacing w:after="0"/>
              <w:rPr>
                <w:sz w:val="12"/>
                <w:szCs w:val="12"/>
                <w:color w:val="auto"/>
              </w:rPr>
            </w:pPr>
          </w:p>
        </w:tc>
        <w:tc>
          <w:tcPr>
            <w:tcW w:w="33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150</w:t>
            </w:r>
          </w:p>
        </w:tc>
        <w:tc>
          <w:tcPr>
            <w:tcW w:w="340" w:type="dxa"/>
            <w:vAlign w:val="bottom"/>
          </w:tcPr>
          <w:p>
            <w:pPr>
              <w:spacing w:after="0"/>
              <w:rPr>
                <w:sz w:val="12"/>
                <w:szCs w:val="12"/>
                <w:color w:val="auto"/>
              </w:rPr>
            </w:pPr>
          </w:p>
        </w:tc>
        <w:tc>
          <w:tcPr>
            <w:tcW w:w="840" w:type="dxa"/>
            <w:vAlign w:val="bottom"/>
            <w:gridSpan w:val="4"/>
          </w:tcPr>
          <w:p>
            <w:pPr>
              <w:jc w:val="right"/>
              <w:ind w:right="100"/>
              <w:spacing w:after="0" w:line="149" w:lineRule="exact"/>
              <w:rPr>
                <w:sz w:val="20"/>
                <w:szCs w:val="20"/>
                <w:color w:val="auto"/>
              </w:rPr>
            </w:pPr>
            <w:r>
              <w:rPr>
                <w:rFonts w:ascii="Arial" w:cs="Arial" w:eastAsia="Arial" w:hAnsi="Arial"/>
                <w:sz w:val="14"/>
                <w:szCs w:val="14"/>
                <w:color w:val="auto"/>
              </w:rPr>
              <w:t>345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7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Charged to cost of sales</w:t>
            </w:r>
          </w:p>
        </w:tc>
        <w:tc>
          <w:tcPr>
            <w:tcW w:w="110" w:type="dxa"/>
            <w:vAlign w:val="bottom"/>
            <w:shd w:val="clear" w:color="auto" w:fill="CCEEFF"/>
          </w:tcPr>
          <w:p>
            <w:pPr>
              <w:spacing w:after="0"/>
              <w:rPr>
                <w:sz w:val="12"/>
                <w:szCs w:val="12"/>
                <w:color w:val="auto"/>
              </w:rPr>
            </w:pPr>
          </w:p>
        </w:tc>
        <w:tc>
          <w:tcPr>
            <w:tcW w:w="67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b w:val="1"/>
                <w:bCs w:val="1"/>
                <w:color w:val="auto"/>
              </w:rPr>
              <w:t>(263)</w:t>
            </w:r>
          </w:p>
        </w:tc>
        <w:tc>
          <w:tcPr>
            <w:tcW w:w="840" w:type="dxa"/>
            <w:vAlign w:val="bottom"/>
            <w:gridSpan w:val="4"/>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(172)</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9780" w:type="dxa"/>
            <w:vAlign w:val="bottom"/>
          </w:tcPr>
          <w:p>
            <w:pPr>
              <w:spacing w:after="0"/>
              <w:rPr>
                <w:sz w:val="20"/>
                <w:szCs w:val="20"/>
                <w:color w:val="auto"/>
              </w:rPr>
            </w:pPr>
            <w:r>
              <w:rPr>
                <w:rFonts w:ascii="Arial" w:cs="Arial" w:eastAsia="Arial" w:hAnsi="Arial"/>
                <w:sz w:val="14"/>
                <w:szCs w:val="14"/>
                <w:color w:val="auto"/>
              </w:rPr>
              <w:t>Impairment, charged to income</w:t>
            </w:r>
          </w:p>
        </w:tc>
        <w:tc>
          <w:tcPr>
            <w:tcW w:w="110" w:type="dxa"/>
            <w:vAlign w:val="bottom"/>
          </w:tcPr>
          <w:p>
            <w:pPr>
              <w:spacing w:after="0"/>
              <w:rPr>
                <w:sz w:val="15"/>
                <w:szCs w:val="15"/>
                <w:color w:val="auto"/>
              </w:rPr>
            </w:pPr>
          </w:p>
        </w:tc>
        <w:tc>
          <w:tcPr>
            <w:tcW w:w="67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(399)</w:t>
            </w:r>
          </w:p>
        </w:tc>
        <w:tc>
          <w:tcPr>
            <w:tcW w:w="840" w:type="dxa"/>
            <w:vAlign w:val="bottom"/>
            <w:gridSpan w:val="4"/>
          </w:tcPr>
          <w:p>
            <w:pPr>
              <w:jc w:val="right"/>
              <w:ind w:right="60"/>
              <w:spacing w:after="0"/>
              <w:rPr>
                <w:sz w:val="20"/>
                <w:szCs w:val="20"/>
                <w:color w:val="auto"/>
              </w:rPr>
            </w:pPr>
            <w:r>
              <w:rPr>
                <w:rFonts w:ascii="Arial" w:cs="Arial" w:eastAsia="Arial" w:hAnsi="Arial"/>
                <w:sz w:val="14"/>
                <w:szCs w:val="14"/>
                <w:color w:val="auto"/>
              </w:rPr>
              <w:t>(184)</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9780" w:type="dxa"/>
            <w:vAlign w:val="bottom"/>
            <w:tcBorders>
              <w:bottom w:val="single" w:sz="8" w:color="auto"/>
            </w:tcBorders>
          </w:tcPr>
          <w:p>
            <w:pPr>
              <w:spacing w:after="0"/>
              <w:rPr>
                <w:sz w:val="7"/>
                <w:szCs w:val="7"/>
                <w:color w:val="auto"/>
              </w:rPr>
            </w:pPr>
          </w:p>
        </w:tc>
        <w:tc>
          <w:tcPr>
            <w:tcW w:w="110" w:type="dxa"/>
            <w:vAlign w:val="bottom"/>
            <w:tcBorders>
              <w:bottom w:val="single" w:sz="8" w:color="auto"/>
            </w:tcBorders>
          </w:tcPr>
          <w:p>
            <w:pPr>
              <w:spacing w:after="0"/>
              <w:rPr>
                <w:sz w:val="7"/>
                <w:szCs w:val="7"/>
                <w:color w:val="auto"/>
              </w:rPr>
            </w:pPr>
          </w:p>
        </w:tc>
        <w:tc>
          <w:tcPr>
            <w:tcW w:w="330" w:type="dxa"/>
            <w:vAlign w:val="bottom"/>
            <w:tcBorders>
              <w:bottom w:val="single" w:sz="8" w:color="auto"/>
            </w:tcBorders>
          </w:tcPr>
          <w:p>
            <w:pPr>
              <w:spacing w:after="0"/>
              <w:rPr>
                <w:sz w:val="7"/>
                <w:szCs w:val="7"/>
                <w:color w:val="auto"/>
              </w:rPr>
            </w:pPr>
          </w:p>
        </w:tc>
        <w:tc>
          <w:tcPr>
            <w:tcW w:w="340" w:type="dxa"/>
            <w:vAlign w:val="bottom"/>
          </w:tcPr>
          <w:p>
            <w:pPr>
              <w:spacing w:after="0"/>
              <w:rPr>
                <w:sz w:val="7"/>
                <w:szCs w:val="7"/>
                <w:color w:val="auto"/>
              </w:rPr>
            </w:pPr>
          </w:p>
        </w:tc>
        <w:tc>
          <w:tcPr>
            <w:tcW w:w="32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780" w:type="dxa"/>
            <w:vAlign w:val="bottom"/>
          </w:tcPr>
          <w:p>
            <w:pPr>
              <w:spacing w:after="0"/>
              <w:rPr>
                <w:sz w:val="8"/>
                <w:szCs w:val="8"/>
                <w:color w:val="auto"/>
              </w:rPr>
            </w:pPr>
          </w:p>
        </w:tc>
        <w:tc>
          <w:tcPr>
            <w:tcW w:w="110" w:type="dxa"/>
            <w:vAlign w:val="bottom"/>
          </w:tcPr>
          <w:p>
            <w:pPr>
              <w:spacing w:after="0"/>
              <w:rPr>
                <w:sz w:val="8"/>
                <w:szCs w:val="8"/>
                <w:color w:val="auto"/>
              </w:rPr>
            </w:pPr>
          </w:p>
        </w:tc>
        <w:tc>
          <w:tcPr>
            <w:tcW w:w="330" w:type="dxa"/>
            <w:vAlign w:val="bottom"/>
          </w:tcPr>
          <w:p>
            <w:pPr>
              <w:spacing w:after="0"/>
              <w:rPr>
                <w:sz w:val="8"/>
                <w:szCs w:val="8"/>
                <w:color w:val="auto"/>
              </w:rPr>
            </w:pPr>
          </w:p>
        </w:tc>
        <w:tc>
          <w:tcPr>
            <w:tcW w:w="3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97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Balance at end of year</w:t>
            </w:r>
          </w:p>
        </w:tc>
        <w:tc>
          <w:tcPr>
            <w:tcW w:w="11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76"/>
              </w:rPr>
              <w:t>$</w:t>
            </w:r>
          </w:p>
        </w:tc>
        <w:tc>
          <w:tcPr>
            <w:tcW w:w="33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506</w:t>
            </w:r>
          </w:p>
        </w:tc>
        <w:tc>
          <w:tcPr>
            <w:tcW w:w="340" w:type="dxa"/>
            <w:vAlign w:val="bottom"/>
            <w:shd w:val="clear" w:color="auto" w:fill="CCEEFF"/>
          </w:tcPr>
          <w:p>
            <w:pPr>
              <w:spacing w:after="0"/>
              <w:rPr>
                <w:sz w:val="12"/>
                <w:szCs w:val="12"/>
                <w:color w:val="auto"/>
              </w:rPr>
            </w:pPr>
          </w:p>
        </w:tc>
        <w:tc>
          <w:tcPr>
            <w:tcW w:w="840" w:type="dxa"/>
            <w:vAlign w:val="bottom"/>
            <w:gridSpan w:val="4"/>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$ 1,018</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780" w:type="dxa"/>
            <w:vAlign w:val="bottom"/>
          </w:tcPr>
          <w:p>
            <w:pPr>
              <w:spacing w:after="0"/>
              <w:rPr>
                <w:sz w:val="11"/>
                <w:szCs w:val="11"/>
                <w:color w:val="auto"/>
              </w:rPr>
            </w:pPr>
          </w:p>
        </w:tc>
        <w:tc>
          <w:tcPr>
            <w:tcW w:w="110" w:type="dxa"/>
            <w:vAlign w:val="bottom"/>
            <w:tcBorders>
              <w:bottom w:val="single" w:sz="8" w:color="auto"/>
            </w:tcBorders>
          </w:tcPr>
          <w:p>
            <w:pPr>
              <w:spacing w:after="0"/>
              <w:rPr>
                <w:sz w:val="11"/>
                <w:szCs w:val="11"/>
                <w:color w:val="auto"/>
              </w:rPr>
            </w:pPr>
          </w:p>
        </w:tc>
        <w:tc>
          <w:tcPr>
            <w:tcW w:w="33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6229350</wp:posOffset>
            </wp:positionH>
            <wp:positionV relativeFrom="paragraph">
              <wp:posOffset>-29210</wp:posOffset>
            </wp:positionV>
            <wp:extent cx="12700" cy="298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6289040</wp:posOffset>
            </wp:positionH>
            <wp:positionV relativeFrom="paragraph">
              <wp:posOffset>-29210</wp:posOffset>
            </wp:positionV>
            <wp:extent cx="21590" cy="298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-29210</wp:posOffset>
            </wp:positionV>
            <wp:extent cx="38735" cy="298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6915150</wp:posOffset>
            </wp:positionH>
            <wp:positionV relativeFrom="paragraph">
              <wp:posOffset>-29210</wp:posOffset>
            </wp:positionV>
            <wp:extent cx="295910" cy="298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295910" cy="29845"/>
                    </a:xfrm>
                    <a:prstGeom prst="rect">
                      <a:avLst/>
                    </a:prstGeom>
                    <a:noFill/>
                  </pic:spPr>
                </pic:pic>
              </a:graphicData>
            </a:graphic>
          </wp:anchor>
        </w:drawing>
      </w:r>
    </w:p>
    <w:p>
      <w:pPr>
        <w:spacing w:after="0" w:line="215" w:lineRule="exact"/>
        <w:rPr>
          <w:sz w:val="20"/>
          <w:szCs w:val="20"/>
          <w:color w:val="auto"/>
        </w:rPr>
      </w:pPr>
    </w:p>
    <w:p>
      <w:pPr>
        <w:ind w:left="440" w:hanging="432"/>
        <w:spacing w:after="0"/>
        <w:tabs>
          <w:tab w:leader="none" w:pos="440"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color w:val="auto"/>
        </w:rPr>
        <w:t>Goodwill</w:t>
      </w:r>
    </w:p>
    <w:p>
      <w:pPr>
        <w:spacing w:after="0" w:line="74" w:lineRule="exact"/>
        <w:rPr>
          <w:sz w:val="20"/>
          <w:szCs w:val="20"/>
          <w:color w:val="auto"/>
        </w:rPr>
      </w:pPr>
    </w:p>
    <w:p>
      <w:pPr>
        <w:ind w:right="460"/>
        <w:spacing w:after="0" w:line="286" w:lineRule="auto"/>
        <w:rPr>
          <w:sz w:val="20"/>
          <w:szCs w:val="20"/>
          <w:color w:val="auto"/>
        </w:rPr>
      </w:pPr>
      <w:r>
        <w:rPr>
          <w:rFonts w:ascii="Arial" w:cs="Arial" w:eastAsia="Arial" w:hAnsi="Arial"/>
          <w:sz w:val="16"/>
          <w:szCs w:val="16"/>
          <w:color w:val="auto"/>
        </w:rPr>
        <w:t>In June 2001, SFAS 142 (</w:t>
      </w:r>
      <w:r>
        <w:rPr>
          <w:rFonts w:ascii="Arial" w:cs="Arial" w:eastAsia="Arial" w:hAnsi="Arial"/>
          <w:sz w:val="16"/>
          <w:szCs w:val="16"/>
          <w:i w:val="1"/>
          <w:iCs w:val="1"/>
          <w:color w:val="auto"/>
        </w:rPr>
        <w:t>Goodwill and Other Intangible Assets</w:t>
      </w:r>
      <w:r>
        <w:rPr>
          <w:rFonts w:ascii="Arial" w:cs="Arial" w:eastAsia="Arial" w:hAnsi="Arial"/>
          <w:sz w:val="16"/>
          <w:szCs w:val="16"/>
          <w:color w:val="auto"/>
        </w:rPr>
        <w:t xml:space="preserve">) was issued, and adopted by Schlumberger commencing January 1, 2002. Amortization of goodwill and workforce ceased with effect from January 1, 2002. Assembled workforce, net of deferred taxes, of $175 million was reclassified to </w:t>
      </w:r>
      <w:r>
        <w:rPr>
          <w:rFonts w:ascii="Arial" w:cs="Arial" w:eastAsia="Arial" w:hAnsi="Arial"/>
          <w:sz w:val="16"/>
          <w:szCs w:val="16"/>
          <w:i w:val="1"/>
          <w:iCs w:val="1"/>
          <w:color w:val="auto"/>
        </w:rPr>
        <w:t>Goodwill</w:t>
      </w:r>
      <w:r>
        <w:rPr>
          <w:rFonts w:ascii="Arial" w:cs="Arial" w:eastAsia="Arial" w:hAnsi="Arial"/>
          <w:sz w:val="16"/>
          <w:szCs w:val="16"/>
          <w:color w:val="auto"/>
        </w:rPr>
        <w:t>.</w:t>
      </w:r>
    </w:p>
    <w:p>
      <w:pPr>
        <w:ind w:left="240"/>
        <w:spacing w:after="0"/>
        <w:rPr>
          <w:sz w:val="20"/>
          <w:szCs w:val="20"/>
          <w:color w:val="auto"/>
        </w:rPr>
      </w:pPr>
      <w:r>
        <w:rPr>
          <w:rFonts w:ascii="Arial" w:cs="Arial" w:eastAsia="Arial" w:hAnsi="Arial"/>
          <w:sz w:val="18"/>
          <w:szCs w:val="18"/>
          <w:color w:val="auto"/>
        </w:rPr>
        <w:t>Amortization of goodwill and other intangibles included in Schlumberger’s results are as follows:</w:t>
      </w:r>
    </w:p>
    <w:p>
      <w:pPr>
        <w:spacing w:after="0" w:line="6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(Stated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46620" cy="889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060" w:type="dxa"/>
            <w:vAlign w:val="bottom"/>
          </w:tcPr>
          <w:p>
            <w:pPr>
              <w:spacing w:after="0"/>
              <w:rPr>
                <w:sz w:val="15"/>
                <w:szCs w:val="15"/>
                <w:color w:val="auto"/>
              </w:rPr>
            </w:pPr>
          </w:p>
        </w:tc>
        <w:tc>
          <w:tcPr>
            <w:tcW w:w="4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80" w:type="dxa"/>
            <w:vAlign w:val="bottom"/>
            <w:gridSpan w:val="4"/>
          </w:tcPr>
          <w:p>
            <w:pPr>
              <w:ind w:left="20"/>
              <w:spacing w:after="0"/>
              <w:rPr>
                <w:sz w:val="20"/>
                <w:szCs w:val="20"/>
                <w:color w:val="auto"/>
              </w:rPr>
            </w:pPr>
            <w:r>
              <w:rPr>
                <w:rFonts w:ascii="Arial" w:cs="Arial" w:eastAsia="Arial" w:hAnsi="Arial"/>
                <w:sz w:val="14"/>
                <w:szCs w:val="14"/>
                <w:b w:val="1"/>
                <w:bCs w:val="1"/>
                <w:color w:val="auto"/>
              </w:rPr>
              <w:t>Pretax</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060" w:type="dxa"/>
            <w:vAlign w:val="bottom"/>
          </w:tcPr>
          <w:p>
            <w:pPr>
              <w:spacing w:after="0"/>
              <w:rPr>
                <w:sz w:val="8"/>
                <w:szCs w:val="8"/>
                <w:color w:val="auto"/>
              </w:rPr>
            </w:pPr>
          </w:p>
        </w:tc>
        <w:tc>
          <w:tcPr>
            <w:tcW w:w="4140" w:type="dxa"/>
            <w:vAlign w:val="bottom"/>
          </w:tcPr>
          <w:p>
            <w:pPr>
              <w:spacing w:after="0"/>
              <w:rPr>
                <w:sz w:val="8"/>
                <w:szCs w:val="8"/>
                <w:color w:val="auto"/>
              </w:rPr>
            </w:pPr>
          </w:p>
        </w:tc>
        <w:tc>
          <w:tcPr>
            <w:tcW w:w="100" w:type="dxa"/>
            <w:vAlign w:val="bottom"/>
            <w:tcBorders>
              <w:bottom w:val="single" w:sz="8" w:color="auto"/>
            </w:tcBorders>
            <w:gridSpan w:val="2"/>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90" w:type="dxa"/>
            <w:vAlign w:val="bottom"/>
            <w:tcBorders>
              <w:bottom w:val="single" w:sz="8" w:color="auto"/>
            </w:tcBorders>
          </w:tcPr>
          <w:p>
            <w:pPr>
              <w:spacing w:after="0"/>
              <w:rPr>
                <w:sz w:val="8"/>
                <w:szCs w:val="8"/>
                <w:color w:val="auto"/>
              </w:rPr>
            </w:pPr>
          </w:p>
        </w:tc>
        <w:tc>
          <w:tcPr>
            <w:tcW w:w="21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060" w:type="dxa"/>
            <w:vAlign w:val="bottom"/>
          </w:tcPr>
          <w:p>
            <w:pPr>
              <w:spacing w:after="0"/>
              <w:rPr>
                <w:sz w:val="22"/>
                <w:szCs w:val="22"/>
                <w:color w:val="auto"/>
              </w:rPr>
            </w:pPr>
          </w:p>
        </w:tc>
        <w:tc>
          <w:tcPr>
            <w:tcW w:w="4440" w:type="dxa"/>
            <w:vAlign w:val="bottom"/>
            <w:gridSpan w:val="4"/>
          </w:tcPr>
          <w:p>
            <w:pPr>
              <w:jc w:val="right"/>
              <w:spacing w:after="0"/>
              <w:rPr>
                <w:sz w:val="20"/>
                <w:szCs w:val="20"/>
                <w:color w:val="auto"/>
              </w:rPr>
            </w:pPr>
            <w:r>
              <w:rPr>
                <w:rFonts w:ascii="Arial" w:cs="Arial" w:eastAsia="Arial" w:hAnsi="Arial"/>
                <w:sz w:val="14"/>
                <w:szCs w:val="14"/>
                <w:b w:val="1"/>
                <w:bCs w:val="1"/>
                <w:color w:val="auto"/>
              </w:rPr>
              <w:t>2003</w:t>
            </w:r>
          </w:p>
        </w:tc>
        <w:tc>
          <w:tcPr>
            <w:tcW w:w="880" w:type="dxa"/>
            <w:vAlign w:val="bottom"/>
            <w:gridSpan w:val="3"/>
          </w:tcPr>
          <w:p>
            <w:pPr>
              <w:jc w:val="right"/>
              <w:spacing w:after="0"/>
              <w:rPr>
                <w:sz w:val="20"/>
                <w:szCs w:val="20"/>
                <w:color w:val="auto"/>
              </w:rPr>
            </w:pPr>
            <w:r>
              <w:rPr>
                <w:rFonts w:ascii="Arial" w:cs="Arial" w:eastAsia="Arial" w:hAnsi="Arial"/>
                <w:sz w:val="14"/>
                <w:szCs w:val="14"/>
                <w:b w:val="1"/>
                <w:bCs w:val="1"/>
                <w:color w:val="auto"/>
              </w:rPr>
              <w:t>2002</w:t>
            </w:r>
          </w:p>
        </w:tc>
        <w:tc>
          <w:tcPr>
            <w:tcW w:w="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96"/>
              </w:rPr>
              <w:t>2001</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5060" w:type="dxa"/>
            <w:vAlign w:val="bottom"/>
          </w:tcPr>
          <w:p>
            <w:pPr>
              <w:spacing w:after="0"/>
              <w:rPr>
                <w:sz w:val="8"/>
                <w:szCs w:val="8"/>
                <w:color w:val="auto"/>
              </w:rPr>
            </w:pPr>
          </w:p>
        </w:tc>
        <w:tc>
          <w:tcPr>
            <w:tcW w:w="41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80" w:type="dxa"/>
            <w:vAlign w:val="bottom"/>
          </w:tcPr>
          <w:p>
            <w:pPr>
              <w:spacing w:after="0"/>
              <w:rPr>
                <w:sz w:val="8"/>
                <w:szCs w:val="8"/>
                <w:color w:val="auto"/>
              </w:rPr>
            </w:pPr>
          </w:p>
        </w:tc>
        <w:tc>
          <w:tcPr>
            <w:tcW w:w="90" w:type="dxa"/>
            <w:vAlign w:val="bottom"/>
          </w:tcPr>
          <w:p>
            <w:pPr>
              <w:spacing w:after="0"/>
              <w:rPr>
                <w:sz w:val="8"/>
                <w:szCs w:val="8"/>
                <w:color w:val="auto"/>
              </w:rPr>
            </w:pPr>
          </w:p>
        </w:tc>
        <w:tc>
          <w:tcPr>
            <w:tcW w:w="21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Goodwill</w:t>
            </w:r>
          </w:p>
        </w:tc>
        <w:tc>
          <w:tcPr>
            <w:tcW w:w="42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b w:val="1"/>
                <w:bCs w:val="1"/>
                <w:color w:val="auto"/>
              </w:rPr>
              <w:t>$</w:t>
            </w: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7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90" w:type="dxa"/>
            <w:vAlign w:val="bottom"/>
            <w:gridSpan w:val="3"/>
            <w:shd w:val="clear" w:color="auto" w:fill="CCEEFF"/>
          </w:tcPr>
          <w:p>
            <w:pPr>
              <w:ind w:left="15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270</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60" w:type="dxa"/>
            <w:vAlign w:val="bottom"/>
          </w:tcPr>
          <w:p>
            <w:pPr>
              <w:spacing w:after="0" w:line="149" w:lineRule="exact"/>
              <w:rPr>
                <w:sz w:val="20"/>
                <w:szCs w:val="20"/>
                <w:color w:val="auto"/>
              </w:rPr>
            </w:pPr>
            <w:r>
              <w:rPr>
                <w:rFonts w:ascii="Arial" w:cs="Arial" w:eastAsia="Arial" w:hAnsi="Arial"/>
                <w:sz w:val="14"/>
                <w:szCs w:val="14"/>
                <w:color w:val="auto"/>
              </w:rPr>
              <w:t>Workforce</w:t>
            </w:r>
          </w:p>
        </w:tc>
        <w:tc>
          <w:tcPr>
            <w:tcW w:w="4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spacing w:after="0"/>
              <w:rPr>
                <w:sz w:val="12"/>
                <w:szCs w:val="12"/>
                <w:color w:val="auto"/>
              </w:rPr>
            </w:pPr>
          </w:p>
        </w:tc>
        <w:tc>
          <w:tcPr>
            <w:tcW w:w="90" w:type="dxa"/>
            <w:vAlign w:val="bottom"/>
          </w:tcPr>
          <w:p>
            <w:pPr>
              <w:spacing w:after="0"/>
              <w:rPr>
                <w:sz w:val="12"/>
                <w:szCs w:val="12"/>
                <w:color w:val="auto"/>
              </w:rPr>
            </w:pPr>
          </w:p>
        </w:tc>
        <w:tc>
          <w:tcPr>
            <w:tcW w:w="790" w:type="dxa"/>
            <w:vAlign w:val="bottom"/>
            <w:gridSpan w:val="3"/>
          </w:tcPr>
          <w:p>
            <w:pPr>
              <w:ind w:left="15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320" w:type="dxa"/>
            <w:vAlign w:val="bottom"/>
          </w:tcPr>
          <w:p>
            <w:pPr>
              <w:jc w:val="right"/>
              <w:spacing w:after="0" w:line="149" w:lineRule="exact"/>
              <w:rPr>
                <w:sz w:val="20"/>
                <w:szCs w:val="20"/>
                <w:color w:val="auto"/>
              </w:rPr>
            </w:pPr>
            <w:r>
              <w:rPr>
                <w:rFonts w:ascii="Arial" w:cs="Arial" w:eastAsia="Arial" w:hAnsi="Arial"/>
                <w:sz w:val="14"/>
                <w:szCs w:val="14"/>
                <w:color w:val="auto"/>
              </w:rPr>
              <w:t>32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intangibles</w:t>
            </w:r>
          </w:p>
        </w:tc>
        <w:tc>
          <w:tcPr>
            <w:tcW w:w="4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85"/>
              </w:rPr>
              <w:t>104</w:t>
            </w:r>
          </w:p>
        </w:tc>
        <w:tc>
          <w:tcPr>
            <w:tcW w:w="580" w:type="dxa"/>
            <w:vAlign w:val="bottom"/>
            <w:shd w:val="clear" w:color="auto" w:fill="CCEEFF"/>
          </w:tcPr>
          <w:p>
            <w:pPr>
              <w:spacing w:after="0"/>
              <w:rPr>
                <w:sz w:val="12"/>
                <w:szCs w:val="12"/>
                <w:color w:val="auto"/>
              </w:rPr>
            </w:pPr>
          </w:p>
        </w:tc>
        <w:tc>
          <w:tcPr>
            <w:tcW w:w="90" w:type="dxa"/>
            <w:vAlign w:val="bottom"/>
            <w:shd w:val="clear" w:color="auto" w:fill="CCEEFF"/>
          </w:tcPr>
          <w:p>
            <w:pPr>
              <w:spacing w:after="0"/>
              <w:rPr>
                <w:sz w:val="12"/>
                <w:szCs w:val="12"/>
                <w:color w:val="auto"/>
              </w:rPr>
            </w:pPr>
          </w:p>
        </w:tc>
        <w:tc>
          <w:tcPr>
            <w:tcW w:w="21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72</w:t>
            </w:r>
          </w:p>
        </w:tc>
        <w:tc>
          <w:tcPr>
            <w:tcW w:w="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060" w:type="dxa"/>
            <w:vAlign w:val="bottom"/>
            <w:tcBorders>
              <w:bottom w:val="single" w:sz="8" w:color="auto"/>
            </w:tcBorders>
          </w:tcPr>
          <w:p>
            <w:pPr>
              <w:spacing w:after="0"/>
              <w:rPr>
                <w:sz w:val="9"/>
                <w:szCs w:val="9"/>
                <w:color w:val="auto"/>
              </w:rPr>
            </w:pPr>
          </w:p>
        </w:tc>
        <w:tc>
          <w:tcPr>
            <w:tcW w:w="414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90" w:type="dxa"/>
            <w:vAlign w:val="bottom"/>
            <w:tcBorders>
              <w:bottom w:val="single" w:sz="8" w:color="auto"/>
            </w:tcBorders>
          </w:tcPr>
          <w:p>
            <w:pPr>
              <w:spacing w:after="0"/>
              <w:rPr>
                <w:sz w:val="9"/>
                <w:szCs w:val="9"/>
                <w:color w:val="auto"/>
              </w:rPr>
            </w:pPr>
          </w:p>
        </w:tc>
        <w:tc>
          <w:tcPr>
            <w:tcW w:w="21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60" w:type="dxa"/>
            <w:vAlign w:val="bottom"/>
          </w:tcPr>
          <w:p>
            <w:pPr>
              <w:spacing w:after="0"/>
              <w:rPr>
                <w:sz w:val="8"/>
                <w:szCs w:val="8"/>
                <w:color w:val="auto"/>
              </w:rPr>
            </w:pPr>
          </w:p>
        </w:tc>
        <w:tc>
          <w:tcPr>
            <w:tcW w:w="41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80" w:type="dxa"/>
            <w:vAlign w:val="bottom"/>
          </w:tcPr>
          <w:p>
            <w:pPr>
              <w:spacing w:after="0"/>
              <w:rPr>
                <w:sz w:val="8"/>
                <w:szCs w:val="8"/>
                <w:color w:val="auto"/>
              </w:rPr>
            </w:pPr>
          </w:p>
        </w:tc>
        <w:tc>
          <w:tcPr>
            <w:tcW w:w="90" w:type="dxa"/>
            <w:vAlign w:val="bottom"/>
          </w:tcPr>
          <w:p>
            <w:pPr>
              <w:spacing w:after="0"/>
              <w:rPr>
                <w:sz w:val="8"/>
                <w:szCs w:val="8"/>
                <w:color w:val="auto"/>
              </w:rPr>
            </w:pPr>
          </w:p>
        </w:tc>
        <w:tc>
          <w:tcPr>
            <w:tcW w:w="21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60" w:type="dxa"/>
            <w:vAlign w:val="bottom"/>
            <w:shd w:val="clear" w:color="auto" w:fill="CCEEFF"/>
          </w:tcPr>
          <w:p>
            <w:pPr>
              <w:spacing w:after="0"/>
              <w:rPr>
                <w:sz w:val="12"/>
                <w:szCs w:val="12"/>
                <w:color w:val="auto"/>
              </w:rPr>
            </w:pPr>
          </w:p>
        </w:tc>
        <w:tc>
          <w:tcPr>
            <w:tcW w:w="42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b w:val="1"/>
                <w:bCs w:val="1"/>
                <w:color w:val="auto"/>
              </w:rPr>
              <w:t>$</w:t>
            </w:r>
          </w:p>
        </w:tc>
        <w:tc>
          <w:tcPr>
            <w:tcW w:w="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85"/>
              </w:rPr>
              <w:t>104</w:t>
            </w:r>
          </w:p>
        </w:tc>
        <w:tc>
          <w:tcPr>
            <w:tcW w:w="67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1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72</w:t>
            </w:r>
          </w:p>
        </w:tc>
        <w:tc>
          <w:tcPr>
            <w:tcW w:w="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347</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060" w:type="dxa"/>
            <w:vAlign w:val="bottom"/>
          </w:tcPr>
          <w:p>
            <w:pPr>
              <w:spacing w:after="0"/>
              <w:rPr>
                <w:sz w:val="11"/>
                <w:szCs w:val="11"/>
                <w:color w:val="auto"/>
              </w:rPr>
            </w:pPr>
          </w:p>
        </w:tc>
        <w:tc>
          <w:tcPr>
            <w:tcW w:w="41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0" w:type="dxa"/>
            <w:vAlign w:val="bottom"/>
            <w:tcBorders>
              <w:bottom w:val="single" w:sz="8" w:color="auto"/>
            </w:tcBorders>
          </w:tcPr>
          <w:p>
            <w:pPr>
              <w:spacing w:after="0"/>
              <w:rPr>
                <w:sz w:val="11"/>
                <w:szCs w:val="11"/>
                <w:color w:val="auto"/>
              </w:rPr>
            </w:pPr>
          </w:p>
        </w:tc>
        <w:tc>
          <w:tcPr>
            <w:tcW w:w="21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5851525</wp:posOffset>
            </wp:positionH>
            <wp:positionV relativeFrom="paragraph">
              <wp:posOffset>-29210</wp:posOffset>
            </wp:positionV>
            <wp:extent cx="201295" cy="298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201295" cy="29845"/>
                    </a:xfrm>
                    <a:prstGeom prst="rect">
                      <a:avLst/>
                    </a:prstGeom>
                    <a:noFill/>
                  </pic:spPr>
                </pic:pic>
              </a:graphicData>
            </a:graphic>
          </wp:anchor>
        </w:drawing>
        <w:drawing>
          <wp:anchor simplePos="0" relativeHeight="251657728" behindDoc="1" locked="0" layoutInCell="0" allowOverlap="1">
            <wp:simplePos x="0" y="0"/>
            <wp:positionH relativeFrom="column">
              <wp:posOffset>6409055</wp:posOffset>
            </wp:positionH>
            <wp:positionV relativeFrom="paragraph">
              <wp:posOffset>-29210</wp:posOffset>
            </wp:positionV>
            <wp:extent cx="12700" cy="298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6597650</wp:posOffset>
            </wp:positionH>
            <wp:positionV relativeFrom="paragraph">
              <wp:posOffset>-29210</wp:posOffset>
            </wp:positionV>
            <wp:extent cx="12700" cy="298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-29210</wp:posOffset>
            </wp:positionV>
            <wp:extent cx="21590" cy="298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6966585</wp:posOffset>
            </wp:positionH>
            <wp:positionV relativeFrom="paragraph">
              <wp:posOffset>-29210</wp:posOffset>
            </wp:positionV>
            <wp:extent cx="12700" cy="298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7026910</wp:posOffset>
            </wp:positionH>
            <wp:positionV relativeFrom="paragraph">
              <wp:posOffset>-29210</wp:posOffset>
            </wp:positionV>
            <wp:extent cx="21590" cy="298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76"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change in the carrying amount of goodwill is as follows:</w:t>
      </w:r>
    </w:p>
    <w:p>
      <w:pPr>
        <w:spacing w:after="0" w:line="7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(Stated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46620" cy="889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gridSpan w:val="3"/>
          </w:tcPr>
          <w:p>
            <w:pPr>
              <w:jc w:val="right"/>
              <w:spacing w:after="0"/>
              <w:rPr>
                <w:sz w:val="20"/>
                <w:szCs w:val="20"/>
                <w:color w:val="auto"/>
              </w:rPr>
            </w:pPr>
            <w:r>
              <w:rPr>
                <w:rFonts w:ascii="Arial" w:cs="Arial" w:eastAsia="Arial" w:hAnsi="Arial"/>
                <w:sz w:val="14"/>
                <w:szCs w:val="14"/>
                <w:b w:val="1"/>
                <w:bCs w:val="1"/>
                <w:color w:val="auto"/>
              </w:rPr>
              <w:t>2003</w:t>
            </w: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rPr>
              <w:t>2002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5240" w:type="dxa"/>
            <w:vAlign w:val="bottom"/>
            <w:gridSpan w:val="2"/>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8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gridSpan w:val="2"/>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2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Balance at beginning of year</w:t>
            </w:r>
          </w:p>
        </w:tc>
        <w:tc>
          <w:tcPr>
            <w:tcW w:w="8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30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b w:val="1"/>
                <w:bCs w:val="1"/>
                <w:color w:val="auto"/>
              </w:rPr>
              <w:t>$</w:t>
            </w:r>
          </w:p>
        </w:tc>
        <w:tc>
          <w:tcPr>
            <w:tcW w:w="3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4,230</w:t>
            </w:r>
          </w:p>
        </w:tc>
        <w:tc>
          <w:tcPr>
            <w:tcW w:w="80" w:type="dxa"/>
            <w:vAlign w:val="bottom"/>
            <w:shd w:val="clear" w:color="auto" w:fill="CCEEFF"/>
          </w:tcPr>
          <w:p>
            <w:pPr>
              <w:spacing w:after="0"/>
              <w:rPr>
                <w:sz w:val="12"/>
                <w:szCs w:val="12"/>
                <w:color w:val="auto"/>
              </w:rPr>
            </w:pPr>
          </w:p>
        </w:tc>
        <w:tc>
          <w:tcPr>
            <w:tcW w:w="68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6,261</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240" w:type="dxa"/>
            <w:vAlign w:val="bottom"/>
            <w:gridSpan w:val="2"/>
          </w:tcPr>
          <w:p>
            <w:pPr>
              <w:spacing w:after="0" w:line="176" w:lineRule="exact"/>
              <w:rPr>
                <w:sz w:val="20"/>
                <w:szCs w:val="20"/>
                <w:color w:val="auto"/>
              </w:rPr>
            </w:pPr>
            <w:r>
              <w:rPr>
                <w:rFonts w:ascii="Arial" w:cs="Arial" w:eastAsia="Arial" w:hAnsi="Arial"/>
                <w:sz w:val="13"/>
                <w:szCs w:val="13"/>
                <w:color w:val="auto"/>
              </w:rPr>
              <w:t>Reclassification of Assembled Workforce, net of deferred taxes</w:t>
            </w:r>
            <w:r>
              <w:rPr>
                <w:rFonts w:ascii="Arial" w:cs="Arial" w:eastAsia="Arial" w:hAnsi="Arial"/>
                <w:sz w:val="20"/>
                <w:szCs w:val="20"/>
                <w:color w:val="auto"/>
                <w:vertAlign w:val="superscript"/>
              </w:rPr>
              <w:t>1</w:t>
            </w: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gridSpan w:val="2"/>
          </w:tcPr>
          <w:p>
            <w:pPr>
              <w:jc w:val="right"/>
              <w:ind w:right="12"/>
              <w:spacing w:after="0"/>
              <w:rPr>
                <w:sz w:val="20"/>
                <w:szCs w:val="20"/>
                <w:color w:val="auto"/>
              </w:rPr>
            </w:pPr>
            <w:r>
              <w:rPr>
                <w:rFonts w:ascii="Arial" w:cs="Arial" w:eastAsia="Arial" w:hAnsi="Arial"/>
                <w:sz w:val="14"/>
                <w:szCs w:val="14"/>
                <w:color w:val="auto"/>
              </w:rPr>
              <w:t>–</w:t>
            </w:r>
          </w:p>
        </w:tc>
        <w:tc>
          <w:tcPr>
            <w:tcW w:w="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175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Impairment, charged to income</w:t>
            </w:r>
          </w:p>
        </w:tc>
        <w:tc>
          <w:tcPr>
            <w:tcW w:w="8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gridSpan w:val="2"/>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85"/>
              </w:rPr>
              <w:t>(2,638)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40" w:type="dxa"/>
            <w:vAlign w:val="bottom"/>
            <w:gridSpan w:val="2"/>
          </w:tcPr>
          <w:p>
            <w:pPr>
              <w:spacing w:after="0" w:line="149" w:lineRule="exact"/>
              <w:rPr>
                <w:sz w:val="20"/>
                <w:szCs w:val="20"/>
                <w:color w:val="auto"/>
              </w:rPr>
            </w:pPr>
            <w:r>
              <w:rPr>
                <w:rFonts w:ascii="Arial" w:cs="Arial" w:eastAsia="Arial" w:hAnsi="Arial"/>
                <w:sz w:val="14"/>
                <w:szCs w:val="14"/>
                <w:color w:val="auto"/>
              </w:rPr>
              <w:t>Impact of change in exchange rates</w:t>
            </w: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5"/>
              </w:rPr>
              <w:t>488</w:t>
            </w: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rPr>
              <w:t>370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 xml:space="preserve">Reclassified to </w:t>
            </w:r>
            <w:r>
              <w:rPr>
                <w:rFonts w:ascii="Arial" w:cs="Arial" w:eastAsia="Arial" w:hAnsi="Arial"/>
                <w:sz w:val="14"/>
                <w:szCs w:val="14"/>
                <w:i w:val="1"/>
                <w:iCs w:val="1"/>
                <w:color w:val="auto"/>
              </w:rPr>
              <w:t>Assets held for sale</w:t>
            </w:r>
          </w:p>
        </w:tc>
        <w:tc>
          <w:tcPr>
            <w:tcW w:w="8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90"/>
              </w:rPr>
              <w:t>(1,334)</w:t>
            </w:r>
          </w:p>
        </w:tc>
        <w:tc>
          <w:tcPr>
            <w:tcW w:w="5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240" w:type="dxa"/>
            <w:vAlign w:val="bottom"/>
            <w:gridSpan w:val="2"/>
          </w:tcPr>
          <w:p>
            <w:pPr>
              <w:spacing w:after="0"/>
              <w:rPr>
                <w:sz w:val="20"/>
                <w:szCs w:val="20"/>
                <w:color w:val="auto"/>
              </w:rPr>
            </w:pPr>
            <w:r>
              <w:rPr>
                <w:rFonts w:ascii="Arial" w:cs="Arial" w:eastAsia="Arial" w:hAnsi="Arial"/>
                <w:sz w:val="14"/>
                <w:szCs w:val="14"/>
                <w:color w:val="auto"/>
              </w:rPr>
              <w:t>Other, including acquisitions and divestitures</w:t>
            </w: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gridSpan w:val="4"/>
          </w:tcPr>
          <w:p>
            <w:pPr>
              <w:jc w:val="right"/>
              <w:spacing w:after="0"/>
              <w:rPr>
                <w:sz w:val="20"/>
                <w:szCs w:val="20"/>
                <w:color w:val="auto"/>
              </w:rPr>
            </w:pPr>
            <w:r>
              <w:rPr>
                <w:rFonts w:ascii="Arial" w:cs="Arial" w:eastAsia="Arial" w:hAnsi="Arial"/>
                <w:sz w:val="14"/>
                <w:szCs w:val="14"/>
                <w:b w:val="1"/>
                <w:bCs w:val="1"/>
                <w:color w:val="auto"/>
              </w:rPr>
              <w:t>(100)</w:t>
            </w:r>
          </w:p>
        </w:tc>
        <w:tc>
          <w:tcPr>
            <w:tcW w:w="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62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5240" w:type="dxa"/>
            <w:vAlign w:val="bottom"/>
            <w:tcBorders>
              <w:bottom w:val="single" w:sz="8" w:color="auto"/>
            </w:tcBorders>
            <w:gridSpan w:val="2"/>
          </w:tcPr>
          <w:p>
            <w:pPr>
              <w:spacing w:after="0"/>
              <w:rPr>
                <w:sz w:val="7"/>
                <w:szCs w:val="7"/>
                <w:color w:val="auto"/>
              </w:rPr>
            </w:pPr>
          </w:p>
        </w:tc>
        <w:tc>
          <w:tcPr>
            <w:tcW w:w="86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84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gridSpan w:val="2"/>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60" w:type="dxa"/>
            <w:vAlign w:val="bottom"/>
          </w:tcPr>
          <w:p>
            <w:pPr>
              <w:spacing w:after="0"/>
              <w:rPr>
                <w:sz w:val="8"/>
                <w:szCs w:val="8"/>
                <w:color w:val="auto"/>
              </w:rPr>
            </w:pPr>
          </w:p>
        </w:tc>
        <w:tc>
          <w:tcPr>
            <w:tcW w:w="508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8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2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Balance at end of year</w:t>
            </w:r>
          </w:p>
        </w:tc>
        <w:tc>
          <w:tcPr>
            <w:tcW w:w="8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30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b w:val="1"/>
                <w:bCs w:val="1"/>
                <w:color w:val="auto"/>
              </w:rPr>
              <w:t>$</w:t>
            </w:r>
          </w:p>
        </w:tc>
        <w:tc>
          <w:tcPr>
            <w:tcW w:w="3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3,284</w:t>
            </w:r>
          </w:p>
        </w:tc>
        <w:tc>
          <w:tcPr>
            <w:tcW w:w="80" w:type="dxa"/>
            <w:vAlign w:val="bottom"/>
            <w:shd w:val="clear" w:color="auto" w:fill="CCEEFF"/>
          </w:tcPr>
          <w:p>
            <w:pPr>
              <w:spacing w:after="0"/>
              <w:rPr>
                <w:sz w:val="12"/>
                <w:szCs w:val="12"/>
                <w:color w:val="auto"/>
              </w:rPr>
            </w:pPr>
          </w:p>
        </w:tc>
        <w:tc>
          <w:tcPr>
            <w:tcW w:w="68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4,230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180" w:type="dxa"/>
            <w:vAlign w:val="bottom"/>
            <w:gridSpan w:val="2"/>
            <w:vMerge w:val="restart"/>
          </w:tcPr>
          <w:p>
            <w:pPr>
              <w:spacing w:after="0"/>
              <w:rPr>
                <w:sz w:val="20"/>
                <w:szCs w:val="20"/>
                <w:color w:val="auto"/>
              </w:rPr>
            </w:pPr>
            <w:r>
              <w:rPr>
                <w:rFonts w:ascii="Arial" w:cs="Arial" w:eastAsia="Arial" w:hAnsi="Arial"/>
                <w:sz w:val="14"/>
                <w:szCs w:val="14"/>
                <w:color w:val="auto"/>
              </w:rPr>
              <w:t>1.</w:t>
            </w:r>
          </w:p>
        </w:tc>
        <w:tc>
          <w:tcPr>
            <w:tcW w:w="5080" w:type="dxa"/>
            <w:vAlign w:val="bottom"/>
            <w:vMerge w:val="restart"/>
          </w:tcPr>
          <w:p>
            <w:pPr>
              <w:ind w:left="200"/>
              <w:spacing w:after="0"/>
              <w:rPr>
                <w:sz w:val="20"/>
                <w:szCs w:val="20"/>
                <w:color w:val="auto"/>
              </w:rPr>
            </w:pPr>
            <w:r>
              <w:rPr>
                <w:rFonts w:ascii="Arial" w:cs="Arial" w:eastAsia="Arial" w:hAnsi="Arial"/>
                <w:sz w:val="14"/>
                <w:szCs w:val="14"/>
                <w:color w:val="auto"/>
              </w:rPr>
              <w:t>Following adoption of SFAS 142 on January 1, 2002.</w:t>
            </w: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34"/>
        </w:trPr>
        <w:tc>
          <w:tcPr>
            <w:tcW w:w="180" w:type="dxa"/>
            <w:vAlign w:val="bottom"/>
            <w:gridSpan w:val="2"/>
            <w:vMerge w:val="continue"/>
          </w:tcPr>
          <w:p>
            <w:pPr>
              <w:spacing w:after="0"/>
              <w:rPr>
                <w:sz w:val="24"/>
                <w:szCs w:val="24"/>
                <w:color w:val="auto"/>
              </w:rPr>
            </w:pPr>
          </w:p>
        </w:tc>
        <w:tc>
          <w:tcPr>
            <w:tcW w:w="5080" w:type="dxa"/>
            <w:vAlign w:val="bottom"/>
            <w:vMerge w:val="continue"/>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760" w:type="dxa"/>
            <w:vAlign w:val="bottom"/>
            <w:gridSpan w:val="6"/>
          </w:tcPr>
          <w:p>
            <w:pPr>
              <w:jc w:val="right"/>
              <w:ind w:right="300"/>
              <w:spacing w:after="0"/>
              <w:rPr>
                <w:sz w:val="20"/>
                <w:szCs w:val="20"/>
                <w:color w:val="auto"/>
              </w:rPr>
            </w:pPr>
            <w:r>
              <w:rPr>
                <w:rFonts w:ascii="Arial" w:cs="Arial" w:eastAsia="Arial" w:hAnsi="Arial"/>
                <w:sz w:val="18"/>
                <w:szCs w:val="18"/>
                <w:color w:val="auto"/>
                <w:w w:val="89"/>
              </w:rPr>
              <w:t>The changes in the carrying amount of goodwill by business segment in 2003 is as follows:</w:t>
            </w:r>
          </w:p>
        </w:tc>
        <w:tc>
          <w:tcPr>
            <w:tcW w:w="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1"/>
        </w:trPr>
        <w:tc>
          <w:tcPr>
            <w:tcW w:w="5260" w:type="dxa"/>
            <w:vAlign w:val="bottom"/>
            <w:gridSpan w:val="3"/>
          </w:tcPr>
          <w:p>
            <w:pPr>
              <w:spacing w:after="0"/>
              <w:rPr>
                <w:sz w:val="20"/>
                <w:szCs w:val="20"/>
                <w:color w:val="auto"/>
              </w:rPr>
            </w:pPr>
            <w:r>
              <w:rPr>
                <w:rFonts w:ascii="Arial" w:cs="Arial" w:eastAsia="Arial" w:hAnsi="Arial"/>
                <w:sz w:val="14"/>
                <w:szCs w:val="14"/>
                <w:b w:val="1"/>
                <w:bCs w:val="1"/>
                <w:color w:val="auto"/>
              </w:rPr>
              <w:t>(Stated in millions)</w:t>
            </w:r>
          </w:p>
        </w:tc>
        <w:tc>
          <w:tcPr>
            <w:tcW w:w="8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08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gridSpan w:val="2"/>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0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2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88"/>
              </w:rPr>
              <w:t>Oilfield</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w w:val="93"/>
              </w:rPr>
              <w:t>Western-</w:t>
            </w:r>
          </w:p>
        </w:tc>
        <w:tc>
          <w:tcPr>
            <w:tcW w:w="80" w:type="dxa"/>
            <w:vAlign w:val="bottom"/>
          </w:tcPr>
          <w:p>
            <w:pPr>
              <w:spacing w:after="0"/>
              <w:rPr>
                <w:sz w:val="20"/>
                <w:szCs w:val="20"/>
                <w:color w:val="auto"/>
              </w:rPr>
            </w:pPr>
          </w:p>
        </w:tc>
        <w:tc>
          <w:tcPr>
            <w:tcW w:w="1300" w:type="dxa"/>
            <w:vAlign w:val="bottom"/>
            <w:gridSpan w:val="3"/>
          </w:tcPr>
          <w:p>
            <w:pPr>
              <w:jc w:val="right"/>
              <w:ind w:right="460"/>
              <w:spacing w:after="0"/>
              <w:rPr>
                <w:sz w:val="20"/>
                <w:szCs w:val="20"/>
                <w:color w:val="auto"/>
              </w:rPr>
            </w:pPr>
            <w:r>
              <w:rPr>
                <w:rFonts w:ascii="Arial" w:cs="Arial" w:eastAsia="Arial" w:hAnsi="Arial"/>
                <w:sz w:val="14"/>
                <w:szCs w:val="14"/>
                <w:b w:val="1"/>
                <w:bCs w:val="1"/>
                <w:color w:val="auto"/>
                <w:w w:val="87"/>
              </w:rPr>
              <w:t>Schlumberger</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w w:val="79"/>
              </w:rPr>
              <w:t>Services</w:t>
            </w: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Geco</w:t>
            </w:r>
          </w:p>
        </w:tc>
        <w:tc>
          <w:tcPr>
            <w:tcW w:w="80" w:type="dxa"/>
            <w:vAlign w:val="bottom"/>
          </w:tcPr>
          <w:p>
            <w:pPr>
              <w:spacing w:after="0"/>
              <w:rPr>
                <w:sz w:val="16"/>
                <w:szCs w:val="16"/>
                <w:color w:val="auto"/>
              </w:rPr>
            </w:pPr>
          </w:p>
        </w:tc>
        <w:tc>
          <w:tcPr>
            <w:tcW w:w="1300" w:type="dxa"/>
            <w:vAlign w:val="bottom"/>
            <w:gridSpan w:val="3"/>
          </w:tcPr>
          <w:p>
            <w:pPr>
              <w:jc w:val="right"/>
              <w:ind w:right="460"/>
              <w:spacing w:after="0"/>
              <w:rPr>
                <w:sz w:val="20"/>
                <w:szCs w:val="20"/>
                <w:color w:val="auto"/>
              </w:rPr>
            </w:pPr>
            <w:r>
              <w:rPr>
                <w:rFonts w:ascii="Arial" w:cs="Arial" w:eastAsia="Arial" w:hAnsi="Arial"/>
                <w:sz w:val="14"/>
                <w:szCs w:val="14"/>
                <w:b w:val="1"/>
                <w:bCs w:val="1"/>
                <w:color w:val="auto"/>
              </w:rPr>
              <w:t>Sema</w:t>
            </w:r>
          </w:p>
        </w:tc>
        <w:tc>
          <w:tcPr>
            <w:tcW w:w="80" w:type="dxa"/>
            <w:vAlign w:val="bottom"/>
          </w:tcPr>
          <w:p>
            <w:pPr>
              <w:spacing w:after="0"/>
              <w:rPr>
                <w:sz w:val="16"/>
                <w:szCs w:val="16"/>
                <w:color w:val="auto"/>
              </w:rPr>
            </w:pPr>
          </w:p>
        </w:tc>
        <w:tc>
          <w:tcPr>
            <w:tcW w:w="380" w:type="dxa"/>
            <w:vAlign w:val="bottom"/>
            <w:gridSpan w:val="3"/>
          </w:tcPr>
          <w:p>
            <w:pPr>
              <w:jc w:val="right"/>
              <w:spacing w:after="0"/>
              <w:rPr>
                <w:sz w:val="20"/>
                <w:szCs w:val="20"/>
                <w:color w:val="auto"/>
              </w:rPr>
            </w:pPr>
            <w:r>
              <w:rPr>
                <w:rFonts w:ascii="Arial" w:cs="Arial" w:eastAsia="Arial" w:hAnsi="Arial"/>
                <w:sz w:val="14"/>
                <w:szCs w:val="14"/>
                <w:b w:val="1"/>
                <w:bCs w:val="1"/>
                <w:color w:val="auto"/>
                <w:w w:val="96"/>
              </w:rPr>
              <w:t>Other</w:t>
            </w:r>
          </w:p>
        </w:tc>
        <w:tc>
          <w:tcPr>
            <w:tcW w:w="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5240" w:type="dxa"/>
            <w:vAlign w:val="bottom"/>
            <w:gridSpan w:val="2"/>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8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gridSpan w:val="2"/>
          </w:tcPr>
          <w:p>
            <w:pPr>
              <w:spacing w:after="0"/>
              <w:rPr>
                <w:sz w:val="8"/>
                <w:szCs w:val="8"/>
                <w:color w:val="auto"/>
              </w:rPr>
            </w:pPr>
          </w:p>
        </w:tc>
        <w:tc>
          <w:tcPr>
            <w:tcW w:w="680" w:type="dxa"/>
            <w:vAlign w:val="bottom"/>
            <w:gridSpan w:val="3"/>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2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Balance at beginning of year</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3"/>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1,877</w:t>
            </w:r>
          </w:p>
        </w:tc>
        <w:tc>
          <w:tcPr>
            <w:tcW w:w="3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215</w:t>
            </w: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1,562</w:t>
            </w: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576</w:t>
            </w:r>
          </w:p>
        </w:tc>
        <w:tc>
          <w:tcPr>
            <w:tcW w:w="68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4,230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240" w:type="dxa"/>
            <w:vAlign w:val="bottom"/>
            <w:gridSpan w:val="2"/>
          </w:tcPr>
          <w:p>
            <w:pPr>
              <w:spacing w:after="0" w:line="176" w:lineRule="exact"/>
              <w:rPr>
                <w:sz w:val="20"/>
                <w:szCs w:val="20"/>
                <w:color w:val="auto"/>
              </w:rPr>
            </w:pPr>
            <w:r>
              <w:rPr>
                <w:rFonts w:ascii="Arial" w:cs="Arial" w:eastAsia="Arial" w:hAnsi="Arial"/>
                <w:sz w:val="13"/>
                <w:szCs w:val="13"/>
                <w:color w:val="auto"/>
              </w:rPr>
              <w:t>Other</w:t>
            </w:r>
            <w:r>
              <w:rPr>
                <w:rFonts w:ascii="Arial" w:cs="Arial" w:eastAsia="Arial" w:hAnsi="Arial"/>
                <w:sz w:val="20"/>
                <w:szCs w:val="20"/>
                <w:color w:val="auto"/>
                <w:vertAlign w:val="superscript"/>
              </w:rPr>
              <w:t>1</w:t>
            </w: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gridSpan w:val="3"/>
          </w:tcPr>
          <w:p>
            <w:pPr>
              <w:jc w:val="right"/>
              <w:ind w:right="280"/>
              <w:spacing w:after="0"/>
              <w:rPr>
                <w:sz w:val="20"/>
                <w:szCs w:val="20"/>
                <w:color w:val="auto"/>
              </w:rPr>
            </w:pPr>
            <w:r>
              <w:rPr>
                <w:rFonts w:ascii="Arial" w:cs="Arial" w:eastAsia="Arial" w:hAnsi="Arial"/>
                <w:sz w:val="14"/>
                <w:szCs w:val="14"/>
                <w:color w:val="auto"/>
              </w:rPr>
              <w:t>588</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14</w:t>
            </w: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4"/>
                <w:szCs w:val="14"/>
                <w:color w:val="auto"/>
              </w:rPr>
              <w:t>(228)</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gridSpan w:val="2"/>
          </w:tcPr>
          <w:p>
            <w:pPr>
              <w:jc w:val="right"/>
              <w:spacing w:after="0"/>
              <w:rPr>
                <w:sz w:val="20"/>
                <w:szCs w:val="20"/>
                <w:color w:val="auto"/>
              </w:rPr>
            </w:pPr>
            <w:r>
              <w:rPr>
                <w:rFonts w:ascii="Arial" w:cs="Arial" w:eastAsia="Arial" w:hAnsi="Arial"/>
                <w:sz w:val="14"/>
                <w:szCs w:val="14"/>
                <w:color w:val="auto"/>
              </w:rPr>
              <w:t>14</w:t>
            </w:r>
          </w:p>
        </w:tc>
        <w:tc>
          <w:tcPr>
            <w:tcW w:w="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388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 xml:space="preserve">Reclassified to </w:t>
            </w:r>
            <w:r>
              <w:rPr>
                <w:rFonts w:ascii="Arial" w:cs="Arial" w:eastAsia="Arial" w:hAnsi="Arial"/>
                <w:sz w:val="14"/>
                <w:szCs w:val="14"/>
                <w:i w:val="1"/>
                <w:iCs w:val="1"/>
                <w:color w:val="auto"/>
              </w:rPr>
              <w:t>Assets held for sale</w:t>
            </w:r>
          </w:p>
        </w:tc>
        <w:tc>
          <w:tcPr>
            <w:tcW w:w="8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(1,334)</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85"/>
              </w:rPr>
              <w:t>(1,334)</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240" w:type="dxa"/>
            <w:vAlign w:val="bottom"/>
            <w:gridSpan w:val="2"/>
          </w:tcPr>
          <w:p>
            <w:pPr>
              <w:spacing w:after="0"/>
              <w:rPr>
                <w:sz w:val="9"/>
                <w:szCs w:val="9"/>
                <w:color w:val="auto"/>
              </w:rPr>
            </w:pPr>
          </w:p>
        </w:tc>
        <w:tc>
          <w:tcPr>
            <w:tcW w:w="86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440" w:type="dxa"/>
            <w:vAlign w:val="bottom"/>
          </w:tcPr>
          <w:p>
            <w:pPr>
              <w:spacing w:after="0"/>
              <w:rPr>
                <w:sz w:val="9"/>
                <w:szCs w:val="9"/>
                <w:color w:val="auto"/>
              </w:rPr>
            </w:pPr>
          </w:p>
        </w:tc>
        <w:tc>
          <w:tcPr>
            <w:tcW w:w="2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840" w:type="dxa"/>
            <w:vAlign w:val="bottom"/>
          </w:tcPr>
          <w:p>
            <w:pPr>
              <w:spacing w:after="0"/>
              <w:rPr>
                <w:sz w:val="9"/>
                <w:szCs w:val="9"/>
                <w:color w:val="auto"/>
              </w:rPr>
            </w:pPr>
          </w:p>
        </w:tc>
        <w:tc>
          <w:tcPr>
            <w:tcW w:w="460" w:type="dxa"/>
            <w:vAlign w:val="bottom"/>
            <w:gridSpan w:val="2"/>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gridSpan w:val="2"/>
          </w:tcPr>
          <w:p>
            <w:pPr>
              <w:spacing w:after="0"/>
              <w:rPr>
                <w:sz w:val="9"/>
                <w:szCs w:val="9"/>
                <w:color w:val="auto"/>
              </w:rPr>
            </w:pPr>
          </w:p>
        </w:tc>
        <w:tc>
          <w:tcPr>
            <w:tcW w:w="680" w:type="dxa"/>
            <w:vAlign w:val="bottom"/>
            <w:gridSpan w:val="3"/>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5080" w:type="dxa"/>
            <w:vAlign w:val="bottom"/>
            <w:tcBorders>
              <w:top w:val="single" w:sz="8" w:color="auto"/>
            </w:tcBorders>
          </w:tcPr>
          <w:p>
            <w:pPr>
              <w:spacing w:after="0"/>
              <w:rPr>
                <w:sz w:val="8"/>
                <w:szCs w:val="8"/>
                <w:color w:val="auto"/>
              </w:rPr>
            </w:pPr>
          </w:p>
        </w:tc>
        <w:tc>
          <w:tcPr>
            <w:tcW w:w="860" w:type="dxa"/>
            <w:vAlign w:val="bottom"/>
            <w:tcBorders>
              <w:top w:val="single" w:sz="8" w:color="auto"/>
            </w:tcBorders>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40" w:type="dxa"/>
            <w:vAlign w:val="bottom"/>
            <w:tcBorders>
              <w:top w:val="single" w:sz="8" w:color="auto"/>
            </w:tcBorders>
          </w:tcPr>
          <w:p>
            <w:pPr>
              <w:spacing w:after="0"/>
              <w:rPr>
                <w:sz w:val="8"/>
                <w:szCs w:val="8"/>
                <w:color w:val="auto"/>
              </w:rPr>
            </w:pPr>
          </w:p>
        </w:tc>
        <w:tc>
          <w:tcPr>
            <w:tcW w:w="440" w:type="dxa"/>
            <w:vAlign w:val="bottom"/>
            <w:tcBorders>
              <w:top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580" w:type="dxa"/>
            <w:vAlign w:val="bottom"/>
            <w:tcBorders>
              <w:top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840" w:type="dxa"/>
            <w:vAlign w:val="bottom"/>
            <w:tcBorders>
              <w:top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22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36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2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Balance at end of year</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3"/>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2,465</w:t>
            </w:r>
          </w:p>
        </w:tc>
        <w:tc>
          <w:tcPr>
            <w:tcW w:w="3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229</w:t>
            </w: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300" w:type="dxa"/>
            <w:vAlign w:val="bottom"/>
            <w:gridSpan w:val="3"/>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590</w:t>
            </w:r>
          </w:p>
        </w:tc>
        <w:tc>
          <w:tcPr>
            <w:tcW w:w="68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3,284</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180" w:type="dxa"/>
            <w:vAlign w:val="bottom"/>
            <w:gridSpan w:val="2"/>
            <w:vMerge w:val="restart"/>
          </w:tcPr>
          <w:p>
            <w:pPr>
              <w:spacing w:after="0"/>
              <w:rPr>
                <w:sz w:val="20"/>
                <w:szCs w:val="20"/>
                <w:color w:val="auto"/>
              </w:rPr>
            </w:pPr>
            <w:r>
              <w:rPr>
                <w:rFonts w:ascii="Arial" w:cs="Arial" w:eastAsia="Arial" w:hAnsi="Arial"/>
                <w:sz w:val="14"/>
                <w:szCs w:val="14"/>
                <w:color w:val="auto"/>
              </w:rPr>
              <w:t>1.</w:t>
            </w:r>
          </w:p>
        </w:tc>
        <w:tc>
          <w:tcPr>
            <w:tcW w:w="5080" w:type="dxa"/>
            <w:vAlign w:val="bottom"/>
            <w:vMerge w:val="restart"/>
          </w:tcPr>
          <w:p>
            <w:pPr>
              <w:ind w:left="160"/>
              <w:spacing w:after="0"/>
              <w:rPr>
                <w:sz w:val="20"/>
                <w:szCs w:val="20"/>
                <w:color w:val="auto"/>
              </w:rPr>
            </w:pPr>
            <w:r>
              <w:rPr>
                <w:rFonts w:ascii="Arial" w:cs="Arial" w:eastAsia="Arial" w:hAnsi="Arial"/>
                <w:sz w:val="14"/>
                <w:szCs w:val="14"/>
                <w:color w:val="auto"/>
              </w:rPr>
              <w:t>Including acquisitions, divestitures and impact of change in exchange rates.</w:t>
            </w:r>
          </w:p>
        </w:tc>
        <w:tc>
          <w:tcPr>
            <w:tcW w:w="86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34"/>
        </w:trPr>
        <w:tc>
          <w:tcPr>
            <w:tcW w:w="180" w:type="dxa"/>
            <w:vAlign w:val="bottom"/>
            <w:gridSpan w:val="2"/>
            <w:vMerge w:val="continue"/>
          </w:tcPr>
          <w:p>
            <w:pPr>
              <w:spacing w:after="0"/>
              <w:rPr>
                <w:sz w:val="24"/>
                <w:szCs w:val="24"/>
                <w:color w:val="auto"/>
              </w:rPr>
            </w:pPr>
          </w:p>
        </w:tc>
        <w:tc>
          <w:tcPr>
            <w:tcW w:w="5080" w:type="dxa"/>
            <w:vAlign w:val="bottom"/>
            <w:vMerge w:val="continue"/>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5260" w:type="dxa"/>
            <w:vAlign w:val="bottom"/>
            <w:gridSpan w:val="3"/>
          </w:tcPr>
          <w:p>
            <w:pPr>
              <w:spacing w:after="0"/>
              <w:rPr>
                <w:sz w:val="20"/>
                <w:szCs w:val="20"/>
                <w:color w:val="auto"/>
              </w:rPr>
            </w:pPr>
            <w:r>
              <w:rPr>
                <w:rFonts w:ascii="Arial" w:cs="Arial" w:eastAsia="Arial" w:hAnsi="Arial"/>
                <w:sz w:val="14"/>
                <w:szCs w:val="14"/>
                <w:color w:val="auto"/>
              </w:rPr>
              <w:t>53 / SLB</w:t>
            </w: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gridSpan w:val="5"/>
          </w:tcPr>
          <w:p>
            <w:pPr>
              <w:jc w:val="right"/>
              <w:spacing w:after="0"/>
              <w:rPr>
                <w:sz w:val="20"/>
                <w:szCs w:val="20"/>
                <w:color w:val="auto"/>
              </w:rPr>
            </w:pPr>
            <w:r>
              <w:rPr>
                <w:rFonts w:ascii="Arial" w:cs="Arial" w:eastAsia="Arial" w:hAnsi="Arial"/>
                <w:sz w:val="14"/>
                <w:szCs w:val="14"/>
                <w:color w:val="auto"/>
              </w:rPr>
              <w:t>2003 FORM 10-K</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6177915</wp:posOffset>
            </wp:positionH>
            <wp:positionV relativeFrom="paragraph">
              <wp:posOffset>-1998980</wp:posOffset>
            </wp:positionV>
            <wp:extent cx="12700" cy="2984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6237605</wp:posOffset>
            </wp:positionH>
            <wp:positionV relativeFrom="paragraph">
              <wp:posOffset>-1998980</wp:posOffset>
            </wp:positionV>
            <wp:extent cx="21590" cy="2984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-1998980</wp:posOffset>
            </wp:positionV>
            <wp:extent cx="38735" cy="2984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6889115</wp:posOffset>
            </wp:positionH>
            <wp:positionV relativeFrom="paragraph">
              <wp:posOffset>-1998980</wp:posOffset>
            </wp:positionV>
            <wp:extent cx="12700" cy="2984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6949440</wp:posOffset>
            </wp:positionH>
            <wp:positionV relativeFrom="paragraph">
              <wp:posOffset>-1998980</wp:posOffset>
            </wp:positionV>
            <wp:extent cx="21590" cy="2984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-1998980</wp:posOffset>
            </wp:positionV>
            <wp:extent cx="38735" cy="2984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3879215</wp:posOffset>
            </wp:positionH>
            <wp:positionV relativeFrom="paragraph">
              <wp:posOffset>-429895</wp:posOffset>
            </wp:positionV>
            <wp:extent cx="355600" cy="2984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355600" cy="29845"/>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-429895</wp:posOffset>
            </wp:positionV>
            <wp:extent cx="433070" cy="2984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433070" cy="29845"/>
                    </a:xfrm>
                    <a:prstGeom prst="rect">
                      <a:avLst/>
                    </a:prstGeom>
                    <a:noFill/>
                  </pic:spPr>
                </pic:pic>
              </a:graphicData>
            </a:graphic>
          </wp:anchor>
        </w:drawing>
        <w:drawing>
          <wp:anchor simplePos="0" relativeHeight="251657728" behindDoc="1" locked="0" layoutInCell="0" allowOverlap="1">
            <wp:simplePos x="0" y="0"/>
            <wp:positionH relativeFrom="column">
              <wp:posOffset>5363210</wp:posOffset>
            </wp:positionH>
            <wp:positionV relativeFrom="paragraph">
              <wp:posOffset>-429895</wp:posOffset>
            </wp:positionV>
            <wp:extent cx="12700" cy="2984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-429895</wp:posOffset>
            </wp:positionV>
            <wp:extent cx="21590" cy="2984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5928995</wp:posOffset>
            </wp:positionH>
            <wp:positionV relativeFrom="paragraph">
              <wp:posOffset>-429895</wp:posOffset>
            </wp:positionV>
            <wp:extent cx="38735" cy="2984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6289040</wp:posOffset>
            </wp:positionH>
            <wp:positionV relativeFrom="paragraph">
              <wp:posOffset>-429895</wp:posOffset>
            </wp:positionV>
            <wp:extent cx="12700" cy="2984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-429895</wp:posOffset>
            </wp:positionV>
            <wp:extent cx="12700" cy="2984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6349365</wp:posOffset>
            </wp:positionH>
            <wp:positionV relativeFrom="paragraph">
              <wp:posOffset>-429895</wp:posOffset>
            </wp:positionV>
            <wp:extent cx="21590" cy="2984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6889115</wp:posOffset>
            </wp:positionH>
            <wp:positionV relativeFrom="paragraph">
              <wp:posOffset>-429895</wp:posOffset>
            </wp:positionV>
            <wp:extent cx="321310" cy="2984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321310"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4"/>
          <w:szCs w:val="14"/>
          <w:color w:val="auto"/>
        </w:rPr>
        <w:t>Part II, Item 8</w:t>
      </w:r>
    </w:p>
    <w:p>
      <w:pPr>
        <w:spacing w:after="0" w:line="13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changes in the carrying amount of goodwill by business segment in 2002 is as follows:</w:t>
      </w:r>
    </w:p>
    <w:p>
      <w:pPr>
        <w:spacing w:after="0" w:line="7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(Stated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46620" cy="889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b w:val="1"/>
                <w:bCs w:val="1"/>
                <w:color w:val="auto"/>
                <w:w w:val="96"/>
              </w:rPr>
              <w:t>Oilfield</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w w:val="90"/>
              </w:rPr>
              <w:t>Western-</w:t>
            </w:r>
          </w:p>
        </w:tc>
        <w:tc>
          <w:tcPr>
            <w:tcW w:w="80" w:type="dxa"/>
            <w:vAlign w:val="bottom"/>
          </w:tcPr>
          <w:p>
            <w:pPr>
              <w:spacing w:after="0"/>
              <w:rPr>
                <w:sz w:val="14"/>
                <w:szCs w:val="14"/>
                <w:color w:val="auto"/>
              </w:rPr>
            </w:pPr>
          </w:p>
        </w:tc>
        <w:tc>
          <w:tcPr>
            <w:tcW w:w="1360" w:type="dxa"/>
            <w:vAlign w:val="bottom"/>
            <w:gridSpan w:val="3"/>
          </w:tcPr>
          <w:p>
            <w:pPr>
              <w:jc w:val="right"/>
              <w:ind w:right="540"/>
              <w:spacing w:after="0"/>
              <w:rPr>
                <w:sz w:val="20"/>
                <w:szCs w:val="20"/>
                <w:color w:val="auto"/>
              </w:rPr>
            </w:pPr>
            <w:r>
              <w:rPr>
                <w:rFonts w:ascii="Arial" w:cs="Arial" w:eastAsia="Arial" w:hAnsi="Arial"/>
                <w:sz w:val="14"/>
                <w:szCs w:val="14"/>
                <w:b w:val="1"/>
                <w:bCs w:val="1"/>
                <w:color w:val="auto"/>
                <w:w w:val="84"/>
              </w:rPr>
              <w:t>Schlumberger</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6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4"/>
                <w:szCs w:val="14"/>
                <w:b w:val="1"/>
                <w:bCs w:val="1"/>
                <w:color w:val="auto"/>
                <w:w w:val="79"/>
              </w:rPr>
              <w:t>Services</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Geco</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34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Sema</w:t>
            </w:r>
          </w:p>
        </w:tc>
        <w:tc>
          <w:tcPr>
            <w:tcW w:w="100" w:type="dxa"/>
            <w:vAlign w:val="bottom"/>
          </w:tcPr>
          <w:p>
            <w:pPr>
              <w:spacing w:after="0"/>
              <w:rPr>
                <w:sz w:val="16"/>
                <w:szCs w:val="16"/>
                <w:color w:val="auto"/>
              </w:rPr>
            </w:pPr>
          </w:p>
        </w:tc>
        <w:tc>
          <w:tcPr>
            <w:tcW w:w="90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w w:val="90"/>
              </w:rPr>
              <w:t>Other</w:t>
            </w:r>
          </w:p>
        </w:tc>
        <w:tc>
          <w:tcPr>
            <w:tcW w:w="100" w:type="dxa"/>
            <w:vAlign w:val="bottom"/>
          </w:tcPr>
          <w:p>
            <w:pPr>
              <w:spacing w:after="0"/>
              <w:rPr>
                <w:sz w:val="16"/>
                <w:szCs w:val="16"/>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60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Balance at beginning of year</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1,771</w:t>
            </w:r>
          </w:p>
        </w:tc>
        <w:tc>
          <w:tcPr>
            <w:tcW w:w="6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209</w:t>
            </w: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3,952</w:t>
            </w: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329</w:t>
            </w: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96"/>
              </w:rPr>
              <w:t>6,261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80" w:type="dxa"/>
            <w:vAlign w:val="bottom"/>
          </w:tcPr>
          <w:p>
            <w:pPr>
              <w:spacing w:after="0" w:line="149" w:lineRule="exact"/>
              <w:rPr>
                <w:sz w:val="20"/>
                <w:szCs w:val="20"/>
                <w:color w:val="auto"/>
              </w:rPr>
            </w:pPr>
            <w:r>
              <w:rPr>
                <w:rFonts w:ascii="Arial" w:cs="Arial" w:eastAsia="Arial" w:hAnsi="Arial"/>
                <w:sz w:val="14"/>
                <w:szCs w:val="14"/>
                <w:color w:val="auto"/>
              </w:rPr>
              <w:t>Reclasification of Assembled Workforce, net of deferred taxes</w:t>
            </w:r>
          </w:p>
        </w:tc>
        <w:tc>
          <w:tcPr>
            <w:tcW w:w="8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right"/>
              <w:ind w:right="5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175</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4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175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Impairment, charged to income</w:t>
            </w: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36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(2,618)</w:t>
            </w: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(20)</w:t>
            </w:r>
          </w:p>
        </w:tc>
        <w:tc>
          <w:tcPr>
            <w:tcW w:w="10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85"/>
              </w:rPr>
              <w:t>(2,638)</w:t>
            </w: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6080" w:type="dxa"/>
            <w:vAlign w:val="bottom"/>
          </w:tcPr>
          <w:p>
            <w:pPr>
              <w:spacing w:after="0"/>
              <w:rPr>
                <w:sz w:val="20"/>
                <w:szCs w:val="20"/>
                <w:color w:val="auto"/>
              </w:rPr>
            </w:pPr>
            <w:r>
              <w:rPr>
                <w:rFonts w:ascii="Arial" w:cs="Arial" w:eastAsia="Arial" w:hAnsi="Arial"/>
                <w:sz w:val="14"/>
                <w:szCs w:val="14"/>
                <w:color w:val="auto"/>
              </w:rPr>
              <w:t>Other</w:t>
            </w:r>
            <w:r>
              <w:rPr>
                <w:rFonts w:ascii="Arial" w:cs="Arial" w:eastAsia="Arial" w:hAnsi="Arial"/>
                <w:sz w:val="22"/>
                <w:szCs w:val="22"/>
                <w:color w:val="auto"/>
                <w:vertAlign w:val="superscript"/>
              </w:rPr>
              <w:t>1</w:t>
            </w:r>
          </w:p>
        </w:tc>
        <w:tc>
          <w:tcPr>
            <w:tcW w:w="8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106</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6</w:t>
            </w: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gridSpan w:val="2"/>
          </w:tcPr>
          <w:p>
            <w:pPr>
              <w:jc w:val="right"/>
              <w:spacing w:after="0"/>
              <w:rPr>
                <w:sz w:val="20"/>
                <w:szCs w:val="20"/>
                <w:color w:val="auto"/>
              </w:rPr>
            </w:pPr>
            <w:r>
              <w:rPr>
                <w:rFonts w:ascii="Arial" w:cs="Arial" w:eastAsia="Arial" w:hAnsi="Arial"/>
                <w:sz w:val="14"/>
                <w:szCs w:val="14"/>
                <w:color w:val="auto"/>
              </w:rPr>
              <w:t>53</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267</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4"/>
                <w:szCs w:val="14"/>
                <w:color w:val="auto"/>
              </w:rPr>
              <w:t>432</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08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480" w:type="dxa"/>
            <w:vAlign w:val="bottom"/>
            <w:tcBorders>
              <w:top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560" w:type="dxa"/>
            <w:vAlign w:val="bottom"/>
            <w:tcBorders>
              <w:top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800" w:type="dxa"/>
            <w:vAlign w:val="bottom"/>
            <w:tcBorders>
              <w:top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360" w:type="dxa"/>
            <w:vAlign w:val="bottom"/>
            <w:tcBorders>
              <w:top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36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Balance at end of year</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1,877</w:t>
            </w:r>
          </w:p>
        </w:tc>
        <w:tc>
          <w:tcPr>
            <w:tcW w:w="6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215</w:t>
            </w: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1,562</w:t>
            </w: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576</w:t>
            </w: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96"/>
              </w:rPr>
              <w:t>4,230</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0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3870960</wp:posOffset>
            </wp:positionH>
            <wp:positionV relativeFrom="paragraph">
              <wp:posOffset>-29210</wp:posOffset>
            </wp:positionV>
            <wp:extent cx="12700" cy="2984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-29210</wp:posOffset>
            </wp:positionV>
            <wp:extent cx="12700" cy="2984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3930650</wp:posOffset>
            </wp:positionH>
            <wp:positionV relativeFrom="paragraph">
              <wp:posOffset>-29210</wp:posOffset>
            </wp:positionV>
            <wp:extent cx="21590" cy="2984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-29210</wp:posOffset>
            </wp:positionV>
            <wp:extent cx="2645410" cy="2984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2645410" cy="29845"/>
                    </a:xfrm>
                    <a:prstGeom prst="rect">
                      <a:avLst/>
                    </a:prstGeom>
                    <a:noFill/>
                  </pic:spPr>
                </pic:pic>
              </a:graphicData>
            </a:graphic>
          </wp:anchor>
        </w:drawing>
      </w:r>
    </w:p>
    <w:p>
      <w:pPr>
        <w:spacing w:after="0" w:line="142" w:lineRule="exact"/>
        <w:rPr>
          <w:sz w:val="20"/>
          <w:szCs w:val="20"/>
          <w:color w:val="auto"/>
        </w:rPr>
      </w:pPr>
    </w:p>
    <w:p>
      <w:pPr>
        <w:ind w:left="320" w:hanging="312"/>
        <w:spacing w:after="0"/>
        <w:tabs>
          <w:tab w:leader="none" w:pos="320" w:val="left"/>
        </w:tabs>
        <w:numPr>
          <w:ilvl w:val="0"/>
          <w:numId w:val="41"/>
        </w:numPr>
        <w:rPr>
          <w:rFonts w:ascii="Arial" w:cs="Arial" w:eastAsia="Arial" w:hAnsi="Arial"/>
          <w:sz w:val="14"/>
          <w:szCs w:val="14"/>
          <w:color w:val="auto"/>
        </w:rPr>
      </w:pPr>
      <w:r>
        <w:rPr>
          <w:rFonts w:ascii="Arial" w:cs="Arial" w:eastAsia="Arial" w:hAnsi="Arial"/>
          <w:sz w:val="14"/>
          <w:szCs w:val="14"/>
          <w:color w:val="auto"/>
        </w:rPr>
        <w:t>Including other acquisitions, divestitures and impact of change in exchange rates.</w:t>
      </w:r>
    </w:p>
    <w:p>
      <w:pPr>
        <w:spacing w:after="0" w:line="128"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b w:val="1"/>
          <w:bCs w:val="1"/>
          <w:color w:val="auto"/>
        </w:rPr>
        <w:t>15.</w:t>
      </w:r>
      <w:r>
        <w:rPr>
          <w:sz w:val="20"/>
          <w:szCs w:val="20"/>
          <w:color w:val="auto"/>
        </w:rPr>
        <w:tab/>
      </w:r>
      <w:r>
        <w:rPr>
          <w:rFonts w:ascii="Arial" w:cs="Arial" w:eastAsia="Arial" w:hAnsi="Arial"/>
          <w:sz w:val="16"/>
          <w:szCs w:val="16"/>
          <w:b w:val="1"/>
          <w:bCs w:val="1"/>
          <w:color w:val="auto"/>
        </w:rPr>
        <w:t>Intangible Assets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A summary of intangible assets follows:</w:t>
      </w:r>
    </w:p>
    <w:p>
      <w:pPr>
        <w:spacing w:after="0" w:line="7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(Stated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46620" cy="889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0160" w:type="dxa"/>
            <w:vAlign w:val="bottom"/>
            <w:gridSpan w:val="2"/>
          </w:tcPr>
          <w:p>
            <w:pPr>
              <w:spacing w:after="0"/>
              <w:rPr>
                <w:sz w:val="20"/>
                <w:szCs w:val="20"/>
                <w:color w:val="auto"/>
              </w:rPr>
            </w:pPr>
            <w:r>
              <w:rPr>
                <w:rFonts w:ascii="Arial" w:cs="Arial" w:eastAsia="Arial" w:hAnsi="Arial"/>
                <w:sz w:val="14"/>
                <w:szCs w:val="14"/>
                <w:b w:val="1"/>
                <w:bCs w:val="1"/>
                <w:color w:val="auto"/>
              </w:rPr>
              <w:t>As at December 31,</w:t>
            </w:r>
          </w:p>
        </w:tc>
        <w:tc>
          <w:tcPr>
            <w:tcW w:w="880" w:type="dxa"/>
            <w:vAlign w:val="bottom"/>
            <w:gridSpan w:val="3"/>
          </w:tcPr>
          <w:p>
            <w:pPr>
              <w:jc w:val="right"/>
              <w:ind w:right="560"/>
              <w:spacing w:after="0"/>
              <w:rPr>
                <w:sz w:val="20"/>
                <w:szCs w:val="20"/>
                <w:color w:val="auto"/>
              </w:rPr>
            </w:pPr>
            <w:r>
              <w:rPr>
                <w:rFonts w:ascii="Arial" w:cs="Arial" w:eastAsia="Arial" w:hAnsi="Arial"/>
                <w:sz w:val="14"/>
                <w:szCs w:val="14"/>
                <w:b w:val="1"/>
                <w:bCs w:val="1"/>
                <w:color w:val="auto"/>
                <w:w w:val="96"/>
              </w:rPr>
              <w:t>2003</w:t>
            </w:r>
          </w:p>
        </w:tc>
        <w:tc>
          <w:tcPr>
            <w:tcW w:w="100" w:type="dxa"/>
            <w:vAlign w:val="bottom"/>
          </w:tcPr>
          <w:p>
            <w:pPr>
              <w:spacing w:after="0"/>
              <w:rPr>
                <w:sz w:val="15"/>
                <w:szCs w:val="15"/>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3"/>
              </w:rPr>
              <w:t>2002</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10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10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Gross book value</w:t>
            </w:r>
          </w:p>
        </w:tc>
        <w:tc>
          <w:tcPr>
            <w:tcW w:w="880" w:type="dxa"/>
            <w:vAlign w:val="bottom"/>
            <w:gridSpan w:val="3"/>
            <w:shd w:val="clear" w:color="auto" w:fill="CCEEFF"/>
          </w:tcPr>
          <w:p>
            <w:pPr>
              <w:jc w:val="right"/>
              <w:ind w:right="560"/>
              <w:spacing w:after="0" w:line="149" w:lineRule="exact"/>
              <w:rPr>
                <w:sz w:val="20"/>
                <w:szCs w:val="20"/>
                <w:color w:val="auto"/>
              </w:rPr>
            </w:pPr>
            <w:r>
              <w:rPr>
                <w:rFonts w:ascii="Arial" w:cs="Arial" w:eastAsia="Arial" w:hAnsi="Arial"/>
                <w:sz w:val="14"/>
                <w:szCs w:val="14"/>
                <w:b w:val="1"/>
                <w:bCs w:val="1"/>
                <w:color w:val="auto"/>
                <w:w w:val="85"/>
              </w:rPr>
              <w:t>$ 796</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2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953</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0140" w:type="dxa"/>
            <w:vAlign w:val="bottom"/>
          </w:tcPr>
          <w:p>
            <w:pPr>
              <w:spacing w:after="0"/>
              <w:rPr>
                <w:sz w:val="20"/>
                <w:szCs w:val="20"/>
                <w:color w:val="auto"/>
              </w:rPr>
            </w:pPr>
            <w:r>
              <w:rPr>
                <w:rFonts w:ascii="Arial" w:cs="Arial" w:eastAsia="Arial" w:hAnsi="Arial"/>
                <w:sz w:val="14"/>
                <w:szCs w:val="14"/>
                <w:color w:val="auto"/>
              </w:rPr>
              <w:t>Less: Accumulated amortization</w:t>
            </w:r>
          </w:p>
        </w:tc>
        <w:tc>
          <w:tcPr>
            <w:tcW w:w="880" w:type="dxa"/>
            <w:vAlign w:val="bottom"/>
            <w:gridSpan w:val="3"/>
          </w:tcPr>
          <w:p>
            <w:pPr>
              <w:jc w:val="right"/>
              <w:ind w:right="560"/>
              <w:spacing w:after="0"/>
              <w:rPr>
                <w:sz w:val="20"/>
                <w:szCs w:val="20"/>
                <w:color w:val="auto"/>
              </w:rPr>
            </w:pPr>
            <w:r>
              <w:rPr>
                <w:rFonts w:ascii="Arial" w:cs="Arial" w:eastAsia="Arial" w:hAnsi="Arial"/>
                <w:sz w:val="14"/>
                <w:szCs w:val="14"/>
                <w:b w:val="1"/>
                <w:bCs w:val="1"/>
                <w:color w:val="auto"/>
              </w:rPr>
              <w:t>393</w:t>
            </w:r>
          </w:p>
        </w:tc>
        <w:tc>
          <w:tcPr>
            <w:tcW w:w="100" w:type="dxa"/>
            <w:vAlign w:val="bottom"/>
          </w:tcPr>
          <w:p>
            <w:pPr>
              <w:spacing w:after="0"/>
              <w:rPr>
                <w:sz w:val="15"/>
                <w:szCs w:val="15"/>
                <w:color w:val="auto"/>
              </w:rPr>
            </w:pPr>
          </w:p>
        </w:tc>
        <w:tc>
          <w:tcPr>
            <w:tcW w:w="280" w:type="dxa"/>
            <w:vAlign w:val="bottom"/>
          </w:tcPr>
          <w:p>
            <w:pPr>
              <w:jc w:val="right"/>
              <w:spacing w:after="0"/>
              <w:rPr>
                <w:sz w:val="20"/>
                <w:szCs w:val="20"/>
                <w:color w:val="auto"/>
              </w:rPr>
            </w:pPr>
            <w:r>
              <w:rPr>
                <w:rFonts w:ascii="Arial" w:cs="Arial" w:eastAsia="Arial" w:hAnsi="Arial"/>
                <w:sz w:val="14"/>
                <w:szCs w:val="14"/>
                <w:color w:val="auto"/>
              </w:rPr>
              <w:t>394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14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56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140" w:type="dxa"/>
            <w:vAlign w:val="bottom"/>
            <w:shd w:val="clear" w:color="auto" w:fill="CCEEFF"/>
          </w:tcPr>
          <w:p>
            <w:pPr>
              <w:spacing w:after="0"/>
              <w:rPr>
                <w:sz w:val="12"/>
                <w:szCs w:val="12"/>
                <w:color w:val="auto"/>
              </w:rPr>
            </w:pPr>
          </w:p>
        </w:tc>
        <w:tc>
          <w:tcPr>
            <w:tcW w:w="880" w:type="dxa"/>
            <w:vAlign w:val="bottom"/>
            <w:gridSpan w:val="3"/>
            <w:shd w:val="clear" w:color="auto" w:fill="CCEEFF"/>
          </w:tcPr>
          <w:p>
            <w:pPr>
              <w:jc w:val="right"/>
              <w:ind w:right="560"/>
              <w:spacing w:after="0" w:line="149" w:lineRule="exact"/>
              <w:rPr>
                <w:sz w:val="20"/>
                <w:szCs w:val="20"/>
                <w:color w:val="auto"/>
              </w:rPr>
            </w:pPr>
            <w:r>
              <w:rPr>
                <w:rFonts w:ascii="Arial" w:cs="Arial" w:eastAsia="Arial" w:hAnsi="Arial"/>
                <w:sz w:val="14"/>
                <w:szCs w:val="14"/>
                <w:b w:val="1"/>
                <w:bCs w:val="1"/>
                <w:color w:val="auto"/>
                <w:w w:val="85"/>
              </w:rPr>
              <w:t>$ 403</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2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559</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1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6452235</wp:posOffset>
            </wp:positionH>
            <wp:positionV relativeFrom="paragraph">
              <wp:posOffset>-29210</wp:posOffset>
            </wp:positionV>
            <wp:extent cx="201295" cy="2984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201295" cy="29845"/>
                    </a:xfrm>
                    <a:prstGeom prst="rect">
                      <a:avLst/>
                    </a:prstGeom>
                    <a:noFill/>
                  </pic:spPr>
                </pic:pic>
              </a:graphicData>
            </a:graphic>
          </wp:anchor>
        </w:drawing>
        <w:drawing>
          <wp:anchor simplePos="0" relativeHeight="251657728" behindDoc="1" locked="0" layoutInCell="0" allowOverlap="1">
            <wp:simplePos x="0" y="0"/>
            <wp:positionH relativeFrom="column">
              <wp:posOffset>7009765</wp:posOffset>
            </wp:positionH>
            <wp:positionV relativeFrom="paragraph">
              <wp:posOffset>-29210</wp:posOffset>
            </wp:positionV>
            <wp:extent cx="12700" cy="2984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-29210</wp:posOffset>
            </wp:positionV>
            <wp:extent cx="21590" cy="2984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144"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amortization charged to income was $104 million in 2003 and $118 million in 2002.</w:t>
      </w:r>
    </w:p>
    <w:p>
      <w:pPr>
        <w:spacing w:after="0" w:line="15" w:lineRule="exact"/>
        <w:rPr>
          <w:sz w:val="20"/>
          <w:szCs w:val="20"/>
          <w:color w:val="auto"/>
        </w:rPr>
      </w:pPr>
    </w:p>
    <w:p>
      <w:pPr>
        <w:ind w:right="740" w:firstLine="228"/>
        <w:spacing w:after="0" w:line="261" w:lineRule="auto"/>
        <w:rPr>
          <w:sz w:val="20"/>
          <w:szCs w:val="20"/>
          <w:color w:val="auto"/>
        </w:rPr>
      </w:pPr>
      <w:r>
        <w:rPr>
          <w:rFonts w:ascii="Arial" w:cs="Arial" w:eastAsia="Arial" w:hAnsi="Arial"/>
          <w:sz w:val="18"/>
          <w:szCs w:val="18"/>
          <w:color w:val="auto"/>
        </w:rPr>
        <w:t>Intangible assets principally comprise patents, software, technology and other. At December 31, the gross book value, accumulated amortization and amortization periods of intangible assets were as follows:</w:t>
      </w:r>
    </w:p>
    <w:p>
      <w:pPr>
        <w:spacing w:after="0" w:line="3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(Stated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46620" cy="889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80" w:type="dxa"/>
            <w:vAlign w:val="bottom"/>
          </w:tcPr>
          <w:p>
            <w:pPr>
              <w:jc w:val="right"/>
              <w:ind w:right="52"/>
              <w:spacing w:after="0"/>
              <w:rPr>
                <w:sz w:val="20"/>
                <w:szCs w:val="20"/>
                <w:color w:val="auto"/>
              </w:rPr>
            </w:pPr>
            <w:r>
              <w:rPr>
                <w:rFonts w:ascii="Arial" w:cs="Arial" w:eastAsia="Arial" w:hAnsi="Arial"/>
                <w:sz w:val="14"/>
                <w:szCs w:val="14"/>
                <w:b w:val="1"/>
                <w:bCs w:val="1"/>
                <w:color w:val="auto"/>
              </w:rPr>
              <w:t>2003</w:t>
            </w: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4"/>
                <w:szCs w:val="14"/>
                <w:b w:val="1"/>
                <w:bCs w:val="1"/>
                <w:color w:val="auto"/>
              </w:rPr>
              <w:t>2002</w:t>
            </w: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46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1140" w:type="dxa"/>
            <w:vAlign w:val="bottom"/>
            <w:gridSpan w:val="2"/>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Gross</w:t>
            </w: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Accumulated</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Gross</w:t>
            </w: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Accumulated</w:t>
            </w:r>
          </w:p>
        </w:tc>
        <w:tc>
          <w:tcPr>
            <w:tcW w:w="114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Amortization</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w w:val="99"/>
              </w:rPr>
              <w:t>Book Value</w:t>
            </w: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Amortization</w:t>
            </w: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83"/>
              </w:rPr>
              <w:t>Book Value</w:t>
            </w: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Amortization</w:t>
            </w:r>
          </w:p>
        </w:tc>
        <w:tc>
          <w:tcPr>
            <w:tcW w:w="114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Periods</w:t>
            </w:r>
          </w:p>
        </w:tc>
        <w:tc>
          <w:tcPr>
            <w:tcW w:w="0" w:type="dxa"/>
            <w:vAlign w:val="bottom"/>
          </w:tcPr>
          <w:p>
            <w:pPr>
              <w:spacing w:after="0"/>
              <w:rPr>
                <w:sz w:val="1"/>
                <w:szCs w:val="1"/>
                <w:color w:val="auto"/>
              </w:rPr>
            </w:pPr>
          </w:p>
        </w:tc>
      </w:tr>
      <w:tr>
        <w:trPr>
          <w:trHeight w:val="109"/>
        </w:trPr>
        <w:tc>
          <w:tcPr>
            <w:tcW w:w="20" w:type="dxa"/>
            <w:vAlign w:val="bottom"/>
            <w:vMerge w:val="restart"/>
          </w:tcPr>
          <w:p>
            <w:pPr>
              <w:spacing w:after="0"/>
              <w:rPr>
                <w:sz w:val="9"/>
                <w:szCs w:val="9"/>
                <w:color w:val="auto"/>
              </w:rPr>
            </w:pPr>
          </w:p>
        </w:tc>
        <w:tc>
          <w:tcPr>
            <w:tcW w:w="4460" w:type="dxa"/>
            <w:vAlign w:val="bottom"/>
          </w:tcPr>
          <w:p>
            <w:pPr>
              <w:spacing w:after="0"/>
              <w:rPr>
                <w:sz w:val="9"/>
                <w:szCs w:val="9"/>
                <w:color w:val="auto"/>
              </w:rPr>
            </w:pPr>
          </w:p>
        </w:tc>
        <w:tc>
          <w:tcPr>
            <w:tcW w:w="160" w:type="dxa"/>
            <w:vAlign w:val="bottom"/>
          </w:tcPr>
          <w:p>
            <w:pPr>
              <w:spacing w:after="0"/>
              <w:rPr>
                <w:sz w:val="9"/>
                <w:szCs w:val="9"/>
                <w:color w:val="auto"/>
              </w:rPr>
            </w:pPr>
          </w:p>
        </w:tc>
        <w:tc>
          <w:tcPr>
            <w:tcW w:w="7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9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12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4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Software</w:t>
            </w:r>
          </w:p>
        </w:tc>
        <w:tc>
          <w:tcPr>
            <w:tcW w:w="160" w:type="dxa"/>
            <w:vAlign w:val="bottom"/>
            <w:shd w:val="clear" w:color="auto" w:fill="CCEEFF"/>
          </w:tcPr>
          <w:p>
            <w:pPr>
              <w:jc w:val="right"/>
              <w:ind w:right="49"/>
              <w:spacing w:after="0"/>
              <w:rPr>
                <w:sz w:val="20"/>
                <w:szCs w:val="20"/>
                <w:color w:val="auto"/>
              </w:rPr>
            </w:pPr>
            <w:r>
              <w:rPr>
                <w:rFonts w:ascii="Arial" w:cs="Arial" w:eastAsia="Arial" w:hAnsi="Arial"/>
                <w:sz w:val="10"/>
                <w:szCs w:val="10"/>
                <w:b w:val="1"/>
                <w:bCs w:val="1"/>
                <w:color w:val="auto"/>
                <w:w w:val="71"/>
              </w:rPr>
              <w:t>$</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401</w:t>
            </w:r>
          </w:p>
        </w:tc>
        <w:tc>
          <w:tcPr>
            <w:tcW w:w="7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b w:val="1"/>
                <w:bCs w:val="1"/>
                <w:color w:val="auto"/>
              </w:rPr>
              <w:t>$</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146</w:t>
            </w:r>
          </w:p>
        </w:tc>
        <w:tc>
          <w:tcPr>
            <w:tcW w:w="28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458</w:t>
            </w:r>
          </w:p>
        </w:tc>
        <w:tc>
          <w:tcPr>
            <w:tcW w:w="5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164</w:t>
            </w:r>
          </w:p>
        </w:tc>
        <w:tc>
          <w:tcPr>
            <w:tcW w:w="36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 – 10 years</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60" w:type="dxa"/>
            <w:vAlign w:val="bottom"/>
          </w:tcPr>
          <w:p>
            <w:pPr>
              <w:spacing w:after="0" w:line="149" w:lineRule="exact"/>
              <w:rPr>
                <w:sz w:val="20"/>
                <w:szCs w:val="20"/>
                <w:color w:val="auto"/>
              </w:rPr>
            </w:pPr>
            <w:r>
              <w:rPr>
                <w:rFonts w:ascii="Arial" w:cs="Arial" w:eastAsia="Arial" w:hAnsi="Arial"/>
                <w:sz w:val="14"/>
                <w:szCs w:val="14"/>
                <w:color w:val="auto"/>
              </w:rPr>
              <w:t>Technology</w:t>
            </w:r>
          </w:p>
        </w:tc>
        <w:tc>
          <w:tcPr>
            <w:tcW w:w="16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178</w:t>
            </w: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76</w:t>
            </w: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242</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81</w:t>
            </w:r>
          </w:p>
        </w:tc>
        <w:tc>
          <w:tcPr>
            <w:tcW w:w="360" w:type="dxa"/>
            <w:vAlign w:val="bottom"/>
          </w:tcPr>
          <w:p>
            <w:pPr>
              <w:spacing w:after="0"/>
              <w:rPr>
                <w:sz w:val="12"/>
                <w:szCs w:val="12"/>
                <w:color w:val="auto"/>
              </w:rPr>
            </w:pPr>
          </w:p>
        </w:tc>
        <w:tc>
          <w:tcPr>
            <w:tcW w:w="1120" w:type="dxa"/>
            <w:vAlign w:val="bottom"/>
          </w:tcPr>
          <w:p>
            <w:pPr>
              <w:jc w:val="right"/>
              <w:spacing w:after="0" w:line="149" w:lineRule="exact"/>
              <w:rPr>
                <w:sz w:val="20"/>
                <w:szCs w:val="20"/>
                <w:color w:val="auto"/>
              </w:rPr>
            </w:pPr>
            <w:r>
              <w:rPr>
                <w:rFonts w:ascii="Arial" w:cs="Arial" w:eastAsia="Arial" w:hAnsi="Arial"/>
                <w:sz w:val="14"/>
                <w:szCs w:val="14"/>
                <w:color w:val="auto"/>
              </w:rPr>
              <w:t>5 – 10 years</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Patents</w:t>
            </w: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171</w:t>
            </w: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143</w:t>
            </w:r>
          </w:p>
        </w:tc>
        <w:tc>
          <w:tcPr>
            <w:tcW w:w="2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174</w:t>
            </w: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124</w:t>
            </w:r>
          </w:p>
        </w:tc>
        <w:tc>
          <w:tcPr>
            <w:tcW w:w="36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 – 10 years</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460" w:type="dxa"/>
            <w:vAlign w:val="bottom"/>
          </w:tcPr>
          <w:p>
            <w:pPr>
              <w:spacing w:after="0"/>
              <w:rPr>
                <w:sz w:val="20"/>
                <w:szCs w:val="20"/>
                <w:color w:val="auto"/>
              </w:rPr>
            </w:pPr>
            <w:r>
              <w:rPr>
                <w:rFonts w:ascii="Arial" w:cs="Arial" w:eastAsia="Arial" w:hAnsi="Arial"/>
                <w:sz w:val="14"/>
                <w:szCs w:val="14"/>
                <w:color w:val="auto"/>
              </w:rPr>
              <w:t>Other</w:t>
            </w:r>
          </w:p>
        </w:tc>
        <w:tc>
          <w:tcPr>
            <w:tcW w:w="16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46</w:t>
            </w: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28</w:t>
            </w: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79</w:t>
            </w: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25</w:t>
            </w:r>
          </w:p>
        </w:tc>
        <w:tc>
          <w:tcPr>
            <w:tcW w:w="36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 – 15 years</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446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58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900" w:type="dxa"/>
            <w:vAlign w:val="bottom"/>
            <w:tcBorders>
              <w:bottom w:val="single" w:sz="8" w:color="auto"/>
            </w:tcBorders>
          </w:tcPr>
          <w:p>
            <w:pPr>
              <w:spacing w:after="0"/>
              <w:rPr>
                <w:sz w:val="7"/>
                <w:szCs w:val="7"/>
                <w:color w:val="auto"/>
              </w:rPr>
            </w:pPr>
          </w:p>
        </w:tc>
        <w:tc>
          <w:tcPr>
            <w:tcW w:w="280" w:type="dxa"/>
            <w:vAlign w:val="bottom"/>
          </w:tcPr>
          <w:p>
            <w:pPr>
              <w:spacing w:after="0"/>
              <w:rPr>
                <w:sz w:val="7"/>
                <w:szCs w:val="7"/>
                <w:color w:val="auto"/>
              </w:rPr>
            </w:pPr>
          </w:p>
        </w:tc>
        <w:tc>
          <w:tcPr>
            <w:tcW w:w="28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44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900" w:type="dxa"/>
            <w:vAlign w:val="bottom"/>
            <w:tcBorders>
              <w:bottom w:val="single" w:sz="8" w:color="auto"/>
            </w:tcBorders>
          </w:tcPr>
          <w:p>
            <w:pPr>
              <w:spacing w:after="0"/>
              <w:rPr>
                <w:sz w:val="7"/>
                <w:szCs w:val="7"/>
                <w:color w:val="auto"/>
              </w:rPr>
            </w:pPr>
          </w:p>
        </w:tc>
        <w:tc>
          <w:tcPr>
            <w:tcW w:w="360" w:type="dxa"/>
            <w:vAlign w:val="bottom"/>
          </w:tcPr>
          <w:p>
            <w:pPr>
              <w:spacing w:after="0"/>
              <w:rPr>
                <w:sz w:val="7"/>
                <w:szCs w:val="7"/>
                <w:color w:val="auto"/>
              </w:rPr>
            </w:pPr>
          </w:p>
        </w:tc>
        <w:tc>
          <w:tcPr>
            <w:tcW w:w="11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460" w:type="dxa"/>
            <w:vAlign w:val="bottom"/>
          </w:tcPr>
          <w:p>
            <w:pPr>
              <w:spacing w:after="0"/>
              <w:rPr>
                <w:sz w:val="8"/>
                <w:szCs w:val="8"/>
                <w:color w:val="auto"/>
              </w:rPr>
            </w:pPr>
          </w:p>
        </w:tc>
        <w:tc>
          <w:tcPr>
            <w:tcW w:w="160" w:type="dxa"/>
            <w:vAlign w:val="bottom"/>
          </w:tcPr>
          <w:p>
            <w:pPr>
              <w:spacing w:after="0"/>
              <w:rPr>
                <w:sz w:val="8"/>
                <w:szCs w:val="8"/>
                <w:color w:val="auto"/>
              </w:rPr>
            </w:pPr>
          </w:p>
        </w:tc>
        <w:tc>
          <w:tcPr>
            <w:tcW w:w="7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6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49"/>
              <w:spacing w:after="0"/>
              <w:rPr>
                <w:sz w:val="20"/>
                <w:szCs w:val="20"/>
                <w:color w:val="auto"/>
              </w:rPr>
            </w:pPr>
            <w:r>
              <w:rPr>
                <w:rFonts w:ascii="Arial" w:cs="Arial" w:eastAsia="Arial" w:hAnsi="Arial"/>
                <w:sz w:val="10"/>
                <w:szCs w:val="10"/>
                <w:b w:val="1"/>
                <w:bCs w:val="1"/>
                <w:color w:val="auto"/>
                <w:w w:val="71"/>
              </w:rPr>
              <w:t>$</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796</w:t>
            </w:r>
          </w:p>
        </w:tc>
        <w:tc>
          <w:tcPr>
            <w:tcW w:w="7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b w:val="1"/>
                <w:bCs w:val="1"/>
                <w:color w:val="auto"/>
              </w:rPr>
              <w:t>$</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393</w:t>
            </w:r>
          </w:p>
        </w:tc>
        <w:tc>
          <w:tcPr>
            <w:tcW w:w="28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953</w:t>
            </w:r>
          </w:p>
        </w:tc>
        <w:tc>
          <w:tcPr>
            <w:tcW w:w="5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394</w:t>
            </w:r>
          </w:p>
        </w:tc>
        <w:tc>
          <w:tcPr>
            <w:tcW w:w="36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46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9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2841625</wp:posOffset>
            </wp:positionH>
            <wp:positionV relativeFrom="paragraph">
              <wp:posOffset>-29210</wp:posOffset>
            </wp:positionV>
            <wp:extent cx="12700" cy="2984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3424555</wp:posOffset>
            </wp:positionH>
            <wp:positionV relativeFrom="paragraph">
              <wp:posOffset>-29210</wp:posOffset>
            </wp:positionV>
            <wp:extent cx="12700" cy="2984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2910205</wp:posOffset>
            </wp:positionH>
            <wp:positionV relativeFrom="paragraph">
              <wp:posOffset>-29210</wp:posOffset>
            </wp:positionV>
            <wp:extent cx="21590" cy="2984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3802380</wp:posOffset>
            </wp:positionH>
            <wp:positionV relativeFrom="paragraph">
              <wp:posOffset>-29210</wp:posOffset>
            </wp:positionV>
            <wp:extent cx="2517140" cy="2984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2517140" cy="29845"/>
                    </a:xfrm>
                    <a:prstGeom prst="rect">
                      <a:avLst/>
                    </a:prstGeom>
                    <a:noFill/>
                  </pic:spPr>
                </pic:pic>
              </a:graphicData>
            </a:graphic>
          </wp:anchor>
        </w:drawing>
      </w:r>
    </w:p>
    <w:p>
      <w:pPr>
        <w:spacing w:after="0" w:line="144"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weighted average amortization period for all intangible assets is approximately 7.5 years.</w:t>
      </w:r>
    </w:p>
    <w:p>
      <w:pPr>
        <w:spacing w:after="0" w:line="15" w:lineRule="exact"/>
        <w:rPr>
          <w:sz w:val="20"/>
          <w:szCs w:val="20"/>
          <w:color w:val="auto"/>
        </w:rPr>
      </w:pPr>
    </w:p>
    <w:p>
      <w:pPr>
        <w:ind w:left="240"/>
        <w:spacing w:after="0"/>
        <w:rPr>
          <w:sz w:val="20"/>
          <w:szCs w:val="20"/>
          <w:color w:val="auto"/>
        </w:rPr>
      </w:pPr>
      <w:r>
        <w:rPr>
          <w:rFonts w:ascii="Arial" w:cs="Arial" w:eastAsia="Arial" w:hAnsi="Arial"/>
          <w:sz w:val="15"/>
          <w:szCs w:val="15"/>
          <w:color w:val="auto"/>
        </w:rPr>
        <w:t>Amortization charged to income for the subsequent five years is estimated, based on the December 31, 2003 Gross Book Value, to be 2004 – $99 million, 2005</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 $77 million, 2006 – $61 million, 2007 – $47 million and 2008 – $37 million.</w:t>
      </w:r>
    </w:p>
    <w:p>
      <w:pPr>
        <w:spacing w:after="0" w:line="149" w:lineRule="exact"/>
        <w:rPr>
          <w:sz w:val="20"/>
          <w:szCs w:val="20"/>
          <w:color w:val="auto"/>
        </w:rPr>
      </w:pPr>
    </w:p>
    <w:p>
      <w:pPr>
        <w:spacing w:after="0"/>
        <w:tabs>
          <w:tab w:leader="none" w:pos="10400" w:val="left"/>
        </w:tabs>
        <w:rPr>
          <w:sz w:val="20"/>
          <w:szCs w:val="20"/>
          <w:color w:val="auto"/>
        </w:rPr>
      </w:pPr>
      <w:r>
        <w:rPr>
          <w:rFonts w:ascii="Arial" w:cs="Arial" w:eastAsia="Arial" w:hAnsi="Arial"/>
          <w:sz w:val="14"/>
          <w:szCs w:val="14"/>
          <w:color w:val="auto"/>
        </w:rPr>
        <w:t>54 / SLB</w:t>
      </w:r>
      <w:r>
        <w:rPr>
          <w:sz w:val="20"/>
          <w:szCs w:val="20"/>
          <w:color w:val="auto"/>
        </w:rPr>
        <w:tab/>
      </w:r>
      <w:r>
        <w:rPr>
          <w:rFonts w:ascii="Arial" w:cs="Arial" w:eastAsia="Arial" w:hAnsi="Arial"/>
          <w:sz w:val="12"/>
          <w:szCs w:val="12"/>
          <w:color w:val="auto"/>
        </w:rPr>
        <w:t>2003 FORM 10-K</w:t>
      </w:r>
    </w:p>
    <w:p>
      <w:pPr>
        <w:sectPr>
          <w:pgSz w:w="11900" w:h="16838" w:orient="portrait"/>
          <w:cols w:equalWidth="0" w:num="1">
            <w:col w:w="11420"/>
          </w:cols>
          <w:pgMar w:left="240" w:top="459"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4"/>
          <w:szCs w:val="14"/>
          <w:color w:val="auto"/>
        </w:rPr>
        <w:t>Part II, Item 8</w:t>
      </w:r>
    </w:p>
    <w:p>
      <w:pPr>
        <w:spacing w:after="0" w:line="128" w:lineRule="exact"/>
        <w:rPr>
          <w:sz w:val="20"/>
          <w:szCs w:val="20"/>
          <w:color w:val="auto"/>
        </w:rPr>
      </w:pPr>
    </w:p>
    <w:p>
      <w:pPr>
        <w:ind w:left="440" w:hanging="432"/>
        <w:spacing w:after="0"/>
        <w:tabs>
          <w:tab w:leader="none" w:pos="440"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color w:val="auto"/>
        </w:rPr>
        <w:t>Long-term Debt</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A summary of long-term debt by currency, analyzed by Bonds, Commercial Paper (CP) and Other, at December 31 follows:</w:t>
      </w:r>
    </w:p>
    <w:p>
      <w:pPr>
        <w:spacing w:after="0" w:line="7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(Stated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46620" cy="889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29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0" w:type="dxa"/>
            <w:vAlign w:val="bottom"/>
          </w:tcPr>
          <w:p>
            <w:pPr>
              <w:jc w:val="right"/>
              <w:ind w:right="12"/>
              <w:spacing w:after="0"/>
              <w:rPr>
                <w:sz w:val="20"/>
                <w:szCs w:val="20"/>
                <w:color w:val="auto"/>
              </w:rPr>
            </w:pPr>
            <w:r>
              <w:rPr>
                <w:rFonts w:ascii="Arial" w:cs="Arial" w:eastAsia="Arial" w:hAnsi="Arial"/>
                <w:sz w:val="14"/>
                <w:szCs w:val="14"/>
                <w:b w:val="1"/>
                <w:bCs w:val="1"/>
                <w:color w:val="auto"/>
                <w:w w:val="96"/>
              </w:rPr>
              <w:t>2003</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4"/>
                <w:szCs w:val="14"/>
                <w:b w:val="1"/>
                <w:bCs w:val="1"/>
                <w:color w:val="auto"/>
              </w:rPr>
              <w:t>2002</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900" w:type="dxa"/>
            <w:vAlign w:val="bottom"/>
          </w:tcPr>
          <w:p>
            <w:pPr>
              <w:spacing w:after="0"/>
              <w:rPr>
                <w:sz w:val="8"/>
                <w:szCs w:val="8"/>
                <w:color w:val="auto"/>
              </w:rPr>
            </w:pPr>
          </w:p>
        </w:tc>
        <w:tc>
          <w:tcPr>
            <w:tcW w:w="19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gridSpan w:val="2"/>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Borders>
              <w:bottom w:val="single" w:sz="8" w:color="auto"/>
            </w:tcBorders>
            <w:gridSpan w:val="2"/>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gridSpan w:val="2"/>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2900" w:type="dxa"/>
            <w:vAlign w:val="bottom"/>
          </w:tcPr>
          <w:p>
            <w:pPr>
              <w:spacing w:after="0"/>
              <w:rPr>
                <w:sz w:val="22"/>
                <w:szCs w:val="22"/>
                <w:color w:val="auto"/>
              </w:rPr>
            </w:pPr>
          </w:p>
        </w:tc>
        <w:tc>
          <w:tcPr>
            <w:tcW w:w="19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8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w w:val="77"/>
              </w:rPr>
              <w:t>Bonds</w:t>
            </w: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CP</w:t>
            </w:r>
          </w:p>
        </w:tc>
        <w:tc>
          <w:tcPr>
            <w:tcW w:w="400" w:type="dxa"/>
            <w:vAlign w:val="bottom"/>
          </w:tcPr>
          <w:p>
            <w:pPr>
              <w:spacing w:after="0"/>
              <w:rPr>
                <w:sz w:val="22"/>
                <w:szCs w:val="22"/>
                <w:color w:val="auto"/>
              </w:rPr>
            </w:pPr>
          </w:p>
        </w:tc>
        <w:tc>
          <w:tcPr>
            <w:tcW w:w="860" w:type="dxa"/>
            <w:vAlign w:val="bottom"/>
            <w:gridSpan w:val="3"/>
          </w:tcPr>
          <w:p>
            <w:pPr>
              <w:ind w:left="40"/>
              <w:spacing w:after="0"/>
              <w:rPr>
                <w:sz w:val="20"/>
                <w:szCs w:val="20"/>
                <w:color w:val="auto"/>
              </w:rPr>
            </w:pPr>
            <w:r>
              <w:rPr>
                <w:rFonts w:ascii="Arial" w:cs="Arial" w:eastAsia="Arial" w:hAnsi="Arial"/>
                <w:sz w:val="14"/>
                <w:szCs w:val="14"/>
                <w:b w:val="1"/>
                <w:bCs w:val="1"/>
                <w:color w:val="auto"/>
              </w:rPr>
              <w:t>Others</w:t>
            </w:r>
          </w:p>
        </w:tc>
        <w:tc>
          <w:tcPr>
            <w:tcW w:w="120" w:type="dxa"/>
            <w:vAlign w:val="bottom"/>
          </w:tcPr>
          <w:p>
            <w:pPr>
              <w:spacing w:after="0"/>
              <w:rPr>
                <w:sz w:val="22"/>
                <w:szCs w:val="22"/>
                <w:color w:val="auto"/>
              </w:rPr>
            </w:pPr>
          </w:p>
        </w:tc>
        <w:tc>
          <w:tcPr>
            <w:tcW w:w="340" w:type="dxa"/>
            <w:vAlign w:val="bottom"/>
          </w:tcPr>
          <w:p>
            <w:pPr>
              <w:jc w:val="right"/>
              <w:spacing w:after="0"/>
              <w:rPr>
                <w:sz w:val="20"/>
                <w:szCs w:val="20"/>
                <w:color w:val="auto"/>
              </w:rPr>
            </w:pPr>
            <w:r>
              <w:rPr>
                <w:rFonts w:ascii="Arial" w:cs="Arial" w:eastAsia="Arial" w:hAnsi="Arial"/>
                <w:sz w:val="14"/>
                <w:szCs w:val="14"/>
                <w:b w:val="1"/>
                <w:bCs w:val="1"/>
                <w:color w:val="auto"/>
                <w:w w:val="95"/>
              </w:rPr>
              <w:t>Total</w:t>
            </w:r>
          </w:p>
        </w:tc>
        <w:tc>
          <w:tcPr>
            <w:tcW w:w="440" w:type="dxa"/>
            <w:vAlign w:val="bottom"/>
          </w:tcPr>
          <w:p>
            <w:pPr>
              <w:spacing w:after="0"/>
              <w:rPr>
                <w:sz w:val="22"/>
                <w:szCs w:val="22"/>
                <w:color w:val="auto"/>
              </w:rPr>
            </w:pPr>
          </w:p>
        </w:tc>
        <w:tc>
          <w:tcPr>
            <w:tcW w:w="860" w:type="dxa"/>
            <w:vAlign w:val="bottom"/>
            <w:gridSpan w:val="3"/>
          </w:tcPr>
          <w:p>
            <w:pPr>
              <w:jc w:val="right"/>
              <w:ind w:right="440"/>
              <w:spacing w:after="0"/>
              <w:rPr>
                <w:sz w:val="20"/>
                <w:szCs w:val="20"/>
                <w:color w:val="auto"/>
              </w:rPr>
            </w:pPr>
            <w:r>
              <w:rPr>
                <w:rFonts w:ascii="Arial" w:cs="Arial" w:eastAsia="Arial" w:hAnsi="Arial"/>
                <w:sz w:val="14"/>
                <w:szCs w:val="14"/>
                <w:b w:val="1"/>
                <w:bCs w:val="1"/>
                <w:color w:val="auto"/>
                <w:w w:val="91"/>
              </w:rPr>
              <w:t>Bonds</w:t>
            </w:r>
          </w:p>
        </w:tc>
        <w:tc>
          <w:tcPr>
            <w:tcW w:w="100" w:type="dxa"/>
            <w:vAlign w:val="bottom"/>
          </w:tcPr>
          <w:p>
            <w:pPr>
              <w:spacing w:after="0"/>
              <w:rPr>
                <w:sz w:val="22"/>
                <w:szCs w:val="22"/>
                <w:color w:val="auto"/>
              </w:rPr>
            </w:pPr>
          </w:p>
        </w:tc>
        <w:tc>
          <w:tcPr>
            <w:tcW w:w="320" w:type="dxa"/>
            <w:vAlign w:val="bottom"/>
          </w:tcPr>
          <w:p>
            <w:pPr>
              <w:jc w:val="right"/>
              <w:spacing w:after="0"/>
              <w:rPr>
                <w:sz w:val="20"/>
                <w:szCs w:val="20"/>
                <w:color w:val="auto"/>
              </w:rPr>
            </w:pPr>
            <w:r>
              <w:rPr>
                <w:rFonts w:ascii="Arial" w:cs="Arial" w:eastAsia="Arial" w:hAnsi="Arial"/>
                <w:sz w:val="14"/>
                <w:szCs w:val="14"/>
                <w:b w:val="1"/>
                <w:bCs w:val="1"/>
                <w:color w:val="auto"/>
              </w:rPr>
              <w:t>CP</w:t>
            </w:r>
          </w:p>
        </w:tc>
        <w:tc>
          <w:tcPr>
            <w:tcW w:w="440" w:type="dxa"/>
            <w:vAlign w:val="bottom"/>
          </w:tcPr>
          <w:p>
            <w:pPr>
              <w:spacing w:after="0"/>
              <w:rPr>
                <w:sz w:val="22"/>
                <w:szCs w:val="22"/>
                <w:color w:val="auto"/>
              </w:rPr>
            </w:pPr>
          </w:p>
        </w:tc>
        <w:tc>
          <w:tcPr>
            <w:tcW w:w="460" w:type="dxa"/>
            <w:vAlign w:val="bottom"/>
            <w:gridSpan w:val="2"/>
          </w:tcPr>
          <w:p>
            <w:pPr>
              <w:jc w:val="right"/>
              <w:spacing w:after="0"/>
              <w:rPr>
                <w:sz w:val="20"/>
                <w:szCs w:val="20"/>
                <w:color w:val="auto"/>
              </w:rPr>
            </w:pPr>
            <w:r>
              <w:rPr>
                <w:rFonts w:ascii="Arial" w:cs="Arial" w:eastAsia="Arial" w:hAnsi="Arial"/>
                <w:sz w:val="14"/>
                <w:szCs w:val="14"/>
                <w:b w:val="1"/>
                <w:bCs w:val="1"/>
                <w:color w:val="auto"/>
                <w:w w:val="97"/>
              </w:rPr>
              <w:t>Others</w:t>
            </w:r>
          </w:p>
        </w:tc>
        <w:tc>
          <w:tcPr>
            <w:tcW w:w="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gridSpan w:val="2"/>
          </w:tcPr>
          <w:p>
            <w:pPr>
              <w:ind w:left="2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2900" w:type="dxa"/>
            <w:vAlign w:val="bottom"/>
          </w:tcPr>
          <w:p>
            <w:pPr>
              <w:spacing w:after="0"/>
              <w:rPr>
                <w:sz w:val="8"/>
                <w:szCs w:val="8"/>
                <w:color w:val="auto"/>
              </w:rPr>
            </w:pPr>
          </w:p>
        </w:tc>
        <w:tc>
          <w:tcPr>
            <w:tcW w:w="19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3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9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US dollar</w:t>
            </w:r>
          </w:p>
        </w:tc>
        <w:tc>
          <w:tcPr>
            <w:tcW w:w="20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b w:val="1"/>
                <w:bCs w:val="1"/>
                <w:color w:val="auto"/>
              </w:rPr>
              <w:t>$</w:t>
            </w:r>
          </w:p>
        </w:tc>
        <w:tc>
          <w:tcPr>
            <w:tcW w:w="3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96"/>
              </w:rPr>
              <w:t>2,422</w:t>
            </w:r>
          </w:p>
        </w:tc>
        <w:tc>
          <w:tcPr>
            <w:tcW w:w="220" w:type="dxa"/>
            <w:vAlign w:val="bottom"/>
            <w:shd w:val="clear" w:color="auto" w:fill="CCEEFF"/>
          </w:tcPr>
          <w:p>
            <w:pPr>
              <w:spacing w:after="0"/>
              <w:rPr>
                <w:sz w:val="12"/>
                <w:szCs w:val="12"/>
                <w:color w:val="auto"/>
              </w:rPr>
            </w:pPr>
          </w:p>
        </w:tc>
        <w:tc>
          <w:tcPr>
            <w:tcW w:w="3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b w:val="1"/>
                <w:bCs w:val="1"/>
                <w:color w:val="auto"/>
              </w:rPr>
              <w:t>$</w:t>
            </w:r>
          </w:p>
        </w:tc>
        <w:tc>
          <w:tcPr>
            <w:tcW w:w="3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b w:val="1"/>
                <w:bCs w:val="1"/>
                <w:color w:val="auto"/>
                <w:w w:val="91"/>
              </w:rPr>
              <w:t>1,475</w:t>
            </w:r>
          </w:p>
        </w:tc>
        <w:tc>
          <w:tcPr>
            <w:tcW w:w="5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76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b w:val="1"/>
                <w:bCs w:val="1"/>
                <w:color w:val="auto"/>
              </w:rPr>
              <w:t>335</w:t>
            </w: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76"/>
              </w:rPr>
              <w:t>$</w:t>
            </w: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91"/>
              </w:rPr>
              <w:t>4,232</w:t>
            </w:r>
          </w:p>
        </w:tc>
        <w:tc>
          <w:tcPr>
            <w:tcW w:w="5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997</w:t>
            </w: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724</w:t>
            </w:r>
          </w:p>
        </w:tc>
        <w:tc>
          <w:tcPr>
            <w:tcW w:w="5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407</w:t>
            </w:r>
          </w:p>
        </w:tc>
        <w:tc>
          <w:tcPr>
            <w:tcW w:w="86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$ 2,128</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00" w:type="dxa"/>
            <w:vAlign w:val="bottom"/>
          </w:tcPr>
          <w:p>
            <w:pPr>
              <w:spacing w:after="0" w:line="149" w:lineRule="exact"/>
              <w:rPr>
                <w:sz w:val="20"/>
                <w:szCs w:val="20"/>
                <w:color w:val="auto"/>
              </w:rPr>
            </w:pPr>
            <w:r>
              <w:rPr>
                <w:rFonts w:ascii="Arial" w:cs="Arial" w:eastAsia="Arial" w:hAnsi="Arial"/>
                <w:sz w:val="14"/>
                <w:szCs w:val="14"/>
                <w:color w:val="auto"/>
              </w:rPr>
              <w:t>Euro</w:t>
            </w:r>
          </w:p>
        </w:tc>
        <w:tc>
          <w:tcPr>
            <w:tcW w:w="1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665</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gridSpan w:val="2"/>
          </w:tcPr>
          <w:p>
            <w:pPr>
              <w:jc w:val="right"/>
              <w:ind w:right="40"/>
              <w:spacing w:after="0" w:line="149" w:lineRule="exact"/>
              <w:rPr>
                <w:sz w:val="20"/>
                <w:szCs w:val="20"/>
                <w:color w:val="auto"/>
              </w:rPr>
            </w:pPr>
            <w:r>
              <w:rPr>
                <w:rFonts w:ascii="Arial" w:cs="Arial" w:eastAsia="Arial" w:hAnsi="Arial"/>
                <w:sz w:val="14"/>
                <w:szCs w:val="14"/>
                <w:b w:val="1"/>
                <w:bCs w:val="1"/>
                <w:color w:val="auto"/>
              </w:rPr>
              <w:t>6</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right"/>
              <w:ind w:right="420"/>
              <w:spacing w:after="0" w:line="149" w:lineRule="exact"/>
              <w:rPr>
                <w:sz w:val="20"/>
                <w:szCs w:val="20"/>
                <w:color w:val="auto"/>
              </w:rPr>
            </w:pPr>
            <w:r>
              <w:rPr>
                <w:rFonts w:ascii="Arial" w:cs="Arial" w:eastAsia="Arial" w:hAnsi="Arial"/>
                <w:sz w:val="14"/>
                <w:szCs w:val="14"/>
                <w:b w:val="1"/>
                <w:bCs w:val="1"/>
                <w:color w:val="auto"/>
              </w:rPr>
              <w:t>284</w:t>
            </w:r>
          </w:p>
        </w:tc>
        <w:tc>
          <w:tcPr>
            <w:tcW w:w="120" w:type="dxa"/>
            <w:vAlign w:val="bottom"/>
          </w:tcPr>
          <w:p>
            <w:pPr>
              <w:spacing w:after="0"/>
              <w:rPr>
                <w:sz w:val="12"/>
                <w:szCs w:val="12"/>
                <w:color w:val="auto"/>
              </w:rPr>
            </w:pPr>
          </w:p>
        </w:tc>
        <w:tc>
          <w:tcPr>
            <w:tcW w:w="3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955</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w w:val="85"/>
              </w:rPr>
              <w:t>1,399</w:t>
            </w:r>
          </w:p>
        </w:tc>
        <w:tc>
          <w:tcPr>
            <w:tcW w:w="100" w:type="dxa"/>
            <w:vAlign w:val="bottom"/>
          </w:tcPr>
          <w:p>
            <w:pPr>
              <w:spacing w:after="0"/>
              <w:rPr>
                <w:sz w:val="12"/>
                <w:szCs w:val="12"/>
                <w:color w:val="auto"/>
              </w:rPr>
            </w:pPr>
          </w:p>
        </w:tc>
        <w:tc>
          <w:tcPr>
            <w:tcW w:w="320" w:type="dxa"/>
            <w:vAlign w:val="bottom"/>
          </w:tcPr>
          <w:p>
            <w:pPr>
              <w:jc w:val="right"/>
              <w:spacing w:after="0" w:line="149" w:lineRule="exact"/>
              <w:rPr>
                <w:sz w:val="20"/>
                <w:szCs w:val="20"/>
                <w:color w:val="auto"/>
              </w:rPr>
            </w:pPr>
            <w:r>
              <w:rPr>
                <w:rFonts w:ascii="Arial" w:cs="Arial" w:eastAsia="Arial" w:hAnsi="Arial"/>
                <w:sz w:val="14"/>
                <w:szCs w:val="14"/>
                <w:color w:val="auto"/>
              </w:rPr>
              <w:t>442</w:t>
            </w: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jc w:val="right"/>
              <w:spacing w:after="0" w:line="149" w:lineRule="exact"/>
              <w:rPr>
                <w:sz w:val="20"/>
                <w:szCs w:val="20"/>
                <w:color w:val="auto"/>
              </w:rPr>
            </w:pPr>
            <w:r>
              <w:rPr>
                <w:rFonts w:ascii="Arial" w:cs="Arial" w:eastAsia="Arial" w:hAnsi="Arial"/>
                <w:sz w:val="14"/>
                <w:szCs w:val="14"/>
                <w:color w:val="auto"/>
              </w:rPr>
              <w:t>237</w:t>
            </w:r>
          </w:p>
        </w:tc>
        <w:tc>
          <w:tcPr>
            <w:tcW w:w="86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2,078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UK pound</w:t>
            </w:r>
          </w:p>
        </w:tc>
        <w:tc>
          <w:tcPr>
            <w:tcW w:w="19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339</w:t>
            </w: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b w:val="1"/>
                <w:bCs w:val="1"/>
                <w:color w:val="auto"/>
              </w:rPr>
              <w:t>24</w:t>
            </w: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b w:val="1"/>
                <w:bCs w:val="1"/>
                <w:color w:val="auto"/>
              </w:rPr>
              <w:t>135</w:t>
            </w:r>
          </w:p>
        </w:tc>
        <w:tc>
          <w:tcPr>
            <w:tcW w:w="12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498</w:t>
            </w: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676</w:t>
            </w: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579</w:t>
            </w:r>
          </w:p>
        </w:tc>
        <w:tc>
          <w:tcPr>
            <w:tcW w:w="4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122</w:t>
            </w:r>
          </w:p>
        </w:tc>
        <w:tc>
          <w:tcPr>
            <w:tcW w:w="86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1,377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00" w:type="dxa"/>
            <w:vAlign w:val="bottom"/>
          </w:tcPr>
          <w:p>
            <w:pPr>
              <w:spacing w:after="0" w:line="149" w:lineRule="exact"/>
              <w:rPr>
                <w:sz w:val="20"/>
                <w:szCs w:val="20"/>
                <w:color w:val="auto"/>
              </w:rPr>
            </w:pPr>
            <w:r>
              <w:rPr>
                <w:rFonts w:ascii="Arial" w:cs="Arial" w:eastAsia="Arial" w:hAnsi="Arial"/>
                <w:sz w:val="14"/>
                <w:szCs w:val="14"/>
                <w:color w:val="auto"/>
              </w:rPr>
              <w:t>Canadian dollar</w:t>
            </w:r>
          </w:p>
        </w:tc>
        <w:tc>
          <w:tcPr>
            <w:tcW w:w="1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93</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gridSpan w:val="2"/>
          </w:tcPr>
          <w:p>
            <w:pPr>
              <w:jc w:val="right"/>
              <w:ind w:right="40"/>
              <w:spacing w:after="0" w:line="149" w:lineRule="exact"/>
              <w:rPr>
                <w:sz w:val="20"/>
                <w:szCs w:val="20"/>
                <w:color w:val="auto"/>
              </w:rPr>
            </w:pPr>
            <w:r>
              <w:rPr>
                <w:rFonts w:ascii="Arial" w:cs="Arial" w:eastAsia="Arial" w:hAnsi="Arial"/>
                <w:sz w:val="14"/>
                <w:szCs w:val="14"/>
                <w:b w:val="1"/>
                <w:bCs w:val="1"/>
                <w:color w:val="auto"/>
              </w:rPr>
              <w:t>–</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right"/>
              <w:ind w:right="420"/>
              <w:spacing w:after="0" w:line="149" w:lineRule="exact"/>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2"/>
                <w:szCs w:val="12"/>
                <w:color w:val="auto"/>
              </w:rPr>
            </w:pPr>
          </w:p>
        </w:tc>
        <w:tc>
          <w:tcPr>
            <w:tcW w:w="3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93</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116</w:t>
            </w:r>
          </w:p>
        </w:tc>
        <w:tc>
          <w:tcPr>
            <w:tcW w:w="100" w:type="dxa"/>
            <w:vAlign w:val="bottom"/>
          </w:tcPr>
          <w:p>
            <w:pPr>
              <w:spacing w:after="0"/>
              <w:rPr>
                <w:sz w:val="12"/>
                <w:szCs w:val="12"/>
                <w:color w:val="auto"/>
              </w:rPr>
            </w:pPr>
          </w:p>
        </w:tc>
        <w:tc>
          <w:tcPr>
            <w:tcW w:w="3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jc w:val="right"/>
              <w:spacing w:after="0" w:line="149" w:lineRule="exact"/>
              <w:rPr>
                <w:sz w:val="20"/>
                <w:szCs w:val="20"/>
                <w:color w:val="auto"/>
              </w:rPr>
            </w:pPr>
            <w:r>
              <w:rPr>
                <w:rFonts w:ascii="Arial" w:cs="Arial" w:eastAsia="Arial" w:hAnsi="Arial"/>
                <w:sz w:val="14"/>
                <w:szCs w:val="14"/>
                <w:color w:val="auto"/>
              </w:rPr>
              <w:t>75</w:t>
            </w:r>
          </w:p>
        </w:tc>
        <w:tc>
          <w:tcPr>
            <w:tcW w:w="86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191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Japanese yen</w:t>
            </w:r>
          </w:p>
        </w:tc>
        <w:tc>
          <w:tcPr>
            <w:tcW w:w="19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b w:val="1"/>
                <w:bCs w:val="1"/>
                <w:color w:val="auto"/>
              </w:rPr>
              <w:t>–</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b w:val="1"/>
                <w:bCs w:val="1"/>
                <w:color w:val="auto"/>
              </w:rPr>
              <w:t>–</w:t>
            </w: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b w:val="1"/>
                <w:bCs w:val="1"/>
                <w:color w:val="auto"/>
              </w:rPr>
              <w:t>46</w:t>
            </w:r>
          </w:p>
        </w:tc>
        <w:tc>
          <w:tcPr>
            <w:tcW w:w="12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46</w:t>
            </w: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58</w:t>
            </w:r>
          </w:p>
        </w:tc>
        <w:tc>
          <w:tcPr>
            <w:tcW w:w="86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58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00" w:type="dxa"/>
            <w:vAlign w:val="bottom"/>
          </w:tcPr>
          <w:p>
            <w:pPr>
              <w:spacing w:after="0" w:line="149" w:lineRule="exact"/>
              <w:rPr>
                <w:sz w:val="20"/>
                <w:szCs w:val="20"/>
                <w:color w:val="auto"/>
              </w:rPr>
            </w:pPr>
            <w:r>
              <w:rPr>
                <w:rFonts w:ascii="Arial" w:cs="Arial" w:eastAsia="Arial" w:hAnsi="Arial"/>
                <w:sz w:val="14"/>
                <w:szCs w:val="14"/>
                <w:color w:val="auto"/>
              </w:rPr>
              <w:t>Norwegian kroner</w:t>
            </w:r>
          </w:p>
        </w:tc>
        <w:tc>
          <w:tcPr>
            <w:tcW w:w="1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gridSpan w:val="2"/>
          </w:tcPr>
          <w:p>
            <w:pPr>
              <w:jc w:val="right"/>
              <w:ind w:right="40"/>
              <w:spacing w:after="0" w:line="149" w:lineRule="exact"/>
              <w:rPr>
                <w:sz w:val="20"/>
                <w:szCs w:val="20"/>
                <w:color w:val="auto"/>
              </w:rPr>
            </w:pPr>
            <w:r>
              <w:rPr>
                <w:rFonts w:ascii="Arial" w:cs="Arial" w:eastAsia="Arial" w:hAnsi="Arial"/>
                <w:sz w:val="14"/>
                <w:szCs w:val="14"/>
                <w:b w:val="1"/>
                <w:bCs w:val="1"/>
                <w:color w:val="auto"/>
              </w:rPr>
              <w:t>–</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right"/>
              <w:ind w:right="420"/>
              <w:spacing w:after="0" w:line="149" w:lineRule="exact"/>
              <w:rPr>
                <w:sz w:val="20"/>
                <w:szCs w:val="20"/>
                <w:color w:val="auto"/>
              </w:rPr>
            </w:pPr>
            <w:r>
              <w:rPr>
                <w:rFonts w:ascii="Arial" w:cs="Arial" w:eastAsia="Arial" w:hAnsi="Arial"/>
                <w:sz w:val="14"/>
                <w:szCs w:val="14"/>
                <w:b w:val="1"/>
                <w:bCs w:val="1"/>
                <w:color w:val="auto"/>
              </w:rPr>
              <w:t>221</w:t>
            </w:r>
          </w:p>
        </w:tc>
        <w:tc>
          <w:tcPr>
            <w:tcW w:w="120" w:type="dxa"/>
            <w:vAlign w:val="bottom"/>
          </w:tcPr>
          <w:p>
            <w:pPr>
              <w:spacing w:after="0"/>
              <w:rPr>
                <w:sz w:val="12"/>
                <w:szCs w:val="12"/>
                <w:color w:val="auto"/>
              </w:rPr>
            </w:pPr>
          </w:p>
        </w:tc>
        <w:tc>
          <w:tcPr>
            <w:tcW w:w="3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221</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3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w:t>
            </w:r>
          </w:p>
        </w:tc>
        <w:tc>
          <w:tcPr>
            <w:tcW w:w="19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b w:val="1"/>
                <w:bCs w:val="1"/>
                <w:color w:val="auto"/>
              </w:rPr>
              <w:t>–</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b w:val="1"/>
                <w:bCs w:val="1"/>
                <w:color w:val="auto"/>
              </w:rPr>
              <w:t>–</w:t>
            </w: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b w:val="1"/>
                <w:bCs w:val="1"/>
                <w:color w:val="auto"/>
              </w:rPr>
              <w:t>52</w:t>
            </w:r>
          </w:p>
        </w:tc>
        <w:tc>
          <w:tcPr>
            <w:tcW w:w="12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52</w:t>
            </w: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197</w:t>
            </w:r>
          </w:p>
        </w:tc>
        <w:tc>
          <w:tcPr>
            <w:tcW w:w="86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197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900" w:type="dxa"/>
            <w:vAlign w:val="bottom"/>
            <w:tcBorders>
              <w:bottom w:val="single" w:sz="8" w:color="auto"/>
            </w:tcBorders>
          </w:tcPr>
          <w:p>
            <w:pPr>
              <w:spacing w:after="0"/>
              <w:rPr>
                <w:sz w:val="9"/>
                <w:szCs w:val="9"/>
                <w:color w:val="auto"/>
              </w:rPr>
            </w:pPr>
          </w:p>
        </w:tc>
        <w:tc>
          <w:tcPr>
            <w:tcW w:w="194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900" w:type="dxa"/>
            <w:vAlign w:val="bottom"/>
          </w:tcPr>
          <w:p>
            <w:pPr>
              <w:spacing w:after="0"/>
              <w:rPr>
                <w:sz w:val="8"/>
                <w:szCs w:val="8"/>
                <w:color w:val="auto"/>
              </w:rPr>
            </w:pPr>
          </w:p>
        </w:tc>
        <w:tc>
          <w:tcPr>
            <w:tcW w:w="19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3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00" w:type="dxa"/>
            <w:vAlign w:val="bottom"/>
            <w:shd w:val="clear" w:color="auto" w:fill="CCEEFF"/>
          </w:tcPr>
          <w:p>
            <w:pPr>
              <w:spacing w:after="0"/>
              <w:rPr>
                <w:sz w:val="12"/>
                <w:szCs w:val="12"/>
                <w:color w:val="auto"/>
              </w:rPr>
            </w:pPr>
          </w:p>
        </w:tc>
        <w:tc>
          <w:tcPr>
            <w:tcW w:w="20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b w:val="1"/>
                <w:bCs w:val="1"/>
                <w:color w:val="auto"/>
              </w:rPr>
              <w:t>$</w:t>
            </w:r>
          </w:p>
        </w:tc>
        <w:tc>
          <w:tcPr>
            <w:tcW w:w="3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96"/>
              </w:rPr>
              <w:t>3,519</w:t>
            </w:r>
          </w:p>
        </w:tc>
        <w:tc>
          <w:tcPr>
            <w:tcW w:w="220" w:type="dxa"/>
            <w:vAlign w:val="bottom"/>
            <w:shd w:val="clear" w:color="auto" w:fill="CCEEFF"/>
          </w:tcPr>
          <w:p>
            <w:pPr>
              <w:spacing w:after="0"/>
              <w:rPr>
                <w:sz w:val="12"/>
                <w:szCs w:val="12"/>
                <w:color w:val="auto"/>
              </w:rPr>
            </w:pPr>
          </w:p>
        </w:tc>
        <w:tc>
          <w:tcPr>
            <w:tcW w:w="3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b w:val="1"/>
                <w:bCs w:val="1"/>
                <w:color w:val="auto"/>
              </w:rPr>
              <w:t>$</w:t>
            </w:r>
          </w:p>
        </w:tc>
        <w:tc>
          <w:tcPr>
            <w:tcW w:w="3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b w:val="1"/>
                <w:bCs w:val="1"/>
                <w:color w:val="auto"/>
                <w:w w:val="91"/>
              </w:rPr>
              <w:t>1,505</w:t>
            </w:r>
          </w:p>
        </w:tc>
        <w:tc>
          <w:tcPr>
            <w:tcW w:w="5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76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b w:val="1"/>
                <w:bCs w:val="1"/>
                <w:color w:val="auto"/>
                <w:w w:val="91"/>
              </w:rPr>
              <w:t>1,073</w:t>
            </w: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76"/>
              </w:rPr>
              <w:t>$</w:t>
            </w: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91"/>
              </w:rPr>
              <w:t>6,097</w:t>
            </w:r>
          </w:p>
        </w:tc>
        <w:tc>
          <w:tcPr>
            <w:tcW w:w="5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w w:val="85"/>
              </w:rPr>
              <w:t>3,188</w:t>
            </w: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5"/>
              </w:rPr>
              <w:t>1,745</w:t>
            </w:r>
          </w:p>
        </w:tc>
        <w:tc>
          <w:tcPr>
            <w:tcW w:w="5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1"/>
              </w:rPr>
              <w:t>1,096</w:t>
            </w:r>
          </w:p>
        </w:tc>
        <w:tc>
          <w:tcPr>
            <w:tcW w:w="86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$ 6,029</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90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3081655</wp:posOffset>
            </wp:positionH>
            <wp:positionV relativeFrom="paragraph">
              <wp:posOffset>-29210</wp:posOffset>
            </wp:positionV>
            <wp:extent cx="287020" cy="2984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287020" cy="29845"/>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-29210</wp:posOffset>
            </wp:positionV>
            <wp:extent cx="287020" cy="2984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287020" cy="29845"/>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-29210</wp:posOffset>
            </wp:positionV>
            <wp:extent cx="287020" cy="2984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287020" cy="29845"/>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-29210</wp:posOffset>
            </wp:positionV>
            <wp:extent cx="12700" cy="2984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-29210</wp:posOffset>
            </wp:positionV>
            <wp:extent cx="12700" cy="2984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-29210</wp:posOffset>
            </wp:positionV>
            <wp:extent cx="21590" cy="2984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-29210</wp:posOffset>
            </wp:positionV>
            <wp:extent cx="269875" cy="2984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269875" cy="2984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-29210</wp:posOffset>
            </wp:positionV>
            <wp:extent cx="12700" cy="2984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6126480</wp:posOffset>
            </wp:positionH>
            <wp:positionV relativeFrom="paragraph">
              <wp:posOffset>-29210</wp:posOffset>
            </wp:positionV>
            <wp:extent cx="12700" cy="2984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5928995</wp:posOffset>
            </wp:positionH>
            <wp:positionV relativeFrom="paragraph">
              <wp:posOffset>-29210</wp:posOffset>
            </wp:positionV>
            <wp:extent cx="21590" cy="2984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-29210</wp:posOffset>
            </wp:positionV>
            <wp:extent cx="12700" cy="2984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6692265</wp:posOffset>
            </wp:positionH>
            <wp:positionV relativeFrom="paragraph">
              <wp:posOffset>-29210</wp:posOffset>
            </wp:positionV>
            <wp:extent cx="12700" cy="2984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-29210</wp:posOffset>
            </wp:positionV>
            <wp:extent cx="21590" cy="2984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6983730</wp:posOffset>
            </wp:positionH>
            <wp:positionV relativeFrom="paragraph">
              <wp:posOffset>-29210</wp:posOffset>
            </wp:positionV>
            <wp:extent cx="269875" cy="2984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269875" cy="29845"/>
                    </a:xfrm>
                    <a:prstGeom prst="rect">
                      <a:avLst/>
                    </a:prstGeom>
                    <a:noFill/>
                  </pic:spPr>
                </pic:pic>
              </a:graphicData>
            </a:graphic>
          </wp:anchor>
        </w:drawing>
      </w:r>
    </w:p>
    <w:p>
      <w:pPr>
        <w:spacing w:after="0" w:line="144" w:lineRule="exact"/>
        <w:rPr>
          <w:sz w:val="20"/>
          <w:szCs w:val="20"/>
          <w:color w:val="auto"/>
        </w:rPr>
      </w:pPr>
    </w:p>
    <w:p>
      <w:pPr>
        <w:ind w:right="80" w:firstLine="228"/>
        <w:spacing w:after="0" w:line="284" w:lineRule="auto"/>
        <w:rPr>
          <w:sz w:val="20"/>
          <w:szCs w:val="20"/>
          <w:color w:val="auto"/>
        </w:rPr>
      </w:pPr>
      <w:r>
        <w:rPr>
          <w:rFonts w:ascii="Arial" w:cs="Arial" w:eastAsia="Arial" w:hAnsi="Arial"/>
          <w:sz w:val="16"/>
          <w:szCs w:val="16"/>
          <w:color w:val="auto"/>
        </w:rPr>
        <w:t>On June 9, 2003, Schlumberger Limited issued $850 million aggregate principal amount of 1.5% Series A Convertible Debentures due June 1, 2023 and $450 million aggregate principal amount of 2.125% Series B Convertible Debentures due June 1, 2023. On July 2, 2003, Schlumberger Limited issued an additional $125 million aggregate principal amount of the Series A debentures pursuant to an option granted to the initial purchasers.</w:t>
      </w:r>
    </w:p>
    <w:p>
      <w:pPr>
        <w:spacing w:after="0" w:line="1" w:lineRule="exact"/>
        <w:rPr>
          <w:sz w:val="20"/>
          <w:szCs w:val="20"/>
          <w:color w:val="auto"/>
        </w:rPr>
      </w:pPr>
    </w:p>
    <w:p>
      <w:pPr>
        <w:ind w:right="60" w:firstLine="228"/>
        <w:spacing w:after="0" w:line="250" w:lineRule="auto"/>
        <w:rPr>
          <w:sz w:val="20"/>
          <w:szCs w:val="20"/>
          <w:color w:val="auto"/>
        </w:rPr>
      </w:pPr>
      <w:r>
        <w:rPr>
          <w:rFonts w:ascii="Arial" w:cs="Arial" w:eastAsia="Arial" w:hAnsi="Arial"/>
          <w:sz w:val="18"/>
          <w:szCs w:val="18"/>
          <w:color w:val="auto"/>
        </w:rPr>
        <w:t>The debentures were sold to Citigroup Global Markets Inc. and Goldman, Sachs &amp; Co. pursuant to an exemption from registration under Section 4(2) of the Securities Act of 1933. The debentures were resold, with registration rights, by the initial purchasers in transactions exempt from registration under Rule 144A of the Securities Act. The aggregate offering price of the debentures was $1.425 billion, the initial purchasers’ discount was $25.4 million and the net proceeds to Schlumberger Limited were $1.4 billion.</w:t>
      </w:r>
    </w:p>
    <w:p>
      <w:pPr>
        <w:spacing w:after="0" w:line="2" w:lineRule="exact"/>
        <w:rPr>
          <w:sz w:val="20"/>
          <w:szCs w:val="20"/>
          <w:color w:val="auto"/>
        </w:rPr>
      </w:pPr>
    </w:p>
    <w:p>
      <w:pPr>
        <w:ind w:firstLine="228"/>
        <w:spacing w:after="0" w:line="281" w:lineRule="auto"/>
        <w:rPr>
          <w:sz w:val="20"/>
          <w:szCs w:val="20"/>
          <w:color w:val="auto"/>
        </w:rPr>
      </w:pPr>
      <w:r>
        <w:rPr>
          <w:rFonts w:ascii="Arial" w:cs="Arial" w:eastAsia="Arial" w:hAnsi="Arial"/>
          <w:sz w:val="16"/>
          <w:szCs w:val="16"/>
          <w:color w:val="auto"/>
        </w:rPr>
        <w:t>The Series A debentures and the Series B debentures are convertible, at the holders’ option, into shares of common stock of Schlumberger Limited. Holders of the Series A debentures may convert their debentures into common stock at a conversion rate of 13.8255 shares for each $1,000 principal amount of Series A debentures (equivalent to an initial conversion price of $72.33 per share). Holders of the Series B debentures may convert their debentures into common stock at a conversion rate of 12.5 shares for each $1,000 principal amount of Series B debentures (equivalent to an initial conversion price of $80.00 per share). Each conversion rate may be adjusted for certain events, but it will not be adjusted for accrued interest.</w:t>
      </w:r>
    </w:p>
    <w:p>
      <w:pPr>
        <w:spacing w:after="0" w:line="3" w:lineRule="exact"/>
        <w:rPr>
          <w:sz w:val="20"/>
          <w:szCs w:val="20"/>
          <w:color w:val="auto"/>
        </w:rPr>
      </w:pPr>
    </w:p>
    <w:p>
      <w:pPr>
        <w:ind w:right="20" w:firstLine="228"/>
        <w:spacing w:after="0" w:line="286" w:lineRule="auto"/>
        <w:rPr>
          <w:sz w:val="20"/>
          <w:szCs w:val="20"/>
          <w:color w:val="auto"/>
        </w:rPr>
      </w:pPr>
      <w:r>
        <w:rPr>
          <w:rFonts w:ascii="Arial" w:cs="Arial" w:eastAsia="Arial" w:hAnsi="Arial"/>
          <w:sz w:val="16"/>
          <w:szCs w:val="16"/>
          <w:color w:val="auto"/>
        </w:rPr>
        <w:t>On or after June 6, 2008 (in the case of the Series A debentures) or June 6, 2010 (in the case of the Series B debentures), Schlumberger may redeem for cash all or part of the applicable series of debentures, upon notice to the holders, at the redemption prices of 100% of the principal amount of the debentures, plus accrued and unpaid interest to the date of redemption. On June 1, 2008, June 1, 2013, and June 1, 2018, holders of Series A debentures may require Schlumberger to repurchase their Series A debentures. On June 1, 2010, June 1, 2013 and June 1, 2018, holders of Series B debentures may require Schlumberger to repurchase their Series B debentures. The repurchase price will be 100% of the principal amount of the debentures plus accrued and unpaid interest to the repurchase date. The repurchase price for repurchases on June 1, 2008 (in the case of the Series A debentures) and June 1, 2010 (in the case of the Series B debentures) will be paid in cash. On the other repurchase dates, Schlumberger may choose to pay the repurchase price in cash or common stock or any combination of cash and common stock. In addition, upon the occurrence of a Fundamental Change, holders may require Schlumberger to repurchase all or a portion of their debentures, in cash or, at Schlumberger’s election, common stock valued at 99% of its market price or any combination of cash and common stock, at a repurchase price equal to 100% of the principal amount of the debentures plus accrued and unpaid interest to the redemption date. The debentures will mature on June 1, 2023 unless earlier redeemed or repurchased.</w:t>
      </w:r>
    </w:p>
    <w:p>
      <w:pPr>
        <w:spacing w:after="0" w:line="105" w:lineRule="exact"/>
        <w:rPr>
          <w:sz w:val="20"/>
          <w:szCs w:val="20"/>
          <w:color w:val="auto"/>
        </w:rPr>
      </w:pPr>
    </w:p>
    <w:p>
      <w:pPr>
        <w:spacing w:after="0"/>
        <w:tabs>
          <w:tab w:leader="none" w:pos="10400" w:val="left"/>
        </w:tabs>
        <w:rPr>
          <w:sz w:val="20"/>
          <w:szCs w:val="20"/>
          <w:color w:val="auto"/>
        </w:rPr>
      </w:pPr>
      <w:r>
        <w:rPr>
          <w:rFonts w:ascii="Arial" w:cs="Arial" w:eastAsia="Arial" w:hAnsi="Arial"/>
          <w:sz w:val="14"/>
          <w:szCs w:val="14"/>
          <w:color w:val="auto"/>
        </w:rPr>
        <w:t>55 / SLB</w:t>
      </w:r>
      <w:r>
        <w:rPr>
          <w:sz w:val="20"/>
          <w:szCs w:val="20"/>
          <w:color w:val="auto"/>
        </w:rPr>
        <w:tab/>
      </w:r>
      <w:r>
        <w:rPr>
          <w:rFonts w:ascii="Arial" w:cs="Arial" w:eastAsia="Arial" w:hAnsi="Arial"/>
          <w:sz w:val="12"/>
          <w:szCs w:val="12"/>
          <w:color w:val="auto"/>
        </w:rPr>
        <w:t>2003 FORM 10-K</w:t>
      </w:r>
    </w:p>
    <w:p>
      <w:pPr>
        <w:sectPr>
          <w:pgSz w:w="11900" w:h="16838" w:orient="portrait"/>
          <w:cols w:equalWidth="0" w:num="1">
            <w:col w:w="11420"/>
          </w:cols>
          <w:pgMar w:left="240" w:top="459"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4"/>
          <w:szCs w:val="14"/>
          <w:color w:val="auto"/>
        </w:rPr>
        <w:t>Part II, Item 8</w:t>
      </w:r>
    </w:p>
    <w:p>
      <w:pPr>
        <w:spacing w:after="0" w:line="139" w:lineRule="exact"/>
        <w:rPr>
          <w:sz w:val="20"/>
          <w:szCs w:val="20"/>
          <w:color w:val="auto"/>
        </w:rPr>
      </w:pPr>
    </w:p>
    <w:p>
      <w:pPr>
        <w:ind w:right="60" w:firstLine="228"/>
        <w:spacing w:after="0" w:line="253" w:lineRule="auto"/>
        <w:rPr>
          <w:sz w:val="20"/>
          <w:szCs w:val="20"/>
          <w:color w:val="auto"/>
        </w:rPr>
      </w:pPr>
      <w:r>
        <w:rPr>
          <w:rFonts w:ascii="Arial" w:cs="Arial" w:eastAsia="Arial" w:hAnsi="Arial"/>
          <w:sz w:val="18"/>
          <w:szCs w:val="18"/>
          <w:color w:val="auto"/>
        </w:rPr>
        <w:t>Between June 12 and July 22, 2003, certain subsidiaries of Schlumberger launched and concluded a tender offer on three of its outstanding European bonds. The companies bought back $1.3 billion of principal of these bonds for a total cost of $1.5 billion, which includes the premium, and issuing and tender costs. The total charge on the tender was $168 million.</w:t>
      </w:r>
    </w:p>
    <w:p>
      <w:pPr>
        <w:ind w:right="340" w:firstLine="228"/>
        <w:spacing w:after="0" w:line="250" w:lineRule="auto"/>
        <w:rPr>
          <w:sz w:val="20"/>
          <w:szCs w:val="20"/>
          <w:color w:val="auto"/>
        </w:rPr>
      </w:pPr>
      <w:r>
        <w:rPr>
          <w:rFonts w:ascii="Arial" w:cs="Arial" w:eastAsia="Arial" w:hAnsi="Arial"/>
          <w:sz w:val="18"/>
          <w:szCs w:val="18"/>
          <w:color w:val="auto"/>
        </w:rPr>
        <w:t>Commercial paper borrowings are classified as long-term debt to the extent of their backup by available and unused committed facilities maturing in more than one-year and the intent to maintain these obligations for longer than one year.</w:t>
      </w:r>
    </w:p>
    <w:p>
      <w:pPr>
        <w:spacing w:after="0" w:line="1" w:lineRule="exact"/>
        <w:rPr>
          <w:sz w:val="20"/>
          <w:szCs w:val="20"/>
          <w:color w:val="auto"/>
        </w:rPr>
      </w:pPr>
    </w:p>
    <w:p>
      <w:pPr>
        <w:ind w:right="400" w:firstLine="228"/>
        <w:spacing w:after="0" w:line="250" w:lineRule="auto"/>
        <w:rPr>
          <w:sz w:val="20"/>
          <w:szCs w:val="20"/>
          <w:color w:val="auto"/>
        </w:rPr>
      </w:pPr>
      <w:r>
        <w:rPr>
          <w:rFonts w:ascii="Arial" w:cs="Arial" w:eastAsia="Arial" w:hAnsi="Arial"/>
          <w:sz w:val="18"/>
          <w:szCs w:val="18"/>
          <w:color w:val="auto"/>
        </w:rPr>
        <w:t>Long-term debt on December 31, 2003, is due as follows $552 million in 2005, $314 million in 2006, $1,755 million in 2007, $1,394 million in 2008 and $2,082 million thereafter.</w:t>
      </w:r>
    </w:p>
    <w:p>
      <w:pPr>
        <w:spacing w:after="0" w:line="1" w:lineRule="exact"/>
        <w:rPr>
          <w:sz w:val="20"/>
          <w:szCs w:val="20"/>
          <w:color w:val="auto"/>
        </w:rPr>
      </w:pPr>
    </w:p>
    <w:p>
      <w:pPr>
        <w:ind w:right="360" w:firstLine="228"/>
        <w:spacing w:after="0" w:line="255" w:lineRule="auto"/>
        <w:rPr>
          <w:sz w:val="20"/>
          <w:szCs w:val="20"/>
          <w:color w:val="auto"/>
        </w:rPr>
      </w:pPr>
      <w:r>
        <w:rPr>
          <w:rFonts w:ascii="Arial" w:cs="Arial" w:eastAsia="Arial" w:hAnsi="Arial"/>
          <w:sz w:val="18"/>
          <w:szCs w:val="18"/>
          <w:color w:val="auto"/>
        </w:rPr>
        <w:t>On December 31, 2003, interest rate swap arrangements outstanding were: pay fixed/receive floating on US dollar debt of $500 million; pay fixed/receive floating on Japanese yen debt of $37 million. These arrangements mature at various dates to December 2009. Interest rate swap arrangements increased consolidated interest expense in 2003 by $30 million.</w:t>
      </w:r>
    </w:p>
    <w:p>
      <w:pPr>
        <w:spacing w:after="0" w:line="120" w:lineRule="exact"/>
        <w:rPr>
          <w:sz w:val="20"/>
          <w:szCs w:val="20"/>
          <w:color w:val="auto"/>
        </w:rPr>
      </w:pPr>
    </w:p>
    <w:p>
      <w:pPr>
        <w:ind w:left="440" w:hanging="432"/>
        <w:spacing w:after="0"/>
        <w:tabs>
          <w:tab w:leader="none" w:pos="440"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color w:val="auto"/>
        </w:rPr>
        <w:t>Lines of Credit</w:t>
      </w:r>
    </w:p>
    <w:p>
      <w:pPr>
        <w:spacing w:after="0" w:line="74"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On December 31, 2003, wholly owned subsidiaries of Schlumberger had separate lines of credit agreements aggregating $6.7 billion with commercial banks, of which $6.5 billion was committed and $2.6 billion was available and unused. It included $3.7 billion of committed facilities, which support borrowings under commercial paper programs in the United States and Europe, maturing in January 2007. On December 31, 2003 a principal subsidiary of Schlumberger in the United States canceled its $500 million 364-day backstop facility. Interest rates and other terms of borrowing under these lines of credit vary from country to country.</w:t>
      </w:r>
    </w:p>
    <w:p>
      <w:pPr>
        <w:spacing w:after="0" w:line="119" w:lineRule="exact"/>
        <w:rPr>
          <w:sz w:val="20"/>
          <w:szCs w:val="20"/>
          <w:color w:val="auto"/>
        </w:rPr>
      </w:pPr>
    </w:p>
    <w:p>
      <w:pPr>
        <w:ind w:left="440" w:hanging="432"/>
        <w:spacing w:after="0"/>
        <w:tabs>
          <w:tab w:leader="none" w:pos="440"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color w:val="auto"/>
        </w:rPr>
        <w:t>Derivative Instruments and Hedging Activities</w:t>
      </w:r>
    </w:p>
    <w:p>
      <w:pPr>
        <w:spacing w:after="0" w:line="74" w:lineRule="exact"/>
        <w:rPr>
          <w:sz w:val="20"/>
          <w:szCs w:val="20"/>
          <w:color w:val="auto"/>
        </w:rPr>
      </w:pPr>
    </w:p>
    <w:p>
      <w:pPr>
        <w:ind w:right="20"/>
        <w:spacing w:after="0" w:line="284" w:lineRule="auto"/>
        <w:rPr>
          <w:sz w:val="20"/>
          <w:szCs w:val="20"/>
          <w:color w:val="auto"/>
        </w:rPr>
      </w:pPr>
      <w:r>
        <w:rPr>
          <w:rFonts w:ascii="Arial" w:cs="Arial" w:eastAsia="Arial" w:hAnsi="Arial"/>
          <w:sz w:val="16"/>
          <w:szCs w:val="16"/>
          <w:color w:val="auto"/>
        </w:rPr>
        <w:t>Schlumberger uses derivative instruments such as interest rate swaps, currency swaps, forward currency contracts and foreign currency options. Forward currency contracts provide a hedge against currency fluctuations on assets/liabilities denominated in other than a functional currency. Options are usually entered into as a hedge against currency variations on firm commitments generally involving the construction of long-lived assets.</w:t>
      </w:r>
    </w:p>
    <w:p>
      <w:pPr>
        <w:spacing w:after="0" w:line="1" w:lineRule="exact"/>
        <w:rPr>
          <w:sz w:val="20"/>
          <w:szCs w:val="20"/>
          <w:color w:val="auto"/>
        </w:rPr>
      </w:pPr>
    </w:p>
    <w:p>
      <w:pPr>
        <w:jc w:val="both"/>
        <w:ind w:right="40" w:firstLine="228"/>
        <w:spacing w:after="0" w:line="300" w:lineRule="auto"/>
        <w:rPr>
          <w:sz w:val="20"/>
          <w:szCs w:val="20"/>
          <w:color w:val="auto"/>
        </w:rPr>
      </w:pPr>
      <w:r>
        <w:rPr>
          <w:rFonts w:ascii="Arial" w:cs="Arial" w:eastAsia="Arial" w:hAnsi="Arial"/>
          <w:sz w:val="15"/>
          <w:szCs w:val="15"/>
          <w:color w:val="auto"/>
        </w:rPr>
        <w:t>Schlumberger maintains a foreign-currency risk management strategy that uses derivative instruments to protect its interests from unanticipated fluctuations in earnings and cash flows caused by volatility in currency exchange rates. Movements in foreign currency exchange rates pose a risk to Schlumberger’s operations as exchange rate changes may affect profitability and cash flow. Schlumberger uses foreign currency forward exchange contracts, swaps and options.</w:t>
      </w:r>
    </w:p>
    <w:p>
      <w:pPr>
        <w:spacing w:after="0" w:line="1" w:lineRule="exact"/>
        <w:rPr>
          <w:sz w:val="20"/>
          <w:szCs w:val="20"/>
          <w:color w:val="auto"/>
        </w:rPr>
      </w:pPr>
    </w:p>
    <w:p>
      <w:pPr>
        <w:ind w:right="280"/>
        <w:spacing w:after="0" w:line="250" w:lineRule="auto"/>
        <w:rPr>
          <w:sz w:val="20"/>
          <w:szCs w:val="20"/>
          <w:color w:val="auto"/>
        </w:rPr>
      </w:pPr>
      <w:r>
        <w:rPr>
          <w:rFonts w:ascii="Arial" w:cs="Arial" w:eastAsia="Arial" w:hAnsi="Arial"/>
          <w:sz w:val="18"/>
          <w:szCs w:val="18"/>
          <w:color w:val="auto"/>
        </w:rPr>
        <w:t>Schlumberger also maintains an interest rate risk management strategy that uses fixed rate debt and derivatives to minimize significant, unanticipated earnings fluctuations caused by interest rate volatility.</w:t>
      </w:r>
    </w:p>
    <w:p>
      <w:pPr>
        <w:spacing w:after="0" w:line="1" w:lineRule="exact"/>
        <w:rPr>
          <w:sz w:val="20"/>
          <w:szCs w:val="20"/>
          <w:color w:val="auto"/>
        </w:rPr>
      </w:pPr>
    </w:p>
    <w:p>
      <w:pPr>
        <w:ind w:right="180" w:firstLine="228"/>
        <w:spacing w:after="0" w:line="250" w:lineRule="auto"/>
        <w:rPr>
          <w:sz w:val="20"/>
          <w:szCs w:val="20"/>
          <w:color w:val="auto"/>
        </w:rPr>
      </w:pPr>
      <w:r>
        <w:rPr>
          <w:rFonts w:ascii="Arial" w:cs="Arial" w:eastAsia="Arial" w:hAnsi="Arial"/>
          <w:sz w:val="18"/>
          <w:szCs w:val="18"/>
          <w:color w:val="auto"/>
        </w:rPr>
        <w:t>Schlumberger’s specific goals are (1) to manage interest rate sensitivity by modifying the repricing or maturity characteristics of certain of its debt and (2) to lower (where possible) the cost of borrowed funds.</w:t>
      </w:r>
    </w:p>
    <w:p>
      <w:pPr>
        <w:spacing w:after="0" w:line="1" w:lineRule="exact"/>
        <w:rPr>
          <w:sz w:val="20"/>
          <w:szCs w:val="20"/>
          <w:color w:val="auto"/>
        </w:rPr>
      </w:pPr>
    </w:p>
    <w:p>
      <w:pPr>
        <w:ind w:right="80" w:firstLine="228"/>
        <w:spacing w:after="0" w:line="250" w:lineRule="auto"/>
        <w:rPr>
          <w:sz w:val="20"/>
          <w:szCs w:val="20"/>
          <w:color w:val="auto"/>
        </w:rPr>
      </w:pPr>
      <w:r>
        <w:rPr>
          <w:rFonts w:ascii="Arial" w:cs="Arial" w:eastAsia="Arial" w:hAnsi="Arial"/>
          <w:sz w:val="18"/>
          <w:szCs w:val="18"/>
          <w:color w:val="auto"/>
        </w:rPr>
        <w:t>By using derivative financial instruments to hedge exposure to changes in exchange rates and interest rates, Schlumberger exposes itself to credit risk and market risk. Schlumberger minimizes the credit risk by entering into transactions with high-quality counterparties, limiting the exposure to each counterparty and monitoring the financial condition of its counterparties. Market risk is managed through the setting and monitoring of parameters that limit the types and degree of market risk which are acceptable.</w:t>
      </w:r>
    </w:p>
    <w:p>
      <w:pPr>
        <w:spacing w:after="0" w:line="2" w:lineRule="exact"/>
        <w:rPr>
          <w:sz w:val="20"/>
          <w:szCs w:val="20"/>
          <w:color w:val="auto"/>
        </w:rPr>
      </w:pPr>
    </w:p>
    <w:p>
      <w:pPr>
        <w:ind w:left="240"/>
        <w:spacing w:after="0"/>
        <w:rPr>
          <w:sz w:val="20"/>
          <w:szCs w:val="20"/>
          <w:color w:val="auto"/>
        </w:rPr>
      </w:pPr>
      <w:r>
        <w:rPr>
          <w:rFonts w:ascii="Arial" w:cs="Arial" w:eastAsia="Arial" w:hAnsi="Arial"/>
          <w:sz w:val="16"/>
          <w:szCs w:val="16"/>
          <w:color w:val="auto"/>
        </w:rPr>
        <w:t>At December 31, 2003, Schlumberger recognized a net $23 million charge in Stockholders’ Equity relating to derivative instruments and hedging activities.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This charge was primarily due to the change in the fair market value of Schlumberger’s US interest rate swaps as a result of declining interest rates.</w:t>
      </w:r>
    </w:p>
    <w:p>
      <w:pPr>
        <w:spacing w:after="0" w:line="172" w:lineRule="exact"/>
        <w:rPr>
          <w:sz w:val="20"/>
          <w:szCs w:val="20"/>
          <w:color w:val="auto"/>
        </w:rPr>
      </w:pPr>
    </w:p>
    <w:p>
      <w:pPr>
        <w:spacing w:after="0"/>
        <w:tabs>
          <w:tab w:leader="none" w:pos="10400" w:val="left"/>
        </w:tabs>
        <w:rPr>
          <w:sz w:val="20"/>
          <w:szCs w:val="20"/>
          <w:color w:val="auto"/>
        </w:rPr>
      </w:pPr>
      <w:r>
        <w:rPr>
          <w:rFonts w:ascii="Arial" w:cs="Arial" w:eastAsia="Arial" w:hAnsi="Arial"/>
          <w:sz w:val="14"/>
          <w:szCs w:val="14"/>
          <w:color w:val="auto"/>
        </w:rPr>
        <w:t>56 / SLB</w:t>
      </w:r>
      <w:r>
        <w:rPr>
          <w:sz w:val="20"/>
          <w:szCs w:val="20"/>
          <w:color w:val="auto"/>
        </w:rPr>
        <w:tab/>
      </w:r>
      <w:r>
        <w:rPr>
          <w:rFonts w:ascii="Arial" w:cs="Arial" w:eastAsia="Arial" w:hAnsi="Arial"/>
          <w:sz w:val="12"/>
          <w:szCs w:val="12"/>
          <w:color w:val="auto"/>
        </w:rPr>
        <w:t>2003 FORM 10-K</w:t>
      </w:r>
    </w:p>
    <w:p>
      <w:pPr>
        <w:sectPr>
          <w:pgSz w:w="11900" w:h="16838" w:orient="portrait"/>
          <w:cols w:equalWidth="0" w:num="1">
            <w:col w:w="11420"/>
          </w:cols>
          <w:pgMar w:left="240" w:top="459"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4"/>
          <w:szCs w:val="14"/>
          <w:color w:val="auto"/>
        </w:rPr>
        <w:t>Part II, Item 8</w:t>
      </w:r>
    </w:p>
    <w:p>
      <w:pPr>
        <w:spacing w:after="0" w:line="128" w:lineRule="exact"/>
        <w:rPr>
          <w:sz w:val="20"/>
          <w:szCs w:val="20"/>
          <w:color w:val="auto"/>
        </w:rPr>
      </w:pPr>
    </w:p>
    <w:p>
      <w:pPr>
        <w:ind w:left="440" w:hanging="432"/>
        <w:spacing w:after="0"/>
        <w:tabs>
          <w:tab w:leader="none" w:pos="440" w:val="left"/>
        </w:tabs>
        <w:numPr>
          <w:ilvl w:val="0"/>
          <w:numId w:val="45"/>
        </w:numPr>
        <w:rPr>
          <w:rFonts w:ascii="Arial" w:cs="Arial" w:eastAsia="Arial" w:hAnsi="Arial"/>
          <w:sz w:val="18"/>
          <w:szCs w:val="18"/>
          <w:b w:val="1"/>
          <w:bCs w:val="1"/>
          <w:color w:val="auto"/>
        </w:rPr>
      </w:pPr>
      <w:r>
        <w:rPr>
          <w:rFonts w:ascii="Arial" w:cs="Arial" w:eastAsia="Arial" w:hAnsi="Arial"/>
          <w:sz w:val="18"/>
          <w:szCs w:val="18"/>
          <w:b w:val="1"/>
          <w:bCs w:val="1"/>
          <w:color w:val="auto"/>
        </w:rPr>
        <w:t>Capital Stock</w:t>
      </w:r>
    </w:p>
    <w:p>
      <w:pPr>
        <w:spacing w:after="0" w:line="74" w:lineRule="exact"/>
        <w:rPr>
          <w:sz w:val="20"/>
          <w:szCs w:val="20"/>
          <w:color w:val="auto"/>
        </w:rPr>
      </w:pPr>
    </w:p>
    <w:p>
      <w:pPr>
        <w:ind w:right="160"/>
        <w:spacing w:after="0" w:line="298" w:lineRule="auto"/>
        <w:rPr>
          <w:sz w:val="20"/>
          <w:szCs w:val="20"/>
          <w:color w:val="auto"/>
        </w:rPr>
      </w:pPr>
      <w:r>
        <w:rPr>
          <w:rFonts w:ascii="Arial" w:cs="Arial" w:eastAsia="Arial" w:hAnsi="Arial"/>
          <w:sz w:val="16"/>
          <w:szCs w:val="16"/>
          <w:color w:val="auto"/>
        </w:rPr>
        <w:t>Schlumberger is authorized to issue 1,500,000,000 shares of common stock, par value $0.01 per share, of which 585,948,328 and 582,173,115 shares were outstanding on December 31, 2003 and 2002, respectively. Schlumberger is also authorized to issue 200,000,000 shares of cumulative preferred stock, par value $0.01 per share, which may be issued in series with terms and conditions determined by the Board of Directors. No shares of preferred stock have been issued. Holders of common stock and preferred stock are entitled to one vote for each share of stock held.</w:t>
      </w:r>
    </w:p>
    <w:p>
      <w:pPr>
        <w:spacing w:after="0" w:line="89" w:lineRule="exact"/>
        <w:rPr>
          <w:sz w:val="20"/>
          <w:szCs w:val="20"/>
          <w:color w:val="auto"/>
        </w:rPr>
      </w:pPr>
    </w:p>
    <w:p>
      <w:pPr>
        <w:ind w:left="440" w:hanging="432"/>
        <w:spacing w:after="0"/>
        <w:tabs>
          <w:tab w:leader="none" w:pos="440" w:val="left"/>
        </w:tabs>
        <w:numPr>
          <w:ilvl w:val="0"/>
          <w:numId w:val="46"/>
        </w:numPr>
        <w:rPr>
          <w:rFonts w:ascii="Arial" w:cs="Arial" w:eastAsia="Arial" w:hAnsi="Arial"/>
          <w:sz w:val="18"/>
          <w:szCs w:val="18"/>
          <w:b w:val="1"/>
          <w:bCs w:val="1"/>
          <w:color w:val="auto"/>
        </w:rPr>
      </w:pPr>
      <w:r>
        <w:rPr>
          <w:rFonts w:ascii="Arial" w:cs="Arial" w:eastAsia="Arial" w:hAnsi="Arial"/>
          <w:sz w:val="18"/>
          <w:szCs w:val="18"/>
          <w:b w:val="1"/>
          <w:bCs w:val="1"/>
          <w:color w:val="auto"/>
        </w:rPr>
        <w:t>Stock Compensation Plans</w:t>
      </w:r>
    </w:p>
    <w:p>
      <w:pPr>
        <w:spacing w:after="0" w:line="74" w:lineRule="exact"/>
        <w:rPr>
          <w:sz w:val="20"/>
          <w:szCs w:val="20"/>
          <w:color w:val="auto"/>
        </w:rPr>
      </w:pPr>
    </w:p>
    <w:p>
      <w:pPr>
        <w:ind w:right="20"/>
        <w:spacing w:after="0" w:line="314" w:lineRule="auto"/>
        <w:rPr>
          <w:sz w:val="20"/>
          <w:szCs w:val="20"/>
          <w:color w:val="auto"/>
        </w:rPr>
      </w:pPr>
      <w:r>
        <w:rPr>
          <w:rFonts w:ascii="Arial" w:cs="Arial" w:eastAsia="Arial" w:hAnsi="Arial"/>
          <w:sz w:val="15"/>
          <w:szCs w:val="15"/>
          <w:color w:val="auto"/>
        </w:rPr>
        <w:t xml:space="preserve">As of December 31, 2003, Schlumberger had two types of stock-based compensation plans, which are described below. Effective January 1, 2003, Schlumberger adopted the fair value recognition provisions of SFAS Nos. 123 and 148. Schlumberger recorded stock option and discounted stock purchase plan (DSPP) expenses in the </w:t>
      </w:r>
      <w:r>
        <w:rPr>
          <w:rFonts w:ascii="Arial" w:cs="Arial" w:eastAsia="Arial" w:hAnsi="Arial"/>
          <w:sz w:val="15"/>
          <w:szCs w:val="15"/>
          <w:i w:val="1"/>
          <w:iCs w:val="1"/>
          <w:color w:val="auto"/>
        </w:rPr>
        <w:t>Consolidated Statement of Income</w:t>
      </w:r>
      <w:r>
        <w:rPr>
          <w:rFonts w:ascii="Arial" w:cs="Arial" w:eastAsia="Arial" w:hAnsi="Arial"/>
          <w:sz w:val="15"/>
          <w:szCs w:val="15"/>
          <w:color w:val="auto"/>
        </w:rPr>
        <w:t xml:space="preserve"> starting in the third quarter of 2003 on a prospective basis for grants after January 1, 2003. The effect of this adoption on 2003 net income was $13 million ($0.02 per share). Schlumberger applies the intrinsic value method of APB 25 for grants prior to January 1, 2003. Had compensation cost for the stock-based Schlumberger plans been determined based on the fair value at the grant dates for awards under those plans, consistent with the method of SFAS 123, Schlumberger net income and earnings per share would have been the pro forma amounts indicated below:</w:t>
      </w:r>
    </w:p>
    <w:p>
      <w:pPr>
        <w:spacing w:after="0" w:line="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(Stated in millions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46620" cy="889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8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jc w:val="right"/>
              <w:spacing w:after="0"/>
              <w:rPr>
                <w:sz w:val="20"/>
                <w:szCs w:val="20"/>
                <w:color w:val="auto"/>
              </w:rPr>
            </w:pPr>
            <w:r>
              <w:rPr>
                <w:rFonts w:ascii="Arial" w:cs="Arial" w:eastAsia="Arial" w:hAnsi="Arial"/>
                <w:sz w:val="14"/>
                <w:szCs w:val="14"/>
                <w:b w:val="1"/>
                <w:bCs w:val="1"/>
                <w:color w:val="auto"/>
                <w:w w:val="83"/>
              </w:rPr>
              <w:t>2003</w:t>
            </w:r>
          </w:p>
        </w:tc>
        <w:tc>
          <w:tcPr>
            <w:tcW w:w="3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rPr>
              <w:t>2002</w:t>
            </w: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jc w:val="right"/>
              <w:spacing w:after="0"/>
              <w:rPr>
                <w:sz w:val="20"/>
                <w:szCs w:val="20"/>
                <w:color w:val="auto"/>
              </w:rPr>
            </w:pPr>
            <w:r>
              <w:rPr>
                <w:rFonts w:ascii="Arial" w:cs="Arial" w:eastAsia="Arial" w:hAnsi="Arial"/>
                <w:sz w:val="14"/>
                <w:szCs w:val="14"/>
                <w:b w:val="1"/>
                <w:bCs w:val="1"/>
                <w:color w:val="auto"/>
                <w:w w:val="96"/>
              </w:rPr>
              <w:t>2001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87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87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income (loss)</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740" w:type="dxa"/>
            <w:vAlign w:val="bottom"/>
          </w:tcPr>
          <w:p>
            <w:pPr>
              <w:ind w:left="320"/>
              <w:spacing w:after="0" w:line="149" w:lineRule="exact"/>
              <w:rPr>
                <w:sz w:val="20"/>
                <w:szCs w:val="20"/>
                <w:color w:val="auto"/>
              </w:rPr>
            </w:pPr>
            <w:r>
              <w:rPr>
                <w:rFonts w:ascii="Arial" w:cs="Arial" w:eastAsia="Arial" w:hAnsi="Arial"/>
                <w:sz w:val="14"/>
                <w:szCs w:val="14"/>
                <w:color w:val="auto"/>
              </w:rPr>
              <w:t>As reported</w:t>
            </w:r>
          </w:p>
        </w:tc>
        <w:tc>
          <w:tcPr>
            <w:tcW w:w="120" w:type="dxa"/>
            <w:vAlign w:val="bottom"/>
            <w:gridSpan w:val="2"/>
          </w:tcPr>
          <w:p>
            <w:pPr>
              <w:jc w:val="right"/>
              <w:ind w:right="40"/>
              <w:spacing w:after="0" w:line="149" w:lineRule="exact"/>
              <w:rPr>
                <w:sz w:val="20"/>
                <w:szCs w:val="20"/>
                <w:color w:val="auto"/>
              </w:rPr>
            </w:pPr>
            <w:r>
              <w:rPr>
                <w:rFonts w:ascii="Arial" w:cs="Arial" w:eastAsia="Arial" w:hAnsi="Arial"/>
                <w:sz w:val="14"/>
                <w:szCs w:val="14"/>
                <w:b w:val="1"/>
                <w:bCs w:val="1"/>
                <w:color w:val="auto"/>
                <w:w w:val="76"/>
              </w:rPr>
              <w:t>$</w:t>
            </w:r>
          </w:p>
        </w:tc>
        <w:tc>
          <w:tcPr>
            <w:tcW w:w="2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383</w:t>
            </w:r>
          </w:p>
        </w:tc>
        <w:tc>
          <w:tcPr>
            <w:tcW w:w="360" w:type="dxa"/>
            <w:vAlign w:val="bottom"/>
          </w:tcPr>
          <w:p>
            <w:pPr>
              <w:spacing w:after="0"/>
              <w:rPr>
                <w:sz w:val="12"/>
                <w:szCs w:val="12"/>
                <w:color w:val="auto"/>
              </w:rPr>
            </w:pPr>
          </w:p>
        </w:tc>
        <w:tc>
          <w:tcPr>
            <w:tcW w:w="4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600"/>
              <w:spacing w:after="0" w:line="149" w:lineRule="exact"/>
              <w:rPr>
                <w:sz w:val="20"/>
                <w:szCs w:val="20"/>
                <w:color w:val="auto"/>
              </w:rPr>
            </w:pPr>
            <w:r>
              <w:rPr>
                <w:rFonts w:ascii="Arial" w:cs="Arial" w:eastAsia="Arial" w:hAnsi="Arial"/>
                <w:sz w:val="14"/>
                <w:szCs w:val="14"/>
                <w:color w:val="auto"/>
                <w:w w:val="85"/>
              </w:rPr>
              <w:t>(2,320)</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320" w:type="dxa"/>
            <w:vAlign w:val="bottom"/>
          </w:tcPr>
          <w:p>
            <w:pPr>
              <w:jc w:val="right"/>
              <w:spacing w:after="0" w:line="149" w:lineRule="exact"/>
              <w:rPr>
                <w:sz w:val="20"/>
                <w:szCs w:val="20"/>
                <w:color w:val="auto"/>
              </w:rPr>
            </w:pPr>
            <w:r>
              <w:rPr>
                <w:rFonts w:ascii="Arial" w:cs="Arial" w:eastAsia="Arial" w:hAnsi="Arial"/>
                <w:sz w:val="14"/>
                <w:szCs w:val="14"/>
                <w:color w:val="auto"/>
              </w:rPr>
              <w:t>522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74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Pro forma adjustments:</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740" w:type="dxa"/>
            <w:vAlign w:val="bottom"/>
          </w:tcPr>
          <w:p>
            <w:pPr>
              <w:ind w:left="640"/>
              <w:spacing w:after="0" w:line="149" w:lineRule="exact"/>
              <w:rPr>
                <w:sz w:val="20"/>
                <w:szCs w:val="20"/>
                <w:color w:val="auto"/>
              </w:rPr>
            </w:pPr>
            <w:r>
              <w:rPr>
                <w:rFonts w:ascii="Arial" w:cs="Arial" w:eastAsia="Arial" w:hAnsi="Arial"/>
                <w:sz w:val="14"/>
                <w:szCs w:val="14"/>
                <w:color w:val="auto"/>
              </w:rPr>
              <w:t>Cost of DSPP</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tcPr>
          <w:p>
            <w:pPr>
              <w:jc w:val="right"/>
              <w:ind w:right="320"/>
              <w:spacing w:after="0" w:line="149" w:lineRule="exact"/>
              <w:rPr>
                <w:sz w:val="20"/>
                <w:szCs w:val="20"/>
                <w:color w:val="auto"/>
              </w:rPr>
            </w:pPr>
            <w:r>
              <w:rPr>
                <w:rFonts w:ascii="Arial" w:cs="Arial" w:eastAsia="Arial" w:hAnsi="Arial"/>
                <w:sz w:val="14"/>
                <w:szCs w:val="14"/>
                <w:b w:val="1"/>
                <w:bCs w:val="1"/>
                <w:color w:val="auto"/>
              </w:rPr>
              <w:t>(18)</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right"/>
              <w:ind w:right="600"/>
              <w:spacing w:after="0" w:line="149" w:lineRule="exact"/>
              <w:rPr>
                <w:sz w:val="20"/>
                <w:szCs w:val="20"/>
                <w:color w:val="auto"/>
              </w:rPr>
            </w:pPr>
            <w:r>
              <w:rPr>
                <w:rFonts w:ascii="Arial" w:cs="Arial" w:eastAsia="Arial" w:hAnsi="Arial"/>
                <w:sz w:val="14"/>
                <w:szCs w:val="14"/>
                <w:color w:val="auto"/>
              </w:rPr>
              <w:t>(42)</w:t>
            </w:r>
          </w:p>
        </w:tc>
        <w:tc>
          <w:tcPr>
            <w:tcW w:w="80" w:type="dxa"/>
            <w:vAlign w:val="bottom"/>
          </w:tcPr>
          <w:p>
            <w:pPr>
              <w:spacing w:after="0"/>
              <w:rPr>
                <w:sz w:val="12"/>
                <w:szCs w:val="12"/>
                <w:color w:val="auto"/>
              </w:rPr>
            </w:pPr>
          </w:p>
        </w:tc>
        <w:tc>
          <w:tcPr>
            <w:tcW w:w="4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740" w:type="dxa"/>
            <w:vAlign w:val="bottom"/>
            <w:shd w:val="clear" w:color="auto" w:fill="CCEEFF"/>
          </w:tcPr>
          <w:p>
            <w:pPr>
              <w:ind w:left="640"/>
              <w:spacing w:after="0" w:line="149" w:lineRule="exact"/>
              <w:rPr>
                <w:sz w:val="20"/>
                <w:szCs w:val="20"/>
                <w:color w:val="auto"/>
              </w:rPr>
            </w:pPr>
            <w:r>
              <w:rPr>
                <w:rFonts w:ascii="Arial" w:cs="Arial" w:eastAsia="Arial" w:hAnsi="Arial"/>
                <w:sz w:val="14"/>
                <w:szCs w:val="14"/>
                <w:color w:val="auto"/>
              </w:rPr>
              <w:t>Cost of Stock Options</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b w:val="1"/>
                <w:bCs w:val="1"/>
                <w:color w:val="auto"/>
              </w:rPr>
              <w:t>(81)</w:t>
            </w: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600"/>
              <w:spacing w:after="0" w:line="149" w:lineRule="exact"/>
              <w:rPr>
                <w:sz w:val="20"/>
                <w:szCs w:val="20"/>
                <w:color w:val="auto"/>
              </w:rPr>
            </w:pPr>
            <w:r>
              <w:rPr>
                <w:rFonts w:ascii="Arial" w:cs="Arial" w:eastAsia="Arial" w:hAnsi="Arial"/>
                <w:sz w:val="14"/>
                <w:szCs w:val="14"/>
                <w:color w:val="auto"/>
              </w:rPr>
              <w:t>(120)</w:t>
            </w:r>
          </w:p>
        </w:tc>
        <w:tc>
          <w:tcPr>
            <w:tcW w:w="8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(115)</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740" w:type="dxa"/>
            <w:vAlign w:val="bottom"/>
          </w:tcPr>
          <w:p>
            <w:pPr>
              <w:ind w:left="640"/>
              <w:spacing w:after="0"/>
              <w:rPr>
                <w:sz w:val="20"/>
                <w:szCs w:val="20"/>
                <w:color w:val="auto"/>
              </w:rPr>
            </w:pPr>
            <w:r>
              <w:rPr>
                <w:rFonts w:ascii="Arial" w:cs="Arial" w:eastAsia="Arial" w:hAnsi="Arial"/>
                <w:sz w:val="14"/>
                <w:szCs w:val="14"/>
                <w:color w:val="auto"/>
              </w:rPr>
              <w:t>Tax benefit</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jc w:val="right"/>
              <w:spacing w:after="0"/>
              <w:rPr>
                <w:sz w:val="20"/>
                <w:szCs w:val="20"/>
                <w:color w:val="auto"/>
              </w:rPr>
            </w:pPr>
            <w:r>
              <w:rPr>
                <w:rFonts w:ascii="Arial" w:cs="Arial" w:eastAsia="Arial" w:hAnsi="Arial"/>
                <w:sz w:val="14"/>
                <w:szCs w:val="14"/>
                <w:b w:val="1"/>
                <w:bCs w:val="1"/>
                <w:color w:val="auto"/>
              </w:rPr>
              <w:t>8</w:t>
            </w:r>
          </w:p>
        </w:tc>
        <w:tc>
          <w:tcPr>
            <w:tcW w:w="3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6</w:t>
            </w: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rPr>
              <w:t>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874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360" w:type="dxa"/>
            <w:vAlign w:val="bottom"/>
          </w:tcPr>
          <w:p>
            <w:pPr>
              <w:spacing w:after="0"/>
              <w:rPr>
                <w:sz w:val="7"/>
                <w:szCs w:val="7"/>
                <w:color w:val="auto"/>
              </w:rPr>
            </w:pPr>
          </w:p>
        </w:tc>
        <w:tc>
          <w:tcPr>
            <w:tcW w:w="30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64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7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74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Pro forma</w:t>
            </w:r>
          </w:p>
        </w:tc>
        <w:tc>
          <w:tcPr>
            <w:tcW w:w="1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b w:val="1"/>
                <w:bCs w:val="1"/>
                <w:color w:val="auto"/>
                <w:w w:val="76"/>
              </w:rPr>
              <w:t>$</w:t>
            </w:r>
          </w:p>
        </w:tc>
        <w:tc>
          <w:tcPr>
            <w:tcW w:w="2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292</w:t>
            </w:r>
          </w:p>
        </w:tc>
        <w:tc>
          <w:tcPr>
            <w:tcW w:w="36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600"/>
              <w:spacing w:after="0" w:line="149" w:lineRule="exact"/>
              <w:rPr>
                <w:sz w:val="20"/>
                <w:szCs w:val="20"/>
                <w:color w:val="auto"/>
              </w:rPr>
            </w:pPr>
            <w:r>
              <w:rPr>
                <w:rFonts w:ascii="Arial" w:cs="Arial" w:eastAsia="Arial" w:hAnsi="Arial"/>
                <w:sz w:val="14"/>
                <w:szCs w:val="14"/>
                <w:color w:val="auto"/>
                <w:w w:val="85"/>
              </w:rPr>
              <w:t>(2,476)</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386</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7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7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3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87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Basic earnings (loss) per share</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740" w:type="dxa"/>
            <w:vAlign w:val="bottom"/>
          </w:tcPr>
          <w:p>
            <w:pPr>
              <w:ind w:left="320"/>
              <w:spacing w:after="0" w:line="149" w:lineRule="exact"/>
              <w:rPr>
                <w:sz w:val="20"/>
                <w:szCs w:val="20"/>
                <w:color w:val="auto"/>
              </w:rPr>
            </w:pPr>
            <w:r>
              <w:rPr>
                <w:rFonts w:ascii="Arial" w:cs="Arial" w:eastAsia="Arial" w:hAnsi="Arial"/>
                <w:sz w:val="14"/>
                <w:szCs w:val="14"/>
                <w:color w:val="auto"/>
              </w:rPr>
              <w:t>As reported</w:t>
            </w:r>
          </w:p>
        </w:tc>
        <w:tc>
          <w:tcPr>
            <w:tcW w:w="120" w:type="dxa"/>
            <w:vAlign w:val="bottom"/>
            <w:gridSpan w:val="2"/>
          </w:tcPr>
          <w:p>
            <w:pPr>
              <w:jc w:val="right"/>
              <w:ind w:right="40"/>
              <w:spacing w:after="0" w:line="149" w:lineRule="exact"/>
              <w:rPr>
                <w:sz w:val="20"/>
                <w:szCs w:val="20"/>
                <w:color w:val="auto"/>
              </w:rPr>
            </w:pPr>
            <w:r>
              <w:rPr>
                <w:rFonts w:ascii="Arial" w:cs="Arial" w:eastAsia="Arial" w:hAnsi="Arial"/>
                <w:sz w:val="14"/>
                <w:szCs w:val="14"/>
                <w:b w:val="1"/>
                <w:bCs w:val="1"/>
                <w:color w:val="auto"/>
                <w:w w:val="76"/>
              </w:rPr>
              <w:t>$</w:t>
            </w:r>
          </w:p>
        </w:tc>
        <w:tc>
          <w:tcPr>
            <w:tcW w:w="2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5"/>
              </w:rPr>
              <w:t>0.66</w:t>
            </w:r>
          </w:p>
        </w:tc>
        <w:tc>
          <w:tcPr>
            <w:tcW w:w="360" w:type="dxa"/>
            <w:vAlign w:val="bottom"/>
          </w:tcPr>
          <w:p>
            <w:pPr>
              <w:spacing w:after="0"/>
              <w:rPr>
                <w:sz w:val="12"/>
                <w:szCs w:val="12"/>
                <w:color w:val="auto"/>
              </w:rPr>
            </w:pPr>
          </w:p>
        </w:tc>
        <w:tc>
          <w:tcPr>
            <w:tcW w:w="4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600"/>
              <w:spacing w:after="0" w:line="149" w:lineRule="exact"/>
              <w:rPr>
                <w:sz w:val="20"/>
                <w:szCs w:val="20"/>
                <w:color w:val="auto"/>
              </w:rPr>
            </w:pPr>
            <w:r>
              <w:rPr>
                <w:rFonts w:ascii="Arial" w:cs="Arial" w:eastAsia="Arial" w:hAnsi="Arial"/>
                <w:sz w:val="14"/>
                <w:szCs w:val="14"/>
                <w:color w:val="auto"/>
              </w:rPr>
              <w:t>(4.01)</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320" w:type="dxa"/>
            <w:vAlign w:val="bottom"/>
          </w:tcPr>
          <w:p>
            <w:pPr>
              <w:jc w:val="right"/>
              <w:spacing w:after="0" w:line="149" w:lineRule="exact"/>
              <w:rPr>
                <w:sz w:val="20"/>
                <w:szCs w:val="20"/>
                <w:color w:val="auto"/>
              </w:rPr>
            </w:pPr>
            <w:r>
              <w:rPr>
                <w:rFonts w:ascii="Arial" w:cs="Arial" w:eastAsia="Arial" w:hAnsi="Arial"/>
                <w:sz w:val="14"/>
                <w:szCs w:val="14"/>
                <w:color w:val="auto"/>
              </w:rPr>
              <w:t>0.91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74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Pro forma adjustments:</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740" w:type="dxa"/>
            <w:vAlign w:val="bottom"/>
          </w:tcPr>
          <w:p>
            <w:pPr>
              <w:ind w:left="640"/>
              <w:spacing w:after="0" w:line="149" w:lineRule="exact"/>
              <w:rPr>
                <w:sz w:val="20"/>
                <w:szCs w:val="20"/>
                <w:color w:val="auto"/>
              </w:rPr>
            </w:pPr>
            <w:r>
              <w:rPr>
                <w:rFonts w:ascii="Arial" w:cs="Arial" w:eastAsia="Arial" w:hAnsi="Arial"/>
                <w:sz w:val="14"/>
                <w:szCs w:val="14"/>
                <w:color w:val="auto"/>
              </w:rPr>
              <w:t>Cost of DSPP</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tcPr>
          <w:p>
            <w:pPr>
              <w:jc w:val="right"/>
              <w:ind w:right="320"/>
              <w:spacing w:after="0" w:line="149" w:lineRule="exact"/>
              <w:rPr>
                <w:sz w:val="20"/>
                <w:szCs w:val="20"/>
                <w:color w:val="auto"/>
              </w:rPr>
            </w:pPr>
            <w:r>
              <w:rPr>
                <w:rFonts w:ascii="Arial" w:cs="Arial" w:eastAsia="Arial" w:hAnsi="Arial"/>
                <w:sz w:val="14"/>
                <w:szCs w:val="14"/>
                <w:b w:val="1"/>
                <w:bCs w:val="1"/>
                <w:color w:val="auto"/>
                <w:w w:val="81"/>
              </w:rPr>
              <w:t>(0.03)</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right"/>
              <w:ind w:right="600"/>
              <w:spacing w:after="0" w:line="149" w:lineRule="exact"/>
              <w:rPr>
                <w:sz w:val="20"/>
                <w:szCs w:val="20"/>
                <w:color w:val="auto"/>
              </w:rPr>
            </w:pPr>
            <w:r>
              <w:rPr>
                <w:rFonts w:ascii="Arial" w:cs="Arial" w:eastAsia="Arial" w:hAnsi="Arial"/>
                <w:sz w:val="14"/>
                <w:szCs w:val="14"/>
                <w:color w:val="auto"/>
              </w:rPr>
              <w:t>(0.07)</w:t>
            </w:r>
          </w:p>
        </w:tc>
        <w:tc>
          <w:tcPr>
            <w:tcW w:w="80" w:type="dxa"/>
            <w:vAlign w:val="bottom"/>
          </w:tcPr>
          <w:p>
            <w:pPr>
              <w:spacing w:after="0"/>
              <w:rPr>
                <w:sz w:val="12"/>
                <w:szCs w:val="12"/>
                <w:color w:val="auto"/>
              </w:rPr>
            </w:pPr>
          </w:p>
        </w:tc>
        <w:tc>
          <w:tcPr>
            <w:tcW w:w="4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w w:val="92"/>
              </w:rPr>
              <w:t>(0.05)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740" w:type="dxa"/>
            <w:vAlign w:val="bottom"/>
            <w:shd w:val="clear" w:color="auto" w:fill="CCEEFF"/>
          </w:tcPr>
          <w:p>
            <w:pPr>
              <w:ind w:left="640"/>
              <w:spacing w:after="0" w:line="149" w:lineRule="exact"/>
              <w:rPr>
                <w:sz w:val="20"/>
                <w:szCs w:val="20"/>
                <w:color w:val="auto"/>
              </w:rPr>
            </w:pPr>
            <w:r>
              <w:rPr>
                <w:rFonts w:ascii="Arial" w:cs="Arial" w:eastAsia="Arial" w:hAnsi="Arial"/>
                <w:sz w:val="14"/>
                <w:szCs w:val="14"/>
                <w:color w:val="auto"/>
              </w:rPr>
              <w:t>Cost of Stock Options</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b w:val="1"/>
                <w:bCs w:val="1"/>
                <w:color w:val="auto"/>
                <w:w w:val="81"/>
              </w:rPr>
              <w:t>(0.14)</w:t>
            </w: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600"/>
              <w:spacing w:after="0" w:line="149" w:lineRule="exact"/>
              <w:rPr>
                <w:sz w:val="20"/>
                <w:szCs w:val="20"/>
                <w:color w:val="auto"/>
              </w:rPr>
            </w:pPr>
            <w:r>
              <w:rPr>
                <w:rFonts w:ascii="Arial" w:cs="Arial" w:eastAsia="Arial" w:hAnsi="Arial"/>
                <w:sz w:val="14"/>
                <w:szCs w:val="14"/>
                <w:color w:val="auto"/>
              </w:rPr>
              <w:t>(0.21)</w:t>
            </w:r>
          </w:p>
        </w:tc>
        <w:tc>
          <w:tcPr>
            <w:tcW w:w="8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92"/>
              </w:rPr>
              <w:t>(0.20)</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740" w:type="dxa"/>
            <w:vAlign w:val="bottom"/>
          </w:tcPr>
          <w:p>
            <w:pPr>
              <w:ind w:left="640"/>
              <w:spacing w:after="0"/>
              <w:rPr>
                <w:sz w:val="20"/>
                <w:szCs w:val="20"/>
                <w:color w:val="auto"/>
              </w:rPr>
            </w:pPr>
            <w:r>
              <w:rPr>
                <w:rFonts w:ascii="Arial" w:cs="Arial" w:eastAsia="Arial" w:hAnsi="Arial"/>
                <w:sz w:val="14"/>
                <w:szCs w:val="14"/>
                <w:color w:val="auto"/>
              </w:rPr>
              <w:t>Tax benefit</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jc w:val="right"/>
              <w:spacing w:after="0"/>
              <w:rPr>
                <w:sz w:val="20"/>
                <w:szCs w:val="20"/>
                <w:color w:val="auto"/>
              </w:rPr>
            </w:pPr>
            <w:r>
              <w:rPr>
                <w:rFonts w:ascii="Arial" w:cs="Arial" w:eastAsia="Arial" w:hAnsi="Arial"/>
                <w:sz w:val="14"/>
                <w:szCs w:val="14"/>
                <w:b w:val="1"/>
                <w:bCs w:val="1"/>
                <w:color w:val="auto"/>
                <w:w w:val="95"/>
              </w:rPr>
              <w:t>0.01</w:t>
            </w:r>
          </w:p>
        </w:tc>
        <w:tc>
          <w:tcPr>
            <w:tcW w:w="3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0.01</w:t>
            </w: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rPr>
              <w:t>0.01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874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360" w:type="dxa"/>
            <w:vAlign w:val="bottom"/>
          </w:tcPr>
          <w:p>
            <w:pPr>
              <w:spacing w:after="0"/>
              <w:rPr>
                <w:sz w:val="7"/>
                <w:szCs w:val="7"/>
                <w:color w:val="auto"/>
              </w:rPr>
            </w:pPr>
          </w:p>
        </w:tc>
        <w:tc>
          <w:tcPr>
            <w:tcW w:w="30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64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7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74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Pro forma</w:t>
            </w:r>
          </w:p>
        </w:tc>
        <w:tc>
          <w:tcPr>
            <w:tcW w:w="1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b w:val="1"/>
                <w:bCs w:val="1"/>
                <w:color w:val="auto"/>
                <w:w w:val="76"/>
              </w:rPr>
              <w:t>$</w:t>
            </w:r>
          </w:p>
        </w:tc>
        <w:tc>
          <w:tcPr>
            <w:tcW w:w="2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95"/>
              </w:rPr>
              <w:t>0.50</w:t>
            </w:r>
          </w:p>
        </w:tc>
        <w:tc>
          <w:tcPr>
            <w:tcW w:w="36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600"/>
              <w:spacing w:after="0" w:line="149" w:lineRule="exact"/>
              <w:rPr>
                <w:sz w:val="20"/>
                <w:szCs w:val="20"/>
                <w:color w:val="auto"/>
              </w:rPr>
            </w:pPr>
            <w:r>
              <w:rPr>
                <w:rFonts w:ascii="Arial" w:cs="Arial" w:eastAsia="Arial" w:hAnsi="Arial"/>
                <w:sz w:val="14"/>
                <w:szCs w:val="14"/>
                <w:color w:val="auto"/>
              </w:rPr>
              <w:t>(4.28)</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0.67</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7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3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87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Diluted earnings (loss) per share</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740" w:type="dxa"/>
            <w:vAlign w:val="bottom"/>
          </w:tcPr>
          <w:p>
            <w:pPr>
              <w:ind w:left="320"/>
              <w:spacing w:after="0" w:line="149" w:lineRule="exact"/>
              <w:rPr>
                <w:sz w:val="20"/>
                <w:szCs w:val="20"/>
                <w:color w:val="auto"/>
              </w:rPr>
            </w:pPr>
            <w:r>
              <w:rPr>
                <w:rFonts w:ascii="Arial" w:cs="Arial" w:eastAsia="Arial" w:hAnsi="Arial"/>
                <w:sz w:val="14"/>
                <w:szCs w:val="14"/>
                <w:color w:val="auto"/>
              </w:rPr>
              <w:t>As reported</w:t>
            </w:r>
          </w:p>
        </w:tc>
        <w:tc>
          <w:tcPr>
            <w:tcW w:w="120" w:type="dxa"/>
            <w:vAlign w:val="bottom"/>
            <w:gridSpan w:val="2"/>
          </w:tcPr>
          <w:p>
            <w:pPr>
              <w:jc w:val="right"/>
              <w:ind w:right="40"/>
              <w:spacing w:after="0" w:line="149" w:lineRule="exact"/>
              <w:rPr>
                <w:sz w:val="20"/>
                <w:szCs w:val="20"/>
                <w:color w:val="auto"/>
              </w:rPr>
            </w:pPr>
            <w:r>
              <w:rPr>
                <w:rFonts w:ascii="Arial" w:cs="Arial" w:eastAsia="Arial" w:hAnsi="Arial"/>
                <w:sz w:val="14"/>
                <w:szCs w:val="14"/>
                <w:b w:val="1"/>
                <w:bCs w:val="1"/>
                <w:color w:val="auto"/>
                <w:w w:val="76"/>
              </w:rPr>
              <w:t>$</w:t>
            </w:r>
          </w:p>
        </w:tc>
        <w:tc>
          <w:tcPr>
            <w:tcW w:w="2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5"/>
              </w:rPr>
              <w:t>0.66</w:t>
            </w:r>
          </w:p>
        </w:tc>
        <w:tc>
          <w:tcPr>
            <w:tcW w:w="360" w:type="dxa"/>
            <w:vAlign w:val="bottom"/>
          </w:tcPr>
          <w:p>
            <w:pPr>
              <w:spacing w:after="0"/>
              <w:rPr>
                <w:sz w:val="12"/>
                <w:szCs w:val="12"/>
                <w:color w:val="auto"/>
              </w:rPr>
            </w:pPr>
          </w:p>
        </w:tc>
        <w:tc>
          <w:tcPr>
            <w:tcW w:w="4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600"/>
              <w:spacing w:after="0" w:line="149" w:lineRule="exact"/>
              <w:rPr>
                <w:sz w:val="20"/>
                <w:szCs w:val="20"/>
                <w:color w:val="auto"/>
              </w:rPr>
            </w:pPr>
            <w:r>
              <w:rPr>
                <w:rFonts w:ascii="Arial" w:cs="Arial" w:eastAsia="Arial" w:hAnsi="Arial"/>
                <w:sz w:val="14"/>
                <w:szCs w:val="14"/>
                <w:color w:val="auto"/>
              </w:rPr>
              <w:t>(4.01)</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320" w:type="dxa"/>
            <w:vAlign w:val="bottom"/>
          </w:tcPr>
          <w:p>
            <w:pPr>
              <w:jc w:val="right"/>
              <w:spacing w:after="0" w:line="149" w:lineRule="exact"/>
              <w:rPr>
                <w:sz w:val="20"/>
                <w:szCs w:val="20"/>
                <w:color w:val="auto"/>
              </w:rPr>
            </w:pPr>
            <w:r>
              <w:rPr>
                <w:rFonts w:ascii="Arial" w:cs="Arial" w:eastAsia="Arial" w:hAnsi="Arial"/>
                <w:sz w:val="14"/>
                <w:szCs w:val="14"/>
                <w:color w:val="auto"/>
              </w:rPr>
              <w:t>0.91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74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Pro forma adjustments:</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740" w:type="dxa"/>
            <w:vAlign w:val="bottom"/>
          </w:tcPr>
          <w:p>
            <w:pPr>
              <w:ind w:left="640"/>
              <w:spacing w:after="0" w:line="149" w:lineRule="exact"/>
              <w:rPr>
                <w:sz w:val="20"/>
                <w:szCs w:val="20"/>
                <w:color w:val="auto"/>
              </w:rPr>
            </w:pPr>
            <w:r>
              <w:rPr>
                <w:rFonts w:ascii="Arial" w:cs="Arial" w:eastAsia="Arial" w:hAnsi="Arial"/>
                <w:sz w:val="14"/>
                <w:szCs w:val="14"/>
                <w:color w:val="auto"/>
              </w:rPr>
              <w:t>Cost of DSPP</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tcPr>
          <w:p>
            <w:pPr>
              <w:jc w:val="right"/>
              <w:ind w:right="320"/>
              <w:spacing w:after="0" w:line="149" w:lineRule="exact"/>
              <w:rPr>
                <w:sz w:val="20"/>
                <w:szCs w:val="20"/>
                <w:color w:val="auto"/>
              </w:rPr>
            </w:pPr>
            <w:r>
              <w:rPr>
                <w:rFonts w:ascii="Arial" w:cs="Arial" w:eastAsia="Arial" w:hAnsi="Arial"/>
                <w:sz w:val="14"/>
                <w:szCs w:val="14"/>
                <w:b w:val="1"/>
                <w:bCs w:val="1"/>
                <w:color w:val="auto"/>
                <w:w w:val="81"/>
              </w:rPr>
              <w:t>(0.03)</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right"/>
              <w:ind w:right="600"/>
              <w:spacing w:after="0" w:line="149" w:lineRule="exact"/>
              <w:rPr>
                <w:sz w:val="20"/>
                <w:szCs w:val="20"/>
                <w:color w:val="auto"/>
              </w:rPr>
            </w:pPr>
            <w:r>
              <w:rPr>
                <w:rFonts w:ascii="Arial" w:cs="Arial" w:eastAsia="Arial" w:hAnsi="Arial"/>
                <w:sz w:val="14"/>
                <w:szCs w:val="14"/>
                <w:color w:val="auto"/>
              </w:rPr>
              <w:t>(0.07)</w:t>
            </w:r>
          </w:p>
        </w:tc>
        <w:tc>
          <w:tcPr>
            <w:tcW w:w="80" w:type="dxa"/>
            <w:vAlign w:val="bottom"/>
          </w:tcPr>
          <w:p>
            <w:pPr>
              <w:spacing w:after="0"/>
              <w:rPr>
                <w:sz w:val="12"/>
                <w:szCs w:val="12"/>
                <w:color w:val="auto"/>
              </w:rPr>
            </w:pPr>
          </w:p>
        </w:tc>
        <w:tc>
          <w:tcPr>
            <w:tcW w:w="4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w w:val="92"/>
              </w:rPr>
              <w:t>(0.05)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740" w:type="dxa"/>
            <w:vAlign w:val="bottom"/>
            <w:shd w:val="clear" w:color="auto" w:fill="CCEEFF"/>
          </w:tcPr>
          <w:p>
            <w:pPr>
              <w:ind w:left="640"/>
              <w:spacing w:after="0" w:line="149" w:lineRule="exact"/>
              <w:rPr>
                <w:sz w:val="20"/>
                <w:szCs w:val="20"/>
                <w:color w:val="auto"/>
              </w:rPr>
            </w:pPr>
            <w:r>
              <w:rPr>
                <w:rFonts w:ascii="Arial" w:cs="Arial" w:eastAsia="Arial" w:hAnsi="Arial"/>
                <w:sz w:val="14"/>
                <w:szCs w:val="14"/>
                <w:color w:val="auto"/>
              </w:rPr>
              <w:t>Cost of Stock Options</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b w:val="1"/>
                <w:bCs w:val="1"/>
                <w:color w:val="auto"/>
                <w:w w:val="81"/>
              </w:rPr>
              <w:t>(0.14)</w:t>
            </w: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600"/>
              <w:spacing w:after="0" w:line="149" w:lineRule="exact"/>
              <w:rPr>
                <w:sz w:val="20"/>
                <w:szCs w:val="20"/>
                <w:color w:val="auto"/>
              </w:rPr>
            </w:pPr>
            <w:r>
              <w:rPr>
                <w:rFonts w:ascii="Arial" w:cs="Arial" w:eastAsia="Arial" w:hAnsi="Arial"/>
                <w:sz w:val="14"/>
                <w:szCs w:val="14"/>
                <w:color w:val="auto"/>
              </w:rPr>
              <w:t>(0.21)</w:t>
            </w:r>
          </w:p>
        </w:tc>
        <w:tc>
          <w:tcPr>
            <w:tcW w:w="8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92"/>
              </w:rPr>
              <w:t>(0.20)</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740" w:type="dxa"/>
            <w:vAlign w:val="bottom"/>
          </w:tcPr>
          <w:p>
            <w:pPr>
              <w:ind w:left="640"/>
              <w:spacing w:after="0"/>
              <w:rPr>
                <w:sz w:val="20"/>
                <w:szCs w:val="20"/>
                <w:color w:val="auto"/>
              </w:rPr>
            </w:pPr>
            <w:r>
              <w:rPr>
                <w:rFonts w:ascii="Arial" w:cs="Arial" w:eastAsia="Arial" w:hAnsi="Arial"/>
                <w:sz w:val="14"/>
                <w:szCs w:val="14"/>
                <w:color w:val="auto"/>
              </w:rPr>
              <w:t>Tax benefit</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jc w:val="right"/>
              <w:spacing w:after="0"/>
              <w:rPr>
                <w:sz w:val="20"/>
                <w:szCs w:val="20"/>
                <w:color w:val="auto"/>
              </w:rPr>
            </w:pPr>
            <w:r>
              <w:rPr>
                <w:rFonts w:ascii="Arial" w:cs="Arial" w:eastAsia="Arial" w:hAnsi="Arial"/>
                <w:sz w:val="14"/>
                <w:szCs w:val="14"/>
                <w:b w:val="1"/>
                <w:bCs w:val="1"/>
                <w:color w:val="auto"/>
                <w:w w:val="95"/>
              </w:rPr>
              <w:t>0.01</w:t>
            </w:r>
          </w:p>
        </w:tc>
        <w:tc>
          <w:tcPr>
            <w:tcW w:w="3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0.01</w:t>
            </w: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rPr>
              <w:t>0.01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874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360" w:type="dxa"/>
            <w:vAlign w:val="bottom"/>
          </w:tcPr>
          <w:p>
            <w:pPr>
              <w:spacing w:after="0"/>
              <w:rPr>
                <w:sz w:val="7"/>
                <w:szCs w:val="7"/>
                <w:color w:val="auto"/>
              </w:rPr>
            </w:pPr>
          </w:p>
        </w:tc>
        <w:tc>
          <w:tcPr>
            <w:tcW w:w="30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64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7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74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Pro forma</w:t>
            </w:r>
          </w:p>
        </w:tc>
        <w:tc>
          <w:tcPr>
            <w:tcW w:w="1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b w:val="1"/>
                <w:bCs w:val="1"/>
                <w:color w:val="auto"/>
                <w:w w:val="76"/>
              </w:rPr>
              <w:t>$</w:t>
            </w:r>
          </w:p>
        </w:tc>
        <w:tc>
          <w:tcPr>
            <w:tcW w:w="2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95"/>
              </w:rPr>
              <w:t>0.50</w:t>
            </w:r>
          </w:p>
        </w:tc>
        <w:tc>
          <w:tcPr>
            <w:tcW w:w="36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600"/>
              <w:spacing w:after="0" w:line="149" w:lineRule="exact"/>
              <w:rPr>
                <w:sz w:val="20"/>
                <w:szCs w:val="20"/>
                <w:color w:val="auto"/>
              </w:rPr>
            </w:pPr>
            <w:r>
              <w:rPr>
                <w:rFonts w:ascii="Arial" w:cs="Arial" w:eastAsia="Arial" w:hAnsi="Arial"/>
                <w:sz w:val="14"/>
                <w:szCs w:val="14"/>
                <w:color w:val="auto"/>
              </w:rPr>
              <w:t>(4.28)</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0.67</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7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5568950</wp:posOffset>
            </wp:positionH>
            <wp:positionV relativeFrom="paragraph">
              <wp:posOffset>-1967230</wp:posOffset>
            </wp:positionV>
            <wp:extent cx="12700" cy="2984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-1967230</wp:posOffset>
            </wp:positionV>
            <wp:extent cx="21590" cy="2984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5808980</wp:posOffset>
            </wp:positionH>
            <wp:positionV relativeFrom="paragraph">
              <wp:posOffset>-1967230</wp:posOffset>
            </wp:positionV>
            <wp:extent cx="38735" cy="2984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6229350</wp:posOffset>
            </wp:positionH>
            <wp:positionV relativeFrom="paragraph">
              <wp:posOffset>-1967230</wp:posOffset>
            </wp:positionV>
            <wp:extent cx="321310" cy="2984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321310" cy="29845"/>
                    </a:xfrm>
                    <a:prstGeom prst="rect">
                      <a:avLst/>
                    </a:prstGeom>
                    <a:noFill/>
                  </pic:spPr>
                </pic:pic>
              </a:graphicData>
            </a:graphic>
          </wp:anchor>
        </w:drawing>
        <w:drawing>
          <wp:anchor simplePos="0" relativeHeight="251657728" behindDoc="1" locked="0" layoutInCell="0" allowOverlap="1">
            <wp:simplePos x="0" y="0"/>
            <wp:positionH relativeFrom="column">
              <wp:posOffset>6932295</wp:posOffset>
            </wp:positionH>
            <wp:positionV relativeFrom="paragraph">
              <wp:posOffset>-1967230</wp:posOffset>
            </wp:positionV>
            <wp:extent cx="12700" cy="2984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6992620</wp:posOffset>
            </wp:positionH>
            <wp:positionV relativeFrom="paragraph">
              <wp:posOffset>-1967230</wp:posOffset>
            </wp:positionV>
            <wp:extent cx="21590" cy="2984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-1967230</wp:posOffset>
            </wp:positionV>
            <wp:extent cx="38735" cy="2984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-998220</wp:posOffset>
            </wp:positionV>
            <wp:extent cx="278765" cy="2984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278765" cy="29845"/>
                    </a:xfrm>
                    <a:prstGeom prst="rect">
                      <a:avLst/>
                    </a:prstGeom>
                    <a:noFill/>
                  </pic:spPr>
                </pic:pic>
              </a:graphicData>
            </a:graphic>
          </wp:anchor>
        </w:drawing>
        <w:drawing>
          <wp:anchor simplePos="0" relativeHeight="251657728" behindDoc="1" locked="0" layoutInCell="0" allowOverlap="1">
            <wp:simplePos x="0" y="0"/>
            <wp:positionH relativeFrom="column">
              <wp:posOffset>6229350</wp:posOffset>
            </wp:positionH>
            <wp:positionV relativeFrom="paragraph">
              <wp:posOffset>-998220</wp:posOffset>
            </wp:positionV>
            <wp:extent cx="321310" cy="2984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321310" cy="29845"/>
                    </a:xfrm>
                    <a:prstGeom prst="rect">
                      <a:avLst/>
                    </a:prstGeom>
                    <a:noFill/>
                  </pic:spPr>
                </pic:pic>
              </a:graphicData>
            </a:graphic>
          </wp:anchor>
        </w:drawing>
        <w:drawing>
          <wp:anchor simplePos="0" relativeHeight="251657728" behindDoc="1" locked="0" layoutInCell="0" allowOverlap="1">
            <wp:simplePos x="0" y="0"/>
            <wp:positionH relativeFrom="column">
              <wp:posOffset>6932295</wp:posOffset>
            </wp:positionH>
            <wp:positionV relativeFrom="paragraph">
              <wp:posOffset>-998220</wp:posOffset>
            </wp:positionV>
            <wp:extent cx="12700" cy="2984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6992620</wp:posOffset>
            </wp:positionH>
            <wp:positionV relativeFrom="paragraph">
              <wp:posOffset>-998220</wp:posOffset>
            </wp:positionV>
            <wp:extent cx="21590" cy="2984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-998220</wp:posOffset>
            </wp:positionV>
            <wp:extent cx="38735" cy="2984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-29210</wp:posOffset>
            </wp:positionV>
            <wp:extent cx="12700" cy="2984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-29210</wp:posOffset>
            </wp:positionV>
            <wp:extent cx="21590" cy="2984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5808980</wp:posOffset>
            </wp:positionH>
            <wp:positionV relativeFrom="paragraph">
              <wp:posOffset>-29210</wp:posOffset>
            </wp:positionV>
            <wp:extent cx="38735" cy="2984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6229350</wp:posOffset>
            </wp:positionH>
            <wp:positionV relativeFrom="paragraph">
              <wp:posOffset>-29210</wp:posOffset>
            </wp:positionV>
            <wp:extent cx="321310" cy="2984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321310" cy="29845"/>
                    </a:xfrm>
                    <a:prstGeom prst="rect">
                      <a:avLst/>
                    </a:prstGeom>
                    <a:noFill/>
                  </pic:spPr>
                </pic:pic>
              </a:graphicData>
            </a:graphic>
          </wp:anchor>
        </w:drawing>
        <w:drawing>
          <wp:anchor simplePos="0" relativeHeight="251657728" behindDoc="1" locked="0" layoutInCell="0" allowOverlap="1">
            <wp:simplePos x="0" y="0"/>
            <wp:positionH relativeFrom="column">
              <wp:posOffset>6932295</wp:posOffset>
            </wp:positionH>
            <wp:positionV relativeFrom="paragraph">
              <wp:posOffset>-29210</wp:posOffset>
            </wp:positionV>
            <wp:extent cx="12700" cy="2984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6992620</wp:posOffset>
            </wp:positionH>
            <wp:positionV relativeFrom="paragraph">
              <wp:posOffset>-29210</wp:posOffset>
            </wp:positionV>
            <wp:extent cx="21590" cy="2984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-29210</wp:posOffset>
            </wp:positionV>
            <wp:extent cx="38735" cy="2984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 Plans</w:t>
      </w:r>
    </w:p>
    <w:p>
      <w:pPr>
        <w:spacing w:after="0" w:line="72" w:lineRule="exact"/>
        <w:rPr>
          <w:sz w:val="20"/>
          <w:szCs w:val="20"/>
          <w:color w:val="auto"/>
        </w:rPr>
      </w:pPr>
    </w:p>
    <w:p>
      <w:pPr>
        <w:jc w:val="both"/>
        <w:ind w:right="140"/>
        <w:spacing w:after="0" w:line="335" w:lineRule="auto"/>
        <w:rPr>
          <w:sz w:val="20"/>
          <w:szCs w:val="20"/>
          <w:color w:val="auto"/>
        </w:rPr>
      </w:pPr>
      <w:r>
        <w:rPr>
          <w:rFonts w:ascii="Arial" w:cs="Arial" w:eastAsia="Arial" w:hAnsi="Arial"/>
          <w:sz w:val="15"/>
          <w:szCs w:val="15"/>
          <w:color w:val="auto"/>
        </w:rPr>
        <w:t>During 2003, 2002, 2001 and in prior years, officers and key employees were granted stock options under Schlumberger stock option plans. For all of the stock options granted, the exercise price of each option equals the market price of Schlumberger stock on the date of grant; an option’s maximum term is generally ten years, and options generally vest in increments over four or five years, and with respect to the July 2003 grant awards were capped at 125% of exercise price.</w:t>
      </w:r>
    </w:p>
    <w:p>
      <w:pPr>
        <w:spacing w:after="0" w:line="72" w:lineRule="exact"/>
        <w:rPr>
          <w:sz w:val="20"/>
          <w:szCs w:val="20"/>
          <w:color w:val="auto"/>
        </w:rPr>
      </w:pPr>
    </w:p>
    <w:p>
      <w:pPr>
        <w:spacing w:after="0"/>
        <w:tabs>
          <w:tab w:leader="none" w:pos="10400" w:val="left"/>
        </w:tabs>
        <w:rPr>
          <w:sz w:val="20"/>
          <w:szCs w:val="20"/>
          <w:color w:val="auto"/>
        </w:rPr>
      </w:pPr>
      <w:r>
        <w:rPr>
          <w:rFonts w:ascii="Arial" w:cs="Arial" w:eastAsia="Arial" w:hAnsi="Arial"/>
          <w:sz w:val="14"/>
          <w:szCs w:val="14"/>
          <w:color w:val="auto"/>
        </w:rPr>
        <w:t>57 / SLB</w:t>
      </w:r>
      <w:r>
        <w:rPr>
          <w:sz w:val="20"/>
          <w:szCs w:val="20"/>
          <w:color w:val="auto"/>
        </w:rPr>
        <w:tab/>
      </w:r>
      <w:r>
        <w:rPr>
          <w:rFonts w:ascii="Arial" w:cs="Arial" w:eastAsia="Arial" w:hAnsi="Arial"/>
          <w:sz w:val="12"/>
          <w:szCs w:val="12"/>
          <w:color w:val="auto"/>
        </w:rPr>
        <w:t>2003 FORM 10-K</w:t>
      </w:r>
    </w:p>
    <w:p>
      <w:pPr>
        <w:sectPr>
          <w:pgSz w:w="11900" w:h="16838" w:orient="portrait"/>
          <w:cols w:equalWidth="0" w:num="1">
            <w:col w:w="11420"/>
          </w:cols>
          <w:pgMar w:left="240" w:top="459"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4"/>
          <w:szCs w:val="14"/>
          <w:color w:val="auto"/>
        </w:rPr>
        <w:t>Part II, Item 8</w:t>
      </w:r>
    </w:p>
    <w:p>
      <w:pPr>
        <w:spacing w:after="0" w:line="139" w:lineRule="exact"/>
        <w:rPr>
          <w:sz w:val="20"/>
          <w:szCs w:val="20"/>
          <w:color w:val="auto"/>
        </w:rPr>
      </w:pPr>
    </w:p>
    <w:p>
      <w:pPr>
        <w:ind w:right="120" w:firstLine="228"/>
        <w:spacing w:after="0" w:line="283" w:lineRule="auto"/>
        <w:rPr>
          <w:sz w:val="20"/>
          <w:szCs w:val="20"/>
          <w:color w:val="auto"/>
        </w:rPr>
      </w:pPr>
      <w:r>
        <w:rPr>
          <w:rFonts w:ascii="Arial" w:cs="Arial" w:eastAsia="Arial" w:hAnsi="Arial"/>
          <w:sz w:val="16"/>
          <w:szCs w:val="16"/>
          <w:color w:val="auto"/>
        </w:rPr>
        <w:t>As required by SFAS 123, the fair value of each grant is estimated on the date of grant using the multiple option Black-Scholes option-pricing model with the following weighted-average assumptions used for 2003, 2002 and 2001: dividend of $0.75; expected volatility of 34%-37% for 2003 grants, 32%-36% for 2002 grants and 32-35% for 2001 grants; risk-free interest rates for the 2003 grants of 2.83%-3.51% for officers and all other employees; risk-free interest rates for the 2002 grants of 4.34%-5.25% for officers and 3.04%-4.73% for the 2002 grants to all other employees; risk-free interest rates for the 2001 grants of 4.91% for officers and 3.87%-5.01% for the 2001 grants to all other employees; and expected option lives of 4.71 years for officers and other employees for 2003 grants, expected option lives of 6.6 years for officers and 5.07 years for other employees for 2002 grants, expected option lives of 5.51 years for officers and 5.02 years for other employees for 2001 grants.</w:t>
      </w:r>
    </w:p>
    <w:p>
      <w:pPr>
        <w:ind w:right="80" w:firstLine="228"/>
        <w:spacing w:after="0" w:line="261" w:lineRule="auto"/>
        <w:rPr>
          <w:sz w:val="20"/>
          <w:szCs w:val="20"/>
          <w:color w:val="auto"/>
        </w:rPr>
      </w:pPr>
      <w:r>
        <w:rPr>
          <w:rFonts w:ascii="Arial" w:cs="Arial" w:eastAsia="Arial" w:hAnsi="Arial"/>
          <w:sz w:val="18"/>
          <w:szCs w:val="18"/>
          <w:color w:val="auto"/>
        </w:rPr>
        <w:t>A summary of the status of the Schlumberger stock option plans as of December 31, 2003, 2002 and 2001, and changes during the years ending on those dates is presented below:</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ind w:left="40"/>
              <w:spacing w:after="0"/>
              <w:rPr>
                <w:sz w:val="20"/>
                <w:szCs w:val="20"/>
                <w:color w:val="auto"/>
              </w:rPr>
            </w:pPr>
            <w:r>
              <w:rPr>
                <w:rFonts w:ascii="Arial" w:cs="Arial" w:eastAsia="Arial" w:hAnsi="Arial"/>
                <w:sz w:val="14"/>
                <w:szCs w:val="14"/>
                <w:b w:val="1"/>
                <w:bCs w:val="1"/>
                <w:color w:val="auto"/>
              </w:rPr>
              <w:t>2003</w:t>
            </w:r>
          </w:p>
        </w:tc>
        <w:tc>
          <w:tcPr>
            <w:tcW w:w="5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4"/>
                <w:szCs w:val="14"/>
                <w:b w:val="1"/>
                <w:bCs w:val="1"/>
                <w:color w:val="auto"/>
              </w:rPr>
              <w:t>2002</w:t>
            </w:r>
          </w:p>
        </w:tc>
        <w:tc>
          <w:tcPr>
            <w:tcW w:w="4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4"/>
                <w:szCs w:val="14"/>
                <w:b w:val="1"/>
                <w:bCs w:val="1"/>
                <w:color w:val="auto"/>
              </w:rPr>
              <w:t>2001</w:t>
            </w:r>
          </w:p>
        </w:tc>
        <w:tc>
          <w:tcPr>
            <w:tcW w:w="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9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200" w:type="dxa"/>
            <w:vAlign w:val="bottom"/>
            <w:tcBorders>
              <w:bottom w:val="single" w:sz="8" w:color="auto"/>
            </w:tcBorders>
            <w:gridSpan w:val="2"/>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200" w:type="dxa"/>
            <w:vAlign w:val="bottom"/>
            <w:tcBorders>
              <w:bottom w:val="single" w:sz="8" w:color="auto"/>
            </w:tcBorders>
            <w:gridSpan w:val="2"/>
          </w:tcPr>
          <w:p>
            <w:pPr>
              <w:spacing w:after="0"/>
              <w:rPr>
                <w:sz w:val="8"/>
                <w:szCs w:val="8"/>
                <w:color w:val="auto"/>
              </w:rPr>
            </w:pPr>
          </w:p>
        </w:tc>
        <w:tc>
          <w:tcPr>
            <w:tcW w:w="3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200" w:type="dxa"/>
            <w:vAlign w:val="bottom"/>
            <w:tcBorders>
              <w:bottom w:val="single" w:sz="8" w:color="auto"/>
            </w:tcBorders>
            <w:gridSpan w:val="2"/>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00" w:type="dxa"/>
            <w:vAlign w:val="bottom"/>
            <w:gridSpan w:val="3"/>
          </w:tcPr>
          <w:p>
            <w:pPr>
              <w:ind w:left="600"/>
              <w:spacing w:after="0"/>
              <w:rPr>
                <w:sz w:val="20"/>
                <w:szCs w:val="20"/>
                <w:color w:val="auto"/>
              </w:rPr>
            </w:pPr>
            <w:r>
              <w:rPr>
                <w:rFonts w:ascii="Arial" w:cs="Arial" w:eastAsia="Arial" w:hAnsi="Arial"/>
                <w:sz w:val="14"/>
                <w:szCs w:val="14"/>
                <w:b w:val="1"/>
                <w:bCs w:val="1"/>
                <w:color w:val="auto"/>
              </w:rPr>
              <w:t>Weighted-</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gridSpan w:val="3"/>
          </w:tcPr>
          <w:p>
            <w:pPr>
              <w:ind w:left="620"/>
              <w:spacing w:after="0"/>
              <w:rPr>
                <w:sz w:val="20"/>
                <w:szCs w:val="20"/>
                <w:color w:val="auto"/>
              </w:rPr>
            </w:pPr>
            <w:r>
              <w:rPr>
                <w:rFonts w:ascii="Arial" w:cs="Arial" w:eastAsia="Arial" w:hAnsi="Arial"/>
                <w:sz w:val="14"/>
                <w:szCs w:val="14"/>
                <w:b w:val="1"/>
                <w:bCs w:val="1"/>
                <w:color w:val="auto"/>
              </w:rPr>
              <w:t>Weighted-</w:t>
            </w: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3"/>
          </w:tcPr>
          <w:p>
            <w:pPr>
              <w:ind w:left="620"/>
              <w:spacing w:after="0"/>
              <w:rPr>
                <w:sz w:val="20"/>
                <w:szCs w:val="20"/>
                <w:color w:val="auto"/>
              </w:rPr>
            </w:pPr>
            <w:r>
              <w:rPr>
                <w:rFonts w:ascii="Arial" w:cs="Arial" w:eastAsia="Arial" w:hAnsi="Arial"/>
                <w:sz w:val="14"/>
                <w:szCs w:val="14"/>
                <w:b w:val="1"/>
                <w:bCs w:val="1"/>
                <w:color w:val="auto"/>
                <w:w w:val="85"/>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0" w:type="dxa"/>
            <w:vAlign w:val="bottom"/>
            <w:gridSpan w:val="2"/>
          </w:tcPr>
          <w:p>
            <w:pPr>
              <w:jc w:val="right"/>
              <w:ind w:right="700"/>
              <w:spacing w:after="0" w:line="149" w:lineRule="exact"/>
              <w:rPr>
                <w:sz w:val="20"/>
                <w:szCs w:val="20"/>
                <w:color w:val="auto"/>
              </w:rPr>
            </w:pPr>
            <w:r>
              <w:rPr>
                <w:rFonts w:ascii="Arial" w:cs="Arial" w:eastAsia="Arial" w:hAnsi="Arial"/>
                <w:sz w:val="14"/>
                <w:szCs w:val="14"/>
                <w:b w:val="1"/>
                <w:bCs w:val="1"/>
                <w:color w:val="auto"/>
                <w:w w:val="90"/>
              </w:rPr>
              <w:t>average</w:t>
            </w: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40" w:type="dxa"/>
            <w:vAlign w:val="bottom"/>
            <w:gridSpan w:val="2"/>
          </w:tcPr>
          <w:p>
            <w:pPr>
              <w:jc w:val="right"/>
              <w:ind w:right="360"/>
              <w:spacing w:after="0" w:line="149" w:lineRule="exact"/>
              <w:rPr>
                <w:sz w:val="20"/>
                <w:szCs w:val="20"/>
                <w:color w:val="auto"/>
              </w:rPr>
            </w:pPr>
            <w:r>
              <w:rPr>
                <w:rFonts w:ascii="Arial" w:cs="Arial" w:eastAsia="Arial" w:hAnsi="Arial"/>
                <w:sz w:val="14"/>
                <w:szCs w:val="14"/>
                <w:b w:val="1"/>
                <w:bCs w:val="1"/>
                <w:color w:val="auto"/>
                <w:w w:val="86"/>
              </w:rPr>
              <w:t>average</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00" w:type="dxa"/>
            <w:vAlign w:val="bottom"/>
            <w:gridSpan w:val="2"/>
          </w:tcPr>
          <w:p>
            <w:pPr>
              <w:jc w:val="right"/>
              <w:ind w:right="20"/>
              <w:spacing w:after="0" w:line="149" w:lineRule="exact"/>
              <w:rPr>
                <w:sz w:val="20"/>
                <w:szCs w:val="20"/>
                <w:color w:val="auto"/>
              </w:rPr>
            </w:pPr>
            <w:r>
              <w:rPr>
                <w:rFonts w:ascii="Arial" w:cs="Arial" w:eastAsia="Arial" w:hAnsi="Arial"/>
                <w:sz w:val="14"/>
                <w:szCs w:val="14"/>
                <w:b w:val="1"/>
                <w:bCs w:val="1"/>
                <w:color w:val="auto"/>
                <w:w w:val="86"/>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0" w:type="dxa"/>
            <w:vAlign w:val="bottom"/>
            <w:gridSpan w:val="2"/>
          </w:tcPr>
          <w:p>
            <w:pPr>
              <w:jc w:val="right"/>
              <w:ind w:right="700"/>
              <w:spacing w:after="0" w:line="149" w:lineRule="exact"/>
              <w:rPr>
                <w:sz w:val="20"/>
                <w:szCs w:val="20"/>
                <w:color w:val="auto"/>
              </w:rPr>
            </w:pPr>
            <w:r>
              <w:rPr>
                <w:rFonts w:ascii="Arial" w:cs="Arial" w:eastAsia="Arial" w:hAnsi="Arial"/>
                <w:sz w:val="14"/>
                <w:szCs w:val="14"/>
                <w:b w:val="1"/>
                <w:bCs w:val="1"/>
                <w:color w:val="auto"/>
                <w:w w:val="85"/>
              </w:rPr>
              <w:t>exercise</w:t>
            </w: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40" w:type="dxa"/>
            <w:vAlign w:val="bottom"/>
            <w:gridSpan w:val="2"/>
          </w:tcPr>
          <w:p>
            <w:pPr>
              <w:jc w:val="right"/>
              <w:ind w:right="360"/>
              <w:spacing w:after="0" w:line="149" w:lineRule="exact"/>
              <w:rPr>
                <w:sz w:val="20"/>
                <w:szCs w:val="20"/>
                <w:color w:val="auto"/>
              </w:rPr>
            </w:pPr>
            <w:r>
              <w:rPr>
                <w:rFonts w:ascii="Arial" w:cs="Arial" w:eastAsia="Arial" w:hAnsi="Arial"/>
                <w:sz w:val="14"/>
                <w:szCs w:val="14"/>
                <w:b w:val="1"/>
                <w:bCs w:val="1"/>
                <w:color w:val="auto"/>
                <w:w w:val="81"/>
              </w:rPr>
              <w:t>exercise</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00" w:type="dxa"/>
            <w:vAlign w:val="bottom"/>
            <w:gridSpan w:val="2"/>
          </w:tcPr>
          <w:p>
            <w:pPr>
              <w:jc w:val="right"/>
              <w:ind w:right="20"/>
              <w:spacing w:after="0" w:line="149" w:lineRule="exact"/>
              <w:rPr>
                <w:sz w:val="20"/>
                <w:szCs w:val="20"/>
                <w:color w:val="auto"/>
              </w:rPr>
            </w:pPr>
            <w:r>
              <w:rPr>
                <w:rFonts w:ascii="Arial" w:cs="Arial" w:eastAsia="Arial" w:hAnsi="Arial"/>
                <w:sz w:val="14"/>
                <w:szCs w:val="14"/>
                <w:b w:val="1"/>
                <w:bCs w:val="1"/>
                <w:color w:val="auto"/>
                <w:w w:val="81"/>
              </w:rPr>
              <w:t>exercise</w:t>
            </w:r>
          </w:p>
        </w:tc>
        <w:tc>
          <w:tcPr>
            <w:tcW w:w="0" w:type="dxa"/>
            <w:vAlign w:val="bottom"/>
          </w:tcPr>
          <w:p>
            <w:pPr>
              <w:spacing w:after="0"/>
              <w:rPr>
                <w:sz w:val="1"/>
                <w:szCs w:val="1"/>
                <w:color w:val="auto"/>
              </w:rPr>
            </w:pPr>
          </w:p>
        </w:tc>
      </w:tr>
      <w:tr>
        <w:trPr>
          <w:trHeight w:val="188"/>
        </w:trPr>
        <w:tc>
          <w:tcPr>
            <w:tcW w:w="3980" w:type="dxa"/>
            <w:vAlign w:val="bottom"/>
            <w:gridSpan w:val="2"/>
          </w:tcPr>
          <w:p>
            <w:pPr>
              <w:spacing w:after="0"/>
              <w:rPr>
                <w:sz w:val="20"/>
                <w:szCs w:val="20"/>
                <w:color w:val="auto"/>
              </w:rPr>
            </w:pPr>
            <w:r>
              <w:rPr>
                <w:rFonts w:ascii="Arial" w:cs="Arial" w:eastAsia="Arial" w:hAnsi="Arial"/>
                <w:sz w:val="14"/>
                <w:szCs w:val="14"/>
                <w:b w:val="1"/>
                <w:bCs w:val="1"/>
                <w:color w:val="auto"/>
              </w:rPr>
              <w:t>Fixed Options</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Shares</w:t>
            </w:r>
          </w:p>
        </w:tc>
        <w:tc>
          <w:tcPr>
            <w:tcW w:w="700" w:type="dxa"/>
            <w:vAlign w:val="bottom"/>
          </w:tcPr>
          <w:p>
            <w:pPr>
              <w:spacing w:after="0"/>
              <w:rPr>
                <w:sz w:val="16"/>
                <w:szCs w:val="16"/>
                <w:color w:val="auto"/>
              </w:rPr>
            </w:pPr>
          </w:p>
        </w:tc>
        <w:tc>
          <w:tcPr>
            <w:tcW w:w="120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price</w:t>
            </w:r>
          </w:p>
        </w:tc>
        <w:tc>
          <w:tcPr>
            <w:tcW w:w="100" w:type="dxa"/>
            <w:vAlign w:val="bottom"/>
          </w:tcPr>
          <w:p>
            <w:pPr>
              <w:spacing w:after="0"/>
              <w:rPr>
                <w:sz w:val="16"/>
                <w:szCs w:val="16"/>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Shares</w:t>
            </w:r>
          </w:p>
        </w:tc>
        <w:tc>
          <w:tcPr>
            <w:tcW w:w="720" w:type="dxa"/>
            <w:vAlign w:val="bottom"/>
          </w:tcPr>
          <w:p>
            <w:pPr>
              <w:spacing w:after="0"/>
              <w:rPr>
                <w:sz w:val="16"/>
                <w:szCs w:val="16"/>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price</w:t>
            </w: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Shares</w:t>
            </w:r>
          </w:p>
        </w:tc>
        <w:tc>
          <w:tcPr>
            <w:tcW w:w="720" w:type="dxa"/>
            <w:vAlign w:val="bottom"/>
          </w:tcPr>
          <w:p>
            <w:pPr>
              <w:spacing w:after="0"/>
              <w:rPr>
                <w:sz w:val="16"/>
                <w:szCs w:val="16"/>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price</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396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5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480" w:type="dxa"/>
            <w:vAlign w:val="bottom"/>
          </w:tcPr>
          <w:p>
            <w:pPr>
              <w:spacing w:after="0"/>
              <w:rPr>
                <w:sz w:val="8"/>
                <w:szCs w:val="8"/>
                <w:color w:val="auto"/>
              </w:rPr>
            </w:pPr>
          </w:p>
        </w:tc>
        <w:tc>
          <w:tcPr>
            <w:tcW w:w="3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9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Outstanding at beginning of year</w:t>
            </w:r>
          </w:p>
        </w:tc>
        <w:tc>
          <w:tcPr>
            <w:tcW w:w="80" w:type="dxa"/>
            <w:vAlign w:val="bottom"/>
            <w:shd w:val="clear" w:color="auto" w:fill="CCEEFF"/>
          </w:tcPr>
          <w:p>
            <w:pPr>
              <w:spacing w:after="0"/>
              <w:rPr>
                <w:sz w:val="12"/>
                <w:szCs w:val="12"/>
                <w:color w:val="auto"/>
              </w:rPr>
            </w:pPr>
          </w:p>
        </w:tc>
        <w:tc>
          <w:tcPr>
            <w:tcW w:w="74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b w:val="1"/>
                <w:bCs w:val="1"/>
                <w:color w:val="auto"/>
                <w:w w:val="88"/>
              </w:rPr>
              <w:t>36,869,684</w:t>
            </w:r>
          </w:p>
        </w:tc>
        <w:tc>
          <w:tcPr>
            <w:tcW w:w="700" w:type="dxa"/>
            <w:vAlign w:val="bottom"/>
            <w:shd w:val="clear" w:color="auto" w:fill="CCEEFF"/>
          </w:tcPr>
          <w:p>
            <w:pPr>
              <w:ind w:left="600"/>
              <w:spacing w:after="0" w:line="149" w:lineRule="exact"/>
              <w:rPr>
                <w:sz w:val="20"/>
                <w:szCs w:val="20"/>
                <w:color w:val="auto"/>
              </w:rPr>
            </w:pPr>
            <w:r>
              <w:rPr>
                <w:rFonts w:ascii="Arial" w:cs="Arial" w:eastAsia="Arial" w:hAnsi="Arial"/>
                <w:sz w:val="14"/>
                <w:szCs w:val="14"/>
                <w:b w:val="1"/>
                <w:bCs w:val="1"/>
                <w:color w:val="auto"/>
              </w:rPr>
              <w:t>$</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57.03</w:t>
            </w: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82"/>
              </w:rPr>
              <w:t>32,836,340</w:t>
            </w:r>
          </w:p>
        </w:tc>
        <w:tc>
          <w:tcPr>
            <w:tcW w:w="720" w:type="dxa"/>
            <w:vAlign w:val="bottom"/>
            <w:shd w:val="clear" w:color="auto" w:fill="CCEEFF"/>
          </w:tcPr>
          <w:p>
            <w:pPr>
              <w:ind w:left="620"/>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55.80</w:t>
            </w:r>
          </w:p>
        </w:tc>
        <w:tc>
          <w:tcPr>
            <w:tcW w:w="3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2"/>
              </w:rPr>
              <w:t>31,208,321</w:t>
            </w: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ind w:left="620"/>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54.43</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tcPr>
          <w:p>
            <w:pPr>
              <w:spacing w:after="0" w:line="149" w:lineRule="exact"/>
              <w:rPr>
                <w:sz w:val="20"/>
                <w:szCs w:val="20"/>
                <w:color w:val="auto"/>
              </w:rPr>
            </w:pPr>
            <w:r>
              <w:rPr>
                <w:rFonts w:ascii="Arial" w:cs="Arial" w:eastAsia="Arial" w:hAnsi="Arial"/>
                <w:sz w:val="14"/>
                <w:szCs w:val="14"/>
                <w:color w:val="auto"/>
              </w:rPr>
              <w:t>Granted</w:t>
            </w:r>
          </w:p>
        </w:tc>
        <w:tc>
          <w:tcPr>
            <w:tcW w:w="80" w:type="dxa"/>
            <w:vAlign w:val="bottom"/>
          </w:tcPr>
          <w:p>
            <w:pPr>
              <w:spacing w:after="0"/>
              <w:rPr>
                <w:sz w:val="12"/>
                <w:szCs w:val="12"/>
                <w:color w:val="auto"/>
              </w:rPr>
            </w:pPr>
          </w:p>
        </w:tc>
        <w:tc>
          <w:tcPr>
            <w:tcW w:w="740" w:type="dxa"/>
            <w:vAlign w:val="bottom"/>
            <w:gridSpan w:val="3"/>
          </w:tcPr>
          <w:p>
            <w:pPr>
              <w:jc w:val="right"/>
              <w:ind w:right="100"/>
              <w:spacing w:after="0" w:line="149" w:lineRule="exact"/>
              <w:rPr>
                <w:sz w:val="20"/>
                <w:szCs w:val="20"/>
                <w:color w:val="auto"/>
              </w:rPr>
            </w:pPr>
            <w:r>
              <w:rPr>
                <w:rFonts w:ascii="Arial" w:cs="Arial" w:eastAsia="Arial" w:hAnsi="Arial"/>
                <w:sz w:val="14"/>
                <w:szCs w:val="14"/>
                <w:b w:val="1"/>
                <w:bCs w:val="1"/>
                <w:color w:val="auto"/>
                <w:w w:val="99"/>
              </w:rPr>
              <w:t>3,460,150</w:t>
            </w:r>
          </w:p>
        </w:tc>
        <w:tc>
          <w:tcPr>
            <w:tcW w:w="700" w:type="dxa"/>
            <w:vAlign w:val="bottom"/>
          </w:tcPr>
          <w:p>
            <w:pPr>
              <w:ind w:left="600"/>
              <w:spacing w:after="0" w:line="149" w:lineRule="exact"/>
              <w:rPr>
                <w:sz w:val="20"/>
                <w:szCs w:val="20"/>
                <w:color w:val="auto"/>
              </w:rPr>
            </w:pPr>
            <w:r>
              <w:rPr>
                <w:rFonts w:ascii="Arial" w:cs="Arial" w:eastAsia="Arial" w:hAnsi="Arial"/>
                <w:sz w:val="14"/>
                <w:szCs w:val="14"/>
                <w:b w:val="1"/>
                <w:bCs w:val="1"/>
                <w:color w:val="auto"/>
              </w:rPr>
              <w:t>$</w:t>
            </w:r>
          </w:p>
        </w:tc>
        <w:tc>
          <w:tcPr>
            <w:tcW w:w="5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45.04</w:t>
            </w: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w w:val="93"/>
              </w:rPr>
              <w:t>7,314,617</w:t>
            </w:r>
          </w:p>
        </w:tc>
        <w:tc>
          <w:tcPr>
            <w:tcW w:w="720" w:type="dxa"/>
            <w:vAlign w:val="bottom"/>
          </w:tcPr>
          <w:p>
            <w:pPr>
              <w:ind w:left="620"/>
              <w:spacing w:after="0" w:line="149" w:lineRule="exact"/>
              <w:rPr>
                <w:sz w:val="20"/>
                <w:szCs w:val="20"/>
                <w:color w:val="auto"/>
              </w:rPr>
            </w:pPr>
            <w:r>
              <w:rPr>
                <w:rFonts w:ascii="Arial" w:cs="Arial" w:eastAsia="Arial" w:hAnsi="Arial"/>
                <w:sz w:val="14"/>
                <w:szCs w:val="14"/>
                <w:color w:val="auto"/>
              </w:rPr>
              <w:t>$</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55.14</w:t>
            </w:r>
          </w:p>
        </w:tc>
        <w:tc>
          <w:tcPr>
            <w:tcW w:w="3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w w:val="93"/>
              </w:rPr>
              <w:t>4,110,468</w:t>
            </w:r>
          </w:p>
        </w:tc>
        <w:tc>
          <w:tcPr>
            <w:tcW w:w="720" w:type="dxa"/>
            <w:vAlign w:val="bottom"/>
          </w:tcPr>
          <w:p>
            <w:pPr>
              <w:ind w:left="620"/>
              <w:spacing w:after="0" w:line="149" w:lineRule="exact"/>
              <w:rPr>
                <w:sz w:val="20"/>
                <w:szCs w:val="20"/>
                <w:color w:val="auto"/>
              </w:rPr>
            </w:pPr>
            <w:r>
              <w:rPr>
                <w:rFonts w:ascii="Arial" w:cs="Arial" w:eastAsia="Arial" w:hAnsi="Arial"/>
                <w:sz w:val="14"/>
                <w:szCs w:val="14"/>
                <w:color w:val="auto"/>
              </w:rPr>
              <w:t>$</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61.55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Exercised</w:t>
            </w:r>
          </w:p>
        </w:tc>
        <w:tc>
          <w:tcPr>
            <w:tcW w:w="80" w:type="dxa"/>
            <w:vAlign w:val="bottom"/>
            <w:shd w:val="clear" w:color="auto" w:fill="CCEEFF"/>
          </w:tcPr>
          <w:p>
            <w:pPr>
              <w:spacing w:after="0"/>
              <w:rPr>
                <w:sz w:val="12"/>
                <w:szCs w:val="12"/>
                <w:color w:val="auto"/>
              </w:rPr>
            </w:pPr>
          </w:p>
        </w:tc>
        <w:tc>
          <w:tcPr>
            <w:tcW w:w="74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b w:val="1"/>
                <w:bCs w:val="1"/>
                <w:color w:val="auto"/>
                <w:w w:val="92"/>
              </w:rPr>
              <w:t>(1,319,174)</w:t>
            </w:r>
          </w:p>
        </w:tc>
        <w:tc>
          <w:tcPr>
            <w:tcW w:w="700" w:type="dxa"/>
            <w:vAlign w:val="bottom"/>
            <w:shd w:val="clear" w:color="auto" w:fill="CCEEFF"/>
          </w:tcPr>
          <w:p>
            <w:pPr>
              <w:ind w:left="600"/>
              <w:spacing w:after="0" w:line="149" w:lineRule="exact"/>
              <w:rPr>
                <w:sz w:val="20"/>
                <w:szCs w:val="20"/>
                <w:color w:val="auto"/>
              </w:rPr>
            </w:pPr>
            <w:r>
              <w:rPr>
                <w:rFonts w:ascii="Arial" w:cs="Arial" w:eastAsia="Arial" w:hAnsi="Arial"/>
                <w:sz w:val="14"/>
                <w:szCs w:val="14"/>
                <w:b w:val="1"/>
                <w:bCs w:val="1"/>
                <w:color w:val="auto"/>
              </w:rPr>
              <w:t>$</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30.68</w:t>
            </w: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89"/>
              </w:rPr>
              <w:t>(2,296,593)</w:t>
            </w:r>
          </w:p>
        </w:tc>
        <w:tc>
          <w:tcPr>
            <w:tcW w:w="720" w:type="dxa"/>
            <w:vAlign w:val="bottom"/>
            <w:shd w:val="clear" w:color="auto" w:fill="CCEEFF"/>
          </w:tcPr>
          <w:p>
            <w:pPr>
              <w:ind w:left="620"/>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30.02</w:t>
            </w:r>
          </w:p>
        </w:tc>
        <w:tc>
          <w:tcPr>
            <w:tcW w:w="3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86"/>
              </w:rPr>
              <w:t>(1,444,588)</w:t>
            </w:r>
          </w:p>
        </w:tc>
        <w:tc>
          <w:tcPr>
            <w:tcW w:w="720" w:type="dxa"/>
            <w:vAlign w:val="bottom"/>
            <w:shd w:val="clear" w:color="auto" w:fill="CCEEFF"/>
          </w:tcPr>
          <w:p>
            <w:pPr>
              <w:ind w:left="620"/>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31.88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960" w:type="dxa"/>
            <w:vAlign w:val="bottom"/>
          </w:tcPr>
          <w:p>
            <w:pPr>
              <w:spacing w:after="0"/>
              <w:rPr>
                <w:sz w:val="20"/>
                <w:szCs w:val="20"/>
                <w:color w:val="auto"/>
              </w:rPr>
            </w:pPr>
            <w:r>
              <w:rPr>
                <w:rFonts w:ascii="Arial" w:cs="Arial" w:eastAsia="Arial" w:hAnsi="Arial"/>
                <w:sz w:val="14"/>
                <w:szCs w:val="14"/>
                <w:color w:val="auto"/>
              </w:rPr>
              <w:t>Forfeited</w:t>
            </w:r>
          </w:p>
        </w:tc>
        <w:tc>
          <w:tcPr>
            <w:tcW w:w="80" w:type="dxa"/>
            <w:vAlign w:val="bottom"/>
          </w:tcPr>
          <w:p>
            <w:pPr>
              <w:spacing w:after="0"/>
              <w:rPr>
                <w:sz w:val="15"/>
                <w:szCs w:val="15"/>
                <w:color w:val="auto"/>
              </w:rPr>
            </w:pPr>
          </w:p>
        </w:tc>
        <w:tc>
          <w:tcPr>
            <w:tcW w:w="74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w w:val="92"/>
              </w:rPr>
              <w:t>(1,454,113)</w:t>
            </w:r>
          </w:p>
        </w:tc>
        <w:tc>
          <w:tcPr>
            <w:tcW w:w="700" w:type="dxa"/>
            <w:vAlign w:val="bottom"/>
          </w:tcPr>
          <w:p>
            <w:pPr>
              <w:ind w:left="600"/>
              <w:spacing w:after="0"/>
              <w:rPr>
                <w:sz w:val="20"/>
                <w:szCs w:val="20"/>
                <w:color w:val="auto"/>
              </w:rPr>
            </w:pPr>
            <w:r>
              <w:rPr>
                <w:rFonts w:ascii="Arial" w:cs="Arial" w:eastAsia="Arial" w:hAnsi="Arial"/>
                <w:sz w:val="14"/>
                <w:szCs w:val="14"/>
                <w:b w:val="1"/>
                <w:bCs w:val="1"/>
                <w:color w:val="auto"/>
              </w:rPr>
              <w:t>$</w:t>
            </w: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rPr>
              <w:t>66.92</w:t>
            </w: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4"/>
                <w:szCs w:val="14"/>
                <w:color w:val="auto"/>
              </w:rPr>
              <w:t>(984,680)</w:t>
            </w:r>
          </w:p>
        </w:tc>
        <w:tc>
          <w:tcPr>
            <w:tcW w:w="720" w:type="dxa"/>
            <w:vAlign w:val="bottom"/>
          </w:tcPr>
          <w:p>
            <w:pPr>
              <w:ind w:left="620"/>
              <w:spacing w:after="0"/>
              <w:rPr>
                <w:sz w:val="20"/>
                <w:szCs w:val="20"/>
                <w:color w:val="auto"/>
              </w:rPr>
            </w:pPr>
            <w:r>
              <w:rPr>
                <w:rFonts w:ascii="Arial" w:cs="Arial" w:eastAsia="Arial" w:hAnsi="Arial"/>
                <w:sz w:val="14"/>
                <w:szCs w:val="14"/>
                <w:color w:val="auto"/>
              </w:rPr>
              <w:t>$</w:t>
            </w:r>
          </w:p>
        </w:tc>
        <w:tc>
          <w:tcPr>
            <w:tcW w:w="480" w:type="dxa"/>
            <w:vAlign w:val="bottom"/>
          </w:tcPr>
          <w:p>
            <w:pPr>
              <w:jc w:val="right"/>
              <w:spacing w:after="0"/>
              <w:rPr>
                <w:sz w:val="20"/>
                <w:szCs w:val="20"/>
                <w:color w:val="auto"/>
              </w:rPr>
            </w:pPr>
            <w:r>
              <w:rPr>
                <w:rFonts w:ascii="Arial" w:cs="Arial" w:eastAsia="Arial" w:hAnsi="Arial"/>
                <w:sz w:val="14"/>
                <w:szCs w:val="14"/>
                <w:color w:val="auto"/>
              </w:rPr>
              <w:t>66.69</w:t>
            </w:r>
          </w:p>
        </w:tc>
        <w:tc>
          <w:tcPr>
            <w:tcW w:w="3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4"/>
                <w:szCs w:val="14"/>
                <w:color w:val="auto"/>
                <w:w w:val="86"/>
              </w:rPr>
              <w:t>(1,037,861)</w:t>
            </w:r>
          </w:p>
        </w:tc>
        <w:tc>
          <w:tcPr>
            <w:tcW w:w="720" w:type="dxa"/>
            <w:vAlign w:val="bottom"/>
          </w:tcPr>
          <w:p>
            <w:pPr>
              <w:ind w:left="620"/>
              <w:spacing w:after="0"/>
              <w:rPr>
                <w:sz w:val="20"/>
                <w:szCs w:val="20"/>
                <w:color w:val="auto"/>
              </w:rPr>
            </w:pPr>
            <w:r>
              <w:rPr>
                <w:rFonts w:ascii="Arial" w:cs="Arial" w:eastAsia="Arial" w:hAnsi="Arial"/>
                <w:sz w:val="14"/>
                <w:szCs w:val="14"/>
                <w:color w:val="auto"/>
              </w:rPr>
              <w:t>$</w:t>
            </w:r>
          </w:p>
        </w:tc>
        <w:tc>
          <w:tcPr>
            <w:tcW w:w="480" w:type="dxa"/>
            <w:vAlign w:val="bottom"/>
          </w:tcPr>
          <w:p>
            <w:pPr>
              <w:jc w:val="right"/>
              <w:spacing w:after="0"/>
              <w:rPr>
                <w:sz w:val="20"/>
                <w:szCs w:val="20"/>
                <w:color w:val="auto"/>
              </w:rPr>
            </w:pPr>
            <w:r>
              <w:rPr>
                <w:rFonts w:ascii="Arial" w:cs="Arial" w:eastAsia="Arial" w:hAnsi="Arial"/>
                <w:sz w:val="14"/>
                <w:szCs w:val="14"/>
                <w:color w:val="auto"/>
              </w:rPr>
              <w:t>71.27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396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tcPr>
          <w:p>
            <w:pPr>
              <w:spacing w:after="0"/>
              <w:rPr>
                <w:sz w:val="7"/>
                <w:szCs w:val="7"/>
                <w:color w:val="auto"/>
              </w:rPr>
            </w:pPr>
          </w:p>
        </w:tc>
        <w:tc>
          <w:tcPr>
            <w:tcW w:w="500" w:type="dxa"/>
            <w:vAlign w:val="bottom"/>
          </w:tcPr>
          <w:p>
            <w:pPr>
              <w:spacing w:after="0"/>
              <w:rPr>
                <w:sz w:val="7"/>
                <w:szCs w:val="7"/>
                <w:color w:val="auto"/>
              </w:rPr>
            </w:pPr>
          </w:p>
        </w:tc>
        <w:tc>
          <w:tcPr>
            <w:tcW w:w="70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60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480" w:type="dxa"/>
            <w:vAlign w:val="bottom"/>
          </w:tcPr>
          <w:p>
            <w:pPr>
              <w:spacing w:after="0"/>
              <w:rPr>
                <w:sz w:val="7"/>
                <w:szCs w:val="7"/>
                <w:color w:val="auto"/>
              </w:rPr>
            </w:pPr>
          </w:p>
        </w:tc>
        <w:tc>
          <w:tcPr>
            <w:tcW w:w="36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60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4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96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5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480" w:type="dxa"/>
            <w:vAlign w:val="bottom"/>
          </w:tcPr>
          <w:p>
            <w:pPr>
              <w:spacing w:after="0"/>
              <w:rPr>
                <w:sz w:val="8"/>
                <w:szCs w:val="8"/>
                <w:color w:val="auto"/>
              </w:rPr>
            </w:pPr>
          </w:p>
        </w:tc>
        <w:tc>
          <w:tcPr>
            <w:tcW w:w="3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9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Outstanding at year-end</w:t>
            </w:r>
          </w:p>
        </w:tc>
        <w:tc>
          <w:tcPr>
            <w:tcW w:w="80" w:type="dxa"/>
            <w:vAlign w:val="bottom"/>
            <w:shd w:val="clear" w:color="auto" w:fill="CCEEFF"/>
          </w:tcPr>
          <w:p>
            <w:pPr>
              <w:spacing w:after="0"/>
              <w:rPr>
                <w:sz w:val="12"/>
                <w:szCs w:val="12"/>
                <w:color w:val="auto"/>
              </w:rPr>
            </w:pPr>
          </w:p>
        </w:tc>
        <w:tc>
          <w:tcPr>
            <w:tcW w:w="74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b w:val="1"/>
                <w:bCs w:val="1"/>
                <w:color w:val="auto"/>
                <w:w w:val="88"/>
              </w:rPr>
              <w:t>37,556,547</w:t>
            </w:r>
          </w:p>
        </w:tc>
        <w:tc>
          <w:tcPr>
            <w:tcW w:w="700" w:type="dxa"/>
            <w:vAlign w:val="bottom"/>
            <w:shd w:val="clear" w:color="auto" w:fill="CCEEFF"/>
          </w:tcPr>
          <w:p>
            <w:pPr>
              <w:ind w:left="600"/>
              <w:spacing w:after="0" w:line="149" w:lineRule="exact"/>
              <w:rPr>
                <w:sz w:val="20"/>
                <w:szCs w:val="20"/>
                <w:color w:val="auto"/>
              </w:rPr>
            </w:pPr>
            <w:r>
              <w:rPr>
                <w:rFonts w:ascii="Arial" w:cs="Arial" w:eastAsia="Arial" w:hAnsi="Arial"/>
                <w:sz w:val="14"/>
                <w:szCs w:val="14"/>
                <w:b w:val="1"/>
                <w:bCs w:val="1"/>
                <w:color w:val="auto"/>
              </w:rPr>
              <w:t>$</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56.50</w:t>
            </w: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82"/>
              </w:rPr>
              <w:t>36,869,684</w:t>
            </w:r>
          </w:p>
        </w:tc>
        <w:tc>
          <w:tcPr>
            <w:tcW w:w="720" w:type="dxa"/>
            <w:vAlign w:val="bottom"/>
            <w:shd w:val="clear" w:color="auto" w:fill="CCEEFF"/>
          </w:tcPr>
          <w:p>
            <w:pPr>
              <w:ind w:left="620"/>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57.03</w:t>
            </w:r>
          </w:p>
        </w:tc>
        <w:tc>
          <w:tcPr>
            <w:tcW w:w="3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2"/>
              </w:rPr>
              <w:t>32,836,340</w:t>
            </w: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ind w:left="620"/>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55.80</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9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396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5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480" w:type="dxa"/>
            <w:vAlign w:val="bottom"/>
          </w:tcPr>
          <w:p>
            <w:pPr>
              <w:spacing w:after="0"/>
              <w:rPr>
                <w:sz w:val="9"/>
                <w:szCs w:val="9"/>
                <w:color w:val="auto"/>
              </w:rPr>
            </w:pPr>
          </w:p>
        </w:tc>
        <w:tc>
          <w:tcPr>
            <w:tcW w:w="3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9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Options exercisable at year-end</w:t>
            </w:r>
          </w:p>
        </w:tc>
        <w:tc>
          <w:tcPr>
            <w:tcW w:w="80" w:type="dxa"/>
            <w:vAlign w:val="bottom"/>
            <w:shd w:val="clear" w:color="auto" w:fill="CCEEFF"/>
          </w:tcPr>
          <w:p>
            <w:pPr>
              <w:spacing w:after="0"/>
              <w:rPr>
                <w:sz w:val="12"/>
                <w:szCs w:val="12"/>
                <w:color w:val="auto"/>
              </w:rPr>
            </w:pPr>
          </w:p>
        </w:tc>
        <w:tc>
          <w:tcPr>
            <w:tcW w:w="74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b w:val="1"/>
                <w:bCs w:val="1"/>
                <w:color w:val="auto"/>
                <w:w w:val="88"/>
              </w:rPr>
              <w:t>23,460,758</w:t>
            </w:r>
          </w:p>
        </w:tc>
        <w:tc>
          <w:tcPr>
            <w:tcW w:w="7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82"/>
              </w:rPr>
              <w:t>21,142,473</w:t>
            </w:r>
          </w:p>
        </w:tc>
        <w:tc>
          <w:tcPr>
            <w:tcW w:w="7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2"/>
              </w:rPr>
              <w:t>19,724,680</w:t>
            </w: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960" w:type="dxa"/>
            <w:vAlign w:val="bottom"/>
          </w:tcPr>
          <w:p>
            <w:pPr>
              <w:spacing w:after="0" w:line="138" w:lineRule="exact"/>
              <w:rPr>
                <w:sz w:val="20"/>
                <w:szCs w:val="20"/>
                <w:color w:val="auto"/>
              </w:rPr>
            </w:pPr>
            <w:r>
              <w:rPr>
                <w:rFonts w:ascii="Arial" w:cs="Arial" w:eastAsia="Arial" w:hAnsi="Arial"/>
                <w:sz w:val="14"/>
                <w:szCs w:val="14"/>
                <w:color w:val="auto"/>
              </w:rPr>
              <w:t>Weighted-average fair value of options granted during the</w:t>
            </w:r>
          </w:p>
        </w:tc>
        <w:tc>
          <w:tcPr>
            <w:tcW w:w="80" w:type="dxa"/>
            <w:vAlign w:val="bottom"/>
            <w:vMerge w:val="restart"/>
          </w:tcPr>
          <w:p>
            <w:pPr>
              <w:jc w:val="right"/>
              <w:spacing w:after="0"/>
              <w:rPr>
                <w:sz w:val="20"/>
                <w:szCs w:val="20"/>
                <w:color w:val="auto"/>
              </w:rPr>
            </w:pPr>
            <w:r>
              <w:rPr>
                <w:rFonts w:ascii="Arial" w:cs="Arial" w:eastAsia="Arial" w:hAnsi="Arial"/>
                <w:sz w:val="10"/>
                <w:szCs w:val="10"/>
                <w:b w:val="1"/>
                <w:bCs w:val="1"/>
                <w:color w:val="auto"/>
                <w:w w:val="71"/>
              </w:rPr>
              <w:t>$</w:t>
            </w:r>
          </w:p>
        </w:tc>
        <w:tc>
          <w:tcPr>
            <w:tcW w:w="740" w:type="dxa"/>
            <w:vAlign w:val="bottom"/>
            <w:gridSpan w:val="3"/>
            <w:vMerge w:val="restart"/>
          </w:tcPr>
          <w:p>
            <w:pPr>
              <w:jc w:val="right"/>
              <w:ind w:right="100"/>
              <w:spacing w:after="0"/>
              <w:rPr>
                <w:sz w:val="20"/>
                <w:szCs w:val="20"/>
                <w:color w:val="auto"/>
              </w:rPr>
            </w:pPr>
            <w:r>
              <w:rPr>
                <w:rFonts w:ascii="Arial" w:cs="Arial" w:eastAsia="Arial" w:hAnsi="Arial"/>
                <w:sz w:val="14"/>
                <w:szCs w:val="14"/>
                <w:b w:val="1"/>
                <w:bCs w:val="1"/>
                <w:color w:val="auto"/>
              </w:rPr>
              <w:t>10.30</w:t>
            </w:r>
          </w:p>
        </w:tc>
        <w:tc>
          <w:tcPr>
            <w:tcW w:w="7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960" w:type="dxa"/>
            <w:vAlign w:val="bottom"/>
          </w:tcPr>
          <w:p>
            <w:pPr>
              <w:ind w:left="320"/>
              <w:spacing w:after="0"/>
              <w:rPr>
                <w:sz w:val="20"/>
                <w:szCs w:val="20"/>
                <w:color w:val="auto"/>
              </w:rPr>
            </w:pPr>
            <w:r>
              <w:rPr>
                <w:rFonts w:ascii="Arial" w:cs="Arial" w:eastAsia="Arial" w:hAnsi="Arial"/>
                <w:sz w:val="14"/>
                <w:szCs w:val="14"/>
                <w:color w:val="auto"/>
              </w:rPr>
              <w:t>year</w:t>
            </w:r>
          </w:p>
        </w:tc>
        <w:tc>
          <w:tcPr>
            <w:tcW w:w="80" w:type="dxa"/>
            <w:vAlign w:val="bottom"/>
            <w:vMerge w:val="continue"/>
          </w:tcPr>
          <w:p>
            <w:pPr>
              <w:spacing w:after="0"/>
              <w:rPr>
                <w:sz w:val="14"/>
                <w:szCs w:val="14"/>
                <w:color w:val="auto"/>
              </w:rPr>
            </w:pPr>
          </w:p>
        </w:tc>
        <w:tc>
          <w:tcPr>
            <w:tcW w:w="740" w:type="dxa"/>
            <w:vAlign w:val="bottom"/>
            <w:gridSpan w:val="3"/>
            <w:vMerge w:val="continue"/>
          </w:tcPr>
          <w:p>
            <w:pPr>
              <w:spacing w:after="0"/>
              <w:rPr>
                <w:sz w:val="14"/>
                <w:szCs w:val="14"/>
                <w:color w:val="auto"/>
              </w:rPr>
            </w:pPr>
          </w:p>
        </w:tc>
        <w:tc>
          <w:tcPr>
            <w:tcW w:w="7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tcPr>
          <w:p>
            <w:pPr>
              <w:jc w:val="right"/>
              <w:ind w:right="100"/>
              <w:spacing w:after="0"/>
              <w:rPr>
                <w:sz w:val="20"/>
                <w:szCs w:val="20"/>
                <w:color w:val="auto"/>
              </w:rPr>
            </w:pPr>
            <w:r>
              <w:rPr>
                <w:rFonts w:ascii="Arial" w:cs="Arial" w:eastAsia="Arial" w:hAnsi="Arial"/>
                <w:sz w:val="14"/>
                <w:szCs w:val="14"/>
                <w:color w:val="auto"/>
              </w:rPr>
              <w:t>20.22</w:t>
            </w:r>
          </w:p>
        </w:tc>
        <w:tc>
          <w:tcPr>
            <w:tcW w:w="7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21.51</w:t>
            </w: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2524125</wp:posOffset>
            </wp:positionH>
            <wp:positionV relativeFrom="paragraph">
              <wp:posOffset>-386715</wp:posOffset>
            </wp:positionV>
            <wp:extent cx="484505" cy="2984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484505" cy="29845"/>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-386715</wp:posOffset>
            </wp:positionV>
            <wp:extent cx="484505" cy="2984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484505" cy="2984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-386715</wp:posOffset>
            </wp:positionV>
            <wp:extent cx="484505" cy="2984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484505" cy="29845"/>
                    </a:xfrm>
                    <a:prstGeom prst="rect">
                      <a:avLst/>
                    </a:prstGeom>
                    <a:noFill/>
                  </pic:spPr>
                </pic:pic>
              </a:graphicData>
            </a:graphic>
          </wp:anchor>
        </w:drawing>
      </w:r>
    </w:p>
    <w:p>
      <w:pPr>
        <w:spacing w:after="0" w:line="26" w:lineRule="exact"/>
        <w:rPr>
          <w:sz w:val="20"/>
          <w:szCs w:val="20"/>
          <w:color w:val="auto"/>
        </w:rPr>
      </w:pPr>
    </w:p>
    <w:p>
      <w:pPr>
        <w:ind w:right="440" w:firstLine="228"/>
        <w:spacing w:after="0" w:line="268" w:lineRule="auto"/>
        <w:rPr>
          <w:sz w:val="20"/>
          <w:szCs w:val="20"/>
          <w:color w:val="auto"/>
        </w:rPr>
      </w:pPr>
      <w:r>
        <w:rPr>
          <w:rFonts w:ascii="Arial" w:cs="Arial" w:eastAsia="Arial" w:hAnsi="Arial"/>
          <w:sz w:val="18"/>
          <w:szCs w:val="18"/>
          <w:color w:val="auto"/>
        </w:rPr>
        <w:t>The following table summarizes information concerning currently outstanding and exercisable options by five ranges of exercise prices on December 31, 2003:</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8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580" w:type="dxa"/>
            <w:vAlign w:val="bottom"/>
          </w:tcPr>
          <w:p>
            <w:pPr>
              <w:jc w:val="right"/>
              <w:ind w:right="452"/>
              <w:spacing w:after="0"/>
              <w:rPr>
                <w:sz w:val="20"/>
                <w:szCs w:val="20"/>
                <w:color w:val="auto"/>
              </w:rPr>
            </w:pPr>
            <w:r>
              <w:rPr>
                <w:rFonts w:ascii="Arial" w:cs="Arial" w:eastAsia="Arial" w:hAnsi="Arial"/>
                <w:sz w:val="14"/>
                <w:szCs w:val="14"/>
                <w:b w:val="1"/>
                <w:bCs w:val="1"/>
                <w:color w:val="auto"/>
              </w:rPr>
              <w:t>Options Outstanding</w:t>
            </w:r>
          </w:p>
        </w:tc>
        <w:tc>
          <w:tcPr>
            <w:tcW w:w="6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88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Options Exercisable</w:t>
            </w: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284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580" w:type="dxa"/>
            <w:vAlign w:val="bottom"/>
            <w:tcBorders>
              <w:bottom w:val="single" w:sz="8" w:color="auto"/>
            </w:tcBorders>
          </w:tcPr>
          <w:p>
            <w:pPr>
              <w:spacing w:after="0"/>
              <w:rPr>
                <w:sz w:val="8"/>
                <w:szCs w:val="8"/>
                <w:color w:val="auto"/>
              </w:rPr>
            </w:pPr>
          </w:p>
        </w:tc>
        <w:tc>
          <w:tcPr>
            <w:tcW w:w="1100" w:type="dxa"/>
            <w:vAlign w:val="bottom"/>
            <w:tcBorders>
              <w:bottom w:val="single" w:sz="8" w:color="auto"/>
            </w:tcBorders>
            <w:gridSpan w:val="2"/>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gridSpan w:val="2"/>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580" w:type="dxa"/>
            <w:vAlign w:val="bottom"/>
          </w:tcPr>
          <w:p>
            <w:pPr>
              <w:jc w:val="right"/>
              <w:ind w:right="532"/>
              <w:spacing w:after="0"/>
              <w:rPr>
                <w:sz w:val="20"/>
                <w:szCs w:val="20"/>
                <w:color w:val="auto"/>
              </w:rPr>
            </w:pPr>
            <w:r>
              <w:rPr>
                <w:rFonts w:ascii="Arial" w:cs="Arial" w:eastAsia="Arial" w:hAnsi="Arial"/>
                <w:sz w:val="14"/>
                <w:szCs w:val="14"/>
                <w:b w:val="1"/>
                <w:bCs w:val="1"/>
                <w:color w:val="auto"/>
              </w:rPr>
              <w:t>Weighted-</w:t>
            </w:r>
          </w:p>
        </w:tc>
        <w:tc>
          <w:tcPr>
            <w:tcW w:w="2220" w:type="dxa"/>
            <w:vAlign w:val="bottom"/>
            <w:gridSpan w:val="3"/>
          </w:tcPr>
          <w:p>
            <w:pPr>
              <w:ind w:left="520"/>
              <w:spacing w:after="0"/>
              <w:rPr>
                <w:sz w:val="20"/>
                <w:szCs w:val="20"/>
                <w:color w:val="auto"/>
              </w:rPr>
            </w:pPr>
            <w:r>
              <w:rPr>
                <w:rFonts w:ascii="Arial" w:cs="Arial" w:eastAsia="Arial" w:hAnsi="Arial"/>
                <w:sz w:val="14"/>
                <w:szCs w:val="14"/>
                <w:b w:val="1"/>
                <w:bCs w:val="1"/>
                <w:color w:val="auto"/>
              </w:rPr>
              <w:t>Weighted-</w:t>
            </w:r>
          </w:p>
        </w:tc>
        <w:tc>
          <w:tcPr>
            <w:tcW w:w="8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60" w:type="dxa"/>
            <w:vAlign w:val="bottom"/>
            <w:gridSpan w:val="3"/>
          </w:tcPr>
          <w:p>
            <w:pPr>
              <w:ind w:left="40"/>
              <w:spacing w:after="0"/>
              <w:rPr>
                <w:sz w:val="20"/>
                <w:szCs w:val="20"/>
                <w:color w:val="auto"/>
              </w:rPr>
            </w:pPr>
            <w:r>
              <w:rPr>
                <w:rFonts w:ascii="Arial" w:cs="Arial" w:eastAsia="Arial" w:hAnsi="Arial"/>
                <w:sz w:val="14"/>
                <w:szCs w:val="14"/>
                <w:b w:val="1"/>
                <w:bCs w:val="1"/>
                <w:color w:val="auto"/>
                <w:w w:val="88"/>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Number</w:t>
            </w:r>
          </w:p>
        </w:tc>
        <w:tc>
          <w:tcPr>
            <w:tcW w:w="2580" w:type="dxa"/>
            <w:vAlign w:val="bottom"/>
          </w:tcPr>
          <w:p>
            <w:pPr>
              <w:jc w:val="right"/>
              <w:ind w:right="532"/>
              <w:spacing w:after="0" w:line="149" w:lineRule="exact"/>
              <w:rPr>
                <w:sz w:val="20"/>
                <w:szCs w:val="20"/>
                <w:color w:val="auto"/>
              </w:rPr>
            </w:pPr>
            <w:r>
              <w:rPr>
                <w:rFonts w:ascii="Arial" w:cs="Arial" w:eastAsia="Arial" w:hAnsi="Arial"/>
                <w:sz w:val="14"/>
                <w:szCs w:val="14"/>
                <w:b w:val="1"/>
                <w:bCs w:val="1"/>
                <w:color w:val="auto"/>
              </w:rPr>
              <w:t>average</w:t>
            </w:r>
          </w:p>
        </w:tc>
        <w:tc>
          <w:tcPr>
            <w:tcW w:w="620" w:type="dxa"/>
            <w:vAlign w:val="bottom"/>
          </w:tcPr>
          <w:p>
            <w:pPr>
              <w:spacing w:after="0"/>
              <w:rPr>
                <w:sz w:val="12"/>
                <w:szCs w:val="12"/>
                <w:color w:val="auto"/>
              </w:rPr>
            </w:pPr>
          </w:p>
        </w:tc>
        <w:tc>
          <w:tcPr>
            <w:tcW w:w="1600" w:type="dxa"/>
            <w:vAlign w:val="bottom"/>
            <w:gridSpan w:val="2"/>
          </w:tcPr>
          <w:p>
            <w:pPr>
              <w:jc w:val="right"/>
              <w:ind w:right="1120"/>
              <w:spacing w:after="0" w:line="149" w:lineRule="exact"/>
              <w:rPr>
                <w:sz w:val="20"/>
                <w:szCs w:val="20"/>
                <w:color w:val="auto"/>
              </w:rPr>
            </w:pPr>
            <w:r>
              <w:rPr>
                <w:rFonts w:ascii="Arial" w:cs="Arial" w:eastAsia="Arial" w:hAnsi="Arial"/>
                <w:sz w:val="14"/>
                <w:szCs w:val="14"/>
                <w:b w:val="1"/>
                <w:bCs w:val="1"/>
                <w:color w:val="auto"/>
                <w:w w:val="86"/>
              </w:rPr>
              <w:t>average</w:t>
            </w:r>
          </w:p>
        </w:tc>
        <w:tc>
          <w:tcPr>
            <w:tcW w:w="1880" w:type="dxa"/>
            <w:vAlign w:val="bottom"/>
            <w:gridSpan w:val="2"/>
          </w:tcPr>
          <w:p>
            <w:pPr>
              <w:jc w:val="right"/>
              <w:ind w:right="1080"/>
              <w:spacing w:after="0" w:line="149" w:lineRule="exact"/>
              <w:rPr>
                <w:sz w:val="20"/>
                <w:szCs w:val="20"/>
                <w:color w:val="auto"/>
              </w:rPr>
            </w:pPr>
            <w:r>
              <w:rPr>
                <w:rFonts w:ascii="Arial" w:cs="Arial" w:eastAsia="Arial" w:hAnsi="Arial"/>
                <w:sz w:val="14"/>
                <w:szCs w:val="14"/>
                <w:b w:val="1"/>
                <w:bCs w:val="1"/>
                <w:color w:val="auto"/>
              </w:rPr>
              <w:t>Number</w:t>
            </w:r>
          </w:p>
        </w:tc>
        <w:tc>
          <w:tcPr>
            <w:tcW w:w="140" w:type="dxa"/>
            <w:vAlign w:val="bottom"/>
          </w:tcPr>
          <w:p>
            <w:pPr>
              <w:spacing w:after="0"/>
              <w:rPr>
                <w:sz w:val="12"/>
                <w:szCs w:val="12"/>
                <w:color w:val="auto"/>
              </w:rPr>
            </w:pPr>
          </w:p>
        </w:tc>
        <w:tc>
          <w:tcPr>
            <w:tcW w:w="520" w:type="dxa"/>
            <w:vAlign w:val="bottom"/>
            <w:gridSpan w:val="2"/>
          </w:tcPr>
          <w:p>
            <w:pPr>
              <w:jc w:val="right"/>
              <w:ind w:right="2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330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Range of</w:t>
            </w:r>
          </w:p>
        </w:tc>
        <w:tc>
          <w:tcPr>
            <w:tcW w:w="8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7"/>
              </w:rPr>
              <w:t>outstanding</w:t>
            </w:r>
          </w:p>
        </w:tc>
        <w:tc>
          <w:tcPr>
            <w:tcW w:w="2580" w:type="dxa"/>
            <w:vAlign w:val="bottom"/>
          </w:tcPr>
          <w:p>
            <w:pPr>
              <w:jc w:val="right"/>
              <w:ind w:right="532"/>
              <w:spacing w:after="0" w:line="149" w:lineRule="exact"/>
              <w:rPr>
                <w:sz w:val="20"/>
                <w:szCs w:val="20"/>
                <w:color w:val="auto"/>
              </w:rPr>
            </w:pPr>
            <w:r>
              <w:rPr>
                <w:rFonts w:ascii="Arial" w:cs="Arial" w:eastAsia="Arial" w:hAnsi="Arial"/>
                <w:sz w:val="14"/>
                <w:szCs w:val="14"/>
                <w:b w:val="1"/>
                <w:bCs w:val="1"/>
                <w:color w:val="auto"/>
              </w:rPr>
              <w:t>remaining</w:t>
            </w:r>
          </w:p>
        </w:tc>
        <w:tc>
          <w:tcPr>
            <w:tcW w:w="620" w:type="dxa"/>
            <w:vAlign w:val="bottom"/>
          </w:tcPr>
          <w:p>
            <w:pPr>
              <w:spacing w:after="0"/>
              <w:rPr>
                <w:sz w:val="12"/>
                <w:szCs w:val="12"/>
                <w:color w:val="auto"/>
              </w:rPr>
            </w:pPr>
          </w:p>
        </w:tc>
        <w:tc>
          <w:tcPr>
            <w:tcW w:w="1600" w:type="dxa"/>
            <w:vAlign w:val="bottom"/>
            <w:gridSpan w:val="2"/>
          </w:tcPr>
          <w:p>
            <w:pPr>
              <w:jc w:val="right"/>
              <w:ind w:right="1120"/>
              <w:spacing w:after="0" w:line="149" w:lineRule="exact"/>
              <w:rPr>
                <w:sz w:val="20"/>
                <w:szCs w:val="20"/>
                <w:color w:val="auto"/>
              </w:rPr>
            </w:pPr>
            <w:r>
              <w:rPr>
                <w:rFonts w:ascii="Arial" w:cs="Arial" w:eastAsia="Arial" w:hAnsi="Arial"/>
                <w:sz w:val="14"/>
                <w:szCs w:val="14"/>
                <w:b w:val="1"/>
                <w:bCs w:val="1"/>
                <w:color w:val="auto"/>
                <w:w w:val="81"/>
              </w:rPr>
              <w:t>exercise</w:t>
            </w:r>
          </w:p>
        </w:tc>
        <w:tc>
          <w:tcPr>
            <w:tcW w:w="1880" w:type="dxa"/>
            <w:vAlign w:val="bottom"/>
            <w:gridSpan w:val="2"/>
          </w:tcPr>
          <w:p>
            <w:pPr>
              <w:jc w:val="right"/>
              <w:ind w:right="1080"/>
              <w:spacing w:after="0" w:line="149" w:lineRule="exact"/>
              <w:rPr>
                <w:sz w:val="20"/>
                <w:szCs w:val="20"/>
                <w:color w:val="auto"/>
              </w:rPr>
            </w:pPr>
            <w:r>
              <w:rPr>
                <w:rFonts w:ascii="Arial" w:cs="Arial" w:eastAsia="Arial" w:hAnsi="Arial"/>
                <w:sz w:val="14"/>
                <w:szCs w:val="14"/>
                <w:b w:val="1"/>
                <w:bCs w:val="1"/>
                <w:color w:val="auto"/>
              </w:rPr>
              <w:t>exercisable</w:t>
            </w:r>
          </w:p>
        </w:tc>
        <w:tc>
          <w:tcPr>
            <w:tcW w:w="140" w:type="dxa"/>
            <w:vAlign w:val="bottom"/>
          </w:tcPr>
          <w:p>
            <w:pPr>
              <w:spacing w:after="0"/>
              <w:rPr>
                <w:sz w:val="12"/>
                <w:szCs w:val="12"/>
                <w:color w:val="auto"/>
              </w:rPr>
            </w:pPr>
          </w:p>
        </w:tc>
        <w:tc>
          <w:tcPr>
            <w:tcW w:w="520" w:type="dxa"/>
            <w:vAlign w:val="bottom"/>
            <w:gridSpan w:val="2"/>
          </w:tcPr>
          <w:p>
            <w:pPr>
              <w:jc w:val="right"/>
              <w:ind w:right="20"/>
              <w:spacing w:after="0" w:line="149" w:lineRule="exact"/>
              <w:rPr>
                <w:sz w:val="20"/>
                <w:szCs w:val="20"/>
                <w:color w:val="auto"/>
              </w:rPr>
            </w:pPr>
            <w:r>
              <w:rPr>
                <w:rFonts w:ascii="Arial" w:cs="Arial" w:eastAsia="Arial" w:hAnsi="Arial"/>
                <w:sz w:val="14"/>
                <w:szCs w:val="14"/>
                <w:b w:val="1"/>
                <w:bCs w:val="1"/>
                <w:color w:val="auto"/>
                <w:w w:val="85"/>
              </w:rPr>
              <w:t>exercise</w:t>
            </w:r>
          </w:p>
        </w:tc>
        <w:tc>
          <w:tcPr>
            <w:tcW w:w="0" w:type="dxa"/>
            <w:vAlign w:val="bottom"/>
          </w:tcPr>
          <w:p>
            <w:pPr>
              <w:spacing w:after="0"/>
              <w:rPr>
                <w:sz w:val="1"/>
                <w:szCs w:val="1"/>
                <w:color w:val="auto"/>
              </w:rPr>
            </w:pPr>
          </w:p>
        </w:tc>
      </w:tr>
      <w:tr>
        <w:trPr>
          <w:trHeight w:val="174"/>
        </w:trPr>
        <w:tc>
          <w:tcPr>
            <w:tcW w:w="3300" w:type="dxa"/>
            <w:vAlign w:val="bottom"/>
            <w:gridSpan w:val="4"/>
          </w:tcPr>
          <w:p>
            <w:pPr>
              <w:spacing w:after="0"/>
              <w:rPr>
                <w:sz w:val="20"/>
                <w:szCs w:val="20"/>
                <w:color w:val="auto"/>
              </w:rPr>
            </w:pPr>
            <w:r>
              <w:rPr>
                <w:rFonts w:ascii="Arial" w:cs="Arial" w:eastAsia="Arial" w:hAnsi="Arial"/>
                <w:sz w:val="14"/>
                <w:szCs w:val="14"/>
                <w:b w:val="1"/>
                <w:bCs w:val="1"/>
                <w:color w:val="auto"/>
              </w:rPr>
              <w:t>exercise prices</w:t>
            </w: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w w:val="85"/>
              </w:rPr>
              <w:t>as of 12/31/03</w:t>
            </w:r>
          </w:p>
        </w:tc>
        <w:tc>
          <w:tcPr>
            <w:tcW w:w="2580" w:type="dxa"/>
            <w:vAlign w:val="bottom"/>
          </w:tcPr>
          <w:p>
            <w:pPr>
              <w:jc w:val="right"/>
              <w:ind w:right="532"/>
              <w:spacing w:after="0"/>
              <w:rPr>
                <w:sz w:val="20"/>
                <w:szCs w:val="20"/>
                <w:color w:val="auto"/>
              </w:rPr>
            </w:pPr>
            <w:r>
              <w:rPr>
                <w:rFonts w:ascii="Arial" w:cs="Arial" w:eastAsia="Arial" w:hAnsi="Arial"/>
                <w:sz w:val="14"/>
                <w:szCs w:val="14"/>
                <w:b w:val="1"/>
                <w:bCs w:val="1"/>
                <w:color w:val="auto"/>
              </w:rPr>
              <w:t>contractual life</w:t>
            </w:r>
          </w:p>
        </w:tc>
        <w:tc>
          <w:tcPr>
            <w:tcW w:w="620" w:type="dxa"/>
            <w:vAlign w:val="bottom"/>
          </w:tcPr>
          <w:p>
            <w:pPr>
              <w:spacing w:after="0"/>
              <w:rPr>
                <w:sz w:val="15"/>
                <w:szCs w:val="15"/>
                <w:color w:val="auto"/>
              </w:rPr>
            </w:pPr>
          </w:p>
        </w:tc>
        <w:tc>
          <w:tcPr>
            <w:tcW w:w="1600" w:type="dxa"/>
            <w:vAlign w:val="bottom"/>
            <w:gridSpan w:val="2"/>
          </w:tcPr>
          <w:p>
            <w:pPr>
              <w:jc w:val="right"/>
              <w:ind w:right="1120"/>
              <w:spacing w:after="0"/>
              <w:rPr>
                <w:sz w:val="20"/>
                <w:szCs w:val="20"/>
                <w:color w:val="auto"/>
              </w:rPr>
            </w:pPr>
            <w:r>
              <w:rPr>
                <w:rFonts w:ascii="Arial" w:cs="Arial" w:eastAsia="Arial" w:hAnsi="Arial"/>
                <w:sz w:val="14"/>
                <w:szCs w:val="14"/>
                <w:b w:val="1"/>
                <w:bCs w:val="1"/>
                <w:color w:val="auto"/>
              </w:rPr>
              <w:t>price</w:t>
            </w:r>
          </w:p>
        </w:tc>
        <w:tc>
          <w:tcPr>
            <w:tcW w:w="1880" w:type="dxa"/>
            <w:vAlign w:val="bottom"/>
            <w:gridSpan w:val="2"/>
          </w:tcPr>
          <w:p>
            <w:pPr>
              <w:jc w:val="right"/>
              <w:ind w:right="1080"/>
              <w:spacing w:after="0"/>
              <w:rPr>
                <w:sz w:val="20"/>
                <w:szCs w:val="20"/>
                <w:color w:val="auto"/>
              </w:rPr>
            </w:pPr>
            <w:r>
              <w:rPr>
                <w:rFonts w:ascii="Arial" w:cs="Arial" w:eastAsia="Arial" w:hAnsi="Arial"/>
                <w:sz w:val="14"/>
                <w:szCs w:val="14"/>
                <w:b w:val="1"/>
                <w:bCs w:val="1"/>
                <w:color w:val="auto"/>
                <w:w w:val="85"/>
              </w:rPr>
              <w:t>as of 12/31/03</w:t>
            </w:r>
          </w:p>
        </w:tc>
        <w:tc>
          <w:tcPr>
            <w:tcW w:w="140" w:type="dxa"/>
            <w:vAlign w:val="bottom"/>
          </w:tcPr>
          <w:p>
            <w:pPr>
              <w:spacing w:after="0"/>
              <w:rPr>
                <w:sz w:val="15"/>
                <w:szCs w:val="15"/>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price</w:t>
            </w:r>
          </w:p>
        </w:tc>
        <w:tc>
          <w:tcPr>
            <w:tcW w:w="0" w:type="dxa"/>
            <w:vAlign w:val="bottom"/>
          </w:tcPr>
          <w:p>
            <w:pPr>
              <w:spacing w:after="0"/>
              <w:rPr>
                <w:sz w:val="1"/>
                <w:szCs w:val="1"/>
                <w:color w:val="auto"/>
              </w:rPr>
            </w:pPr>
          </w:p>
        </w:tc>
      </w:tr>
      <w:tr>
        <w:trPr>
          <w:trHeight w:val="109"/>
        </w:trPr>
        <w:tc>
          <w:tcPr>
            <w:tcW w:w="20" w:type="dxa"/>
            <w:vAlign w:val="bottom"/>
            <w:vMerge w:val="restart"/>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2840" w:type="dxa"/>
            <w:vAlign w:val="bottom"/>
          </w:tcPr>
          <w:p>
            <w:pPr>
              <w:spacing w:after="0"/>
              <w:rPr>
                <w:sz w:val="9"/>
                <w:szCs w:val="9"/>
                <w:color w:val="auto"/>
              </w:rPr>
            </w:pPr>
          </w:p>
        </w:tc>
        <w:tc>
          <w:tcPr>
            <w:tcW w:w="800" w:type="dxa"/>
            <w:vAlign w:val="bottom"/>
          </w:tcPr>
          <w:p>
            <w:pPr>
              <w:spacing w:after="0"/>
              <w:rPr>
                <w:sz w:val="9"/>
                <w:szCs w:val="9"/>
                <w:color w:val="auto"/>
              </w:rPr>
            </w:pPr>
          </w:p>
        </w:tc>
        <w:tc>
          <w:tcPr>
            <w:tcW w:w="2580" w:type="dxa"/>
            <w:vAlign w:val="bottom"/>
          </w:tcPr>
          <w:p>
            <w:pPr>
              <w:spacing w:after="0"/>
              <w:rPr>
                <w:sz w:val="9"/>
                <w:szCs w:val="9"/>
                <w:color w:val="auto"/>
              </w:rPr>
            </w:pPr>
          </w:p>
        </w:tc>
        <w:tc>
          <w:tcPr>
            <w:tcW w:w="6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3.831</w:t>
            </w:r>
          </w:p>
        </w:tc>
        <w:tc>
          <w:tcPr>
            <w:tcW w:w="284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 $22.073</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86,503</w:t>
            </w:r>
          </w:p>
        </w:tc>
        <w:tc>
          <w:tcPr>
            <w:tcW w:w="2580" w:type="dxa"/>
            <w:vAlign w:val="bottom"/>
            <w:shd w:val="clear" w:color="auto" w:fill="CCEEFF"/>
          </w:tcPr>
          <w:p>
            <w:pPr>
              <w:jc w:val="right"/>
              <w:ind w:right="532"/>
              <w:spacing w:after="0" w:line="149" w:lineRule="exact"/>
              <w:rPr>
                <w:sz w:val="20"/>
                <w:szCs w:val="20"/>
                <w:color w:val="auto"/>
              </w:rPr>
            </w:pPr>
            <w:r>
              <w:rPr>
                <w:rFonts w:ascii="Arial" w:cs="Arial" w:eastAsia="Arial" w:hAnsi="Arial"/>
                <w:sz w:val="14"/>
                <w:szCs w:val="14"/>
                <w:color w:val="auto"/>
              </w:rPr>
              <w:t>1.83</w:t>
            </w:r>
          </w:p>
        </w:tc>
        <w:tc>
          <w:tcPr>
            <w:tcW w:w="620" w:type="dxa"/>
            <w:vAlign w:val="bottom"/>
            <w:shd w:val="clear" w:color="auto" w:fill="CCEEFF"/>
          </w:tcPr>
          <w:p>
            <w:pPr>
              <w:ind w:left="520"/>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19.655</w:t>
            </w:r>
          </w:p>
        </w:tc>
        <w:tc>
          <w:tcPr>
            <w:tcW w:w="11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86,503</w:t>
            </w:r>
          </w:p>
        </w:tc>
        <w:tc>
          <w:tcPr>
            <w:tcW w:w="1080" w:type="dxa"/>
            <w:vAlign w:val="bottom"/>
            <w:shd w:val="clear" w:color="auto" w:fill="CCEEFF"/>
          </w:tcPr>
          <w:p>
            <w:pPr>
              <w:spacing w:after="0"/>
              <w:rPr>
                <w:sz w:val="12"/>
                <w:szCs w:val="12"/>
                <w:color w:val="auto"/>
              </w:rPr>
            </w:pPr>
          </w:p>
        </w:tc>
        <w:tc>
          <w:tcPr>
            <w:tcW w:w="14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19.655</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w w:val="79"/>
              </w:rPr>
              <w:t>24.142</w:t>
            </w:r>
          </w:p>
        </w:tc>
        <w:tc>
          <w:tcPr>
            <w:tcW w:w="2840" w:type="dxa"/>
            <w:vAlign w:val="bottom"/>
          </w:tcPr>
          <w:p>
            <w:pPr>
              <w:ind w:left="20"/>
              <w:spacing w:after="0" w:line="149" w:lineRule="exact"/>
              <w:rPr>
                <w:sz w:val="20"/>
                <w:szCs w:val="20"/>
                <w:color w:val="auto"/>
              </w:rPr>
            </w:pPr>
            <w:r>
              <w:rPr>
                <w:rFonts w:ascii="Arial" w:cs="Arial" w:eastAsia="Arial" w:hAnsi="Arial"/>
                <w:sz w:val="14"/>
                <w:szCs w:val="14"/>
                <w:color w:val="auto"/>
              </w:rPr>
              <w:t>– $30.710</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4,426,622</w:t>
            </w:r>
          </w:p>
        </w:tc>
        <w:tc>
          <w:tcPr>
            <w:tcW w:w="2580" w:type="dxa"/>
            <w:vAlign w:val="bottom"/>
          </w:tcPr>
          <w:p>
            <w:pPr>
              <w:jc w:val="right"/>
              <w:ind w:right="532"/>
              <w:spacing w:after="0" w:line="149" w:lineRule="exact"/>
              <w:rPr>
                <w:sz w:val="20"/>
                <w:szCs w:val="20"/>
                <w:color w:val="auto"/>
              </w:rPr>
            </w:pPr>
            <w:r>
              <w:rPr>
                <w:rFonts w:ascii="Arial" w:cs="Arial" w:eastAsia="Arial" w:hAnsi="Arial"/>
                <w:sz w:val="14"/>
                <w:szCs w:val="14"/>
                <w:color w:val="auto"/>
              </w:rPr>
              <w:t>1.39</w:t>
            </w:r>
          </w:p>
        </w:tc>
        <w:tc>
          <w:tcPr>
            <w:tcW w:w="620" w:type="dxa"/>
            <w:vAlign w:val="bottom"/>
          </w:tcPr>
          <w:p>
            <w:pPr>
              <w:ind w:left="520"/>
              <w:spacing w:after="0" w:line="149" w:lineRule="exact"/>
              <w:rPr>
                <w:sz w:val="20"/>
                <w:szCs w:val="20"/>
                <w:color w:val="auto"/>
              </w:rPr>
            </w:pPr>
            <w:r>
              <w:rPr>
                <w:rFonts w:ascii="Arial" w:cs="Arial" w:eastAsia="Arial" w:hAnsi="Arial"/>
                <w:sz w:val="14"/>
                <w:szCs w:val="14"/>
                <w:color w:val="auto"/>
              </w:rPr>
              <w:t>$</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27.624</w:t>
            </w:r>
          </w:p>
        </w:tc>
        <w:tc>
          <w:tcPr>
            <w:tcW w:w="112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4,426,622</w:t>
            </w:r>
          </w:p>
        </w:tc>
        <w:tc>
          <w:tcPr>
            <w:tcW w:w="1080" w:type="dxa"/>
            <w:vAlign w:val="bottom"/>
          </w:tcPr>
          <w:p>
            <w:pPr>
              <w:spacing w:after="0"/>
              <w:rPr>
                <w:sz w:val="12"/>
                <w:szCs w:val="12"/>
                <w:color w:val="auto"/>
              </w:rPr>
            </w:pPr>
          </w:p>
        </w:tc>
        <w:tc>
          <w:tcPr>
            <w:tcW w:w="140" w:type="dxa"/>
            <w:vAlign w:val="bottom"/>
          </w:tcPr>
          <w:p>
            <w:pPr>
              <w:ind w:left="40"/>
              <w:spacing w:after="0" w:line="149" w:lineRule="exact"/>
              <w:rPr>
                <w:sz w:val="20"/>
                <w:szCs w:val="20"/>
                <w:color w:val="auto"/>
              </w:rPr>
            </w:pPr>
            <w:r>
              <w:rPr>
                <w:rFonts w:ascii="Arial" w:cs="Arial" w:eastAsia="Arial" w:hAnsi="Arial"/>
                <w:sz w:val="14"/>
                <w:szCs w:val="14"/>
                <w:color w:val="auto"/>
              </w:rPr>
              <w:t>$</w:t>
            </w: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27.624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9"/>
              </w:rPr>
              <w:t>30.795</w:t>
            </w:r>
          </w:p>
        </w:tc>
        <w:tc>
          <w:tcPr>
            <w:tcW w:w="284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 $44.843</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4,637,754</w:t>
            </w:r>
          </w:p>
        </w:tc>
        <w:tc>
          <w:tcPr>
            <w:tcW w:w="2580" w:type="dxa"/>
            <w:vAlign w:val="bottom"/>
            <w:shd w:val="clear" w:color="auto" w:fill="CCEEFF"/>
          </w:tcPr>
          <w:p>
            <w:pPr>
              <w:jc w:val="right"/>
              <w:ind w:right="532"/>
              <w:spacing w:after="0" w:line="149" w:lineRule="exact"/>
              <w:rPr>
                <w:sz w:val="20"/>
                <w:szCs w:val="20"/>
                <w:color w:val="auto"/>
              </w:rPr>
            </w:pPr>
            <w:r>
              <w:rPr>
                <w:rFonts w:ascii="Arial" w:cs="Arial" w:eastAsia="Arial" w:hAnsi="Arial"/>
                <w:sz w:val="14"/>
                <w:szCs w:val="14"/>
                <w:color w:val="auto"/>
              </w:rPr>
              <w:t>3.94</w:t>
            </w:r>
          </w:p>
        </w:tc>
        <w:tc>
          <w:tcPr>
            <w:tcW w:w="620" w:type="dxa"/>
            <w:vAlign w:val="bottom"/>
            <w:shd w:val="clear" w:color="auto" w:fill="CCEEFF"/>
          </w:tcPr>
          <w:p>
            <w:pPr>
              <w:ind w:left="520"/>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39.620</w:t>
            </w:r>
          </w:p>
        </w:tc>
        <w:tc>
          <w:tcPr>
            <w:tcW w:w="11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3,671,853</w:t>
            </w:r>
          </w:p>
        </w:tc>
        <w:tc>
          <w:tcPr>
            <w:tcW w:w="1080" w:type="dxa"/>
            <w:vAlign w:val="bottom"/>
            <w:shd w:val="clear" w:color="auto" w:fill="CCEEFF"/>
          </w:tcPr>
          <w:p>
            <w:pPr>
              <w:spacing w:after="0"/>
              <w:rPr>
                <w:sz w:val="12"/>
                <w:szCs w:val="12"/>
                <w:color w:val="auto"/>
              </w:rPr>
            </w:pPr>
          </w:p>
        </w:tc>
        <w:tc>
          <w:tcPr>
            <w:tcW w:w="14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39.197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w w:val="79"/>
              </w:rPr>
              <w:t>46.020</w:t>
            </w:r>
          </w:p>
        </w:tc>
        <w:tc>
          <w:tcPr>
            <w:tcW w:w="2840" w:type="dxa"/>
            <w:vAlign w:val="bottom"/>
          </w:tcPr>
          <w:p>
            <w:pPr>
              <w:ind w:left="20"/>
              <w:spacing w:after="0" w:line="149" w:lineRule="exact"/>
              <w:rPr>
                <w:sz w:val="20"/>
                <w:szCs w:val="20"/>
                <w:color w:val="auto"/>
              </w:rPr>
            </w:pPr>
            <w:r>
              <w:rPr>
                <w:rFonts w:ascii="Arial" w:cs="Arial" w:eastAsia="Arial" w:hAnsi="Arial"/>
                <w:sz w:val="14"/>
                <w:szCs w:val="14"/>
                <w:color w:val="auto"/>
              </w:rPr>
              <w:t>– $65.330</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18,470,275</w:t>
            </w:r>
          </w:p>
        </w:tc>
        <w:tc>
          <w:tcPr>
            <w:tcW w:w="2580" w:type="dxa"/>
            <w:vAlign w:val="bottom"/>
          </w:tcPr>
          <w:p>
            <w:pPr>
              <w:jc w:val="right"/>
              <w:ind w:right="532"/>
              <w:spacing w:after="0" w:line="149" w:lineRule="exact"/>
              <w:rPr>
                <w:sz w:val="20"/>
                <w:szCs w:val="20"/>
                <w:color w:val="auto"/>
              </w:rPr>
            </w:pPr>
            <w:r>
              <w:rPr>
                <w:rFonts w:ascii="Arial" w:cs="Arial" w:eastAsia="Arial" w:hAnsi="Arial"/>
                <w:sz w:val="14"/>
                <w:szCs w:val="14"/>
                <w:color w:val="auto"/>
              </w:rPr>
              <w:t>7.39</w:t>
            </w:r>
          </w:p>
        </w:tc>
        <w:tc>
          <w:tcPr>
            <w:tcW w:w="620" w:type="dxa"/>
            <w:vAlign w:val="bottom"/>
          </w:tcPr>
          <w:p>
            <w:pPr>
              <w:ind w:left="520"/>
              <w:spacing w:after="0" w:line="149" w:lineRule="exact"/>
              <w:rPr>
                <w:sz w:val="20"/>
                <w:szCs w:val="20"/>
                <w:color w:val="auto"/>
              </w:rPr>
            </w:pPr>
            <w:r>
              <w:rPr>
                <w:rFonts w:ascii="Arial" w:cs="Arial" w:eastAsia="Arial" w:hAnsi="Arial"/>
                <w:sz w:val="14"/>
                <w:szCs w:val="14"/>
                <w:color w:val="auto"/>
              </w:rPr>
              <w:t>$</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54.843</w:t>
            </w:r>
          </w:p>
        </w:tc>
        <w:tc>
          <w:tcPr>
            <w:tcW w:w="112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7,326,837</w:t>
            </w:r>
          </w:p>
        </w:tc>
        <w:tc>
          <w:tcPr>
            <w:tcW w:w="1080" w:type="dxa"/>
            <w:vAlign w:val="bottom"/>
          </w:tcPr>
          <w:p>
            <w:pPr>
              <w:spacing w:after="0"/>
              <w:rPr>
                <w:sz w:val="12"/>
                <w:szCs w:val="12"/>
                <w:color w:val="auto"/>
              </w:rPr>
            </w:pPr>
          </w:p>
        </w:tc>
        <w:tc>
          <w:tcPr>
            <w:tcW w:w="140" w:type="dxa"/>
            <w:vAlign w:val="bottom"/>
          </w:tcPr>
          <w:p>
            <w:pPr>
              <w:ind w:left="40"/>
              <w:spacing w:after="0" w:line="149" w:lineRule="exact"/>
              <w:rPr>
                <w:sz w:val="20"/>
                <w:szCs w:val="20"/>
                <w:color w:val="auto"/>
              </w:rPr>
            </w:pPr>
            <w:r>
              <w:rPr>
                <w:rFonts w:ascii="Arial" w:cs="Arial" w:eastAsia="Arial" w:hAnsi="Arial"/>
                <w:sz w:val="14"/>
                <w:szCs w:val="14"/>
                <w:color w:val="auto"/>
              </w:rPr>
              <w:t>$</w:t>
            </w: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55.694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9"/>
              </w:rPr>
              <w:t>71.315</w:t>
            </w:r>
          </w:p>
        </w:tc>
        <w:tc>
          <w:tcPr>
            <w:tcW w:w="284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 $82.348</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9,935,393</w:t>
            </w:r>
          </w:p>
        </w:tc>
        <w:tc>
          <w:tcPr>
            <w:tcW w:w="2580" w:type="dxa"/>
            <w:vAlign w:val="bottom"/>
            <w:shd w:val="clear" w:color="auto" w:fill="CCEEFF"/>
          </w:tcPr>
          <w:p>
            <w:pPr>
              <w:jc w:val="right"/>
              <w:ind w:right="532"/>
              <w:spacing w:after="0" w:line="149" w:lineRule="exact"/>
              <w:rPr>
                <w:sz w:val="20"/>
                <w:szCs w:val="20"/>
                <w:color w:val="auto"/>
              </w:rPr>
            </w:pPr>
            <w:r>
              <w:rPr>
                <w:rFonts w:ascii="Arial" w:cs="Arial" w:eastAsia="Arial" w:hAnsi="Arial"/>
                <w:sz w:val="14"/>
                <w:szCs w:val="14"/>
                <w:color w:val="auto"/>
              </w:rPr>
              <w:t>5.28</w:t>
            </w:r>
          </w:p>
        </w:tc>
        <w:tc>
          <w:tcPr>
            <w:tcW w:w="620" w:type="dxa"/>
            <w:vAlign w:val="bottom"/>
            <w:shd w:val="clear" w:color="auto" w:fill="CCEEFF"/>
          </w:tcPr>
          <w:p>
            <w:pPr>
              <w:ind w:left="520"/>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80.636</w:t>
            </w:r>
          </w:p>
        </w:tc>
        <w:tc>
          <w:tcPr>
            <w:tcW w:w="11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7,948,943</w:t>
            </w:r>
          </w:p>
        </w:tc>
        <w:tc>
          <w:tcPr>
            <w:tcW w:w="1080" w:type="dxa"/>
            <w:vAlign w:val="bottom"/>
            <w:shd w:val="clear" w:color="auto" w:fill="CCEEFF"/>
          </w:tcPr>
          <w:p>
            <w:pPr>
              <w:spacing w:after="0"/>
              <w:rPr>
                <w:sz w:val="12"/>
                <w:szCs w:val="12"/>
                <w:color w:val="auto"/>
              </w:rPr>
            </w:pPr>
          </w:p>
        </w:tc>
        <w:tc>
          <w:tcPr>
            <w:tcW w:w="14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80.659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284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2580" w:type="dxa"/>
            <w:vAlign w:val="bottom"/>
          </w:tcPr>
          <w:p>
            <w:pPr>
              <w:spacing w:after="0"/>
              <w:rPr>
                <w:sz w:val="9"/>
                <w:szCs w:val="9"/>
                <w:color w:val="auto"/>
              </w:rPr>
            </w:pPr>
          </w:p>
        </w:tc>
        <w:tc>
          <w:tcPr>
            <w:tcW w:w="6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10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2840" w:type="dxa"/>
            <w:vAlign w:val="bottom"/>
          </w:tcPr>
          <w:p>
            <w:pPr>
              <w:spacing w:after="0"/>
              <w:rPr>
                <w:sz w:val="8"/>
                <w:szCs w:val="8"/>
                <w:color w:val="auto"/>
              </w:rPr>
            </w:pPr>
          </w:p>
        </w:tc>
        <w:tc>
          <w:tcPr>
            <w:tcW w:w="800" w:type="dxa"/>
            <w:vAlign w:val="bottom"/>
          </w:tcPr>
          <w:p>
            <w:pPr>
              <w:spacing w:after="0"/>
              <w:rPr>
                <w:sz w:val="8"/>
                <w:szCs w:val="8"/>
                <w:color w:val="auto"/>
              </w:rPr>
            </w:pPr>
          </w:p>
        </w:tc>
        <w:tc>
          <w:tcPr>
            <w:tcW w:w="2580" w:type="dxa"/>
            <w:vAlign w:val="bottom"/>
          </w:tcPr>
          <w:p>
            <w:pPr>
              <w:spacing w:after="0"/>
              <w:rPr>
                <w:sz w:val="8"/>
                <w:szCs w:val="8"/>
                <w:color w:val="auto"/>
              </w:rPr>
            </w:pPr>
          </w:p>
        </w:tc>
        <w:tc>
          <w:tcPr>
            <w:tcW w:w="6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84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37,556,547</w:t>
            </w:r>
          </w:p>
        </w:tc>
        <w:tc>
          <w:tcPr>
            <w:tcW w:w="2580" w:type="dxa"/>
            <w:vAlign w:val="bottom"/>
            <w:shd w:val="clear" w:color="auto" w:fill="CCEEFF"/>
          </w:tcPr>
          <w:p>
            <w:pPr>
              <w:jc w:val="right"/>
              <w:ind w:right="532"/>
              <w:spacing w:after="0" w:line="149" w:lineRule="exact"/>
              <w:rPr>
                <w:sz w:val="20"/>
                <w:szCs w:val="20"/>
                <w:color w:val="auto"/>
              </w:rPr>
            </w:pPr>
            <w:r>
              <w:rPr>
                <w:rFonts w:ascii="Arial" w:cs="Arial" w:eastAsia="Arial" w:hAnsi="Arial"/>
                <w:sz w:val="14"/>
                <w:szCs w:val="14"/>
                <w:color w:val="auto"/>
              </w:rPr>
              <w:t>5.68</w:t>
            </w:r>
          </w:p>
        </w:tc>
        <w:tc>
          <w:tcPr>
            <w:tcW w:w="620" w:type="dxa"/>
            <w:vAlign w:val="bottom"/>
            <w:shd w:val="clear" w:color="auto" w:fill="CCEEFF"/>
          </w:tcPr>
          <w:p>
            <w:pPr>
              <w:ind w:left="520"/>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56.497</w:t>
            </w:r>
          </w:p>
        </w:tc>
        <w:tc>
          <w:tcPr>
            <w:tcW w:w="11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23,460,758</w:t>
            </w:r>
          </w:p>
        </w:tc>
        <w:tc>
          <w:tcPr>
            <w:tcW w:w="1080" w:type="dxa"/>
            <w:vAlign w:val="bottom"/>
            <w:shd w:val="clear" w:color="auto" w:fill="CCEEFF"/>
          </w:tcPr>
          <w:p>
            <w:pPr>
              <w:spacing w:after="0"/>
              <w:rPr>
                <w:sz w:val="12"/>
                <w:szCs w:val="12"/>
                <w:color w:val="auto"/>
              </w:rPr>
            </w:pPr>
          </w:p>
        </w:tc>
        <w:tc>
          <w:tcPr>
            <w:tcW w:w="14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56.141</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840" w:type="dxa"/>
            <w:vAlign w:val="bottom"/>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2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2592705</wp:posOffset>
            </wp:positionH>
            <wp:positionV relativeFrom="paragraph">
              <wp:posOffset>-29210</wp:posOffset>
            </wp:positionV>
            <wp:extent cx="12700" cy="2984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2095500</wp:posOffset>
            </wp:positionH>
            <wp:positionV relativeFrom="paragraph">
              <wp:posOffset>-29210</wp:posOffset>
            </wp:positionV>
            <wp:extent cx="12700" cy="2984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-29210</wp:posOffset>
            </wp:positionV>
            <wp:extent cx="12700" cy="2984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5654675</wp:posOffset>
            </wp:positionH>
            <wp:positionV relativeFrom="paragraph">
              <wp:posOffset>-29210</wp:posOffset>
            </wp:positionV>
            <wp:extent cx="12700" cy="2984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72"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Under the Schlumberger Discounted Stock Purchase Plan, Schlumberger is authorized to issue up to 22,012,245 shares of common stock to its employees. Under the terms of the Plan, employees can choose to have up to 10% of their annual earnings withheld to purchase Schlumberger common stock. Effective July 1, 2003 the purchase price of the stock was 92.5% of the lower of its beginning or end of the Plan year market price at six month intervals. Prior to July 1, 2003, the purchase price was 85% at one year intervals. Under the Plan, Schlumberger sold 2,464,088, 2,677,842 and 1,752,833 shares to employees in 2003, 2002 and 2001, respectively. Pro forma compensation cost has been computed for the fair value of the employees’ purchase rights, which was estimated using the Black-Scholes model with the following assumptions for 2003, 2002 and 2001: Dividend of $0.75; expected volatility of 28% for 2003, 34% for 2002 and 36% for 2001; and risk-free interest rates of 0.75% for 2003, 1.74% for 2002, 3.03% for 2001. The weighted-average fair value of those purchase rights granted in 2003, 2002 and 2001, was $7.910, $13.324 and $15.540, respectively.</w:t>
      </w:r>
    </w:p>
    <w:p>
      <w:pPr>
        <w:spacing w:after="0" w:line="102" w:lineRule="exact"/>
        <w:rPr>
          <w:sz w:val="20"/>
          <w:szCs w:val="20"/>
          <w:color w:val="auto"/>
        </w:rPr>
      </w:pPr>
    </w:p>
    <w:p>
      <w:pPr>
        <w:spacing w:after="0"/>
        <w:tabs>
          <w:tab w:leader="none" w:pos="10400" w:val="left"/>
        </w:tabs>
        <w:rPr>
          <w:sz w:val="20"/>
          <w:szCs w:val="20"/>
          <w:color w:val="auto"/>
        </w:rPr>
      </w:pPr>
      <w:r>
        <w:rPr>
          <w:rFonts w:ascii="Arial" w:cs="Arial" w:eastAsia="Arial" w:hAnsi="Arial"/>
          <w:sz w:val="14"/>
          <w:szCs w:val="14"/>
          <w:color w:val="auto"/>
        </w:rPr>
        <w:t>58 / SLB</w:t>
      </w:r>
      <w:r>
        <w:rPr>
          <w:sz w:val="20"/>
          <w:szCs w:val="20"/>
          <w:color w:val="auto"/>
        </w:rPr>
        <w:tab/>
      </w:r>
      <w:r>
        <w:rPr>
          <w:rFonts w:ascii="Arial" w:cs="Arial" w:eastAsia="Arial" w:hAnsi="Arial"/>
          <w:sz w:val="12"/>
          <w:szCs w:val="12"/>
          <w:color w:val="auto"/>
        </w:rPr>
        <w:t>2003 FORM 10-K</w:t>
      </w:r>
    </w:p>
    <w:p>
      <w:pPr>
        <w:sectPr>
          <w:pgSz w:w="11900" w:h="16838" w:orient="portrait"/>
          <w:cols w:equalWidth="0" w:num="1">
            <w:col w:w="11440"/>
          </w:cols>
          <w:pgMar w:left="240" w:top="459" w:right="21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4"/>
          <w:szCs w:val="14"/>
          <w:color w:val="auto"/>
        </w:rPr>
        <w:t>Part II, Item 8</w:t>
      </w:r>
    </w:p>
    <w:p>
      <w:pPr>
        <w:spacing w:after="0" w:line="128" w:lineRule="exact"/>
        <w:rPr>
          <w:sz w:val="20"/>
          <w:szCs w:val="20"/>
          <w:color w:val="auto"/>
        </w:rPr>
      </w:pPr>
    </w:p>
    <w:p>
      <w:pPr>
        <w:ind w:left="440" w:hanging="432"/>
        <w:spacing w:after="0"/>
        <w:tabs>
          <w:tab w:leader="none" w:pos="440"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 Expense</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Schlumberger and its subsidiaries operate in more than 100 taxing jurisdictions where statutory tax rates generally vary from 0% to 50%.</w:t>
      </w:r>
    </w:p>
    <w:p>
      <w:pPr>
        <w:spacing w:after="0" w:line="15" w:lineRule="exact"/>
        <w:rPr>
          <w:sz w:val="20"/>
          <w:szCs w:val="20"/>
          <w:color w:val="auto"/>
        </w:rPr>
      </w:pPr>
    </w:p>
    <w:p>
      <w:pPr>
        <w:jc w:val="both"/>
        <w:ind w:right="220" w:firstLine="228"/>
        <w:spacing w:after="0" w:line="302" w:lineRule="auto"/>
        <w:rPr>
          <w:sz w:val="20"/>
          <w:szCs w:val="20"/>
          <w:color w:val="auto"/>
        </w:rPr>
      </w:pPr>
      <w:r>
        <w:rPr>
          <w:rFonts w:ascii="Arial" w:cs="Arial" w:eastAsia="Arial" w:hAnsi="Arial"/>
          <w:sz w:val="16"/>
          <w:szCs w:val="16"/>
          <w:color w:val="auto"/>
        </w:rPr>
        <w:t>In 2003, the pretax loss in the US included the WesternGeco multiclient impairment charge of $283 million and a net pretax charge of $32 million related to Hanover Compressor. In 2002, pretax book income in the US included gains from a business divestiture aggregating approximately $143 million. Pretax book income from continuing operations subject to US and non-US income taxes for each of the three years ended December 31, was as follows:</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(Stated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46620" cy="889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9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jc w:val="right"/>
              <w:spacing w:after="0"/>
              <w:rPr>
                <w:sz w:val="20"/>
                <w:szCs w:val="20"/>
                <w:color w:val="auto"/>
              </w:rPr>
            </w:pPr>
            <w:r>
              <w:rPr>
                <w:rFonts w:ascii="Arial" w:cs="Arial" w:eastAsia="Arial" w:hAnsi="Arial"/>
                <w:sz w:val="14"/>
                <w:szCs w:val="14"/>
                <w:b w:val="1"/>
                <w:bCs w:val="1"/>
                <w:color w:val="auto"/>
                <w:w w:val="83"/>
              </w:rPr>
              <w:t>2003</w:t>
            </w: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2002</w:t>
            </w: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96"/>
              </w:rPr>
              <w:t>2001</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9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9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United States</w:t>
            </w: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76"/>
              </w:rPr>
              <w:t>$</w:t>
            </w:r>
          </w:p>
        </w:tc>
        <w:tc>
          <w:tcPr>
            <w:tcW w:w="82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b w:val="1"/>
                <w:bCs w:val="1"/>
                <w:color w:val="auto"/>
                <w:w w:val="91"/>
              </w:rPr>
              <w:t>(177)</w:t>
            </w: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3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149</w:t>
            </w: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714</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9040" w:type="dxa"/>
            <w:vAlign w:val="bottom"/>
          </w:tcPr>
          <w:p>
            <w:pPr>
              <w:spacing w:after="0"/>
              <w:rPr>
                <w:sz w:val="20"/>
                <w:szCs w:val="20"/>
                <w:color w:val="auto"/>
              </w:rPr>
            </w:pPr>
            <w:r>
              <w:rPr>
                <w:rFonts w:ascii="Arial" w:cs="Arial" w:eastAsia="Arial" w:hAnsi="Arial"/>
                <w:sz w:val="14"/>
                <w:szCs w:val="14"/>
                <w:color w:val="auto"/>
              </w:rPr>
              <w:t>Outside United States</w:t>
            </w:r>
          </w:p>
        </w:tc>
        <w:tc>
          <w:tcPr>
            <w:tcW w:w="100" w:type="dxa"/>
            <w:vAlign w:val="bottom"/>
          </w:tcPr>
          <w:p>
            <w:pPr>
              <w:spacing w:after="0"/>
              <w:rPr>
                <w:sz w:val="15"/>
                <w:szCs w:val="15"/>
                <w:color w:val="auto"/>
              </w:rPr>
            </w:pPr>
          </w:p>
        </w:tc>
        <w:tc>
          <w:tcPr>
            <w:tcW w:w="280" w:type="dxa"/>
            <w:vAlign w:val="bottom"/>
          </w:tcPr>
          <w:p>
            <w:pPr>
              <w:jc w:val="right"/>
              <w:spacing w:after="0"/>
              <w:rPr>
                <w:sz w:val="20"/>
                <w:szCs w:val="20"/>
                <w:color w:val="auto"/>
              </w:rPr>
            </w:pPr>
            <w:r>
              <w:rPr>
                <w:rFonts w:ascii="Arial" w:cs="Arial" w:eastAsia="Arial" w:hAnsi="Arial"/>
                <w:sz w:val="14"/>
                <w:szCs w:val="14"/>
                <w:b w:val="1"/>
                <w:bCs w:val="1"/>
                <w:color w:val="auto"/>
              </w:rPr>
              <w:t>745</w:t>
            </w: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3"/>
          </w:tcPr>
          <w:p>
            <w:pPr>
              <w:jc w:val="right"/>
              <w:ind w:right="500"/>
              <w:spacing w:after="0"/>
              <w:rPr>
                <w:sz w:val="20"/>
                <w:szCs w:val="20"/>
                <w:color w:val="auto"/>
              </w:rPr>
            </w:pPr>
            <w:r>
              <w:rPr>
                <w:rFonts w:ascii="Arial" w:cs="Arial" w:eastAsia="Arial" w:hAnsi="Arial"/>
                <w:sz w:val="14"/>
                <w:szCs w:val="14"/>
                <w:color w:val="auto"/>
                <w:w w:val="90"/>
              </w:rPr>
              <w:t>(2,376)</w:t>
            </w:r>
          </w:p>
        </w:tc>
        <w:tc>
          <w:tcPr>
            <w:tcW w:w="100" w:type="dxa"/>
            <w:vAlign w:val="bottom"/>
          </w:tcPr>
          <w:p>
            <w:pPr>
              <w:spacing w:after="0"/>
              <w:rPr>
                <w:sz w:val="15"/>
                <w:szCs w:val="15"/>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rPr>
              <w:t>373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904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54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54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9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Pretax income</w:t>
            </w: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76"/>
              </w:rPr>
              <w:t>$</w:t>
            </w:r>
          </w:p>
        </w:tc>
        <w:tc>
          <w:tcPr>
            <w:tcW w:w="2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568</w:t>
            </w: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920" w:type="dxa"/>
            <w:vAlign w:val="bottom"/>
            <w:gridSpan w:val="3"/>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w w:val="90"/>
              </w:rPr>
              <w:t>(2,227)</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5"/>
              </w:rPr>
              <w:t>1,087</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0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5757545</wp:posOffset>
            </wp:positionH>
            <wp:positionV relativeFrom="paragraph">
              <wp:posOffset>-29210</wp:posOffset>
            </wp:positionV>
            <wp:extent cx="12700" cy="2984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-29210</wp:posOffset>
            </wp:positionV>
            <wp:extent cx="21590" cy="2984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5980430</wp:posOffset>
            </wp:positionH>
            <wp:positionV relativeFrom="paragraph">
              <wp:posOffset>-29210</wp:posOffset>
            </wp:positionV>
            <wp:extent cx="38735" cy="2984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6340475</wp:posOffset>
            </wp:positionH>
            <wp:positionV relativeFrom="paragraph">
              <wp:posOffset>-29210</wp:posOffset>
            </wp:positionV>
            <wp:extent cx="12700" cy="2984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6400800</wp:posOffset>
            </wp:positionH>
            <wp:positionV relativeFrom="paragraph">
              <wp:posOffset>-29210</wp:posOffset>
            </wp:positionV>
            <wp:extent cx="21590" cy="2984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6623685</wp:posOffset>
            </wp:positionH>
            <wp:positionV relativeFrom="paragraph">
              <wp:posOffset>-29210</wp:posOffset>
            </wp:positionV>
            <wp:extent cx="38735" cy="2984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6983730</wp:posOffset>
            </wp:positionH>
            <wp:positionV relativeFrom="paragraph">
              <wp:posOffset>-29210</wp:posOffset>
            </wp:positionV>
            <wp:extent cx="12700" cy="2984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7044055</wp:posOffset>
            </wp:positionH>
            <wp:positionV relativeFrom="paragraph">
              <wp:posOffset>-29210</wp:posOffset>
            </wp:positionV>
            <wp:extent cx="21590" cy="2984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144" w:lineRule="exact"/>
        <w:rPr>
          <w:sz w:val="20"/>
          <w:szCs w:val="20"/>
          <w:color w:val="auto"/>
        </w:rPr>
      </w:pPr>
    </w:p>
    <w:p>
      <w:pPr>
        <w:ind w:right="40" w:firstLine="228"/>
        <w:spacing w:after="0" w:line="251" w:lineRule="auto"/>
        <w:rPr>
          <w:sz w:val="20"/>
          <w:szCs w:val="20"/>
          <w:color w:val="auto"/>
        </w:rPr>
      </w:pPr>
      <w:r>
        <w:rPr>
          <w:rFonts w:ascii="Arial" w:cs="Arial" w:eastAsia="Arial" w:hAnsi="Arial"/>
          <w:sz w:val="18"/>
          <w:szCs w:val="18"/>
          <w:color w:val="auto"/>
        </w:rPr>
        <w:t>Schlumberger had net deferred tax assets at December 31, 2003 of $632 million including a valuation allowance of $325 million relating to a certain European net operating loss, and $583 million at December 31, 2002. Significant components of net deferred tax assets at December 31, 2003 included postretirement and other long-term benefits ($213 million), current employee benefits ($183 million), fixed assets, inventory and other ($194 million) and net operating losses ($367 million less a partial valuation allowance of $325 million). At December 31, 2002, it included postretirement and other long-term benefits ($200 million), current employee benefits ($225 million), fixed assets, inventory and other ($123 million) and net operating losses ($182 million less a valuation allowance of $147 million).</w:t>
      </w:r>
    </w:p>
    <w:p>
      <w:pPr>
        <w:spacing w:after="0" w:line="4"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components of consolidated income tax expense from continuing operations were as follows:</w:t>
      </w:r>
    </w:p>
    <w:p>
      <w:pPr>
        <w:spacing w:after="0" w:line="6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(Stated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178040" cy="889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7178040" cy="8890"/>
                    </a:xfrm>
                    <a:prstGeom prst="rect">
                      <a:avLst/>
                    </a:prstGeom>
                    <a:noFill/>
                  </pic:spPr>
                </pic:pic>
              </a:graphicData>
            </a:graphic>
          </wp:anchor>
        </w:drawing>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9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gridSpan w:val="3"/>
          </w:tcPr>
          <w:p>
            <w:pPr>
              <w:jc w:val="right"/>
              <w:ind w:right="540"/>
              <w:spacing w:after="0"/>
              <w:rPr>
                <w:sz w:val="20"/>
                <w:szCs w:val="20"/>
                <w:color w:val="auto"/>
              </w:rPr>
            </w:pPr>
            <w:r>
              <w:rPr>
                <w:rFonts w:ascii="Arial" w:cs="Arial" w:eastAsia="Arial" w:hAnsi="Arial"/>
                <w:sz w:val="14"/>
                <w:szCs w:val="14"/>
                <w:b w:val="1"/>
                <w:bCs w:val="1"/>
                <w:color w:val="auto"/>
                <w:w w:val="83"/>
              </w:rPr>
              <w:t>2003</w:t>
            </w:r>
          </w:p>
        </w:tc>
        <w:tc>
          <w:tcPr>
            <w:tcW w:w="80" w:type="dxa"/>
            <w:vAlign w:val="bottom"/>
          </w:tcPr>
          <w:p>
            <w:pPr>
              <w:spacing w:after="0"/>
              <w:rPr>
                <w:sz w:val="15"/>
                <w:szCs w:val="15"/>
                <w:color w:val="auto"/>
              </w:rPr>
            </w:pPr>
          </w:p>
        </w:tc>
        <w:tc>
          <w:tcPr>
            <w:tcW w:w="280" w:type="dxa"/>
            <w:vAlign w:val="bottom"/>
          </w:tcPr>
          <w:p>
            <w:pPr>
              <w:jc w:val="right"/>
              <w:spacing w:after="0"/>
              <w:rPr>
                <w:sz w:val="20"/>
                <w:szCs w:val="20"/>
                <w:color w:val="auto"/>
              </w:rPr>
            </w:pPr>
            <w:r>
              <w:rPr>
                <w:rFonts w:ascii="Arial" w:cs="Arial" w:eastAsia="Arial" w:hAnsi="Arial"/>
                <w:sz w:val="14"/>
                <w:szCs w:val="14"/>
                <w:b w:val="1"/>
                <w:bCs w:val="1"/>
                <w:color w:val="auto"/>
                <w:w w:val="83"/>
              </w:rPr>
              <w:t>2002</w:t>
            </w: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Arial" w:cs="Arial" w:eastAsia="Arial" w:hAnsi="Arial"/>
                <w:sz w:val="14"/>
                <w:szCs w:val="14"/>
                <w:b w:val="1"/>
                <w:bCs w:val="1"/>
                <w:color w:val="auto"/>
              </w:rPr>
              <w:t>2001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20" w:type="dxa"/>
            <w:vAlign w:val="bottom"/>
            <w:vMerge w:val="restart"/>
          </w:tcPr>
          <w:p>
            <w:pPr>
              <w:spacing w:after="0"/>
              <w:rPr>
                <w:sz w:val="3"/>
                <w:szCs w:val="3"/>
                <w:color w:val="auto"/>
              </w:rPr>
            </w:pPr>
          </w:p>
        </w:tc>
        <w:tc>
          <w:tcPr>
            <w:tcW w:w="90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540" w:type="dxa"/>
            <w:vAlign w:val="bottom"/>
          </w:tcPr>
          <w:p>
            <w:pPr>
              <w:spacing w:after="0"/>
              <w:rPr>
                <w:sz w:val="3"/>
                <w:szCs w:val="3"/>
                <w:color w:val="auto"/>
              </w:rPr>
            </w:pPr>
          </w:p>
        </w:tc>
        <w:tc>
          <w:tcPr>
            <w:tcW w:w="1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9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Current:</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40" w:type="dxa"/>
            <w:vAlign w:val="bottom"/>
          </w:tcPr>
          <w:p>
            <w:pPr>
              <w:ind w:left="320"/>
              <w:spacing w:after="0" w:line="149" w:lineRule="exact"/>
              <w:rPr>
                <w:sz w:val="20"/>
                <w:szCs w:val="20"/>
                <w:color w:val="auto"/>
              </w:rPr>
            </w:pPr>
            <w:r>
              <w:rPr>
                <w:rFonts w:ascii="Arial" w:cs="Arial" w:eastAsia="Arial" w:hAnsi="Arial"/>
                <w:sz w:val="14"/>
                <w:szCs w:val="14"/>
                <w:color w:val="auto"/>
              </w:rPr>
              <w:t>United States – Federal</w:t>
            </w:r>
          </w:p>
        </w:tc>
        <w:tc>
          <w:tcPr>
            <w:tcW w:w="80" w:type="dxa"/>
            <w:vAlign w:val="bottom"/>
          </w:tcPr>
          <w:p>
            <w:pPr>
              <w:jc w:val="right"/>
              <w:spacing w:after="0"/>
              <w:rPr>
                <w:sz w:val="20"/>
                <w:szCs w:val="20"/>
                <w:color w:val="auto"/>
              </w:rPr>
            </w:pPr>
            <w:r>
              <w:rPr>
                <w:rFonts w:ascii="Arial" w:cs="Arial" w:eastAsia="Arial" w:hAnsi="Arial"/>
                <w:sz w:val="10"/>
                <w:szCs w:val="10"/>
                <w:b w:val="1"/>
                <w:bCs w:val="1"/>
                <w:color w:val="auto"/>
                <w:w w:val="71"/>
              </w:rPr>
              <w:t>$</w:t>
            </w:r>
          </w:p>
        </w:tc>
        <w:tc>
          <w:tcPr>
            <w:tcW w:w="820" w:type="dxa"/>
            <w:vAlign w:val="bottom"/>
            <w:gridSpan w:val="3"/>
          </w:tcPr>
          <w:p>
            <w:pPr>
              <w:jc w:val="right"/>
              <w:ind w:right="540"/>
              <w:spacing w:after="0" w:line="149" w:lineRule="exact"/>
              <w:rPr>
                <w:sz w:val="20"/>
                <w:szCs w:val="20"/>
                <w:color w:val="auto"/>
              </w:rPr>
            </w:pPr>
            <w:r>
              <w:rPr>
                <w:rFonts w:ascii="Arial" w:cs="Arial" w:eastAsia="Arial" w:hAnsi="Arial"/>
                <w:sz w:val="14"/>
                <w:szCs w:val="14"/>
                <w:b w:val="1"/>
                <w:bCs w:val="1"/>
                <w:color w:val="auto"/>
              </w:rPr>
              <w:t>96</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280" w:type="dxa"/>
            <w:vAlign w:val="bottom"/>
          </w:tcPr>
          <w:p>
            <w:pPr>
              <w:jc w:val="right"/>
              <w:spacing w:after="0" w:line="149" w:lineRule="exact"/>
              <w:rPr>
                <w:sz w:val="20"/>
                <w:szCs w:val="20"/>
                <w:color w:val="auto"/>
              </w:rPr>
            </w:pPr>
            <w:r>
              <w:rPr>
                <w:rFonts w:ascii="Arial" w:cs="Arial" w:eastAsia="Arial" w:hAnsi="Arial"/>
                <w:sz w:val="14"/>
                <w:szCs w:val="14"/>
                <w:color w:val="auto"/>
              </w:rPr>
              <w:t>25</w:t>
            </w:r>
          </w:p>
        </w:tc>
        <w:tc>
          <w:tcPr>
            <w:tcW w:w="540" w:type="dxa"/>
            <w:vAlign w:val="bottom"/>
          </w:tcPr>
          <w:p>
            <w:pPr>
              <w:spacing w:after="0"/>
              <w:rPr>
                <w:sz w:val="12"/>
                <w:szCs w:val="12"/>
                <w:color w:val="auto"/>
              </w:rPr>
            </w:pPr>
          </w:p>
        </w:tc>
        <w:tc>
          <w:tcPr>
            <w:tcW w:w="12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340" w:type="dxa"/>
            <w:vAlign w:val="bottom"/>
          </w:tcPr>
          <w:p>
            <w:pPr>
              <w:jc w:val="right"/>
              <w:spacing w:after="0" w:line="149" w:lineRule="exact"/>
              <w:rPr>
                <w:sz w:val="20"/>
                <w:szCs w:val="20"/>
                <w:color w:val="auto"/>
              </w:rPr>
            </w:pPr>
            <w:r>
              <w:rPr>
                <w:rFonts w:ascii="Arial" w:cs="Arial" w:eastAsia="Arial" w:hAnsi="Arial"/>
                <w:sz w:val="14"/>
                <w:szCs w:val="14"/>
                <w:color w:val="auto"/>
              </w:rPr>
              <w:t>342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4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United States – State</w:t>
            </w:r>
          </w:p>
        </w:tc>
        <w:tc>
          <w:tcPr>
            <w:tcW w:w="80" w:type="dxa"/>
            <w:vAlign w:val="bottom"/>
            <w:shd w:val="clear" w:color="auto" w:fill="CCEEFF"/>
          </w:tcPr>
          <w:p>
            <w:pPr>
              <w:spacing w:after="0"/>
              <w:rPr>
                <w:sz w:val="12"/>
                <w:szCs w:val="12"/>
                <w:color w:val="auto"/>
              </w:rPr>
            </w:pPr>
          </w:p>
        </w:tc>
        <w:tc>
          <w:tcPr>
            <w:tcW w:w="82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b w:val="1"/>
                <w:bCs w:val="1"/>
                <w:color w:val="auto"/>
              </w:rPr>
              <w:t>19</w:t>
            </w: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w:t>
            </w: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43</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9040" w:type="dxa"/>
            <w:vAlign w:val="bottom"/>
          </w:tcPr>
          <w:p>
            <w:pPr>
              <w:ind w:left="320"/>
              <w:spacing w:after="0"/>
              <w:rPr>
                <w:sz w:val="20"/>
                <w:szCs w:val="20"/>
                <w:color w:val="auto"/>
              </w:rPr>
            </w:pPr>
            <w:r>
              <w:rPr>
                <w:rFonts w:ascii="Arial" w:cs="Arial" w:eastAsia="Arial" w:hAnsi="Arial"/>
                <w:sz w:val="14"/>
                <w:szCs w:val="14"/>
                <w:color w:val="auto"/>
              </w:rPr>
              <w:t>Outside United States</w:t>
            </w:r>
          </w:p>
        </w:tc>
        <w:tc>
          <w:tcPr>
            <w:tcW w:w="80" w:type="dxa"/>
            <w:vAlign w:val="bottom"/>
          </w:tcPr>
          <w:p>
            <w:pPr>
              <w:spacing w:after="0"/>
              <w:rPr>
                <w:sz w:val="15"/>
                <w:szCs w:val="15"/>
                <w:color w:val="auto"/>
              </w:rPr>
            </w:pPr>
          </w:p>
        </w:tc>
        <w:tc>
          <w:tcPr>
            <w:tcW w:w="820" w:type="dxa"/>
            <w:vAlign w:val="bottom"/>
            <w:gridSpan w:val="3"/>
          </w:tcPr>
          <w:p>
            <w:pPr>
              <w:jc w:val="right"/>
              <w:ind w:right="540"/>
              <w:spacing w:after="0"/>
              <w:rPr>
                <w:sz w:val="20"/>
                <w:szCs w:val="20"/>
                <w:color w:val="auto"/>
              </w:rPr>
            </w:pPr>
            <w:r>
              <w:rPr>
                <w:rFonts w:ascii="Arial" w:cs="Arial" w:eastAsia="Arial" w:hAnsi="Arial"/>
                <w:sz w:val="14"/>
                <w:szCs w:val="14"/>
                <w:b w:val="1"/>
                <w:bCs w:val="1"/>
                <w:color w:val="auto"/>
              </w:rPr>
              <w:t>191</w:t>
            </w:r>
          </w:p>
        </w:tc>
        <w:tc>
          <w:tcPr>
            <w:tcW w:w="80" w:type="dxa"/>
            <w:vAlign w:val="bottom"/>
          </w:tcPr>
          <w:p>
            <w:pPr>
              <w:spacing w:after="0"/>
              <w:rPr>
                <w:sz w:val="15"/>
                <w:szCs w:val="15"/>
                <w:color w:val="auto"/>
              </w:rPr>
            </w:pPr>
          </w:p>
        </w:tc>
        <w:tc>
          <w:tcPr>
            <w:tcW w:w="280" w:type="dxa"/>
            <w:vAlign w:val="bottom"/>
          </w:tcPr>
          <w:p>
            <w:pPr>
              <w:jc w:val="right"/>
              <w:spacing w:after="0"/>
              <w:rPr>
                <w:sz w:val="20"/>
                <w:szCs w:val="20"/>
                <w:color w:val="auto"/>
              </w:rPr>
            </w:pPr>
            <w:r>
              <w:rPr>
                <w:rFonts w:ascii="Arial" w:cs="Arial" w:eastAsia="Arial" w:hAnsi="Arial"/>
                <w:sz w:val="14"/>
                <w:szCs w:val="14"/>
                <w:color w:val="auto"/>
              </w:rPr>
              <w:t>182</w:t>
            </w: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179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904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54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0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4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82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b w:val="1"/>
                <w:bCs w:val="1"/>
                <w:color w:val="auto"/>
              </w:rPr>
              <w:t>306</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2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208</w:t>
            </w: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564</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04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0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9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Deferred:</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40" w:type="dxa"/>
            <w:vAlign w:val="bottom"/>
          </w:tcPr>
          <w:p>
            <w:pPr>
              <w:ind w:left="320"/>
              <w:spacing w:after="0" w:line="149" w:lineRule="exact"/>
              <w:rPr>
                <w:sz w:val="20"/>
                <w:szCs w:val="20"/>
                <w:color w:val="auto"/>
              </w:rPr>
            </w:pPr>
            <w:r>
              <w:rPr>
                <w:rFonts w:ascii="Arial" w:cs="Arial" w:eastAsia="Arial" w:hAnsi="Arial"/>
                <w:sz w:val="14"/>
                <w:szCs w:val="14"/>
                <w:color w:val="auto"/>
              </w:rPr>
              <w:t>United States – Federal</w:t>
            </w:r>
          </w:p>
        </w:tc>
        <w:tc>
          <w:tcPr>
            <w:tcW w:w="80" w:type="dxa"/>
            <w:vAlign w:val="bottom"/>
          </w:tcPr>
          <w:p>
            <w:pPr>
              <w:jc w:val="right"/>
              <w:spacing w:after="0"/>
              <w:rPr>
                <w:sz w:val="20"/>
                <w:szCs w:val="20"/>
                <w:color w:val="auto"/>
              </w:rPr>
            </w:pPr>
            <w:r>
              <w:rPr>
                <w:rFonts w:ascii="Arial" w:cs="Arial" w:eastAsia="Arial" w:hAnsi="Arial"/>
                <w:sz w:val="10"/>
                <w:szCs w:val="10"/>
                <w:b w:val="1"/>
                <w:bCs w:val="1"/>
                <w:color w:val="auto"/>
                <w:w w:val="71"/>
              </w:rPr>
              <w:t>$</w:t>
            </w:r>
          </w:p>
        </w:tc>
        <w:tc>
          <w:tcPr>
            <w:tcW w:w="820" w:type="dxa"/>
            <w:vAlign w:val="bottom"/>
            <w:gridSpan w:val="3"/>
          </w:tcPr>
          <w:p>
            <w:pPr>
              <w:jc w:val="right"/>
              <w:ind w:right="500"/>
              <w:spacing w:after="0" w:line="149" w:lineRule="exact"/>
              <w:rPr>
                <w:sz w:val="20"/>
                <w:szCs w:val="20"/>
                <w:color w:val="auto"/>
              </w:rPr>
            </w:pPr>
            <w:r>
              <w:rPr>
                <w:rFonts w:ascii="Arial" w:cs="Arial" w:eastAsia="Arial" w:hAnsi="Arial"/>
                <w:sz w:val="14"/>
                <w:szCs w:val="14"/>
                <w:b w:val="1"/>
                <w:bCs w:val="1"/>
                <w:color w:val="auto"/>
                <w:w w:val="91"/>
              </w:rPr>
              <w:t>(128)</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280" w:type="dxa"/>
            <w:vAlign w:val="bottom"/>
          </w:tcPr>
          <w:p>
            <w:pPr>
              <w:jc w:val="right"/>
              <w:spacing w:after="0" w:line="149" w:lineRule="exact"/>
              <w:rPr>
                <w:sz w:val="20"/>
                <w:szCs w:val="20"/>
                <w:color w:val="auto"/>
              </w:rPr>
            </w:pPr>
            <w:r>
              <w:rPr>
                <w:rFonts w:ascii="Arial" w:cs="Arial" w:eastAsia="Arial" w:hAnsi="Arial"/>
                <w:sz w:val="14"/>
                <w:szCs w:val="14"/>
                <w:color w:val="auto"/>
              </w:rPr>
              <w:t>28</w:t>
            </w:r>
          </w:p>
        </w:tc>
        <w:tc>
          <w:tcPr>
            <w:tcW w:w="540" w:type="dxa"/>
            <w:vAlign w:val="bottom"/>
          </w:tcPr>
          <w:p>
            <w:pPr>
              <w:spacing w:after="0"/>
              <w:rPr>
                <w:sz w:val="12"/>
                <w:szCs w:val="12"/>
                <w:color w:val="auto"/>
              </w:rPr>
            </w:pPr>
          </w:p>
        </w:tc>
        <w:tc>
          <w:tcPr>
            <w:tcW w:w="12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340" w:type="dxa"/>
            <w:vAlign w:val="bottom"/>
          </w:tcPr>
          <w:p>
            <w:pPr>
              <w:jc w:val="right"/>
              <w:spacing w:after="0" w:line="149" w:lineRule="exact"/>
              <w:rPr>
                <w:sz w:val="20"/>
                <w:szCs w:val="20"/>
                <w:color w:val="auto"/>
              </w:rPr>
            </w:pPr>
            <w:r>
              <w:rPr>
                <w:rFonts w:ascii="Arial" w:cs="Arial" w:eastAsia="Arial" w:hAnsi="Arial"/>
                <w:sz w:val="14"/>
                <w:szCs w:val="14"/>
                <w:color w:val="auto"/>
              </w:rPr>
              <w:t>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4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United States – State</w:t>
            </w:r>
          </w:p>
        </w:tc>
        <w:tc>
          <w:tcPr>
            <w:tcW w:w="80" w:type="dxa"/>
            <w:vAlign w:val="bottom"/>
            <w:shd w:val="clear" w:color="auto" w:fill="CCEEFF"/>
          </w:tcPr>
          <w:p>
            <w:pPr>
              <w:spacing w:after="0"/>
              <w:rPr>
                <w:sz w:val="12"/>
                <w:szCs w:val="12"/>
                <w:color w:val="auto"/>
              </w:rPr>
            </w:pPr>
          </w:p>
        </w:tc>
        <w:tc>
          <w:tcPr>
            <w:tcW w:w="820" w:type="dxa"/>
            <w:vAlign w:val="bottom"/>
            <w:gridSpan w:val="3"/>
            <w:shd w:val="clear" w:color="auto" w:fill="CCEEFF"/>
          </w:tcPr>
          <w:p>
            <w:pPr>
              <w:jc w:val="right"/>
              <w:ind w:right="500"/>
              <w:spacing w:after="0" w:line="149" w:lineRule="exact"/>
              <w:rPr>
                <w:sz w:val="20"/>
                <w:szCs w:val="20"/>
                <w:color w:val="auto"/>
              </w:rPr>
            </w:pPr>
            <w:r>
              <w:rPr>
                <w:rFonts w:ascii="Arial" w:cs="Arial" w:eastAsia="Arial" w:hAnsi="Arial"/>
                <w:sz w:val="14"/>
                <w:szCs w:val="14"/>
                <w:b w:val="1"/>
                <w:bCs w:val="1"/>
                <w:color w:val="auto"/>
              </w:rPr>
              <w:t>(22)</w:t>
            </w: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w:t>
            </w: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40" w:type="dxa"/>
            <w:vAlign w:val="bottom"/>
          </w:tcPr>
          <w:p>
            <w:pPr>
              <w:ind w:left="320"/>
              <w:spacing w:after="0" w:line="149" w:lineRule="exact"/>
              <w:rPr>
                <w:sz w:val="20"/>
                <w:szCs w:val="20"/>
                <w:color w:val="auto"/>
              </w:rPr>
            </w:pPr>
            <w:r>
              <w:rPr>
                <w:rFonts w:ascii="Arial" w:cs="Arial" w:eastAsia="Arial" w:hAnsi="Arial"/>
                <w:sz w:val="14"/>
                <w:szCs w:val="14"/>
                <w:color w:val="auto"/>
              </w:rPr>
              <w:t>Outside United States</w:t>
            </w:r>
          </w:p>
        </w:tc>
        <w:tc>
          <w:tcPr>
            <w:tcW w:w="80" w:type="dxa"/>
            <w:vAlign w:val="bottom"/>
          </w:tcPr>
          <w:p>
            <w:pPr>
              <w:spacing w:after="0"/>
              <w:rPr>
                <w:sz w:val="12"/>
                <w:szCs w:val="12"/>
                <w:color w:val="auto"/>
              </w:rPr>
            </w:pPr>
          </w:p>
        </w:tc>
        <w:tc>
          <w:tcPr>
            <w:tcW w:w="820" w:type="dxa"/>
            <w:vAlign w:val="bottom"/>
            <w:gridSpan w:val="3"/>
          </w:tcPr>
          <w:p>
            <w:pPr>
              <w:jc w:val="right"/>
              <w:ind w:right="500"/>
              <w:spacing w:after="0" w:line="149" w:lineRule="exact"/>
              <w:rPr>
                <w:sz w:val="20"/>
                <w:szCs w:val="20"/>
                <w:color w:val="auto"/>
              </w:rPr>
            </w:pPr>
            <w:r>
              <w:rPr>
                <w:rFonts w:ascii="Arial" w:cs="Arial" w:eastAsia="Arial" w:hAnsi="Arial"/>
                <w:sz w:val="14"/>
                <w:szCs w:val="14"/>
                <w:b w:val="1"/>
                <w:bCs w:val="1"/>
                <w:color w:val="auto"/>
              </w:rPr>
              <w:t>(24)</w:t>
            </w:r>
          </w:p>
        </w:tc>
        <w:tc>
          <w:tcPr>
            <w:tcW w:w="80" w:type="dxa"/>
            <w:vAlign w:val="bottom"/>
          </w:tcPr>
          <w:p>
            <w:pPr>
              <w:spacing w:after="0"/>
              <w:rPr>
                <w:sz w:val="12"/>
                <w:szCs w:val="12"/>
                <w:color w:val="auto"/>
              </w:rPr>
            </w:pPr>
          </w:p>
        </w:tc>
        <w:tc>
          <w:tcPr>
            <w:tcW w:w="82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w w:val="97"/>
              </w:rPr>
              <w:t>(103)</w:t>
            </w:r>
          </w:p>
        </w:tc>
        <w:tc>
          <w:tcPr>
            <w:tcW w:w="120" w:type="dxa"/>
            <w:vAlign w:val="bottom"/>
          </w:tcPr>
          <w:p>
            <w:pPr>
              <w:spacing w:after="0"/>
              <w:rPr>
                <w:sz w:val="12"/>
                <w:szCs w:val="12"/>
                <w:color w:val="auto"/>
              </w:rPr>
            </w:pPr>
          </w:p>
        </w:tc>
        <w:tc>
          <w:tcPr>
            <w:tcW w:w="4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4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Valuation allowance</w:t>
            </w:r>
          </w:p>
        </w:tc>
        <w:tc>
          <w:tcPr>
            <w:tcW w:w="80" w:type="dxa"/>
            <w:vAlign w:val="bottom"/>
            <w:shd w:val="clear" w:color="auto" w:fill="CCEEFF"/>
          </w:tcPr>
          <w:p>
            <w:pPr>
              <w:spacing w:after="0"/>
              <w:rPr>
                <w:sz w:val="12"/>
                <w:szCs w:val="12"/>
                <w:color w:val="auto"/>
              </w:rPr>
            </w:pPr>
          </w:p>
        </w:tc>
        <w:tc>
          <w:tcPr>
            <w:tcW w:w="82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b w:val="1"/>
                <w:bCs w:val="1"/>
                <w:color w:val="auto"/>
              </w:rPr>
              <w:t>77</w:t>
            </w: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147</w:t>
            </w: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04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0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4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820" w:type="dxa"/>
            <w:vAlign w:val="bottom"/>
            <w:gridSpan w:val="3"/>
            <w:shd w:val="clear" w:color="auto" w:fill="CCEEFF"/>
          </w:tcPr>
          <w:p>
            <w:pPr>
              <w:jc w:val="right"/>
              <w:ind w:right="500"/>
              <w:spacing w:after="0" w:line="149" w:lineRule="exact"/>
              <w:rPr>
                <w:sz w:val="20"/>
                <w:szCs w:val="20"/>
                <w:color w:val="auto"/>
              </w:rPr>
            </w:pPr>
            <w:r>
              <w:rPr>
                <w:rFonts w:ascii="Arial" w:cs="Arial" w:eastAsia="Arial" w:hAnsi="Arial"/>
                <w:sz w:val="14"/>
                <w:szCs w:val="14"/>
                <w:b w:val="1"/>
                <w:bCs w:val="1"/>
                <w:color w:val="auto"/>
              </w:rPr>
              <w:t>(97)</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2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74</w:t>
            </w: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4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04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0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9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Consolidated taxes on income</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82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b w:val="1"/>
                <w:bCs w:val="1"/>
                <w:color w:val="auto"/>
              </w:rPr>
              <w:t>209</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2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282</w:t>
            </w: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564</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0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5748655</wp:posOffset>
            </wp:positionH>
            <wp:positionV relativeFrom="paragraph">
              <wp:posOffset>-29210</wp:posOffset>
            </wp:positionV>
            <wp:extent cx="261620" cy="2984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261620" cy="29845"/>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-29210</wp:posOffset>
            </wp:positionV>
            <wp:extent cx="12700" cy="2984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6383655</wp:posOffset>
            </wp:positionH>
            <wp:positionV relativeFrom="paragraph">
              <wp:posOffset>-29210</wp:posOffset>
            </wp:positionV>
            <wp:extent cx="21590" cy="2984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6546215</wp:posOffset>
            </wp:positionH>
            <wp:positionV relativeFrom="paragraph">
              <wp:posOffset>-29210</wp:posOffset>
            </wp:positionV>
            <wp:extent cx="38735" cy="2984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6898005</wp:posOffset>
            </wp:positionH>
            <wp:positionV relativeFrom="paragraph">
              <wp:posOffset>-29210</wp:posOffset>
            </wp:positionV>
            <wp:extent cx="12700" cy="2984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6958330</wp:posOffset>
            </wp:positionH>
            <wp:positionV relativeFrom="paragraph">
              <wp:posOffset>-29210</wp:posOffset>
            </wp:positionV>
            <wp:extent cx="21590" cy="2984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-29210</wp:posOffset>
            </wp:positionV>
            <wp:extent cx="38735" cy="2984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144" w:lineRule="exact"/>
        <w:rPr>
          <w:sz w:val="20"/>
          <w:szCs w:val="20"/>
          <w:color w:val="auto"/>
        </w:rPr>
      </w:pPr>
    </w:p>
    <w:p>
      <w:pPr>
        <w:ind w:left="240"/>
        <w:spacing w:after="0"/>
        <w:rPr>
          <w:sz w:val="20"/>
          <w:szCs w:val="20"/>
          <w:color w:val="auto"/>
        </w:rPr>
      </w:pPr>
      <w:r>
        <w:rPr>
          <w:rFonts w:ascii="Arial" w:cs="Arial" w:eastAsia="Arial" w:hAnsi="Arial"/>
          <w:sz w:val="16"/>
          <w:szCs w:val="16"/>
          <w:color w:val="auto"/>
        </w:rPr>
        <w:t xml:space="preserve">Schlumberger reported several charges/credits in continuing operations in each of the three years. These are more fully described in the note </w:t>
      </w:r>
      <w:r>
        <w:rPr>
          <w:rFonts w:ascii="Arial" w:cs="Arial" w:eastAsia="Arial" w:hAnsi="Arial"/>
          <w:sz w:val="16"/>
          <w:szCs w:val="16"/>
          <w:i w:val="1"/>
          <w:iCs w:val="1"/>
          <w:color w:val="auto"/>
        </w:rPr>
        <w:t>Charges –</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Continuing Operations </w:t>
      </w:r>
      <w:r>
        <w:rPr>
          <w:rFonts w:ascii="Arial" w:cs="Arial" w:eastAsia="Arial" w:hAnsi="Arial"/>
          <w:sz w:val="16"/>
          <w:szCs w:val="16"/>
          <w:color w:val="auto"/>
        </w:rPr>
        <w:t>on page 48 of this Report. A reconciliation of the US statutory federal tax rate (35%) to the consolidated effective tax rate is:</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9180" w:type="dxa"/>
            <w:vAlign w:val="bottom"/>
          </w:tcPr>
          <w:p>
            <w:pPr>
              <w:spacing w:after="0"/>
              <w:rPr>
                <w:sz w:val="15"/>
                <w:szCs w:val="15"/>
                <w:color w:val="auto"/>
              </w:rPr>
            </w:pPr>
          </w:p>
        </w:tc>
        <w:tc>
          <w:tcPr>
            <w:tcW w:w="280" w:type="dxa"/>
            <w:vAlign w:val="bottom"/>
          </w:tcPr>
          <w:p>
            <w:pPr>
              <w:jc w:val="right"/>
              <w:spacing w:after="0"/>
              <w:rPr>
                <w:sz w:val="20"/>
                <w:szCs w:val="20"/>
                <w:color w:val="auto"/>
              </w:rPr>
            </w:pPr>
            <w:r>
              <w:rPr>
                <w:rFonts w:ascii="Arial" w:cs="Arial" w:eastAsia="Arial" w:hAnsi="Arial"/>
                <w:sz w:val="14"/>
                <w:szCs w:val="14"/>
                <w:b w:val="1"/>
                <w:bCs w:val="1"/>
                <w:color w:val="auto"/>
                <w:w w:val="83"/>
              </w:rPr>
              <w:t>2003</w:t>
            </w:r>
          </w:p>
        </w:tc>
        <w:tc>
          <w:tcPr>
            <w:tcW w:w="640" w:type="dxa"/>
            <w:vAlign w:val="bottom"/>
          </w:tcPr>
          <w:p>
            <w:pPr>
              <w:spacing w:after="0"/>
              <w:rPr>
                <w:sz w:val="15"/>
                <w:szCs w:val="15"/>
                <w:color w:val="auto"/>
              </w:rPr>
            </w:pPr>
          </w:p>
        </w:tc>
        <w:tc>
          <w:tcPr>
            <w:tcW w:w="280" w:type="dxa"/>
            <w:vAlign w:val="bottom"/>
          </w:tcPr>
          <w:p>
            <w:pPr>
              <w:jc w:val="right"/>
              <w:spacing w:after="0"/>
              <w:rPr>
                <w:sz w:val="20"/>
                <w:szCs w:val="20"/>
                <w:color w:val="auto"/>
              </w:rPr>
            </w:pPr>
            <w:r>
              <w:rPr>
                <w:rFonts w:ascii="Arial" w:cs="Arial" w:eastAsia="Arial" w:hAnsi="Arial"/>
                <w:sz w:val="14"/>
                <w:szCs w:val="14"/>
                <w:b w:val="1"/>
                <w:bCs w:val="1"/>
                <w:color w:val="auto"/>
                <w:w w:val="83"/>
              </w:rPr>
              <w:t>2002</w:t>
            </w:r>
          </w:p>
        </w:tc>
        <w:tc>
          <w:tcPr>
            <w:tcW w:w="640" w:type="dxa"/>
            <w:vAlign w:val="bottom"/>
          </w:tcPr>
          <w:p>
            <w:pPr>
              <w:spacing w:after="0"/>
              <w:rPr>
                <w:sz w:val="15"/>
                <w:szCs w:val="15"/>
                <w:color w:val="auto"/>
              </w:rPr>
            </w:pPr>
          </w:p>
        </w:tc>
        <w:tc>
          <w:tcPr>
            <w:tcW w:w="280" w:type="dxa"/>
            <w:vAlign w:val="bottom"/>
          </w:tcPr>
          <w:p>
            <w:pPr>
              <w:jc w:val="right"/>
              <w:spacing w:after="0"/>
              <w:rPr>
                <w:sz w:val="20"/>
                <w:szCs w:val="20"/>
                <w:color w:val="auto"/>
              </w:rPr>
            </w:pPr>
            <w:r>
              <w:rPr>
                <w:rFonts w:ascii="Arial" w:cs="Arial" w:eastAsia="Arial" w:hAnsi="Arial"/>
                <w:sz w:val="14"/>
                <w:szCs w:val="14"/>
                <w:b w:val="1"/>
                <w:bCs w:val="1"/>
                <w:color w:val="auto"/>
                <w:w w:val="83"/>
              </w:rPr>
              <w:t>2001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9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9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US federal statutory (benefit) rate</w:t>
            </w:r>
          </w:p>
        </w:tc>
        <w:tc>
          <w:tcPr>
            <w:tcW w:w="2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35</w:t>
            </w:r>
          </w:p>
        </w:tc>
        <w:tc>
          <w:tcPr>
            <w:tcW w:w="6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600"/>
              <w:spacing w:after="0" w:line="149" w:lineRule="exact"/>
              <w:rPr>
                <w:sz w:val="20"/>
                <w:szCs w:val="20"/>
                <w:color w:val="auto"/>
              </w:rPr>
            </w:pPr>
            <w:r>
              <w:rPr>
                <w:rFonts w:ascii="Arial" w:cs="Arial" w:eastAsia="Arial" w:hAnsi="Arial"/>
                <w:sz w:val="14"/>
                <w:szCs w:val="14"/>
                <w:color w:val="auto"/>
              </w:rPr>
              <w:t>(35)</w:t>
            </w:r>
          </w:p>
        </w:tc>
        <w:tc>
          <w:tcPr>
            <w:tcW w:w="2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180" w:type="dxa"/>
            <w:vAlign w:val="bottom"/>
          </w:tcPr>
          <w:p>
            <w:pPr>
              <w:spacing w:after="0" w:line="149" w:lineRule="exact"/>
              <w:rPr>
                <w:sz w:val="20"/>
                <w:szCs w:val="20"/>
                <w:color w:val="auto"/>
              </w:rPr>
            </w:pPr>
            <w:r>
              <w:rPr>
                <w:rFonts w:ascii="Arial" w:cs="Arial" w:eastAsia="Arial" w:hAnsi="Arial"/>
                <w:sz w:val="14"/>
                <w:szCs w:val="14"/>
                <w:color w:val="auto"/>
              </w:rPr>
              <w:t>US state income taxes</w:t>
            </w:r>
          </w:p>
        </w:tc>
        <w:tc>
          <w:tcPr>
            <w:tcW w:w="920" w:type="dxa"/>
            <w:vAlign w:val="bottom"/>
            <w:gridSpan w:val="2"/>
          </w:tcPr>
          <w:p>
            <w:pPr>
              <w:jc w:val="right"/>
              <w:ind w:right="640"/>
              <w:spacing w:after="0" w:line="149" w:lineRule="exact"/>
              <w:rPr>
                <w:sz w:val="20"/>
                <w:szCs w:val="20"/>
                <w:color w:val="auto"/>
              </w:rPr>
            </w:pPr>
            <w:r>
              <w:rPr>
                <w:rFonts w:ascii="Arial" w:cs="Arial" w:eastAsia="Arial" w:hAnsi="Arial"/>
                <w:sz w:val="14"/>
                <w:szCs w:val="14"/>
                <w:b w:val="1"/>
                <w:bCs w:val="1"/>
                <w:color w:val="auto"/>
              </w:rPr>
              <w:t>–</w:t>
            </w:r>
          </w:p>
        </w:tc>
        <w:tc>
          <w:tcPr>
            <w:tcW w:w="920" w:type="dxa"/>
            <w:vAlign w:val="bottom"/>
            <w:gridSpan w:val="2"/>
          </w:tcPr>
          <w:p>
            <w:pPr>
              <w:jc w:val="right"/>
              <w:ind w:right="640"/>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jc w:val="right"/>
              <w:spacing w:after="0" w:line="149" w:lineRule="exact"/>
              <w:rPr>
                <w:sz w:val="20"/>
                <w:szCs w:val="20"/>
                <w:color w:val="auto"/>
              </w:rPr>
            </w:pPr>
            <w:r>
              <w:rPr>
                <w:rFonts w:ascii="Arial" w:cs="Arial" w:eastAsia="Arial" w:hAnsi="Arial"/>
                <w:sz w:val="14"/>
                <w:szCs w:val="14"/>
                <w:color w:val="auto"/>
              </w:rPr>
              <w:t>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Non US income taxed at different rates</w:t>
            </w:r>
          </w:p>
        </w:tc>
        <w:tc>
          <w:tcPr>
            <w:tcW w:w="920" w:type="dxa"/>
            <w:vAlign w:val="bottom"/>
            <w:gridSpan w:val="2"/>
            <w:shd w:val="clear" w:color="auto" w:fill="CCEEFF"/>
          </w:tcPr>
          <w:p>
            <w:pPr>
              <w:jc w:val="right"/>
              <w:ind w:right="600"/>
              <w:spacing w:after="0" w:line="149" w:lineRule="exact"/>
              <w:rPr>
                <w:sz w:val="20"/>
                <w:szCs w:val="20"/>
                <w:color w:val="auto"/>
              </w:rPr>
            </w:pPr>
            <w:r>
              <w:rPr>
                <w:rFonts w:ascii="Arial" w:cs="Arial" w:eastAsia="Arial" w:hAnsi="Arial"/>
                <w:sz w:val="14"/>
                <w:szCs w:val="14"/>
                <w:b w:val="1"/>
                <w:bCs w:val="1"/>
                <w:color w:val="auto"/>
              </w:rPr>
              <w:t>(16)</w:t>
            </w:r>
          </w:p>
        </w:tc>
        <w:tc>
          <w:tcPr>
            <w:tcW w:w="920" w:type="dxa"/>
            <w:vAlign w:val="bottom"/>
            <w:gridSpan w:val="2"/>
            <w:shd w:val="clear" w:color="auto" w:fill="CCEEFF"/>
          </w:tcPr>
          <w:p>
            <w:pPr>
              <w:jc w:val="right"/>
              <w:ind w:right="600"/>
              <w:spacing w:after="0" w:line="149" w:lineRule="exact"/>
              <w:rPr>
                <w:sz w:val="20"/>
                <w:szCs w:val="20"/>
                <w:color w:val="auto"/>
              </w:rPr>
            </w:pPr>
            <w:r>
              <w:rPr>
                <w:rFonts w:ascii="Arial" w:cs="Arial" w:eastAsia="Arial" w:hAnsi="Arial"/>
                <w:sz w:val="14"/>
                <w:szCs w:val="14"/>
                <w:color w:val="auto"/>
              </w:rPr>
              <w:t>(6)</w:t>
            </w:r>
          </w:p>
        </w:tc>
        <w:tc>
          <w:tcPr>
            <w:tcW w:w="3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180" w:type="dxa"/>
            <w:vAlign w:val="bottom"/>
          </w:tcPr>
          <w:p>
            <w:pPr>
              <w:spacing w:after="0" w:line="149" w:lineRule="exact"/>
              <w:rPr>
                <w:sz w:val="20"/>
                <w:szCs w:val="20"/>
                <w:color w:val="auto"/>
              </w:rPr>
            </w:pPr>
            <w:r>
              <w:rPr>
                <w:rFonts w:ascii="Arial" w:cs="Arial" w:eastAsia="Arial" w:hAnsi="Arial"/>
                <w:sz w:val="14"/>
                <w:szCs w:val="14"/>
                <w:color w:val="auto"/>
              </w:rPr>
              <w:t>Valuation allowance</w:t>
            </w:r>
          </w:p>
        </w:tc>
        <w:tc>
          <w:tcPr>
            <w:tcW w:w="2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6</w:t>
            </w:r>
          </w:p>
        </w:tc>
        <w:tc>
          <w:tcPr>
            <w:tcW w:w="640" w:type="dxa"/>
            <w:vAlign w:val="bottom"/>
          </w:tcPr>
          <w:p>
            <w:pPr>
              <w:spacing w:after="0"/>
              <w:rPr>
                <w:sz w:val="12"/>
                <w:szCs w:val="12"/>
                <w:color w:val="auto"/>
              </w:rPr>
            </w:pPr>
          </w:p>
        </w:tc>
        <w:tc>
          <w:tcPr>
            <w:tcW w:w="280" w:type="dxa"/>
            <w:vAlign w:val="bottom"/>
          </w:tcPr>
          <w:p>
            <w:pPr>
              <w:jc w:val="right"/>
              <w:spacing w:after="0" w:line="149" w:lineRule="exact"/>
              <w:rPr>
                <w:sz w:val="20"/>
                <w:szCs w:val="20"/>
                <w:color w:val="auto"/>
              </w:rPr>
            </w:pPr>
            <w:r>
              <w:rPr>
                <w:rFonts w:ascii="Arial" w:cs="Arial" w:eastAsia="Arial" w:hAnsi="Arial"/>
                <w:sz w:val="14"/>
                <w:szCs w:val="14"/>
                <w:color w:val="auto"/>
              </w:rPr>
              <w:t>7</w:t>
            </w:r>
          </w:p>
        </w:tc>
        <w:tc>
          <w:tcPr>
            <w:tcW w:w="640" w:type="dxa"/>
            <w:vAlign w:val="bottom"/>
          </w:tcPr>
          <w:p>
            <w:pPr>
              <w:spacing w:after="0"/>
              <w:rPr>
                <w:sz w:val="12"/>
                <w:szCs w:val="12"/>
                <w:color w:val="auto"/>
              </w:rPr>
            </w:pPr>
          </w:p>
        </w:tc>
        <w:tc>
          <w:tcPr>
            <w:tcW w:w="3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Charges and credits</w:t>
            </w:r>
          </w:p>
        </w:tc>
        <w:tc>
          <w:tcPr>
            <w:tcW w:w="2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12</w:t>
            </w:r>
          </w:p>
        </w:tc>
        <w:tc>
          <w:tcPr>
            <w:tcW w:w="640" w:type="dxa"/>
            <w:vAlign w:val="bottom"/>
            <w:shd w:val="clear" w:color="auto" w:fill="CCEEFF"/>
          </w:tcPr>
          <w:p>
            <w:pPr>
              <w:spacing w:after="0"/>
              <w:rPr>
                <w:sz w:val="12"/>
                <w:szCs w:val="12"/>
                <w:color w:val="auto"/>
              </w:rPr>
            </w:pPr>
          </w:p>
        </w:tc>
        <w:tc>
          <w:tcPr>
            <w:tcW w:w="2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47</w:t>
            </w:r>
          </w:p>
        </w:tc>
        <w:tc>
          <w:tcPr>
            <w:tcW w:w="640" w:type="dxa"/>
            <w:vAlign w:val="bottom"/>
            <w:shd w:val="clear" w:color="auto" w:fill="CCEEFF"/>
          </w:tcPr>
          <w:p>
            <w:pPr>
              <w:spacing w:after="0"/>
              <w:rPr>
                <w:sz w:val="12"/>
                <w:szCs w:val="12"/>
                <w:color w:val="auto"/>
              </w:rPr>
            </w:pPr>
          </w:p>
        </w:tc>
        <w:tc>
          <w:tcPr>
            <w:tcW w:w="2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18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9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Effective income tax rate</w:t>
            </w:r>
          </w:p>
        </w:tc>
        <w:tc>
          <w:tcPr>
            <w:tcW w:w="2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37</w:t>
            </w:r>
          </w:p>
        </w:tc>
        <w:tc>
          <w:tcPr>
            <w:tcW w:w="640" w:type="dxa"/>
            <w:vAlign w:val="bottom"/>
            <w:shd w:val="clear" w:color="auto" w:fill="CCEEFF"/>
          </w:tcPr>
          <w:p>
            <w:pPr>
              <w:spacing w:after="0"/>
              <w:rPr>
                <w:sz w:val="12"/>
                <w:szCs w:val="12"/>
                <w:color w:val="auto"/>
              </w:rPr>
            </w:pPr>
          </w:p>
        </w:tc>
        <w:tc>
          <w:tcPr>
            <w:tcW w:w="2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w:t>
            </w:r>
          </w:p>
        </w:tc>
        <w:tc>
          <w:tcPr>
            <w:tcW w:w="640" w:type="dxa"/>
            <w:vAlign w:val="bottom"/>
            <w:shd w:val="clear" w:color="auto" w:fill="CCEEFF"/>
          </w:tcPr>
          <w:p>
            <w:pPr>
              <w:spacing w:after="0"/>
              <w:rPr>
                <w:sz w:val="12"/>
                <w:szCs w:val="12"/>
                <w:color w:val="auto"/>
              </w:rPr>
            </w:pPr>
          </w:p>
        </w:tc>
        <w:tc>
          <w:tcPr>
            <w:tcW w:w="2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52</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180" w:type="dxa"/>
            <w:vAlign w:val="bottom"/>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5843270</wp:posOffset>
            </wp:positionH>
            <wp:positionV relativeFrom="paragraph">
              <wp:posOffset>-29210</wp:posOffset>
            </wp:positionV>
            <wp:extent cx="12700" cy="2984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-29210</wp:posOffset>
            </wp:positionV>
            <wp:extent cx="38735" cy="2984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6426200</wp:posOffset>
            </wp:positionH>
            <wp:positionV relativeFrom="paragraph">
              <wp:posOffset>-29210</wp:posOffset>
            </wp:positionV>
            <wp:extent cx="12700" cy="2984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6589395</wp:posOffset>
            </wp:positionH>
            <wp:positionV relativeFrom="paragraph">
              <wp:posOffset>-29210</wp:posOffset>
            </wp:positionV>
            <wp:extent cx="38735" cy="2984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7009765</wp:posOffset>
            </wp:positionH>
            <wp:positionV relativeFrom="paragraph">
              <wp:posOffset>-29210</wp:posOffset>
            </wp:positionV>
            <wp:extent cx="12700" cy="2984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-29210</wp:posOffset>
            </wp:positionV>
            <wp:extent cx="38735" cy="2984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144" w:lineRule="exact"/>
        <w:rPr>
          <w:sz w:val="20"/>
          <w:szCs w:val="20"/>
          <w:color w:val="auto"/>
        </w:rPr>
      </w:pPr>
    </w:p>
    <w:p>
      <w:pPr>
        <w:ind w:left="240"/>
        <w:spacing w:after="0"/>
        <w:rPr>
          <w:sz w:val="20"/>
          <w:szCs w:val="20"/>
          <w:color w:val="auto"/>
        </w:rPr>
      </w:pPr>
      <w:r>
        <w:rPr>
          <w:rFonts w:ascii="Arial" w:cs="Arial" w:eastAsia="Arial" w:hAnsi="Arial"/>
          <w:sz w:val="18"/>
          <w:szCs w:val="18"/>
          <w:color w:val="auto"/>
        </w:rPr>
        <w:t>Schlumberger’s effective tax rate, excluding charges and credits, was 25%, 26% and 33% in 2003, 2002 and 2001 respectively.</w:t>
      </w:r>
    </w:p>
    <w:p>
      <w:pPr>
        <w:spacing w:after="0" w:line="155" w:lineRule="exact"/>
        <w:rPr>
          <w:sz w:val="20"/>
          <w:szCs w:val="20"/>
          <w:color w:val="auto"/>
        </w:rPr>
      </w:pPr>
    </w:p>
    <w:p>
      <w:pPr>
        <w:spacing w:after="0"/>
        <w:tabs>
          <w:tab w:leader="none" w:pos="10400" w:val="left"/>
        </w:tabs>
        <w:rPr>
          <w:sz w:val="20"/>
          <w:szCs w:val="20"/>
          <w:color w:val="auto"/>
        </w:rPr>
      </w:pPr>
      <w:r>
        <w:rPr>
          <w:rFonts w:ascii="Arial" w:cs="Arial" w:eastAsia="Arial" w:hAnsi="Arial"/>
          <w:sz w:val="14"/>
          <w:szCs w:val="14"/>
          <w:color w:val="auto"/>
        </w:rPr>
        <w:t>59 / SLB</w:t>
      </w:r>
      <w:r>
        <w:rPr>
          <w:sz w:val="20"/>
          <w:szCs w:val="20"/>
          <w:color w:val="auto"/>
        </w:rPr>
        <w:tab/>
      </w:r>
      <w:r>
        <w:rPr>
          <w:rFonts w:ascii="Arial" w:cs="Arial" w:eastAsia="Arial" w:hAnsi="Arial"/>
          <w:sz w:val="12"/>
          <w:szCs w:val="12"/>
          <w:color w:val="auto"/>
        </w:rPr>
        <w:t>2003 FORM 10-K</w:t>
      </w:r>
    </w:p>
    <w:p>
      <w:pPr>
        <w:sectPr>
          <w:pgSz w:w="11900" w:h="16838" w:orient="portrait"/>
          <w:cols w:equalWidth="0" w:num="1">
            <w:col w:w="11420"/>
          </w:cols>
          <w:pgMar w:left="240" w:top="459" w:right="2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4"/>
          <w:szCs w:val="14"/>
          <w:color w:val="auto"/>
        </w:rPr>
        <w:t>Part II, Item 8</w:t>
      </w:r>
    </w:p>
    <w:p>
      <w:pPr>
        <w:spacing w:after="0" w:line="128" w:lineRule="exact"/>
        <w:rPr>
          <w:sz w:val="20"/>
          <w:szCs w:val="20"/>
          <w:color w:val="auto"/>
        </w:rPr>
      </w:pPr>
    </w:p>
    <w:p>
      <w:pPr>
        <w:ind w:left="440" w:hanging="432"/>
        <w:spacing w:after="0"/>
        <w:tabs>
          <w:tab w:leader="none" w:pos="440" w:val="left"/>
        </w:tabs>
        <w:numPr>
          <w:ilvl w:val="0"/>
          <w:numId w:val="48"/>
        </w:numPr>
        <w:rPr>
          <w:rFonts w:ascii="Arial" w:cs="Arial" w:eastAsia="Arial" w:hAnsi="Arial"/>
          <w:sz w:val="18"/>
          <w:szCs w:val="18"/>
          <w:b w:val="1"/>
          <w:bCs w:val="1"/>
          <w:color w:val="auto"/>
        </w:rPr>
      </w:pPr>
      <w:r>
        <w:rPr>
          <w:rFonts w:ascii="Arial" w:cs="Arial" w:eastAsia="Arial" w:hAnsi="Arial"/>
          <w:sz w:val="18"/>
          <w:szCs w:val="18"/>
          <w:b w:val="1"/>
          <w:bCs w:val="1"/>
          <w:color w:val="auto"/>
        </w:rPr>
        <w:t>Leases and Lease Commitments</w:t>
      </w:r>
    </w:p>
    <w:p>
      <w:pPr>
        <w:spacing w:after="0" w:line="74"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Total rental expense was $532 million in 2003, $458 million in 2002 and $390 million in 2001. Future minimum rental commitments under noncancelable leases for years ending December 31 are: $344 million in 2004; $281 million in 2005; $241 million in 2006; $191 million in 2007; and $175 million in 2008. For the ensuing three five-year periods, these commitments decrease from $258 million to $3 million. The minimum rentals over the remaining terms of the leases aggregate to $24 million.</w:t>
      </w:r>
    </w:p>
    <w:p>
      <w:pPr>
        <w:spacing w:after="0" w:line="119" w:lineRule="exact"/>
        <w:rPr>
          <w:sz w:val="20"/>
          <w:szCs w:val="20"/>
          <w:color w:val="auto"/>
        </w:rPr>
      </w:pPr>
    </w:p>
    <w:p>
      <w:pPr>
        <w:ind w:left="440" w:hanging="432"/>
        <w:spacing w:after="0"/>
        <w:tabs>
          <w:tab w:leader="none" w:pos="440" w:val="left"/>
        </w:tabs>
        <w:numPr>
          <w:ilvl w:val="0"/>
          <w:numId w:val="49"/>
        </w:numPr>
        <w:rPr>
          <w:rFonts w:ascii="Arial" w:cs="Arial" w:eastAsia="Arial" w:hAnsi="Arial"/>
          <w:sz w:val="18"/>
          <w:szCs w:val="18"/>
          <w:b w:val="1"/>
          <w:bCs w:val="1"/>
          <w:color w:val="auto"/>
        </w:rPr>
      </w:pPr>
      <w:r>
        <w:rPr>
          <w:rFonts w:ascii="Arial" w:cs="Arial" w:eastAsia="Arial" w:hAnsi="Arial"/>
          <w:sz w:val="18"/>
          <w:szCs w:val="18"/>
          <w:b w:val="1"/>
          <w:bCs w:val="1"/>
          <w:color w:val="auto"/>
        </w:rPr>
        <w:t>Contingencies</w:t>
      </w:r>
    </w:p>
    <w:p>
      <w:pPr>
        <w:spacing w:after="0" w:line="74" w:lineRule="exact"/>
        <w:rPr>
          <w:sz w:val="20"/>
          <w:szCs w:val="20"/>
          <w:color w:val="auto"/>
        </w:rPr>
      </w:pPr>
    </w:p>
    <w:p>
      <w:pPr>
        <w:ind w:right="20"/>
        <w:spacing w:after="0" w:line="283" w:lineRule="auto"/>
        <w:rPr>
          <w:sz w:val="20"/>
          <w:szCs w:val="20"/>
          <w:color w:val="auto"/>
        </w:rPr>
      </w:pPr>
      <w:r>
        <w:rPr>
          <w:rFonts w:ascii="Arial" w:cs="Arial" w:eastAsia="Arial" w:hAnsi="Arial"/>
          <w:sz w:val="16"/>
          <w:szCs w:val="16"/>
          <w:color w:val="auto"/>
        </w:rPr>
        <w:t>The Consolidated Balance Sheet includes accruals for the estimated future costs associated with certain environmental remediation activities related to the past use or disposal of hazardous materials. Substantially all such costs relate to divested operations and to facilities or locations that are no longer in operation. Due to a number of uncertainties, including uncertainty of timing, the scope of remediation, future technology, regulatory changes, the risk of personal injury, natural resource or property damage claims and other factors, it is possible that the ultimate remediation costs may exceed the amounts estimated. However, in the opinion of management, such additional costs are not expected to be material relative to consolidated liquidity, financial position or future results of operations.</w:t>
      </w:r>
    </w:p>
    <w:p>
      <w:pPr>
        <w:spacing w:after="0" w:line="2" w:lineRule="exact"/>
        <w:rPr>
          <w:sz w:val="20"/>
          <w:szCs w:val="20"/>
          <w:color w:val="auto"/>
        </w:rPr>
      </w:pPr>
    </w:p>
    <w:p>
      <w:pPr>
        <w:ind w:right="400" w:firstLine="228"/>
        <w:spacing w:after="0" w:line="250" w:lineRule="auto"/>
        <w:rPr>
          <w:sz w:val="20"/>
          <w:szCs w:val="20"/>
          <w:color w:val="auto"/>
        </w:rPr>
      </w:pPr>
      <w:r>
        <w:rPr>
          <w:rFonts w:ascii="Arial" w:cs="Arial" w:eastAsia="Arial" w:hAnsi="Arial"/>
          <w:sz w:val="18"/>
          <w:szCs w:val="18"/>
          <w:color w:val="auto"/>
        </w:rPr>
        <w:t>In addition, Schlumberger and its subsidiaries are party to various other legal proceedings. Although the ultimate disposition of these proceedings is not presently determinable, in the opinion of Schlumberger any liability that might ensue would not be material in relation to the consolidated liquidity, financial position or future results of operations.</w:t>
      </w:r>
    </w:p>
    <w:p>
      <w:pPr>
        <w:spacing w:after="0" w:line="1" w:lineRule="exact"/>
        <w:rPr>
          <w:sz w:val="20"/>
          <w:szCs w:val="20"/>
          <w:color w:val="auto"/>
        </w:rPr>
      </w:pPr>
    </w:p>
    <w:p>
      <w:pPr>
        <w:ind w:right="220" w:firstLine="228"/>
        <w:spacing w:after="0" w:line="254" w:lineRule="auto"/>
        <w:rPr>
          <w:sz w:val="20"/>
          <w:szCs w:val="20"/>
          <w:color w:val="auto"/>
        </w:rPr>
      </w:pPr>
      <w:r>
        <w:rPr>
          <w:rFonts w:ascii="Arial" w:cs="Arial" w:eastAsia="Arial" w:hAnsi="Arial"/>
          <w:sz w:val="18"/>
          <w:szCs w:val="18"/>
          <w:color w:val="auto"/>
        </w:rPr>
        <w:t>Schlumberger’s financial instruments that are exposed to concentrations of credit risk consist primarily of cash and cash equivalents and receivables from clients. Schlumberger places its cash and cash equivalents with financial institutions and corporations, and limits the amount of credit exposure with any one of them. Schlumberger actively evaluates the creditworthiness of the issuers in which it invests. The receivables from clients are concentrated within a few significant industries and geographies.</w:t>
      </w:r>
    </w:p>
    <w:p>
      <w:pPr>
        <w:spacing w:after="0" w:line="120" w:lineRule="exact"/>
        <w:rPr>
          <w:sz w:val="20"/>
          <w:szCs w:val="20"/>
          <w:color w:val="auto"/>
        </w:rPr>
      </w:pPr>
    </w:p>
    <w:p>
      <w:pPr>
        <w:ind w:left="440" w:hanging="432"/>
        <w:spacing w:after="0"/>
        <w:tabs>
          <w:tab w:leader="none" w:pos="440" w:val="left"/>
        </w:tabs>
        <w:numPr>
          <w:ilvl w:val="0"/>
          <w:numId w:val="50"/>
        </w:numPr>
        <w:rPr>
          <w:rFonts w:ascii="Arial" w:cs="Arial" w:eastAsia="Arial" w:hAnsi="Arial"/>
          <w:sz w:val="18"/>
          <w:szCs w:val="18"/>
          <w:b w:val="1"/>
          <w:bCs w:val="1"/>
          <w:color w:val="auto"/>
        </w:rPr>
      </w:pPr>
      <w:r>
        <w:rPr>
          <w:rFonts w:ascii="Arial" w:cs="Arial" w:eastAsia="Arial" w:hAnsi="Arial"/>
          <w:sz w:val="18"/>
          <w:szCs w:val="18"/>
          <w:b w:val="1"/>
          <w:bCs w:val="1"/>
          <w:color w:val="auto"/>
        </w:rPr>
        <w:t>Segment Information</w:t>
      </w:r>
    </w:p>
    <w:p>
      <w:pPr>
        <w:spacing w:after="0" w:line="74" w:lineRule="exact"/>
        <w:rPr>
          <w:sz w:val="20"/>
          <w:szCs w:val="20"/>
          <w:color w:val="auto"/>
        </w:rPr>
      </w:pPr>
    </w:p>
    <w:p>
      <w:pPr>
        <w:jc w:val="both"/>
        <w:ind w:right="560"/>
        <w:spacing w:after="0" w:line="253" w:lineRule="auto"/>
        <w:rPr>
          <w:sz w:val="20"/>
          <w:szCs w:val="20"/>
          <w:color w:val="auto"/>
        </w:rPr>
      </w:pPr>
      <w:r>
        <w:rPr>
          <w:rFonts w:ascii="Arial" w:cs="Arial" w:eastAsia="Arial" w:hAnsi="Arial"/>
          <w:sz w:val="18"/>
          <w:szCs w:val="18"/>
          <w:color w:val="auto"/>
        </w:rPr>
        <w:t>Schlumberger operates four reportable business segments: Oilfield Services (OFS), WesternGeco, SchlumbergerSema (SLSEMA) and Other. The current SchlumbergerSema segment only includes operations that were sold to Atos Origin on January 29, 2004. The segment information has been reclassified to conform to the current year presentation.</w:t>
      </w:r>
    </w:p>
    <w:p>
      <w:pPr>
        <w:ind w:right="20" w:firstLine="228"/>
        <w:spacing w:after="0" w:line="281" w:lineRule="auto"/>
        <w:rPr>
          <w:sz w:val="20"/>
          <w:szCs w:val="20"/>
          <w:color w:val="auto"/>
        </w:rPr>
      </w:pPr>
      <w:r>
        <w:rPr>
          <w:rFonts w:ascii="Arial" w:cs="Arial" w:eastAsia="Arial" w:hAnsi="Arial"/>
          <w:sz w:val="16"/>
          <w:szCs w:val="16"/>
          <w:color w:val="auto"/>
        </w:rPr>
        <w:t>The Oilfield Services segment falls into four clearly defined economic and geographical areas and is evaluated on the following basis: North America is a major self-contained market; Latin America comprises regional markets that share a common dependence on the United States; Europe is a major self-contained market that includes the CIS and West Africa, whose economy is increasingly linked to that of Europe; Middle East &amp; Asia includes the remainder of the Eastern Hemisphere, which consists of many countries at different stages of economic development that share a common dependence on the oil and gas industry. The Oilfield Services segment provides virtually all exploration and production services required during the life of an oil and gas reservoir. Schlumberger believes that all the products/services are interrelated and expects similar performance from each.</w:t>
      </w:r>
    </w:p>
    <w:p>
      <w:pPr>
        <w:spacing w:after="0" w:line="4" w:lineRule="exact"/>
        <w:rPr>
          <w:sz w:val="20"/>
          <w:szCs w:val="20"/>
          <w:color w:val="auto"/>
        </w:rPr>
      </w:pPr>
    </w:p>
    <w:p>
      <w:pPr>
        <w:ind w:firstLine="228"/>
        <w:spacing w:after="0" w:line="281" w:lineRule="auto"/>
        <w:rPr>
          <w:sz w:val="20"/>
          <w:szCs w:val="20"/>
          <w:color w:val="auto"/>
        </w:rPr>
      </w:pPr>
      <w:r>
        <w:rPr>
          <w:rFonts w:ascii="Arial" w:cs="Arial" w:eastAsia="Arial" w:hAnsi="Arial"/>
          <w:sz w:val="16"/>
          <w:szCs w:val="16"/>
          <w:color w:val="auto"/>
        </w:rPr>
        <w:t>The WesternGeco segment provides comprehensive worldwide reservoir imaging, monitoring, and development services, with extensive seismic crews and data processing centers, as well as a large multiclient seismic library. Services range from 3D and time-lapse (4D) seismic surveys to multi-component surveys for delineating prospects and reservoir management. WesternGeco is 70% owned by Schlumberger and 30% owned by Baker Hughes.</w:t>
      </w:r>
    </w:p>
    <w:p>
      <w:pPr>
        <w:spacing w:after="0" w:line="2" w:lineRule="exact"/>
        <w:rPr>
          <w:sz w:val="20"/>
          <w:szCs w:val="20"/>
          <w:color w:val="auto"/>
        </w:rPr>
      </w:pPr>
    </w:p>
    <w:p>
      <w:pPr>
        <w:ind w:right="440" w:firstLine="228"/>
        <w:spacing w:after="0" w:line="261" w:lineRule="auto"/>
        <w:rPr>
          <w:sz w:val="20"/>
          <w:szCs w:val="20"/>
          <w:color w:val="auto"/>
        </w:rPr>
      </w:pPr>
      <w:r>
        <w:rPr>
          <w:rFonts w:ascii="Arial" w:cs="Arial" w:eastAsia="Arial" w:hAnsi="Arial"/>
          <w:sz w:val="18"/>
          <w:szCs w:val="18"/>
          <w:color w:val="auto"/>
        </w:rPr>
        <w:t>The SchlumbergerSema segment falls into three clearly defined economic and geographic areas and is evaluated on the following basis: North and South America is a major self-contained market; Europe is a major</w:t>
      </w:r>
    </w:p>
    <w:p>
      <w:pPr>
        <w:spacing w:after="0" w:line="122" w:lineRule="exact"/>
        <w:rPr>
          <w:sz w:val="20"/>
          <w:szCs w:val="20"/>
          <w:color w:val="auto"/>
        </w:rPr>
      </w:pPr>
    </w:p>
    <w:p>
      <w:pPr>
        <w:spacing w:after="0"/>
        <w:tabs>
          <w:tab w:leader="none" w:pos="10400" w:val="left"/>
        </w:tabs>
        <w:rPr>
          <w:sz w:val="20"/>
          <w:szCs w:val="20"/>
          <w:color w:val="auto"/>
        </w:rPr>
      </w:pPr>
      <w:r>
        <w:rPr>
          <w:rFonts w:ascii="Arial" w:cs="Arial" w:eastAsia="Arial" w:hAnsi="Arial"/>
          <w:sz w:val="14"/>
          <w:szCs w:val="14"/>
          <w:color w:val="auto"/>
        </w:rPr>
        <w:t>60 / SLB</w:t>
      </w:r>
      <w:r>
        <w:rPr>
          <w:sz w:val="20"/>
          <w:szCs w:val="20"/>
          <w:color w:val="auto"/>
        </w:rPr>
        <w:tab/>
      </w:r>
      <w:r>
        <w:rPr>
          <w:rFonts w:ascii="Arial" w:cs="Arial" w:eastAsia="Arial" w:hAnsi="Arial"/>
          <w:sz w:val="12"/>
          <w:szCs w:val="12"/>
          <w:color w:val="auto"/>
        </w:rPr>
        <w:t>2003 FORM 10-K</w:t>
      </w:r>
    </w:p>
    <w:p>
      <w:pPr>
        <w:sectPr>
          <w:pgSz w:w="11900" w:h="16838" w:orient="portrait"/>
          <w:cols w:equalWidth="0" w:num="1">
            <w:col w:w="11420"/>
          </w:cols>
          <w:pgMar w:left="240" w:top="459"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4"/>
          <w:szCs w:val="14"/>
          <w:color w:val="auto"/>
        </w:rPr>
        <w:t>Part II, Item 8</w:t>
      </w:r>
    </w:p>
    <w:p>
      <w:pPr>
        <w:spacing w:after="0" w:line="139" w:lineRule="exact"/>
        <w:rPr>
          <w:sz w:val="20"/>
          <w:szCs w:val="20"/>
          <w:color w:val="auto"/>
        </w:rPr>
      </w:pPr>
    </w:p>
    <w:p>
      <w:pPr>
        <w:jc w:val="center"/>
        <w:ind w:right="60"/>
        <w:spacing w:after="0" w:line="302" w:lineRule="auto"/>
        <w:rPr>
          <w:sz w:val="20"/>
          <w:szCs w:val="20"/>
          <w:color w:val="auto"/>
        </w:rPr>
      </w:pPr>
      <w:r>
        <w:rPr>
          <w:rFonts w:ascii="Arial" w:cs="Arial" w:eastAsia="Arial" w:hAnsi="Arial"/>
          <w:sz w:val="15"/>
          <w:szCs w:val="15"/>
          <w:color w:val="auto"/>
        </w:rPr>
        <w:t>self-contained market that includes the Middle East and Africa; Asia includes the remainder of the Eastern Hemisphere. The SchlumbergerSema segment is a leading information technology services company providing domain expertise and global capabilities delivered on a local basis. SchlumbergerSema has proven capabilities delivering consulting, systems integration, managed services and products serving the energy &amp; utilities, finance, transport and public sector markets. On September 22, 2003, Schlumberger announced the signing of an agreement with Atos Origin for the sale of the SchlumbergerSema business. The sale</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closed on January 29, 2004.</w:t>
      </w:r>
    </w:p>
    <w:p>
      <w:pPr>
        <w:spacing w:after="0" w:line="9" w:lineRule="exact"/>
        <w:rPr>
          <w:sz w:val="20"/>
          <w:szCs w:val="20"/>
          <w:color w:val="auto"/>
        </w:rPr>
      </w:pPr>
    </w:p>
    <w:p>
      <w:pPr>
        <w:ind w:right="20" w:firstLine="228"/>
        <w:spacing w:after="0" w:line="281" w:lineRule="auto"/>
        <w:rPr>
          <w:sz w:val="20"/>
          <w:szCs w:val="20"/>
          <w:color w:val="auto"/>
        </w:rPr>
      </w:pPr>
      <w:r>
        <w:rPr>
          <w:rFonts w:ascii="Arial" w:cs="Arial" w:eastAsia="Arial" w:hAnsi="Arial"/>
          <w:sz w:val="16"/>
          <w:szCs w:val="16"/>
          <w:color w:val="auto"/>
        </w:rPr>
        <w:t>The Other segment comprises principally the Axalto (Cards and Point-of-Sale Terminals), Electricity Meters, Business Continuity, Infodata, Telecom Software Products, Water Services, Essentis and Payphones activities. In 2001, also included is the divested Resource Management Services business.</w:t>
      </w:r>
    </w:p>
    <w:p>
      <w:pPr>
        <w:spacing w:after="0" w:line="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Financial information for the years ended December 31, 2003, 2002 and 2001, by segment, is as follows:</w:t>
      </w:r>
    </w:p>
    <w:p>
      <w:pPr>
        <w:spacing w:after="0" w:line="6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(Stated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46620" cy="889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Arial" w:cs="Arial" w:eastAsia="Arial" w:hAnsi="Arial"/>
                <w:sz w:val="14"/>
                <w:szCs w:val="14"/>
                <w:b w:val="1"/>
                <w:bCs w:val="1"/>
                <w:color w:val="auto"/>
                <w:w w:val="96"/>
              </w:rPr>
              <w:t>2003</w:t>
            </w:r>
          </w:p>
        </w:tc>
        <w:tc>
          <w:tcPr>
            <w:tcW w:w="90" w:type="dxa"/>
            <w:vAlign w:val="bottom"/>
          </w:tcPr>
          <w:p>
            <w:pPr>
              <w:spacing w:after="0"/>
              <w:rPr>
                <w:sz w:val="15"/>
                <w:szCs w:val="15"/>
                <w:color w:val="auto"/>
              </w:rPr>
            </w:pPr>
          </w:p>
        </w:tc>
        <w:tc>
          <w:tcPr>
            <w:tcW w:w="63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5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90" w:type="dxa"/>
            <w:vAlign w:val="bottom"/>
            <w:tcBorders>
              <w:bottom w:val="single" w:sz="8" w:color="auto"/>
            </w:tcBorders>
          </w:tcPr>
          <w:p>
            <w:pPr>
              <w:spacing w:after="0"/>
              <w:rPr>
                <w:sz w:val="8"/>
                <w:szCs w:val="8"/>
                <w:color w:val="auto"/>
              </w:rPr>
            </w:pPr>
          </w:p>
        </w:tc>
        <w:tc>
          <w:tcPr>
            <w:tcW w:w="63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2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3"/>
              </w:rPr>
              <w:t>Income</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 w:type="dxa"/>
            <w:vAlign w:val="bottom"/>
          </w:tcPr>
          <w:p>
            <w:pPr>
              <w:spacing w:after="0"/>
              <w:rPr>
                <w:sz w:val="20"/>
                <w:szCs w:val="20"/>
                <w:color w:val="auto"/>
              </w:rPr>
            </w:pPr>
          </w:p>
        </w:tc>
        <w:tc>
          <w:tcPr>
            <w:tcW w:w="63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3"/>
          </w:tcPr>
          <w:p>
            <w:pPr>
              <w:jc w:val="right"/>
              <w:ind w:right="440"/>
              <w:spacing w:after="0" w:line="149" w:lineRule="exact"/>
              <w:rPr>
                <w:sz w:val="20"/>
                <w:szCs w:val="20"/>
                <w:color w:val="auto"/>
              </w:rPr>
            </w:pPr>
            <w:r>
              <w:rPr>
                <w:rFonts w:ascii="Arial" w:cs="Arial" w:eastAsia="Arial" w:hAnsi="Arial"/>
                <w:sz w:val="14"/>
                <w:szCs w:val="14"/>
                <w:b w:val="1"/>
                <w:bCs w:val="1"/>
                <w:color w:val="auto"/>
                <w:w w:val="88"/>
              </w:rPr>
              <w:t>after tax</w:t>
            </w: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0" w:type="dxa"/>
            <w:vAlign w:val="bottom"/>
          </w:tcPr>
          <w:p>
            <w:pPr>
              <w:spacing w:after="0"/>
              <w:rPr>
                <w:sz w:val="12"/>
                <w:szCs w:val="12"/>
                <w:color w:val="auto"/>
              </w:rPr>
            </w:pPr>
          </w:p>
        </w:tc>
        <w:tc>
          <w:tcPr>
            <w:tcW w:w="1070" w:type="dxa"/>
            <w:vAlign w:val="bottom"/>
            <w:gridSpan w:val="2"/>
          </w:tcPr>
          <w:p>
            <w:pPr>
              <w:jc w:val="right"/>
              <w:ind w:right="440"/>
              <w:spacing w:after="0" w:line="149" w:lineRule="exact"/>
              <w:rPr>
                <w:sz w:val="20"/>
                <w:szCs w:val="20"/>
                <w:color w:val="auto"/>
              </w:rPr>
            </w:pPr>
            <w:r>
              <w:rPr>
                <w:rFonts w:ascii="Arial" w:cs="Arial" w:eastAsia="Arial" w:hAnsi="Arial"/>
                <w:sz w:val="14"/>
                <w:szCs w:val="14"/>
                <w:b w:val="1"/>
                <w:bCs w:val="1"/>
                <w:color w:val="auto"/>
              </w:rPr>
              <w:t>Income</w:t>
            </w: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20" w:type="dxa"/>
            <w:vAlign w:val="bottom"/>
            <w:gridSpan w:val="2"/>
          </w:tcPr>
          <w:p>
            <w:pPr>
              <w:jc w:val="right"/>
              <w:ind w:right="440"/>
              <w:spacing w:after="0" w:line="149" w:lineRule="exact"/>
              <w:rPr>
                <w:sz w:val="20"/>
                <w:szCs w:val="20"/>
                <w:color w:val="auto"/>
              </w:rPr>
            </w:pPr>
            <w:r>
              <w:rPr>
                <w:rFonts w:ascii="Arial" w:cs="Arial" w:eastAsia="Arial" w:hAnsi="Arial"/>
                <w:sz w:val="14"/>
                <w:szCs w:val="14"/>
                <w:b w:val="1"/>
                <w:bCs w:val="1"/>
                <w:color w:val="auto"/>
              </w:rPr>
              <w:t>&amp; Min.</w:t>
            </w:r>
          </w:p>
        </w:tc>
        <w:tc>
          <w:tcPr>
            <w:tcW w:w="1020" w:type="dxa"/>
            <w:vAlign w:val="bottom"/>
            <w:gridSpan w:val="3"/>
          </w:tcPr>
          <w:p>
            <w:pPr>
              <w:jc w:val="right"/>
              <w:ind w:right="440"/>
              <w:spacing w:after="0" w:line="149" w:lineRule="exact"/>
              <w:rPr>
                <w:sz w:val="20"/>
                <w:szCs w:val="20"/>
                <w:color w:val="auto"/>
              </w:rPr>
            </w:pPr>
            <w:r>
              <w:rPr>
                <w:rFonts w:ascii="Arial" w:cs="Arial" w:eastAsia="Arial" w:hAnsi="Arial"/>
                <w:sz w:val="14"/>
                <w:szCs w:val="14"/>
                <w:b w:val="1"/>
                <w:bCs w:val="1"/>
                <w:color w:val="auto"/>
              </w:rPr>
              <w:t>Minority</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Tax</w:t>
            </w:r>
          </w:p>
        </w:tc>
        <w:tc>
          <w:tcPr>
            <w:tcW w:w="340" w:type="dxa"/>
            <w:vAlign w:val="bottom"/>
          </w:tcPr>
          <w:p>
            <w:pPr>
              <w:spacing w:after="0"/>
              <w:rPr>
                <w:sz w:val="12"/>
                <w:szCs w:val="12"/>
                <w:color w:val="auto"/>
              </w:rPr>
            </w:pPr>
          </w:p>
        </w:tc>
        <w:tc>
          <w:tcPr>
            <w:tcW w:w="90" w:type="dxa"/>
            <w:vAlign w:val="bottom"/>
          </w:tcPr>
          <w:p>
            <w:pPr>
              <w:spacing w:after="0"/>
              <w:rPr>
                <w:sz w:val="12"/>
                <w:szCs w:val="12"/>
                <w:color w:val="auto"/>
              </w:rPr>
            </w:pPr>
          </w:p>
        </w:tc>
        <w:tc>
          <w:tcPr>
            <w:tcW w:w="1070" w:type="dxa"/>
            <w:vAlign w:val="bottom"/>
            <w:gridSpan w:val="2"/>
          </w:tcPr>
          <w:p>
            <w:pPr>
              <w:jc w:val="right"/>
              <w:ind w:right="440"/>
              <w:spacing w:after="0" w:line="149" w:lineRule="exact"/>
              <w:rPr>
                <w:sz w:val="20"/>
                <w:szCs w:val="20"/>
                <w:color w:val="auto"/>
              </w:rPr>
            </w:pPr>
            <w:r>
              <w:rPr>
                <w:rFonts w:ascii="Arial" w:cs="Arial" w:eastAsia="Arial" w:hAnsi="Arial"/>
                <w:sz w:val="14"/>
                <w:szCs w:val="14"/>
                <w:b w:val="1"/>
                <w:bCs w:val="1"/>
                <w:color w:val="auto"/>
                <w:w w:val="89"/>
              </w:rPr>
              <w:t>before tax</w:t>
            </w: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6"/>
              </w:rPr>
              <w:t>Depn. &amp;</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20"/>
              <w:spacing w:after="0" w:line="149" w:lineRule="exact"/>
              <w:rPr>
                <w:sz w:val="20"/>
                <w:szCs w:val="20"/>
                <w:color w:val="auto"/>
              </w:rPr>
            </w:pPr>
            <w:r>
              <w:rPr>
                <w:rFonts w:ascii="Arial" w:cs="Arial" w:eastAsia="Arial" w:hAnsi="Arial"/>
                <w:sz w:val="14"/>
                <w:szCs w:val="14"/>
                <w:b w:val="1"/>
                <w:bCs w:val="1"/>
                <w:color w:val="auto"/>
              </w:rPr>
              <w:t>Capital</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540" w:type="dxa"/>
            <w:vAlign w:val="bottom"/>
          </w:tcPr>
          <w:p>
            <w:pPr>
              <w:spacing w:after="0"/>
              <w:rPr>
                <w:sz w:val="15"/>
                <w:szCs w:val="15"/>
                <w:color w:val="auto"/>
              </w:rPr>
            </w:pPr>
          </w:p>
        </w:tc>
        <w:tc>
          <w:tcPr>
            <w:tcW w:w="1000" w:type="dxa"/>
            <w:vAlign w:val="bottom"/>
            <w:gridSpan w:val="3"/>
          </w:tcPr>
          <w:p>
            <w:pPr>
              <w:jc w:val="right"/>
              <w:ind w:right="440"/>
              <w:spacing w:after="0"/>
              <w:rPr>
                <w:sz w:val="20"/>
                <w:szCs w:val="20"/>
                <w:color w:val="auto"/>
              </w:rPr>
            </w:pPr>
            <w:r>
              <w:rPr>
                <w:rFonts w:ascii="Arial" w:cs="Arial" w:eastAsia="Arial" w:hAnsi="Arial"/>
                <w:sz w:val="14"/>
                <w:szCs w:val="14"/>
                <w:b w:val="1"/>
                <w:bCs w:val="1"/>
                <w:color w:val="auto"/>
                <w:w w:val="92"/>
              </w:rPr>
              <w:t>Revenue</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Int.</w:t>
            </w:r>
          </w:p>
        </w:tc>
        <w:tc>
          <w:tcPr>
            <w:tcW w:w="100" w:type="dxa"/>
            <w:vAlign w:val="bottom"/>
          </w:tcPr>
          <w:p>
            <w:pPr>
              <w:spacing w:after="0"/>
              <w:rPr>
                <w:sz w:val="15"/>
                <w:szCs w:val="15"/>
                <w:color w:val="auto"/>
              </w:rPr>
            </w:pPr>
          </w:p>
        </w:tc>
        <w:tc>
          <w:tcPr>
            <w:tcW w:w="92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0"/>
              </w:rPr>
              <w:t>Interest</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83"/>
              </w:rPr>
              <w:t>Expense</w:t>
            </w:r>
          </w:p>
        </w:tc>
        <w:tc>
          <w:tcPr>
            <w:tcW w:w="340" w:type="dxa"/>
            <w:vAlign w:val="bottom"/>
          </w:tcPr>
          <w:p>
            <w:pPr>
              <w:spacing w:after="0"/>
              <w:rPr>
                <w:sz w:val="15"/>
                <w:szCs w:val="15"/>
                <w:color w:val="auto"/>
              </w:rPr>
            </w:pPr>
          </w:p>
        </w:tc>
        <w:tc>
          <w:tcPr>
            <w:tcW w:w="1160" w:type="dxa"/>
            <w:vAlign w:val="bottom"/>
            <w:gridSpan w:val="3"/>
          </w:tcPr>
          <w:p>
            <w:pPr>
              <w:jc w:val="right"/>
              <w:ind w:right="440"/>
              <w:spacing w:after="0"/>
              <w:rPr>
                <w:sz w:val="20"/>
                <w:szCs w:val="20"/>
                <w:color w:val="auto"/>
              </w:rPr>
            </w:pPr>
            <w:r>
              <w:rPr>
                <w:rFonts w:ascii="Arial" w:cs="Arial" w:eastAsia="Arial" w:hAnsi="Arial"/>
                <w:sz w:val="14"/>
                <w:szCs w:val="14"/>
                <w:b w:val="1"/>
                <w:bCs w:val="1"/>
                <w:color w:val="auto"/>
              </w:rPr>
              <w:t>&amp; Min. Int.</w:t>
            </w:r>
          </w:p>
        </w:tc>
        <w:tc>
          <w:tcPr>
            <w:tcW w:w="100" w:type="dxa"/>
            <w:vAlign w:val="bottom"/>
          </w:tcPr>
          <w:p>
            <w:pPr>
              <w:spacing w:after="0"/>
              <w:rPr>
                <w:sz w:val="15"/>
                <w:szCs w:val="15"/>
                <w:color w:val="auto"/>
              </w:rPr>
            </w:pPr>
          </w:p>
        </w:tc>
        <w:tc>
          <w:tcPr>
            <w:tcW w:w="720" w:type="dxa"/>
            <w:vAlign w:val="bottom"/>
            <w:gridSpan w:val="2"/>
          </w:tcPr>
          <w:p>
            <w:pPr>
              <w:ind w:left="20"/>
              <w:spacing w:after="0"/>
              <w:rPr>
                <w:sz w:val="20"/>
                <w:szCs w:val="20"/>
                <w:color w:val="auto"/>
              </w:rPr>
            </w:pPr>
            <w:r>
              <w:rPr>
                <w:rFonts w:ascii="Arial" w:cs="Arial" w:eastAsia="Arial" w:hAnsi="Arial"/>
                <w:sz w:val="14"/>
                <w:szCs w:val="14"/>
                <w:b w:val="1"/>
                <w:bCs w:val="1"/>
                <w:color w:val="auto"/>
              </w:rPr>
              <w:t>Assets</w:t>
            </w:r>
          </w:p>
        </w:tc>
        <w:tc>
          <w:tcPr>
            <w:tcW w:w="560" w:type="dxa"/>
            <w:vAlign w:val="bottom"/>
            <w:gridSpan w:val="2"/>
          </w:tcPr>
          <w:p>
            <w:pPr>
              <w:jc w:val="right"/>
              <w:spacing w:after="0"/>
              <w:rPr>
                <w:sz w:val="20"/>
                <w:szCs w:val="20"/>
                <w:color w:val="auto"/>
              </w:rPr>
            </w:pPr>
            <w:r>
              <w:rPr>
                <w:rFonts w:ascii="Arial" w:cs="Arial" w:eastAsia="Arial" w:hAnsi="Arial"/>
                <w:sz w:val="14"/>
                <w:szCs w:val="14"/>
                <w:b w:val="1"/>
                <w:bCs w:val="1"/>
                <w:color w:val="auto"/>
              </w:rPr>
              <w:t>Amortn.</w:t>
            </w: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96"/>
              </w:rPr>
              <w:t>Expenditure</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3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90" w:type="dxa"/>
            <w:vAlign w:val="bottom"/>
          </w:tcPr>
          <w:p>
            <w:pPr>
              <w:spacing w:after="0"/>
              <w:rPr>
                <w:sz w:val="8"/>
                <w:szCs w:val="8"/>
                <w:color w:val="auto"/>
              </w:rPr>
            </w:pPr>
          </w:p>
        </w:tc>
        <w:tc>
          <w:tcPr>
            <w:tcW w:w="63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5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OFS</w:t>
            </w: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90" w:type="dxa"/>
            <w:vAlign w:val="bottom"/>
            <w:shd w:val="clear" w:color="auto" w:fill="CCEEFF"/>
          </w:tcPr>
          <w:p>
            <w:pPr>
              <w:spacing w:after="0"/>
              <w:rPr>
                <w:sz w:val="12"/>
                <w:szCs w:val="12"/>
                <w:color w:val="auto"/>
              </w:rPr>
            </w:pPr>
          </w:p>
        </w:tc>
        <w:tc>
          <w:tcPr>
            <w:tcW w:w="63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tcPr>
          <w:p>
            <w:pPr>
              <w:ind w:left="320"/>
              <w:spacing w:after="0" w:line="149" w:lineRule="exact"/>
              <w:rPr>
                <w:sz w:val="20"/>
                <w:szCs w:val="20"/>
                <w:color w:val="auto"/>
              </w:rPr>
            </w:pPr>
            <w:r>
              <w:rPr>
                <w:rFonts w:ascii="Arial" w:cs="Arial" w:eastAsia="Arial" w:hAnsi="Arial"/>
                <w:sz w:val="14"/>
                <w:szCs w:val="14"/>
                <w:color w:val="auto"/>
              </w:rPr>
              <w:t>North America</w:t>
            </w:r>
          </w:p>
        </w:tc>
        <w:tc>
          <w:tcPr>
            <w:tcW w:w="120" w:type="dxa"/>
            <w:vAlign w:val="bottom"/>
          </w:tcPr>
          <w:p>
            <w:pPr>
              <w:jc w:val="right"/>
              <w:ind w:right="4"/>
              <w:spacing w:after="0"/>
              <w:rPr>
                <w:sz w:val="20"/>
                <w:szCs w:val="20"/>
                <w:color w:val="auto"/>
              </w:rPr>
            </w:pPr>
            <w:r>
              <w:rPr>
                <w:rFonts w:ascii="Arial" w:cs="Arial" w:eastAsia="Arial" w:hAnsi="Arial"/>
                <w:sz w:val="10"/>
                <w:szCs w:val="10"/>
                <w:color w:val="auto"/>
                <w:w w:val="71"/>
              </w:rPr>
              <w:t>$</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2,626</w:t>
            </w:r>
          </w:p>
        </w:tc>
        <w:tc>
          <w:tcPr>
            <w:tcW w:w="44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234</w:t>
            </w:r>
          </w:p>
        </w:tc>
        <w:tc>
          <w:tcPr>
            <w:tcW w:w="440" w:type="dxa"/>
            <w:vAlign w:val="bottom"/>
          </w:tcPr>
          <w:p>
            <w:pPr>
              <w:spacing w:after="0"/>
              <w:rPr>
                <w:sz w:val="12"/>
                <w:szCs w:val="12"/>
                <w:color w:val="auto"/>
              </w:rPr>
            </w:pPr>
          </w:p>
        </w:tc>
        <w:tc>
          <w:tcPr>
            <w:tcW w:w="10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92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1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w w:val="76"/>
              </w:rPr>
              <w:t>$</w:t>
            </w: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131</w:t>
            </w:r>
          </w:p>
        </w:tc>
        <w:tc>
          <w:tcPr>
            <w:tcW w:w="100" w:type="dxa"/>
            <w:vAlign w:val="bottom"/>
          </w:tcPr>
          <w:p>
            <w:pPr>
              <w:spacing w:after="0"/>
              <w:rPr>
                <w:sz w:val="12"/>
                <w:szCs w:val="12"/>
                <w:color w:val="auto"/>
              </w:rPr>
            </w:pPr>
          </w:p>
        </w:tc>
        <w:tc>
          <w:tcPr>
            <w:tcW w:w="43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30" w:type="dxa"/>
            <w:vAlign w:val="bottom"/>
          </w:tcPr>
          <w:p>
            <w:pPr>
              <w:jc w:val="right"/>
              <w:spacing w:after="0" w:line="149" w:lineRule="exact"/>
              <w:rPr>
                <w:sz w:val="20"/>
                <w:szCs w:val="20"/>
                <w:color w:val="auto"/>
              </w:rPr>
            </w:pPr>
            <w:r>
              <w:rPr>
                <w:rFonts w:ascii="Arial" w:cs="Arial" w:eastAsia="Arial" w:hAnsi="Arial"/>
                <w:sz w:val="14"/>
                <w:szCs w:val="14"/>
                <w:color w:val="auto"/>
              </w:rPr>
              <w:t>365</w:t>
            </w:r>
          </w:p>
        </w:tc>
        <w:tc>
          <w:tcPr>
            <w:tcW w:w="44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1,818</w:t>
            </w:r>
          </w:p>
        </w:tc>
        <w:tc>
          <w:tcPr>
            <w:tcW w:w="340" w:type="dxa"/>
            <w:vAlign w:val="bottom"/>
          </w:tcPr>
          <w:p>
            <w:pPr>
              <w:spacing w:after="0"/>
              <w:rPr>
                <w:sz w:val="12"/>
                <w:szCs w:val="12"/>
                <w:color w:val="auto"/>
              </w:rPr>
            </w:pP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265</w:t>
            </w:r>
          </w:p>
        </w:tc>
        <w:tc>
          <w:tcPr>
            <w:tcW w:w="4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140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Latin America</w:t>
            </w: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1,439</w:t>
            </w: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177</w:t>
            </w: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44</w:t>
            </w: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90" w:type="dxa"/>
            <w:vAlign w:val="bottom"/>
            <w:shd w:val="clear" w:color="auto" w:fill="CCEEFF"/>
          </w:tcPr>
          <w:p>
            <w:pPr>
              <w:spacing w:after="0"/>
              <w:rPr>
                <w:sz w:val="12"/>
                <w:szCs w:val="12"/>
                <w:color w:val="auto"/>
              </w:rPr>
            </w:pPr>
          </w:p>
        </w:tc>
        <w:tc>
          <w:tcPr>
            <w:tcW w:w="63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221</w:t>
            </w: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1,136</w:t>
            </w: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153</w:t>
            </w: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tcPr>
          <w:p>
            <w:pPr>
              <w:ind w:left="320"/>
              <w:spacing w:after="0" w:line="149" w:lineRule="exact"/>
              <w:rPr>
                <w:sz w:val="20"/>
                <w:szCs w:val="20"/>
                <w:color w:val="auto"/>
              </w:rPr>
            </w:pPr>
            <w:r>
              <w:rPr>
                <w:rFonts w:ascii="Arial" w:cs="Arial" w:eastAsia="Arial" w:hAnsi="Arial"/>
                <w:sz w:val="14"/>
                <w:szCs w:val="14"/>
                <w:color w:val="auto"/>
              </w:rPr>
              <w:t>Europe/CIS/W. Africa</w:t>
            </w:r>
          </w:p>
        </w:tc>
        <w:tc>
          <w:tcPr>
            <w:tcW w:w="12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2,605</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379</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81</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0" w:type="dxa"/>
            <w:vAlign w:val="bottom"/>
          </w:tcPr>
          <w:p>
            <w:pPr>
              <w:spacing w:after="0"/>
              <w:rPr>
                <w:sz w:val="12"/>
                <w:szCs w:val="12"/>
                <w:color w:val="auto"/>
              </w:rPr>
            </w:pPr>
          </w:p>
        </w:tc>
        <w:tc>
          <w:tcPr>
            <w:tcW w:w="630" w:type="dxa"/>
            <w:vAlign w:val="bottom"/>
          </w:tcPr>
          <w:p>
            <w:pPr>
              <w:jc w:val="right"/>
              <w:spacing w:after="0" w:line="149" w:lineRule="exact"/>
              <w:rPr>
                <w:sz w:val="20"/>
                <w:szCs w:val="20"/>
                <w:color w:val="auto"/>
              </w:rPr>
            </w:pPr>
            <w:r>
              <w:rPr>
                <w:rFonts w:ascii="Arial" w:cs="Arial" w:eastAsia="Arial" w:hAnsi="Arial"/>
                <w:sz w:val="14"/>
                <w:szCs w:val="14"/>
                <w:color w:val="auto"/>
              </w:rPr>
              <w:t>460</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1,644</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218</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167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Middle East &amp; Asia</w:t>
            </w: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2,090</w:t>
            </w: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451</w:t>
            </w: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58</w:t>
            </w: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90" w:type="dxa"/>
            <w:vAlign w:val="bottom"/>
            <w:shd w:val="clear" w:color="auto" w:fill="CCEEFF"/>
          </w:tcPr>
          <w:p>
            <w:pPr>
              <w:spacing w:after="0"/>
              <w:rPr>
                <w:sz w:val="12"/>
                <w:szCs w:val="12"/>
                <w:color w:val="auto"/>
              </w:rPr>
            </w:pPr>
          </w:p>
        </w:tc>
        <w:tc>
          <w:tcPr>
            <w:tcW w:w="63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509</w:t>
            </w: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1,443</w:t>
            </w: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206</w:t>
            </w: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540" w:type="dxa"/>
            <w:vAlign w:val="bottom"/>
          </w:tcPr>
          <w:p>
            <w:pPr>
              <w:ind w:left="320"/>
              <w:spacing w:after="0"/>
              <w:rPr>
                <w:sz w:val="20"/>
                <w:szCs w:val="20"/>
                <w:color w:val="auto"/>
              </w:rPr>
            </w:pPr>
            <w:r>
              <w:rPr>
                <w:rFonts w:ascii="Arial" w:cs="Arial" w:eastAsia="Arial" w:hAnsi="Arial"/>
                <w:sz w:val="14"/>
                <w:szCs w:val="14"/>
                <w:color w:val="auto"/>
              </w:rPr>
              <w:t>Elims/Other</w:t>
            </w:r>
          </w:p>
        </w:tc>
        <w:tc>
          <w:tcPr>
            <w:tcW w:w="12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63</w:t>
            </w: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3"/>
          </w:tcPr>
          <w:p>
            <w:pPr>
              <w:jc w:val="right"/>
              <w:ind w:right="400"/>
              <w:spacing w:after="0"/>
              <w:rPr>
                <w:sz w:val="20"/>
                <w:szCs w:val="20"/>
                <w:color w:val="auto"/>
              </w:rPr>
            </w:pPr>
            <w:r>
              <w:rPr>
                <w:rFonts w:ascii="Arial" w:cs="Arial" w:eastAsia="Arial" w:hAnsi="Arial"/>
                <w:sz w:val="14"/>
                <w:szCs w:val="14"/>
                <w:color w:val="auto"/>
              </w:rPr>
              <w:t>(47)</w:t>
            </w:r>
          </w:p>
        </w:tc>
        <w:tc>
          <w:tcPr>
            <w:tcW w:w="100" w:type="dxa"/>
            <w:vAlign w:val="bottom"/>
          </w:tcPr>
          <w:p>
            <w:pPr>
              <w:spacing w:after="0"/>
              <w:rPr>
                <w:sz w:val="14"/>
                <w:szCs w:val="14"/>
                <w:color w:val="auto"/>
              </w:rPr>
            </w:pPr>
          </w:p>
        </w:tc>
        <w:tc>
          <w:tcPr>
            <w:tcW w:w="920" w:type="dxa"/>
            <w:vAlign w:val="bottom"/>
            <w:gridSpan w:val="2"/>
          </w:tcPr>
          <w:p>
            <w:pPr>
              <w:jc w:val="right"/>
              <w:ind w:right="4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28</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 w:type="dxa"/>
            <w:vAlign w:val="bottom"/>
          </w:tcPr>
          <w:p>
            <w:pPr>
              <w:spacing w:after="0"/>
              <w:rPr>
                <w:sz w:val="14"/>
                <w:szCs w:val="14"/>
                <w:color w:val="auto"/>
              </w:rPr>
            </w:pPr>
          </w:p>
        </w:tc>
        <w:tc>
          <w:tcPr>
            <w:tcW w:w="1070" w:type="dxa"/>
            <w:vAlign w:val="bottom"/>
            <w:gridSpan w:val="2"/>
          </w:tcPr>
          <w:p>
            <w:pPr>
              <w:jc w:val="right"/>
              <w:ind w:right="400"/>
              <w:spacing w:after="0"/>
              <w:rPr>
                <w:sz w:val="20"/>
                <w:szCs w:val="20"/>
                <w:color w:val="auto"/>
              </w:rPr>
            </w:pPr>
            <w:r>
              <w:rPr>
                <w:rFonts w:ascii="Arial" w:cs="Arial" w:eastAsia="Arial" w:hAnsi="Arial"/>
                <w:sz w:val="14"/>
                <w:szCs w:val="14"/>
                <w:color w:val="auto"/>
              </w:rPr>
              <w:t>(19)</w:t>
            </w:r>
          </w:p>
        </w:tc>
        <w:tc>
          <w:tcPr>
            <w:tcW w:w="10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3,482</w:t>
            </w: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30</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114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354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44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44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4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90" w:type="dxa"/>
            <w:vAlign w:val="bottom"/>
            <w:tcBorders>
              <w:bottom w:val="single" w:sz="8" w:color="auto"/>
            </w:tcBorders>
          </w:tcPr>
          <w:p>
            <w:pPr>
              <w:spacing w:after="0"/>
              <w:rPr>
                <w:sz w:val="7"/>
                <w:szCs w:val="7"/>
                <w:color w:val="auto"/>
              </w:rPr>
            </w:pPr>
          </w:p>
        </w:tc>
        <w:tc>
          <w:tcPr>
            <w:tcW w:w="630" w:type="dxa"/>
            <w:vAlign w:val="bottom"/>
            <w:tcBorders>
              <w:bottom w:val="single" w:sz="8" w:color="auto"/>
            </w:tcBorders>
          </w:tcPr>
          <w:p>
            <w:pPr>
              <w:spacing w:after="0"/>
              <w:rPr>
                <w:sz w:val="7"/>
                <w:szCs w:val="7"/>
                <w:color w:val="auto"/>
              </w:rPr>
            </w:pPr>
          </w:p>
        </w:tc>
        <w:tc>
          <w:tcPr>
            <w:tcW w:w="44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34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90" w:type="dxa"/>
            <w:vAlign w:val="bottom"/>
          </w:tcPr>
          <w:p>
            <w:pPr>
              <w:spacing w:after="0"/>
              <w:rPr>
                <w:sz w:val="8"/>
                <w:szCs w:val="8"/>
                <w:color w:val="auto"/>
              </w:rPr>
            </w:pPr>
          </w:p>
        </w:tc>
        <w:tc>
          <w:tcPr>
            <w:tcW w:w="63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8,823</w:t>
            </w: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1,194</w:t>
            </w: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342</w:t>
            </w: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90" w:type="dxa"/>
            <w:vAlign w:val="bottom"/>
            <w:shd w:val="clear" w:color="auto" w:fill="CCEEFF"/>
          </w:tcPr>
          <w:p>
            <w:pPr>
              <w:spacing w:after="0"/>
              <w:rPr>
                <w:sz w:val="12"/>
                <w:szCs w:val="12"/>
                <w:color w:val="auto"/>
              </w:rPr>
            </w:pPr>
          </w:p>
        </w:tc>
        <w:tc>
          <w:tcPr>
            <w:tcW w:w="63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1,536</w:t>
            </w: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9,523</w:t>
            </w: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872</w:t>
            </w: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769</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54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90" w:type="dxa"/>
            <w:vAlign w:val="bottom"/>
            <w:tcBorders>
              <w:bottom w:val="single" w:sz="8" w:color="auto"/>
            </w:tcBorders>
          </w:tcPr>
          <w:p>
            <w:pPr>
              <w:spacing w:after="0"/>
              <w:rPr>
                <w:sz w:val="9"/>
                <w:szCs w:val="9"/>
                <w:color w:val="auto"/>
              </w:rPr>
            </w:pPr>
          </w:p>
        </w:tc>
        <w:tc>
          <w:tcPr>
            <w:tcW w:w="63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90" w:type="dxa"/>
            <w:vAlign w:val="bottom"/>
          </w:tcPr>
          <w:p>
            <w:pPr>
              <w:spacing w:after="0"/>
              <w:rPr>
                <w:sz w:val="8"/>
                <w:szCs w:val="8"/>
                <w:color w:val="auto"/>
              </w:rPr>
            </w:pPr>
          </w:p>
        </w:tc>
        <w:tc>
          <w:tcPr>
            <w:tcW w:w="63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5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WESTERNGECO</w:t>
            </w: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1,183</w:t>
            </w: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gridSpan w:val="3"/>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(17)</w:t>
            </w: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(7)</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90" w:type="dxa"/>
            <w:vAlign w:val="bottom"/>
            <w:shd w:val="clear" w:color="auto" w:fill="CCEEFF"/>
          </w:tcPr>
          <w:p>
            <w:pPr>
              <w:spacing w:after="0"/>
              <w:rPr>
                <w:sz w:val="12"/>
                <w:szCs w:val="12"/>
                <w:color w:val="auto"/>
              </w:rPr>
            </w:pPr>
          </w:p>
        </w:tc>
        <w:tc>
          <w:tcPr>
            <w:tcW w:w="107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(20)</w:t>
            </w: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1,644</w:t>
            </w: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442</w:t>
            </w: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240</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54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90" w:type="dxa"/>
            <w:vAlign w:val="bottom"/>
            <w:tcBorders>
              <w:bottom w:val="single" w:sz="8" w:color="auto"/>
            </w:tcBorders>
          </w:tcPr>
          <w:p>
            <w:pPr>
              <w:spacing w:after="0"/>
              <w:rPr>
                <w:sz w:val="9"/>
                <w:szCs w:val="9"/>
                <w:color w:val="auto"/>
              </w:rPr>
            </w:pPr>
          </w:p>
        </w:tc>
        <w:tc>
          <w:tcPr>
            <w:tcW w:w="63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90" w:type="dxa"/>
            <w:vAlign w:val="bottom"/>
          </w:tcPr>
          <w:p>
            <w:pPr>
              <w:spacing w:after="0"/>
              <w:rPr>
                <w:sz w:val="8"/>
                <w:szCs w:val="8"/>
                <w:color w:val="auto"/>
              </w:rPr>
            </w:pPr>
          </w:p>
        </w:tc>
        <w:tc>
          <w:tcPr>
            <w:tcW w:w="63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5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SLSEMA</w:t>
            </w: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90" w:type="dxa"/>
            <w:vAlign w:val="bottom"/>
            <w:shd w:val="clear" w:color="auto" w:fill="CCEEFF"/>
          </w:tcPr>
          <w:p>
            <w:pPr>
              <w:spacing w:after="0"/>
              <w:rPr>
                <w:sz w:val="12"/>
                <w:szCs w:val="12"/>
                <w:color w:val="auto"/>
              </w:rPr>
            </w:pPr>
          </w:p>
        </w:tc>
        <w:tc>
          <w:tcPr>
            <w:tcW w:w="63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tcPr>
          <w:p>
            <w:pPr>
              <w:ind w:left="320"/>
              <w:spacing w:after="0" w:line="149" w:lineRule="exact"/>
              <w:rPr>
                <w:sz w:val="20"/>
                <w:szCs w:val="20"/>
                <w:color w:val="auto"/>
              </w:rPr>
            </w:pPr>
            <w:r>
              <w:rPr>
                <w:rFonts w:ascii="Arial" w:cs="Arial" w:eastAsia="Arial" w:hAnsi="Arial"/>
                <w:sz w:val="14"/>
                <w:szCs w:val="14"/>
                <w:color w:val="auto"/>
              </w:rPr>
              <w:t>North &amp; South America</w:t>
            </w:r>
          </w:p>
        </w:tc>
        <w:tc>
          <w:tcPr>
            <w:tcW w:w="12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350</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1</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0" w:type="dxa"/>
            <w:vAlign w:val="bottom"/>
          </w:tcPr>
          <w:p>
            <w:pPr>
              <w:spacing w:after="0"/>
              <w:rPr>
                <w:sz w:val="12"/>
                <w:szCs w:val="12"/>
                <w:color w:val="auto"/>
              </w:rPr>
            </w:pPr>
          </w:p>
        </w:tc>
        <w:tc>
          <w:tcPr>
            <w:tcW w:w="630" w:type="dxa"/>
            <w:vAlign w:val="bottom"/>
          </w:tcPr>
          <w:p>
            <w:pPr>
              <w:jc w:val="right"/>
              <w:spacing w:after="0" w:line="149" w:lineRule="exact"/>
              <w:rPr>
                <w:sz w:val="20"/>
                <w:szCs w:val="20"/>
                <w:color w:val="auto"/>
              </w:rPr>
            </w:pPr>
            <w:r>
              <w:rPr>
                <w:rFonts w:ascii="Arial" w:cs="Arial" w:eastAsia="Arial" w:hAnsi="Arial"/>
                <w:sz w:val="14"/>
                <w:szCs w:val="14"/>
                <w:color w:val="auto"/>
              </w:rPr>
              <w:t>3</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535</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41</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27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Europe/M. East/Africa</w:t>
            </w: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2,194</w:t>
            </w: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30</w:t>
            </w: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w:t>
            </w:r>
          </w:p>
        </w:tc>
        <w:tc>
          <w:tcPr>
            <w:tcW w:w="4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w:t>
            </w: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90" w:type="dxa"/>
            <w:vAlign w:val="bottom"/>
            <w:shd w:val="clear" w:color="auto" w:fill="CCEEFF"/>
          </w:tcPr>
          <w:p>
            <w:pPr>
              <w:spacing w:after="0"/>
              <w:rPr>
                <w:sz w:val="12"/>
                <w:szCs w:val="12"/>
                <w:color w:val="auto"/>
              </w:rPr>
            </w:pPr>
          </w:p>
        </w:tc>
        <w:tc>
          <w:tcPr>
            <w:tcW w:w="63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45</w:t>
            </w: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2,256</w:t>
            </w: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64</w:t>
            </w: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tcPr>
          <w:p>
            <w:pPr>
              <w:ind w:left="320"/>
              <w:spacing w:after="0" w:line="149" w:lineRule="exact"/>
              <w:rPr>
                <w:sz w:val="20"/>
                <w:szCs w:val="20"/>
                <w:color w:val="auto"/>
              </w:rPr>
            </w:pPr>
            <w:r>
              <w:rPr>
                <w:rFonts w:ascii="Arial" w:cs="Arial" w:eastAsia="Arial" w:hAnsi="Arial"/>
                <w:sz w:val="14"/>
                <w:szCs w:val="14"/>
                <w:color w:val="auto"/>
              </w:rPr>
              <w:t>Asia</w:t>
            </w:r>
          </w:p>
        </w:tc>
        <w:tc>
          <w:tcPr>
            <w:tcW w:w="12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144</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29</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5</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0" w:type="dxa"/>
            <w:vAlign w:val="bottom"/>
          </w:tcPr>
          <w:p>
            <w:pPr>
              <w:spacing w:after="0"/>
              <w:rPr>
                <w:sz w:val="12"/>
                <w:szCs w:val="12"/>
                <w:color w:val="auto"/>
              </w:rPr>
            </w:pPr>
          </w:p>
        </w:tc>
        <w:tc>
          <w:tcPr>
            <w:tcW w:w="630" w:type="dxa"/>
            <w:vAlign w:val="bottom"/>
          </w:tcPr>
          <w:p>
            <w:pPr>
              <w:jc w:val="right"/>
              <w:spacing w:after="0" w:line="149" w:lineRule="exact"/>
              <w:rPr>
                <w:sz w:val="20"/>
                <w:szCs w:val="20"/>
                <w:color w:val="auto"/>
              </w:rPr>
            </w:pPr>
            <w:r>
              <w:rPr>
                <w:rFonts w:ascii="Arial" w:cs="Arial" w:eastAsia="Arial" w:hAnsi="Arial"/>
                <w:sz w:val="14"/>
                <w:szCs w:val="14"/>
                <w:color w:val="auto"/>
              </w:rPr>
              <w:t>34</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367</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22</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17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Elims/Other</w:t>
            </w: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(11)</w:t>
            </w:r>
          </w:p>
        </w:tc>
        <w:tc>
          <w:tcPr>
            <w:tcW w:w="80" w:type="dxa"/>
            <w:vAlign w:val="bottom"/>
            <w:shd w:val="clear" w:color="auto" w:fill="CCEEFF"/>
          </w:tcPr>
          <w:p>
            <w:pPr>
              <w:spacing w:after="0"/>
              <w:rPr>
                <w:sz w:val="12"/>
                <w:szCs w:val="12"/>
                <w:color w:val="auto"/>
              </w:rPr>
            </w:pPr>
          </w:p>
        </w:tc>
        <w:tc>
          <w:tcPr>
            <w:tcW w:w="940" w:type="dxa"/>
            <w:vAlign w:val="bottom"/>
            <w:gridSpan w:val="3"/>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(23)</w:t>
            </w: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90" w:type="dxa"/>
            <w:vAlign w:val="bottom"/>
            <w:shd w:val="clear" w:color="auto" w:fill="CCEEFF"/>
          </w:tcPr>
          <w:p>
            <w:pPr>
              <w:spacing w:after="0"/>
              <w:rPr>
                <w:sz w:val="12"/>
                <w:szCs w:val="12"/>
                <w:color w:val="auto"/>
              </w:rPr>
            </w:pPr>
          </w:p>
        </w:tc>
        <w:tc>
          <w:tcPr>
            <w:tcW w:w="107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(21)</w:t>
            </w: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80</w:t>
            </w: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w:t>
            </w: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54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90" w:type="dxa"/>
            <w:vAlign w:val="bottom"/>
            <w:tcBorders>
              <w:bottom w:val="single" w:sz="8" w:color="auto"/>
            </w:tcBorders>
          </w:tcPr>
          <w:p>
            <w:pPr>
              <w:spacing w:after="0"/>
              <w:rPr>
                <w:sz w:val="9"/>
                <w:szCs w:val="9"/>
                <w:color w:val="auto"/>
              </w:rPr>
            </w:pPr>
          </w:p>
        </w:tc>
        <w:tc>
          <w:tcPr>
            <w:tcW w:w="63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90" w:type="dxa"/>
            <w:vAlign w:val="bottom"/>
          </w:tcPr>
          <w:p>
            <w:pPr>
              <w:spacing w:after="0"/>
              <w:rPr>
                <w:sz w:val="8"/>
                <w:szCs w:val="8"/>
                <w:color w:val="auto"/>
              </w:rPr>
            </w:pPr>
          </w:p>
        </w:tc>
        <w:tc>
          <w:tcPr>
            <w:tcW w:w="63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2,677</w:t>
            </w: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38</w:t>
            </w: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w:t>
            </w:r>
          </w:p>
        </w:tc>
        <w:tc>
          <w:tcPr>
            <w:tcW w:w="4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w:t>
            </w: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90" w:type="dxa"/>
            <w:vAlign w:val="bottom"/>
            <w:shd w:val="clear" w:color="auto" w:fill="CCEEFF"/>
          </w:tcPr>
          <w:p>
            <w:pPr>
              <w:spacing w:after="0"/>
              <w:rPr>
                <w:sz w:val="12"/>
                <w:szCs w:val="12"/>
                <w:color w:val="auto"/>
              </w:rPr>
            </w:pPr>
          </w:p>
        </w:tc>
        <w:tc>
          <w:tcPr>
            <w:tcW w:w="63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61</w:t>
            </w: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3,238</w:t>
            </w: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144</w:t>
            </w: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95</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54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90" w:type="dxa"/>
            <w:vAlign w:val="bottom"/>
            <w:tcBorders>
              <w:bottom w:val="single" w:sz="8" w:color="auto"/>
            </w:tcBorders>
          </w:tcPr>
          <w:p>
            <w:pPr>
              <w:spacing w:after="0"/>
              <w:rPr>
                <w:sz w:val="9"/>
                <w:szCs w:val="9"/>
                <w:color w:val="auto"/>
              </w:rPr>
            </w:pPr>
          </w:p>
        </w:tc>
        <w:tc>
          <w:tcPr>
            <w:tcW w:w="63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90" w:type="dxa"/>
            <w:vAlign w:val="bottom"/>
          </w:tcPr>
          <w:p>
            <w:pPr>
              <w:spacing w:after="0"/>
              <w:rPr>
                <w:sz w:val="8"/>
                <w:szCs w:val="8"/>
                <w:color w:val="auto"/>
              </w:rPr>
            </w:pPr>
          </w:p>
        </w:tc>
        <w:tc>
          <w:tcPr>
            <w:tcW w:w="63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5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OTHER</w:t>
            </w: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1,480</w:t>
            </w: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72</w:t>
            </w: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w:t>
            </w: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90" w:type="dxa"/>
            <w:vAlign w:val="bottom"/>
            <w:shd w:val="clear" w:color="auto" w:fill="CCEEFF"/>
          </w:tcPr>
          <w:p>
            <w:pPr>
              <w:spacing w:after="0"/>
              <w:rPr>
                <w:sz w:val="12"/>
                <w:szCs w:val="12"/>
                <w:color w:val="auto"/>
              </w:rPr>
            </w:pPr>
          </w:p>
        </w:tc>
        <w:tc>
          <w:tcPr>
            <w:tcW w:w="63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109</w:t>
            </w: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1,498</w:t>
            </w: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87</w:t>
            </w: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59</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540" w:type="dxa"/>
            <w:vAlign w:val="bottom"/>
          </w:tcPr>
          <w:p>
            <w:pPr>
              <w:spacing w:after="0"/>
              <w:rPr>
                <w:sz w:val="20"/>
                <w:szCs w:val="20"/>
                <w:color w:val="auto"/>
              </w:rPr>
            </w:pPr>
            <w:r>
              <w:rPr>
                <w:rFonts w:ascii="Arial" w:cs="Arial" w:eastAsia="Arial" w:hAnsi="Arial"/>
                <w:sz w:val="14"/>
                <w:szCs w:val="14"/>
                <w:color w:val="auto"/>
              </w:rPr>
              <w:t>Corporate eliminations &amp; Other</w:t>
            </w:r>
          </w:p>
        </w:tc>
        <w:tc>
          <w:tcPr>
            <w:tcW w:w="120" w:type="dxa"/>
            <w:vAlign w:val="bottom"/>
          </w:tcPr>
          <w:p>
            <w:pPr>
              <w:spacing w:after="0"/>
              <w:rPr>
                <w:sz w:val="14"/>
                <w:szCs w:val="14"/>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4"/>
                <w:szCs w:val="14"/>
                <w:color w:val="auto"/>
              </w:rPr>
              <w:t>(270)</w:t>
            </w:r>
          </w:p>
        </w:tc>
        <w:tc>
          <w:tcPr>
            <w:tcW w:w="80" w:type="dxa"/>
            <w:vAlign w:val="bottom"/>
          </w:tcPr>
          <w:p>
            <w:pPr>
              <w:spacing w:after="0"/>
              <w:rPr>
                <w:sz w:val="14"/>
                <w:szCs w:val="14"/>
                <w:color w:val="auto"/>
              </w:rPr>
            </w:pPr>
          </w:p>
        </w:tc>
        <w:tc>
          <w:tcPr>
            <w:tcW w:w="500" w:type="dxa"/>
            <w:vAlign w:val="bottom"/>
            <w:gridSpan w:val="2"/>
          </w:tcPr>
          <w:p>
            <w:pPr>
              <w:jc w:val="right"/>
              <w:spacing w:after="0"/>
              <w:rPr>
                <w:sz w:val="20"/>
                <w:szCs w:val="20"/>
                <w:color w:val="auto"/>
              </w:rPr>
            </w:pPr>
            <w:r>
              <w:rPr>
                <w:rFonts w:ascii="Arial" w:cs="Arial" w:eastAsia="Arial" w:hAnsi="Arial"/>
                <w:sz w:val="14"/>
                <w:szCs w:val="14"/>
                <w:color w:val="auto"/>
              </w:rPr>
              <w:t>104</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4"/>
                <w:szCs w:val="14"/>
                <w:color w:val="auto"/>
              </w:rPr>
              <w:t>(108)</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4"/>
                <w:szCs w:val="14"/>
                <w:color w:val="auto"/>
              </w:rPr>
              <w:t>(196)</w:t>
            </w:r>
          </w:p>
        </w:tc>
        <w:tc>
          <w:tcPr>
            <w:tcW w:w="340" w:type="dxa"/>
            <w:vAlign w:val="bottom"/>
          </w:tcPr>
          <w:p>
            <w:pPr>
              <w:spacing w:after="0"/>
              <w:rPr>
                <w:sz w:val="14"/>
                <w:szCs w:val="14"/>
                <w:color w:val="auto"/>
              </w:rPr>
            </w:pPr>
          </w:p>
        </w:tc>
        <w:tc>
          <w:tcPr>
            <w:tcW w:w="90" w:type="dxa"/>
            <w:vAlign w:val="bottom"/>
          </w:tcPr>
          <w:p>
            <w:pPr>
              <w:spacing w:after="0"/>
              <w:rPr>
                <w:sz w:val="14"/>
                <w:szCs w:val="14"/>
                <w:color w:val="auto"/>
              </w:rPr>
            </w:pPr>
          </w:p>
        </w:tc>
        <w:tc>
          <w:tcPr>
            <w:tcW w:w="1070" w:type="dxa"/>
            <w:vAlign w:val="bottom"/>
            <w:gridSpan w:val="2"/>
          </w:tcPr>
          <w:p>
            <w:pPr>
              <w:jc w:val="right"/>
              <w:ind w:right="400"/>
              <w:spacing w:after="0"/>
              <w:rPr>
                <w:sz w:val="20"/>
                <w:szCs w:val="20"/>
                <w:color w:val="auto"/>
              </w:rPr>
            </w:pPr>
            <w:r>
              <w:rPr>
                <w:rFonts w:ascii="Arial" w:cs="Arial" w:eastAsia="Arial" w:hAnsi="Arial"/>
                <w:sz w:val="14"/>
                <w:szCs w:val="14"/>
                <w:color w:val="auto"/>
              </w:rPr>
              <w:t>(200)</w:t>
            </w:r>
          </w:p>
        </w:tc>
        <w:tc>
          <w:tcPr>
            <w:tcW w:w="10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4,138</w:t>
            </w: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26</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354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44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44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4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90" w:type="dxa"/>
            <w:vAlign w:val="bottom"/>
          </w:tcPr>
          <w:p>
            <w:pPr>
              <w:spacing w:after="0"/>
              <w:rPr>
                <w:sz w:val="7"/>
                <w:szCs w:val="7"/>
                <w:color w:val="auto"/>
              </w:rPr>
            </w:pPr>
          </w:p>
        </w:tc>
        <w:tc>
          <w:tcPr>
            <w:tcW w:w="630" w:type="dxa"/>
            <w:vAlign w:val="bottom"/>
          </w:tcPr>
          <w:p>
            <w:pPr>
              <w:spacing w:after="0"/>
              <w:rPr>
                <w:sz w:val="7"/>
                <w:szCs w:val="7"/>
                <w:color w:val="auto"/>
              </w:rPr>
            </w:pPr>
          </w:p>
        </w:tc>
        <w:tc>
          <w:tcPr>
            <w:tcW w:w="44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34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90" w:type="dxa"/>
            <w:vAlign w:val="bottom"/>
          </w:tcPr>
          <w:p>
            <w:pPr>
              <w:spacing w:after="0"/>
              <w:rPr>
                <w:sz w:val="8"/>
                <w:szCs w:val="8"/>
                <w:color w:val="auto"/>
              </w:rPr>
            </w:pPr>
          </w:p>
        </w:tc>
        <w:tc>
          <w:tcPr>
            <w:tcW w:w="63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4"/>
              <w:spacing w:after="0"/>
              <w:rPr>
                <w:sz w:val="20"/>
                <w:szCs w:val="20"/>
                <w:color w:val="auto"/>
              </w:rPr>
            </w:pPr>
            <w:r>
              <w:rPr>
                <w:rFonts w:ascii="Arial" w:cs="Arial" w:eastAsia="Arial" w:hAnsi="Arial"/>
                <w:sz w:val="10"/>
                <w:szCs w:val="10"/>
                <w:color w:val="auto"/>
                <w:w w:val="71"/>
              </w:rPr>
              <w:t>$</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13,893</w:t>
            </w: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1,391</w:t>
            </w: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92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(114)</w:t>
            </w:r>
          </w:p>
        </w:tc>
        <w:tc>
          <w:tcPr>
            <w:tcW w:w="1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76"/>
              </w:rPr>
              <w:t>$</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209</w:t>
            </w: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90" w:type="dxa"/>
            <w:vAlign w:val="bottom"/>
            <w:shd w:val="clear" w:color="auto" w:fill="CCEEFF"/>
          </w:tcPr>
          <w:p>
            <w:pPr>
              <w:spacing w:after="0"/>
              <w:rPr>
                <w:sz w:val="12"/>
                <w:szCs w:val="12"/>
                <w:color w:val="auto"/>
              </w:rPr>
            </w:pPr>
          </w:p>
        </w:tc>
        <w:tc>
          <w:tcPr>
            <w:tcW w:w="63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20,041</w:t>
            </w: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1,571</w:t>
            </w:r>
          </w:p>
        </w:tc>
        <w:tc>
          <w:tcPr>
            <w:tcW w:w="4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1,175</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5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 w:type="dxa"/>
            <w:vAlign w:val="bottom"/>
          </w:tcPr>
          <w:p>
            <w:pPr>
              <w:spacing w:after="0"/>
              <w:rPr>
                <w:sz w:val="11"/>
                <w:szCs w:val="11"/>
                <w:color w:val="auto"/>
              </w:rPr>
            </w:pPr>
          </w:p>
        </w:tc>
        <w:tc>
          <w:tcPr>
            <w:tcW w:w="63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90" w:type="dxa"/>
            <w:vAlign w:val="bottom"/>
          </w:tcPr>
          <w:p>
            <w:pPr>
              <w:spacing w:after="0"/>
              <w:rPr>
                <w:sz w:val="9"/>
                <w:szCs w:val="9"/>
                <w:color w:val="auto"/>
              </w:rPr>
            </w:pPr>
          </w:p>
        </w:tc>
        <w:tc>
          <w:tcPr>
            <w:tcW w:w="63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5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Interest Income</w:t>
            </w: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90" w:type="dxa"/>
            <w:vAlign w:val="bottom"/>
            <w:shd w:val="clear" w:color="auto" w:fill="CCEEFF"/>
          </w:tcPr>
          <w:p>
            <w:pPr>
              <w:spacing w:after="0"/>
              <w:rPr>
                <w:sz w:val="12"/>
                <w:szCs w:val="12"/>
                <w:color w:val="auto"/>
              </w:rPr>
            </w:pPr>
          </w:p>
        </w:tc>
        <w:tc>
          <w:tcPr>
            <w:tcW w:w="63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49</w:t>
            </w: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tcPr>
          <w:p>
            <w:pPr>
              <w:spacing w:after="0" w:line="149" w:lineRule="exact"/>
              <w:rPr>
                <w:sz w:val="20"/>
                <w:szCs w:val="20"/>
                <w:color w:val="auto"/>
              </w:rPr>
            </w:pPr>
            <w:r>
              <w:rPr>
                <w:rFonts w:ascii="Arial" w:cs="Arial" w:eastAsia="Arial" w:hAnsi="Arial"/>
                <w:sz w:val="14"/>
                <w:szCs w:val="14"/>
                <w:color w:val="auto"/>
              </w:rPr>
              <w:t>Interest Expense</w:t>
            </w: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0" w:type="dxa"/>
            <w:vAlign w:val="bottom"/>
          </w:tcPr>
          <w:p>
            <w:pPr>
              <w:spacing w:after="0"/>
              <w:rPr>
                <w:sz w:val="12"/>
                <w:szCs w:val="12"/>
                <w:color w:val="auto"/>
              </w:rPr>
            </w:pPr>
          </w:p>
        </w:tc>
        <w:tc>
          <w:tcPr>
            <w:tcW w:w="107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(329)</w:t>
            </w: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Charges</w:t>
            </w: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90" w:type="dxa"/>
            <w:vAlign w:val="bottom"/>
            <w:shd w:val="clear" w:color="auto" w:fill="CCEEFF"/>
          </w:tcPr>
          <w:p>
            <w:pPr>
              <w:spacing w:after="0"/>
              <w:rPr>
                <w:sz w:val="12"/>
                <w:szCs w:val="12"/>
                <w:color w:val="auto"/>
              </w:rPr>
            </w:pPr>
          </w:p>
        </w:tc>
        <w:tc>
          <w:tcPr>
            <w:tcW w:w="107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(638)</w:t>
            </w: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90" w:type="dxa"/>
            <w:vAlign w:val="bottom"/>
            <w:tcBorders>
              <w:bottom w:val="single" w:sz="8" w:color="auto"/>
            </w:tcBorders>
          </w:tcPr>
          <w:p>
            <w:pPr>
              <w:spacing w:after="0"/>
              <w:rPr>
                <w:sz w:val="9"/>
                <w:szCs w:val="9"/>
                <w:color w:val="auto"/>
              </w:rPr>
            </w:pPr>
          </w:p>
        </w:tc>
        <w:tc>
          <w:tcPr>
            <w:tcW w:w="63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90" w:type="dxa"/>
            <w:vAlign w:val="bottom"/>
          </w:tcPr>
          <w:p>
            <w:pPr>
              <w:spacing w:after="0"/>
              <w:rPr>
                <w:sz w:val="8"/>
                <w:szCs w:val="8"/>
                <w:color w:val="auto"/>
              </w:rPr>
            </w:pPr>
          </w:p>
        </w:tc>
        <w:tc>
          <w:tcPr>
            <w:tcW w:w="63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3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3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568</w:t>
            </w: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3560" w:type="dxa"/>
            <w:vAlign w:val="bottom"/>
            <w:gridSpan w:val="2"/>
            <w:vMerge w:val="restart"/>
          </w:tcPr>
          <w:p>
            <w:pPr>
              <w:spacing w:after="0"/>
              <w:rPr>
                <w:sz w:val="20"/>
                <w:szCs w:val="20"/>
                <w:color w:val="auto"/>
              </w:rPr>
            </w:pPr>
            <w:r>
              <w:rPr>
                <w:rFonts w:ascii="Arial" w:cs="Arial" w:eastAsia="Arial" w:hAnsi="Arial"/>
                <w:sz w:val="14"/>
                <w:szCs w:val="14"/>
                <w:color w:val="auto"/>
              </w:rPr>
              <w:t>61 / SLB</w:t>
            </w: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 w:type="dxa"/>
            <w:vAlign w:val="bottom"/>
            <w:tcBorders>
              <w:bottom w:val="single" w:sz="8" w:color="auto"/>
            </w:tcBorders>
          </w:tcPr>
          <w:p>
            <w:pPr>
              <w:spacing w:after="0"/>
              <w:rPr>
                <w:sz w:val="11"/>
                <w:szCs w:val="11"/>
                <w:color w:val="auto"/>
              </w:rPr>
            </w:pPr>
          </w:p>
        </w:tc>
        <w:tc>
          <w:tcPr>
            <w:tcW w:w="63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60" w:type="dxa"/>
            <w:vAlign w:val="bottom"/>
            <w:gridSpan w:val="4"/>
            <w:vMerge w:val="restart"/>
          </w:tcPr>
          <w:p>
            <w:pPr>
              <w:jc w:val="right"/>
              <w:ind w:right="20"/>
              <w:spacing w:after="0"/>
              <w:rPr>
                <w:sz w:val="20"/>
                <w:szCs w:val="20"/>
                <w:color w:val="auto"/>
              </w:rPr>
            </w:pPr>
            <w:r>
              <w:rPr>
                <w:rFonts w:ascii="Arial" w:cs="Arial" w:eastAsia="Arial" w:hAnsi="Arial"/>
                <w:sz w:val="14"/>
                <w:szCs w:val="14"/>
                <w:color w:val="auto"/>
              </w:rPr>
              <w:t>2003 FORM 10-K</w:t>
            </w:r>
          </w:p>
        </w:tc>
        <w:tc>
          <w:tcPr>
            <w:tcW w:w="0" w:type="dxa"/>
            <w:vAlign w:val="bottom"/>
          </w:tcPr>
          <w:p>
            <w:pPr>
              <w:spacing w:after="0"/>
              <w:rPr>
                <w:sz w:val="1"/>
                <w:szCs w:val="1"/>
                <w:color w:val="auto"/>
              </w:rPr>
            </w:pPr>
          </w:p>
        </w:tc>
      </w:tr>
      <w:tr>
        <w:trPr>
          <w:trHeight w:val="415"/>
        </w:trPr>
        <w:tc>
          <w:tcPr>
            <w:tcW w:w="356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 w:type="dxa"/>
            <w:vAlign w:val="bottom"/>
          </w:tcPr>
          <w:p>
            <w:pPr>
              <w:spacing w:after="0"/>
              <w:rPr>
                <w:sz w:val="24"/>
                <w:szCs w:val="24"/>
                <w:color w:val="auto"/>
              </w:rPr>
            </w:pPr>
          </w:p>
        </w:tc>
        <w:tc>
          <w:tcPr>
            <w:tcW w:w="63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60" w:type="dxa"/>
            <w:vAlign w:val="bottom"/>
            <w:gridSpan w:val="4"/>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2258695</wp:posOffset>
            </wp:positionH>
            <wp:positionV relativeFrom="paragraph">
              <wp:posOffset>-978535</wp:posOffset>
            </wp:positionV>
            <wp:extent cx="12700" cy="2984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2318385</wp:posOffset>
            </wp:positionH>
            <wp:positionV relativeFrom="paragraph">
              <wp:posOffset>-978535</wp:posOffset>
            </wp:positionV>
            <wp:extent cx="21590" cy="2984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2601595</wp:posOffset>
            </wp:positionH>
            <wp:positionV relativeFrom="paragraph">
              <wp:posOffset>-978535</wp:posOffset>
            </wp:positionV>
            <wp:extent cx="38735" cy="2984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2893060</wp:posOffset>
            </wp:positionH>
            <wp:positionV relativeFrom="paragraph">
              <wp:posOffset>-978535</wp:posOffset>
            </wp:positionV>
            <wp:extent cx="398780" cy="2984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398780" cy="29845"/>
                    </a:xfrm>
                    <a:prstGeom prst="rect">
                      <a:avLst/>
                    </a:prstGeom>
                    <a:noFill/>
                  </pic:spPr>
                </pic:pic>
              </a:graphicData>
            </a:graphic>
          </wp:anchor>
        </w:drawing>
        <w:drawing>
          <wp:anchor simplePos="0" relativeHeight="251657728" behindDoc="1" locked="0" layoutInCell="0" allowOverlap="1">
            <wp:simplePos x="0" y="0"/>
            <wp:positionH relativeFrom="column">
              <wp:posOffset>3544570</wp:posOffset>
            </wp:positionH>
            <wp:positionV relativeFrom="paragraph">
              <wp:posOffset>-978535</wp:posOffset>
            </wp:positionV>
            <wp:extent cx="12700" cy="2984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3604895</wp:posOffset>
            </wp:positionH>
            <wp:positionV relativeFrom="paragraph">
              <wp:posOffset>-978535</wp:posOffset>
            </wp:positionV>
            <wp:extent cx="21590" cy="2984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-978535</wp:posOffset>
            </wp:positionV>
            <wp:extent cx="38735" cy="2984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-978535</wp:posOffset>
            </wp:positionV>
            <wp:extent cx="12700" cy="2984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4256405</wp:posOffset>
            </wp:positionH>
            <wp:positionV relativeFrom="paragraph">
              <wp:posOffset>-978535</wp:posOffset>
            </wp:positionV>
            <wp:extent cx="21590" cy="2984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-978535</wp:posOffset>
            </wp:positionV>
            <wp:extent cx="38735" cy="2984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5586095</wp:posOffset>
            </wp:positionH>
            <wp:positionV relativeFrom="paragraph">
              <wp:posOffset>-978535</wp:posOffset>
            </wp:positionV>
            <wp:extent cx="12700" cy="2984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-978535</wp:posOffset>
            </wp:positionV>
            <wp:extent cx="12700" cy="2984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-978535</wp:posOffset>
            </wp:positionV>
            <wp:extent cx="21590" cy="2984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6109335</wp:posOffset>
            </wp:positionH>
            <wp:positionV relativeFrom="paragraph">
              <wp:posOffset>-978535</wp:posOffset>
            </wp:positionV>
            <wp:extent cx="12700" cy="2984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6452235</wp:posOffset>
            </wp:positionH>
            <wp:positionV relativeFrom="paragraph">
              <wp:posOffset>-978535</wp:posOffset>
            </wp:positionV>
            <wp:extent cx="12700" cy="2984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6169025</wp:posOffset>
            </wp:positionH>
            <wp:positionV relativeFrom="paragraph">
              <wp:posOffset>-978535</wp:posOffset>
            </wp:positionV>
            <wp:extent cx="21590" cy="2984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6675120</wp:posOffset>
            </wp:positionH>
            <wp:positionV relativeFrom="paragraph">
              <wp:posOffset>-978535</wp:posOffset>
            </wp:positionV>
            <wp:extent cx="578485" cy="2984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578485" cy="29845"/>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-292735</wp:posOffset>
            </wp:positionV>
            <wp:extent cx="12700" cy="2984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-292735</wp:posOffset>
            </wp:positionV>
            <wp:extent cx="21590" cy="2984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5294630</wp:posOffset>
            </wp:positionH>
            <wp:positionV relativeFrom="paragraph">
              <wp:posOffset>-292735</wp:posOffset>
            </wp:positionV>
            <wp:extent cx="38735" cy="2984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4"/>
          <w:szCs w:val="14"/>
          <w:color w:val="auto"/>
        </w:rPr>
        <w:t>Part II, Item 8</w:t>
      </w:r>
    </w:p>
    <w:p>
      <w:pPr>
        <w:spacing w:after="0" w:line="13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46620" cy="889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gridSpan w:val="2"/>
          </w:tcPr>
          <w:p>
            <w:pPr>
              <w:jc w:val="right"/>
              <w:spacing w:after="0"/>
              <w:rPr>
                <w:sz w:val="20"/>
                <w:szCs w:val="20"/>
                <w:color w:val="auto"/>
              </w:rPr>
            </w:pPr>
            <w:r>
              <w:rPr>
                <w:rFonts w:ascii="Arial" w:cs="Arial" w:eastAsia="Arial" w:hAnsi="Arial"/>
                <w:sz w:val="14"/>
                <w:szCs w:val="14"/>
                <w:b w:val="1"/>
                <w:bCs w:val="1"/>
                <w:color w:val="auto"/>
                <w:w w:val="96"/>
              </w:rPr>
              <w:t>2002</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5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4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w w:val="89"/>
              </w:rPr>
              <w:t>Income</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Income</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4"/>
          </w:tcPr>
          <w:p>
            <w:pPr>
              <w:jc w:val="right"/>
              <w:ind w:right="380"/>
              <w:spacing w:after="0" w:line="149" w:lineRule="exact"/>
              <w:rPr>
                <w:sz w:val="20"/>
                <w:szCs w:val="20"/>
                <w:color w:val="auto"/>
              </w:rPr>
            </w:pPr>
            <w:r>
              <w:rPr>
                <w:rFonts w:ascii="Arial" w:cs="Arial" w:eastAsia="Arial" w:hAnsi="Arial"/>
                <w:sz w:val="14"/>
                <w:szCs w:val="14"/>
                <w:b w:val="1"/>
                <w:bCs w:val="1"/>
                <w:color w:val="auto"/>
                <w:w w:val="88"/>
              </w:rPr>
              <w:t>after tax</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3"/>
          </w:tcPr>
          <w:p>
            <w:pPr>
              <w:jc w:val="right"/>
              <w:ind w:right="440"/>
              <w:spacing w:after="0" w:line="149" w:lineRule="exact"/>
              <w:rPr>
                <w:sz w:val="20"/>
                <w:szCs w:val="20"/>
                <w:color w:val="auto"/>
              </w:rPr>
            </w:pPr>
            <w:r>
              <w:rPr>
                <w:rFonts w:ascii="Arial" w:cs="Arial" w:eastAsia="Arial" w:hAnsi="Arial"/>
                <w:sz w:val="14"/>
                <w:szCs w:val="14"/>
                <w:b w:val="1"/>
                <w:bCs w:val="1"/>
                <w:color w:val="auto"/>
                <w:w w:val="83"/>
              </w:rPr>
              <w:t>before tax</w:t>
            </w: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gridSpan w:val="3"/>
          </w:tcPr>
          <w:p>
            <w:pPr>
              <w:jc w:val="right"/>
              <w:ind w:right="380"/>
              <w:spacing w:after="0" w:line="149" w:lineRule="exact"/>
              <w:rPr>
                <w:sz w:val="20"/>
                <w:szCs w:val="20"/>
                <w:color w:val="auto"/>
              </w:rPr>
            </w:pPr>
            <w:r>
              <w:rPr>
                <w:rFonts w:ascii="Arial" w:cs="Arial" w:eastAsia="Arial" w:hAnsi="Arial"/>
                <w:sz w:val="14"/>
                <w:szCs w:val="14"/>
                <w:b w:val="1"/>
                <w:bCs w:val="1"/>
                <w:color w:val="auto"/>
              </w:rPr>
              <w:t>&amp; Min.</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40" w:type="dxa"/>
            <w:vAlign w:val="bottom"/>
            <w:gridSpan w:val="4"/>
          </w:tcPr>
          <w:p>
            <w:pPr>
              <w:jc w:val="right"/>
              <w:ind w:right="360"/>
              <w:spacing w:after="0" w:line="149" w:lineRule="exact"/>
              <w:rPr>
                <w:sz w:val="20"/>
                <w:szCs w:val="20"/>
                <w:color w:val="auto"/>
              </w:rPr>
            </w:pPr>
            <w:r>
              <w:rPr>
                <w:rFonts w:ascii="Arial" w:cs="Arial" w:eastAsia="Arial" w:hAnsi="Arial"/>
                <w:sz w:val="14"/>
                <w:szCs w:val="14"/>
                <w:b w:val="1"/>
                <w:bCs w:val="1"/>
                <w:color w:val="auto"/>
              </w:rPr>
              <w:t>Minority</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3"/>
          </w:tcPr>
          <w:p>
            <w:pPr>
              <w:jc w:val="right"/>
              <w:ind w:right="80"/>
              <w:spacing w:after="0" w:line="149" w:lineRule="exact"/>
              <w:rPr>
                <w:sz w:val="20"/>
                <w:szCs w:val="20"/>
                <w:color w:val="auto"/>
              </w:rPr>
            </w:pPr>
            <w:r>
              <w:rPr>
                <w:rFonts w:ascii="Arial" w:cs="Arial" w:eastAsia="Arial" w:hAnsi="Arial"/>
                <w:sz w:val="14"/>
                <w:szCs w:val="14"/>
                <w:b w:val="1"/>
                <w:bCs w:val="1"/>
                <w:color w:val="auto"/>
              </w:rPr>
              <w:t>Tax</w:t>
            </w: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80" w:type="dxa"/>
            <w:vAlign w:val="bottom"/>
            <w:gridSpan w:val="2"/>
          </w:tcPr>
          <w:p>
            <w:pPr>
              <w:jc w:val="right"/>
              <w:ind w:right="440"/>
              <w:spacing w:after="0" w:line="149" w:lineRule="exact"/>
              <w:rPr>
                <w:sz w:val="20"/>
                <w:szCs w:val="20"/>
                <w:color w:val="auto"/>
              </w:rPr>
            </w:pPr>
            <w:r>
              <w:rPr>
                <w:rFonts w:ascii="Arial" w:cs="Arial" w:eastAsia="Arial" w:hAnsi="Arial"/>
                <w:sz w:val="14"/>
                <w:szCs w:val="14"/>
                <w:b w:val="1"/>
                <w:bCs w:val="1"/>
                <w:color w:val="auto"/>
              </w:rPr>
              <w:t>&amp; Min.</w:t>
            </w: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340"/>
              <w:spacing w:after="0" w:line="149" w:lineRule="exact"/>
              <w:rPr>
                <w:sz w:val="20"/>
                <w:szCs w:val="20"/>
                <w:color w:val="auto"/>
              </w:rPr>
            </w:pPr>
            <w:r>
              <w:rPr>
                <w:rFonts w:ascii="Arial" w:cs="Arial" w:eastAsia="Arial" w:hAnsi="Arial"/>
                <w:sz w:val="14"/>
                <w:szCs w:val="14"/>
                <w:b w:val="1"/>
                <w:bCs w:val="1"/>
                <w:color w:val="auto"/>
                <w:w w:val="86"/>
              </w:rPr>
              <w:t>Depn. &amp;</w:t>
            </w:r>
          </w:p>
        </w:tc>
        <w:tc>
          <w:tcPr>
            <w:tcW w:w="120" w:type="dxa"/>
            <w:vAlign w:val="bottom"/>
          </w:tcPr>
          <w:p>
            <w:pPr>
              <w:spacing w:after="0"/>
              <w:rPr>
                <w:sz w:val="12"/>
                <w:szCs w:val="12"/>
                <w:color w:val="auto"/>
              </w:rPr>
            </w:pPr>
          </w:p>
        </w:tc>
        <w:tc>
          <w:tcPr>
            <w:tcW w:w="800" w:type="dxa"/>
            <w:vAlign w:val="bottom"/>
            <w:gridSpan w:val="2"/>
          </w:tcPr>
          <w:p>
            <w:pPr>
              <w:jc w:val="right"/>
              <w:ind w:right="20"/>
              <w:spacing w:after="0" w:line="149" w:lineRule="exact"/>
              <w:rPr>
                <w:sz w:val="20"/>
                <w:szCs w:val="20"/>
                <w:color w:val="auto"/>
              </w:rPr>
            </w:pPr>
            <w:r>
              <w:rPr>
                <w:rFonts w:ascii="Arial" w:cs="Arial" w:eastAsia="Arial" w:hAnsi="Arial"/>
                <w:sz w:val="14"/>
                <w:szCs w:val="14"/>
                <w:b w:val="1"/>
                <w:bCs w:val="1"/>
                <w:color w:val="auto"/>
              </w:rPr>
              <w:t>Capital</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gridSpan w:val="4"/>
          </w:tcPr>
          <w:p>
            <w:pPr>
              <w:jc w:val="right"/>
              <w:ind w:right="360"/>
              <w:spacing w:after="0"/>
              <w:rPr>
                <w:sz w:val="20"/>
                <w:szCs w:val="20"/>
                <w:color w:val="auto"/>
              </w:rPr>
            </w:pPr>
            <w:r>
              <w:rPr>
                <w:rFonts w:ascii="Arial" w:cs="Arial" w:eastAsia="Arial" w:hAnsi="Arial"/>
                <w:sz w:val="14"/>
                <w:szCs w:val="14"/>
                <w:b w:val="1"/>
                <w:bCs w:val="1"/>
                <w:color w:val="auto"/>
                <w:w w:val="92"/>
              </w:rPr>
              <w:t>Revenue</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4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rPr>
              <w:t>Int.</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8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w w:val="98"/>
              </w:rPr>
              <w:t>Interest</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w w:val="83"/>
              </w:rPr>
              <w:t>Expense</w:t>
            </w: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Int.</w:t>
            </w:r>
          </w:p>
        </w:tc>
        <w:tc>
          <w:tcPr>
            <w:tcW w:w="100" w:type="dxa"/>
            <w:vAlign w:val="bottom"/>
          </w:tcPr>
          <w:p>
            <w:pPr>
              <w:spacing w:after="0"/>
              <w:rPr>
                <w:sz w:val="15"/>
                <w:szCs w:val="15"/>
                <w:color w:val="auto"/>
              </w:rPr>
            </w:pPr>
          </w:p>
        </w:tc>
        <w:tc>
          <w:tcPr>
            <w:tcW w:w="720" w:type="dxa"/>
            <w:vAlign w:val="bottom"/>
            <w:gridSpan w:val="2"/>
          </w:tcPr>
          <w:p>
            <w:pPr>
              <w:ind w:left="20"/>
              <w:spacing w:after="0"/>
              <w:rPr>
                <w:sz w:val="20"/>
                <w:szCs w:val="20"/>
                <w:color w:val="auto"/>
              </w:rPr>
            </w:pPr>
            <w:r>
              <w:rPr>
                <w:rFonts w:ascii="Arial" w:cs="Arial" w:eastAsia="Arial" w:hAnsi="Arial"/>
                <w:sz w:val="14"/>
                <w:szCs w:val="14"/>
                <w:b w:val="1"/>
                <w:bCs w:val="1"/>
                <w:color w:val="auto"/>
              </w:rPr>
              <w:t>Assets</w:t>
            </w:r>
          </w:p>
        </w:tc>
        <w:tc>
          <w:tcPr>
            <w:tcW w:w="90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rPr>
              <w:t>Amortn.</w:t>
            </w:r>
          </w:p>
        </w:tc>
        <w:tc>
          <w:tcPr>
            <w:tcW w:w="120" w:type="dxa"/>
            <w:vAlign w:val="bottom"/>
          </w:tcPr>
          <w:p>
            <w:pPr>
              <w:spacing w:after="0"/>
              <w:rPr>
                <w:sz w:val="15"/>
                <w:szCs w:val="15"/>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93"/>
              </w:rPr>
              <w:t>Expenditure</w:t>
            </w:r>
          </w:p>
        </w:tc>
        <w:tc>
          <w:tcPr>
            <w:tcW w:w="0" w:type="dxa"/>
            <w:vAlign w:val="bottom"/>
          </w:tcPr>
          <w:p>
            <w:pPr>
              <w:spacing w:after="0"/>
              <w:rPr>
                <w:sz w:val="1"/>
                <w:szCs w:val="1"/>
                <w:color w:val="auto"/>
              </w:rPr>
            </w:pPr>
          </w:p>
        </w:tc>
      </w:tr>
      <w:tr>
        <w:trPr>
          <w:trHeight w:val="41"/>
        </w:trPr>
        <w:tc>
          <w:tcPr>
            <w:tcW w:w="20" w:type="dxa"/>
            <w:vAlign w:val="bottom"/>
            <w:vMerge w:val="restart"/>
          </w:tcPr>
          <w:p>
            <w:pPr>
              <w:spacing w:after="0"/>
              <w:rPr>
                <w:sz w:val="3"/>
                <w:szCs w:val="3"/>
                <w:color w:val="auto"/>
              </w:rPr>
            </w:pPr>
          </w:p>
        </w:tc>
        <w:tc>
          <w:tcPr>
            <w:tcW w:w="3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400" w:type="dxa"/>
            <w:vAlign w:val="bottom"/>
          </w:tcPr>
          <w:p>
            <w:pPr>
              <w:spacing w:after="0"/>
              <w:rPr>
                <w:sz w:val="3"/>
                <w:szCs w:val="3"/>
                <w:color w:val="auto"/>
              </w:rPr>
            </w:pPr>
          </w:p>
        </w:tc>
        <w:tc>
          <w:tcPr>
            <w:tcW w:w="60" w:type="dxa"/>
            <w:vAlign w:val="bottom"/>
          </w:tcPr>
          <w:p>
            <w:pPr>
              <w:spacing w:after="0"/>
              <w:rPr>
                <w:sz w:val="3"/>
                <w:szCs w:val="3"/>
                <w:color w:val="auto"/>
              </w:rPr>
            </w:pPr>
          </w:p>
        </w:tc>
        <w:tc>
          <w:tcPr>
            <w:tcW w:w="38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44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54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7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5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OFS</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tcPr>
          <w:p>
            <w:pPr>
              <w:ind w:left="320"/>
              <w:spacing w:after="0" w:line="149" w:lineRule="exact"/>
              <w:rPr>
                <w:sz w:val="20"/>
                <w:szCs w:val="20"/>
                <w:color w:val="auto"/>
              </w:rPr>
            </w:pPr>
            <w:r>
              <w:rPr>
                <w:rFonts w:ascii="Arial" w:cs="Arial" w:eastAsia="Arial" w:hAnsi="Arial"/>
                <w:sz w:val="14"/>
                <w:szCs w:val="14"/>
                <w:color w:val="auto"/>
              </w:rPr>
              <w:t>North America</w:t>
            </w:r>
          </w:p>
        </w:tc>
        <w:tc>
          <w:tcPr>
            <w:tcW w:w="1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4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2,308</w:t>
            </w:r>
          </w:p>
        </w:tc>
        <w:tc>
          <w:tcPr>
            <w:tcW w:w="360" w:type="dxa"/>
            <w:vAlign w:val="bottom"/>
          </w:tcPr>
          <w:p>
            <w:pPr>
              <w:spacing w:after="0"/>
              <w:rPr>
                <w:sz w:val="12"/>
                <w:szCs w:val="12"/>
                <w:color w:val="auto"/>
              </w:rPr>
            </w:pPr>
          </w:p>
        </w:tc>
        <w:tc>
          <w:tcPr>
            <w:tcW w:w="1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4"/>
          </w:tcPr>
          <w:p>
            <w:pPr>
              <w:jc w:val="right"/>
              <w:ind w:right="380"/>
              <w:spacing w:after="0" w:line="149" w:lineRule="exact"/>
              <w:rPr>
                <w:sz w:val="20"/>
                <w:szCs w:val="20"/>
                <w:color w:val="auto"/>
              </w:rPr>
            </w:pPr>
            <w:r>
              <w:rPr>
                <w:rFonts w:ascii="Arial" w:cs="Arial" w:eastAsia="Arial" w:hAnsi="Arial"/>
                <w:sz w:val="14"/>
                <w:szCs w:val="14"/>
                <w:color w:val="auto"/>
              </w:rPr>
              <w:t>174</w:t>
            </w:r>
          </w:p>
        </w:tc>
        <w:tc>
          <w:tcPr>
            <w:tcW w:w="140" w:type="dxa"/>
            <w:vAlign w:val="bottom"/>
            <w:gridSpan w:val="3"/>
          </w:tcPr>
          <w:p>
            <w:pPr>
              <w:ind w:left="80"/>
              <w:spacing w:after="0"/>
              <w:rPr>
                <w:sz w:val="20"/>
                <w:szCs w:val="20"/>
                <w:color w:val="auto"/>
              </w:rPr>
            </w:pPr>
            <w:r>
              <w:rPr>
                <w:rFonts w:ascii="Arial" w:cs="Arial" w:eastAsia="Arial" w:hAnsi="Arial"/>
                <w:sz w:val="10"/>
                <w:szCs w:val="10"/>
                <w:color w:val="auto"/>
                <w:w w:val="71"/>
              </w:rPr>
              <w:t>$</w:t>
            </w:r>
          </w:p>
        </w:tc>
        <w:tc>
          <w:tcPr>
            <w:tcW w:w="880" w:type="dxa"/>
            <w:vAlign w:val="bottom"/>
            <w:gridSpan w:val="3"/>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16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w:t>
            </w:r>
          </w:p>
        </w:tc>
        <w:tc>
          <w:tcPr>
            <w:tcW w:w="5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100</w:t>
            </w:r>
          </w:p>
        </w:tc>
        <w:tc>
          <w:tcPr>
            <w:tcW w:w="80" w:type="dxa"/>
            <w:vAlign w:val="bottom"/>
          </w:tcPr>
          <w:p>
            <w:pPr>
              <w:spacing w:after="0"/>
              <w:rPr>
                <w:sz w:val="12"/>
                <w:szCs w:val="12"/>
                <w:color w:val="auto"/>
              </w:rPr>
            </w:pPr>
          </w:p>
        </w:tc>
        <w:tc>
          <w:tcPr>
            <w:tcW w:w="44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w:t>
            </w:r>
          </w:p>
        </w:tc>
        <w:tc>
          <w:tcPr>
            <w:tcW w:w="5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274</w:t>
            </w:r>
          </w:p>
        </w:tc>
        <w:tc>
          <w:tcPr>
            <w:tcW w:w="44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1,866</w:t>
            </w:r>
          </w:p>
        </w:tc>
        <w:tc>
          <w:tcPr>
            <w:tcW w:w="340" w:type="dxa"/>
            <w:vAlign w:val="bottom"/>
          </w:tcPr>
          <w:p>
            <w:pPr>
              <w:spacing w:after="0"/>
              <w:rPr>
                <w:sz w:val="12"/>
                <w:szCs w:val="12"/>
                <w:color w:val="auto"/>
              </w:rPr>
            </w:pP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280</w:t>
            </w:r>
          </w:p>
        </w:tc>
        <w:tc>
          <w:tcPr>
            <w:tcW w:w="340" w:type="dxa"/>
            <w:vAlign w:val="bottom"/>
          </w:tcPr>
          <w:p>
            <w:pPr>
              <w:spacing w:after="0"/>
              <w:rPr>
                <w:sz w:val="12"/>
                <w:szCs w:val="12"/>
                <w:color w:val="auto"/>
              </w:rPr>
            </w:pP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197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Latin America</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1,318</w:t>
            </w:r>
          </w:p>
        </w:tc>
        <w:tc>
          <w:tcPr>
            <w:tcW w:w="3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gridSpan w:val="4"/>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143</w:t>
            </w: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gridSpan w:val="3"/>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26</w:t>
            </w: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169</w:t>
            </w: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1,143</w:t>
            </w: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157</w:t>
            </w: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tcPr>
          <w:p>
            <w:pPr>
              <w:ind w:left="320"/>
              <w:spacing w:after="0" w:line="149" w:lineRule="exact"/>
              <w:rPr>
                <w:sz w:val="20"/>
                <w:szCs w:val="20"/>
                <w:color w:val="auto"/>
              </w:rPr>
            </w:pPr>
            <w:r>
              <w:rPr>
                <w:rFonts w:ascii="Arial" w:cs="Arial" w:eastAsia="Arial" w:hAnsi="Arial"/>
                <w:sz w:val="14"/>
                <w:szCs w:val="14"/>
                <w:color w:val="auto"/>
              </w:rPr>
              <w:t>Europe/CIS/W. Africa</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2,496</w:t>
            </w: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4"/>
          </w:tcPr>
          <w:p>
            <w:pPr>
              <w:jc w:val="right"/>
              <w:ind w:right="380"/>
              <w:spacing w:after="0" w:line="149" w:lineRule="exact"/>
              <w:rPr>
                <w:sz w:val="20"/>
                <w:szCs w:val="20"/>
                <w:color w:val="auto"/>
              </w:rPr>
            </w:pPr>
            <w:r>
              <w:rPr>
                <w:rFonts w:ascii="Arial" w:cs="Arial" w:eastAsia="Arial" w:hAnsi="Arial"/>
                <w:sz w:val="14"/>
                <w:szCs w:val="14"/>
                <w:color w:val="auto"/>
              </w:rPr>
              <w:t>305</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gridSpan w:val="3"/>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78</w:t>
            </w: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383</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1,629</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215</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285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Middle East &amp; Asia</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1,916</w:t>
            </w:r>
          </w:p>
        </w:tc>
        <w:tc>
          <w:tcPr>
            <w:tcW w:w="3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gridSpan w:val="4"/>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402</w:t>
            </w: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gridSpan w:val="3"/>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50</w:t>
            </w: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452</w:t>
            </w: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1,396</w:t>
            </w: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198</w:t>
            </w: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540" w:type="dxa"/>
            <w:vAlign w:val="bottom"/>
          </w:tcPr>
          <w:p>
            <w:pPr>
              <w:ind w:left="320"/>
              <w:spacing w:after="0"/>
              <w:rPr>
                <w:sz w:val="20"/>
                <w:szCs w:val="20"/>
                <w:color w:val="auto"/>
              </w:rPr>
            </w:pPr>
            <w:r>
              <w:rPr>
                <w:rFonts w:ascii="Arial" w:cs="Arial" w:eastAsia="Arial" w:hAnsi="Arial"/>
                <w:sz w:val="14"/>
                <w:szCs w:val="14"/>
                <w:color w:val="auto"/>
              </w:rPr>
              <w:t>Elims/Other</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gridSpan w:val="2"/>
          </w:tcPr>
          <w:p>
            <w:pPr>
              <w:jc w:val="right"/>
              <w:spacing w:after="0"/>
              <w:rPr>
                <w:sz w:val="20"/>
                <w:szCs w:val="20"/>
                <w:color w:val="auto"/>
              </w:rPr>
            </w:pPr>
            <w:r>
              <w:rPr>
                <w:rFonts w:ascii="Arial" w:cs="Arial" w:eastAsia="Arial" w:hAnsi="Arial"/>
                <w:sz w:val="14"/>
                <w:szCs w:val="14"/>
                <w:color w:val="auto"/>
              </w:rPr>
              <w:t>133</w:t>
            </w: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4"/>
          </w:tcPr>
          <w:p>
            <w:pPr>
              <w:jc w:val="right"/>
              <w:ind w:right="320"/>
              <w:spacing w:after="0"/>
              <w:rPr>
                <w:sz w:val="20"/>
                <w:szCs w:val="20"/>
                <w:color w:val="auto"/>
              </w:rPr>
            </w:pPr>
            <w:r>
              <w:rPr>
                <w:rFonts w:ascii="Arial" w:cs="Arial" w:eastAsia="Arial" w:hAnsi="Arial"/>
                <w:sz w:val="14"/>
                <w:szCs w:val="14"/>
                <w:color w:val="auto"/>
              </w:rPr>
              <w:t>(26)</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80" w:type="dxa"/>
            <w:vAlign w:val="bottom"/>
            <w:gridSpan w:val="3"/>
          </w:tcPr>
          <w:p>
            <w:pPr>
              <w:jc w:val="right"/>
              <w:ind w:right="3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gridSpan w:val="2"/>
          </w:tcPr>
          <w:p>
            <w:pPr>
              <w:jc w:val="right"/>
              <w:spacing w:after="0"/>
              <w:rPr>
                <w:sz w:val="20"/>
                <w:szCs w:val="20"/>
                <w:color w:val="auto"/>
              </w:rPr>
            </w:pPr>
            <w:r>
              <w:rPr>
                <w:rFonts w:ascii="Arial" w:cs="Arial" w:eastAsia="Arial" w:hAnsi="Arial"/>
                <w:sz w:val="14"/>
                <w:szCs w:val="14"/>
                <w:color w:val="auto"/>
              </w:rPr>
              <w:t>26</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3,195</w:t>
            </w: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21</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93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354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36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38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36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44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5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8,171</w:t>
            </w:r>
          </w:p>
        </w:tc>
        <w:tc>
          <w:tcPr>
            <w:tcW w:w="3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gridSpan w:val="4"/>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998</w:t>
            </w: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gridSpan w:val="3"/>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280</w:t>
            </w: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1,278</w:t>
            </w: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9,229</w:t>
            </w: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871</w:t>
            </w: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971</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54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5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5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WESTERNGECO</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1,476</w:t>
            </w:r>
          </w:p>
        </w:tc>
        <w:tc>
          <w:tcPr>
            <w:tcW w:w="3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gridSpan w:val="4"/>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4</w:t>
            </w: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w:t>
            </w:r>
          </w:p>
        </w:tc>
        <w:tc>
          <w:tcPr>
            <w:tcW w:w="3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66</w:t>
            </w: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71</w:t>
            </w: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2,324</w:t>
            </w: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388</w:t>
            </w: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515</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54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5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5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SLSEMA</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tcPr>
          <w:p>
            <w:pPr>
              <w:ind w:left="320"/>
              <w:spacing w:after="0" w:line="149" w:lineRule="exact"/>
              <w:rPr>
                <w:sz w:val="20"/>
                <w:szCs w:val="20"/>
                <w:color w:val="auto"/>
              </w:rPr>
            </w:pPr>
            <w:r>
              <w:rPr>
                <w:rFonts w:ascii="Arial" w:cs="Arial" w:eastAsia="Arial" w:hAnsi="Arial"/>
                <w:sz w:val="14"/>
                <w:szCs w:val="14"/>
                <w:color w:val="auto"/>
              </w:rPr>
              <w:t>North &amp; South America</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356</w:t>
            </w: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4"/>
          </w:tcPr>
          <w:p>
            <w:pPr>
              <w:jc w:val="right"/>
              <w:ind w:right="320"/>
              <w:spacing w:after="0" w:line="149" w:lineRule="exact"/>
              <w:rPr>
                <w:sz w:val="20"/>
                <w:szCs w:val="20"/>
                <w:color w:val="auto"/>
              </w:rPr>
            </w:pPr>
            <w:r>
              <w:rPr>
                <w:rFonts w:ascii="Arial" w:cs="Arial" w:eastAsia="Arial" w:hAnsi="Arial"/>
                <w:sz w:val="14"/>
                <w:szCs w:val="14"/>
                <w:color w:val="auto"/>
              </w:rPr>
              <w:t>(36)</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gridSpan w:val="3"/>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(18)</w:t>
            </w: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3"/>
          </w:tcPr>
          <w:p>
            <w:pPr>
              <w:jc w:val="right"/>
              <w:ind w:right="400"/>
              <w:spacing w:after="0" w:line="149" w:lineRule="exact"/>
              <w:rPr>
                <w:sz w:val="20"/>
                <w:szCs w:val="20"/>
                <w:color w:val="auto"/>
              </w:rPr>
            </w:pPr>
            <w:r>
              <w:rPr>
                <w:rFonts w:ascii="Arial" w:cs="Arial" w:eastAsia="Arial" w:hAnsi="Arial"/>
                <w:sz w:val="14"/>
                <w:szCs w:val="14"/>
                <w:color w:val="auto"/>
              </w:rPr>
              <w:t>(54)</w:t>
            </w:r>
          </w:p>
        </w:tc>
        <w:tc>
          <w:tcPr>
            <w:tcW w:w="10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525</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31</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61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Europe/M. East/Africa</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1,927</w:t>
            </w:r>
          </w:p>
        </w:tc>
        <w:tc>
          <w:tcPr>
            <w:tcW w:w="3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gridSpan w:val="4"/>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93</w:t>
            </w: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w:t>
            </w:r>
          </w:p>
        </w:tc>
        <w:tc>
          <w:tcPr>
            <w:tcW w:w="3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37</w:t>
            </w: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132</w:t>
            </w: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2,263</w:t>
            </w: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64</w:t>
            </w: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tcPr>
          <w:p>
            <w:pPr>
              <w:ind w:left="320"/>
              <w:spacing w:after="0" w:line="149" w:lineRule="exact"/>
              <w:rPr>
                <w:sz w:val="20"/>
                <w:szCs w:val="20"/>
                <w:color w:val="auto"/>
              </w:rPr>
            </w:pPr>
            <w:r>
              <w:rPr>
                <w:rFonts w:ascii="Arial" w:cs="Arial" w:eastAsia="Arial" w:hAnsi="Arial"/>
                <w:sz w:val="14"/>
                <w:szCs w:val="14"/>
                <w:color w:val="auto"/>
              </w:rPr>
              <w:t>Asia</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150</w:t>
            </w: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4"/>
          </w:tcPr>
          <w:p>
            <w:pPr>
              <w:jc w:val="right"/>
              <w:ind w:right="320"/>
              <w:spacing w:after="0" w:line="149" w:lineRule="exact"/>
              <w:rPr>
                <w:sz w:val="20"/>
                <w:szCs w:val="20"/>
                <w:color w:val="auto"/>
              </w:rPr>
            </w:pPr>
            <w:r>
              <w:rPr>
                <w:rFonts w:ascii="Arial" w:cs="Arial" w:eastAsia="Arial" w:hAnsi="Arial"/>
                <w:sz w:val="14"/>
                <w:szCs w:val="14"/>
                <w:color w:val="auto"/>
              </w:rPr>
              <w:t>(1)</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gridSpan w:val="3"/>
          </w:tcPr>
          <w:p>
            <w:pPr>
              <w:jc w:val="right"/>
              <w:ind w:right="320"/>
              <w:spacing w:after="0" w:line="149" w:lineRule="exact"/>
              <w:rPr>
                <w:sz w:val="20"/>
                <w:szCs w:val="20"/>
                <w:color w:val="auto"/>
              </w:rPr>
            </w:pPr>
            <w:r>
              <w:rPr>
                <w:rFonts w:ascii="Arial" w:cs="Arial" w:eastAsia="Arial" w:hAnsi="Arial"/>
                <w:sz w:val="14"/>
                <w:szCs w:val="14"/>
                <w:color w:val="auto"/>
              </w:rPr>
              <w:t>(1)</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w:t>
            </w: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8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341</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22</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Elims/Other</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gridSpan w:val="3"/>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(24)</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gridSpan w:val="4"/>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(47)</w:t>
            </w: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gridSpan w:val="3"/>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(14)</w:t>
            </w:r>
          </w:p>
        </w:tc>
        <w:tc>
          <w:tcPr>
            <w:tcW w:w="3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20" w:type="dxa"/>
            <w:vAlign w:val="bottom"/>
            <w:gridSpan w:val="3"/>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(61)</w:t>
            </w: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344</w:t>
            </w: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w:t>
            </w: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54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5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2,409</w:t>
            </w:r>
          </w:p>
        </w:tc>
        <w:tc>
          <w:tcPr>
            <w:tcW w:w="3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gridSpan w:val="4"/>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9</w:t>
            </w: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w:t>
            </w:r>
          </w:p>
        </w:tc>
        <w:tc>
          <w:tcPr>
            <w:tcW w:w="3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w:t>
            </w: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17</w:t>
            </w: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3,473</w:t>
            </w: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118</w:t>
            </w: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120</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54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5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5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OTHER</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1,334</w:t>
            </w:r>
          </w:p>
        </w:tc>
        <w:tc>
          <w:tcPr>
            <w:tcW w:w="3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gridSpan w:val="4"/>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11</w:t>
            </w: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w:t>
            </w:r>
          </w:p>
        </w:tc>
        <w:tc>
          <w:tcPr>
            <w:tcW w:w="3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w:t>
            </w: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18</w:t>
            </w: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1,386</w:t>
            </w: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68</w:t>
            </w: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68</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540" w:type="dxa"/>
            <w:vAlign w:val="bottom"/>
          </w:tcPr>
          <w:p>
            <w:pPr>
              <w:spacing w:after="0"/>
              <w:rPr>
                <w:sz w:val="20"/>
                <w:szCs w:val="20"/>
                <w:color w:val="auto"/>
              </w:rPr>
            </w:pPr>
            <w:r>
              <w:rPr>
                <w:rFonts w:ascii="Arial" w:cs="Arial" w:eastAsia="Arial" w:hAnsi="Arial"/>
                <w:sz w:val="14"/>
                <w:szCs w:val="14"/>
                <w:color w:val="auto"/>
              </w:rPr>
              <w:t>Corporate eliminations &amp; Other</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3"/>
          </w:tcPr>
          <w:p>
            <w:pPr>
              <w:jc w:val="right"/>
              <w:ind w:right="320"/>
              <w:spacing w:after="0"/>
              <w:rPr>
                <w:sz w:val="20"/>
                <w:szCs w:val="20"/>
                <w:color w:val="auto"/>
              </w:rPr>
            </w:pPr>
            <w:r>
              <w:rPr>
                <w:rFonts w:ascii="Arial" w:cs="Arial" w:eastAsia="Arial" w:hAnsi="Arial"/>
                <w:sz w:val="14"/>
                <w:szCs w:val="14"/>
                <w:color w:val="auto"/>
              </w:rPr>
              <w:t>(272)</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4"/>
          </w:tcPr>
          <w:p>
            <w:pPr>
              <w:jc w:val="right"/>
              <w:ind w:right="380"/>
              <w:spacing w:after="0"/>
              <w:rPr>
                <w:sz w:val="20"/>
                <w:szCs w:val="20"/>
                <w:color w:val="auto"/>
              </w:rPr>
            </w:pPr>
            <w:r>
              <w:rPr>
                <w:rFonts w:ascii="Arial" w:cs="Arial" w:eastAsia="Arial" w:hAnsi="Arial"/>
                <w:sz w:val="14"/>
                <w:szCs w:val="14"/>
                <w:color w:val="auto"/>
              </w:rPr>
              <w:t>25</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80" w:type="dxa"/>
            <w:vAlign w:val="bottom"/>
            <w:gridSpan w:val="3"/>
          </w:tcPr>
          <w:p>
            <w:pPr>
              <w:jc w:val="right"/>
              <w:ind w:right="320"/>
              <w:spacing w:after="0"/>
              <w:rPr>
                <w:sz w:val="20"/>
                <w:szCs w:val="20"/>
                <w:color w:val="auto"/>
              </w:rPr>
            </w:pPr>
            <w:r>
              <w:rPr>
                <w:rFonts w:ascii="Arial" w:cs="Arial" w:eastAsia="Arial" w:hAnsi="Arial"/>
                <w:sz w:val="14"/>
                <w:szCs w:val="14"/>
                <w:color w:val="auto"/>
              </w:rPr>
              <w:t>(96)</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gridSpan w:val="3"/>
          </w:tcPr>
          <w:p>
            <w:pPr>
              <w:jc w:val="right"/>
              <w:ind w:right="40"/>
              <w:spacing w:after="0"/>
              <w:rPr>
                <w:sz w:val="20"/>
                <w:szCs w:val="20"/>
                <w:color w:val="auto"/>
              </w:rPr>
            </w:pPr>
            <w:r>
              <w:rPr>
                <w:rFonts w:ascii="Arial" w:cs="Arial" w:eastAsia="Arial" w:hAnsi="Arial"/>
                <w:sz w:val="14"/>
                <w:szCs w:val="14"/>
                <w:color w:val="auto"/>
              </w:rPr>
              <w:t>(76)</w:t>
            </w: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3"/>
          </w:tcPr>
          <w:p>
            <w:pPr>
              <w:jc w:val="right"/>
              <w:ind w:right="400"/>
              <w:spacing w:after="0"/>
              <w:rPr>
                <w:sz w:val="20"/>
                <w:szCs w:val="20"/>
                <w:color w:val="auto"/>
              </w:rPr>
            </w:pPr>
            <w:r>
              <w:rPr>
                <w:rFonts w:ascii="Arial" w:cs="Arial" w:eastAsia="Arial" w:hAnsi="Arial"/>
                <w:sz w:val="14"/>
                <w:szCs w:val="14"/>
                <w:color w:val="auto"/>
              </w:rPr>
              <w:t>(147)</w:t>
            </w:r>
          </w:p>
        </w:tc>
        <w:tc>
          <w:tcPr>
            <w:tcW w:w="10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3,023</w:t>
            </w: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88</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354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36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38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36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540" w:type="dxa"/>
            <w:vAlign w:val="bottom"/>
          </w:tcPr>
          <w:p>
            <w:pPr>
              <w:spacing w:after="0"/>
              <w:rPr>
                <w:sz w:val="7"/>
                <w:szCs w:val="7"/>
                <w:color w:val="auto"/>
              </w:rPr>
            </w:pPr>
          </w:p>
        </w:tc>
        <w:tc>
          <w:tcPr>
            <w:tcW w:w="44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5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shd w:val="clear" w:color="auto" w:fill="CCEEFF"/>
          </w:tcPr>
          <w:p>
            <w:pPr>
              <w:spacing w:after="0"/>
              <w:rPr>
                <w:sz w:val="12"/>
                <w:szCs w:val="12"/>
                <w:color w:val="auto"/>
              </w:rPr>
            </w:pPr>
          </w:p>
        </w:tc>
        <w:tc>
          <w:tcPr>
            <w:tcW w:w="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13,118</w:t>
            </w:r>
          </w:p>
        </w:tc>
        <w:tc>
          <w:tcPr>
            <w:tcW w:w="360" w:type="dxa"/>
            <w:vAlign w:val="bottom"/>
            <w:shd w:val="clear" w:color="auto" w:fill="CCEEFF"/>
          </w:tcPr>
          <w:p>
            <w:pPr>
              <w:spacing w:after="0"/>
              <w:rPr>
                <w:sz w:val="12"/>
                <w:szCs w:val="12"/>
                <w:color w:val="auto"/>
              </w:rPr>
            </w:pPr>
          </w:p>
        </w:tc>
        <w:tc>
          <w:tcPr>
            <w:tcW w:w="1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4"/>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1,047</w:t>
            </w:r>
          </w:p>
        </w:tc>
        <w:tc>
          <w:tcPr>
            <w:tcW w:w="140" w:type="dxa"/>
            <w:vAlign w:val="bottom"/>
            <w:gridSpan w:val="3"/>
            <w:shd w:val="clear" w:color="auto" w:fill="CCEEFF"/>
          </w:tcPr>
          <w:p>
            <w:pPr>
              <w:ind w:left="80"/>
              <w:spacing w:after="0"/>
              <w:rPr>
                <w:sz w:val="20"/>
                <w:szCs w:val="20"/>
                <w:color w:val="auto"/>
              </w:rPr>
            </w:pPr>
            <w:r>
              <w:rPr>
                <w:rFonts w:ascii="Arial" w:cs="Arial" w:eastAsia="Arial" w:hAnsi="Arial"/>
                <w:sz w:val="10"/>
                <w:szCs w:val="10"/>
                <w:color w:val="auto"/>
                <w:w w:val="71"/>
              </w:rPr>
              <w:t>$</w:t>
            </w:r>
          </w:p>
        </w:tc>
        <w:tc>
          <w:tcPr>
            <w:tcW w:w="880" w:type="dxa"/>
            <w:vAlign w:val="bottom"/>
            <w:gridSpan w:val="3"/>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(92)</w:t>
            </w:r>
          </w:p>
        </w:tc>
        <w:tc>
          <w:tcPr>
            <w:tcW w:w="16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282</w:t>
            </w: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19,435</w:t>
            </w: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1,533</w:t>
            </w: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1,702</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5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54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5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Interest Income</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68</w:t>
            </w: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tcPr>
          <w:p>
            <w:pPr>
              <w:spacing w:after="0" w:line="149" w:lineRule="exact"/>
              <w:rPr>
                <w:sz w:val="20"/>
                <w:szCs w:val="20"/>
                <w:color w:val="auto"/>
              </w:rPr>
            </w:pPr>
            <w:r>
              <w:rPr>
                <w:rFonts w:ascii="Arial" w:cs="Arial" w:eastAsia="Arial" w:hAnsi="Arial"/>
                <w:sz w:val="14"/>
                <w:szCs w:val="14"/>
                <w:color w:val="auto"/>
              </w:rPr>
              <w:t>Interest Expense</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3"/>
          </w:tcPr>
          <w:p>
            <w:pPr>
              <w:jc w:val="right"/>
              <w:ind w:right="400"/>
              <w:spacing w:after="0" w:line="149" w:lineRule="exact"/>
              <w:rPr>
                <w:sz w:val="20"/>
                <w:szCs w:val="20"/>
                <w:color w:val="auto"/>
              </w:rPr>
            </w:pPr>
            <w:r>
              <w:rPr>
                <w:rFonts w:ascii="Arial" w:cs="Arial" w:eastAsia="Arial" w:hAnsi="Arial"/>
                <w:sz w:val="14"/>
                <w:szCs w:val="14"/>
                <w:color w:val="auto"/>
              </w:rPr>
              <w:t>(364)</w:t>
            </w: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Charges</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20" w:type="dxa"/>
            <w:vAlign w:val="bottom"/>
            <w:gridSpan w:val="3"/>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(3,168)</w:t>
            </w: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5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5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3"/>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(2,227)</w:t>
            </w: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35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 millions)</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37"/>
        </w:trPr>
        <w:tc>
          <w:tcPr>
            <w:tcW w:w="3560" w:type="dxa"/>
            <w:vAlign w:val="bottom"/>
            <w:gridSpan w:val="2"/>
            <w:vMerge w:val="continue"/>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5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35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00" w:type="dxa"/>
            <w:vAlign w:val="bottom"/>
          </w:tcPr>
          <w:p>
            <w:pPr>
              <w:jc w:val="right"/>
              <w:spacing w:after="0"/>
              <w:rPr>
                <w:sz w:val="20"/>
                <w:szCs w:val="20"/>
                <w:color w:val="auto"/>
              </w:rPr>
            </w:pPr>
            <w:r>
              <w:rPr>
                <w:rFonts w:ascii="Arial" w:cs="Arial" w:eastAsia="Arial" w:hAnsi="Arial"/>
                <w:sz w:val="14"/>
                <w:szCs w:val="14"/>
                <w:b w:val="1"/>
                <w:bCs w:val="1"/>
                <w:color w:val="auto"/>
                <w:w w:val="83"/>
              </w:rPr>
              <w:t>2001</w:t>
            </w: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5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gridSpan w:val="2"/>
          </w:tcPr>
          <w:p>
            <w:pPr>
              <w:spacing w:after="0"/>
              <w:rPr>
                <w:sz w:val="8"/>
                <w:szCs w:val="8"/>
                <w:color w:val="auto"/>
              </w:rPr>
            </w:pPr>
          </w:p>
        </w:tc>
        <w:tc>
          <w:tcPr>
            <w:tcW w:w="440" w:type="dxa"/>
            <w:vAlign w:val="bottom"/>
            <w:tcBorders>
              <w:bottom w:val="single" w:sz="8" w:color="auto"/>
            </w:tcBorders>
            <w:gridSpan w:val="2"/>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gridSpan w:val="4"/>
          </w:tcPr>
          <w:p>
            <w:pPr>
              <w:jc w:val="right"/>
              <w:ind w:right="440"/>
              <w:spacing w:after="0"/>
              <w:rPr>
                <w:sz w:val="20"/>
                <w:szCs w:val="20"/>
                <w:color w:val="auto"/>
              </w:rPr>
            </w:pPr>
            <w:r>
              <w:rPr>
                <w:rFonts w:ascii="Arial" w:cs="Arial" w:eastAsia="Arial" w:hAnsi="Arial"/>
                <w:sz w:val="14"/>
                <w:szCs w:val="14"/>
                <w:b w:val="1"/>
                <w:bCs w:val="1"/>
                <w:color w:val="auto"/>
                <w:w w:val="85"/>
              </w:rPr>
              <w:t>Income</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gridSpan w:val="5"/>
          </w:tcPr>
          <w:p>
            <w:pPr>
              <w:jc w:val="right"/>
              <w:ind w:right="440"/>
              <w:spacing w:after="0" w:line="149" w:lineRule="exact"/>
              <w:rPr>
                <w:sz w:val="20"/>
                <w:szCs w:val="20"/>
                <w:color w:val="auto"/>
              </w:rPr>
            </w:pPr>
            <w:r>
              <w:rPr>
                <w:rFonts w:ascii="Arial" w:cs="Arial" w:eastAsia="Arial" w:hAnsi="Arial"/>
                <w:sz w:val="14"/>
                <w:szCs w:val="14"/>
                <w:b w:val="1"/>
                <w:bCs w:val="1"/>
                <w:color w:val="auto"/>
                <w:w w:val="91"/>
              </w:rPr>
              <w:t>after tax</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80" w:type="dxa"/>
            <w:vAlign w:val="bottom"/>
            <w:gridSpan w:val="2"/>
          </w:tcPr>
          <w:p>
            <w:pPr>
              <w:jc w:val="right"/>
              <w:ind w:right="440"/>
              <w:spacing w:after="0" w:line="149" w:lineRule="exact"/>
              <w:rPr>
                <w:sz w:val="20"/>
                <w:szCs w:val="20"/>
                <w:color w:val="auto"/>
              </w:rPr>
            </w:pPr>
            <w:r>
              <w:rPr>
                <w:rFonts w:ascii="Arial" w:cs="Arial" w:eastAsia="Arial" w:hAnsi="Arial"/>
                <w:sz w:val="14"/>
                <w:szCs w:val="14"/>
                <w:b w:val="1"/>
                <w:bCs w:val="1"/>
                <w:color w:val="auto"/>
              </w:rPr>
              <w:t>Income</w:t>
            </w: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4"/>
          </w:tcPr>
          <w:p>
            <w:pPr>
              <w:jc w:val="right"/>
              <w:ind w:right="440"/>
              <w:spacing w:after="0" w:line="149" w:lineRule="exact"/>
              <w:rPr>
                <w:sz w:val="20"/>
                <w:szCs w:val="20"/>
                <w:color w:val="auto"/>
              </w:rPr>
            </w:pPr>
            <w:r>
              <w:rPr>
                <w:rFonts w:ascii="Arial" w:cs="Arial" w:eastAsia="Arial" w:hAnsi="Arial"/>
                <w:sz w:val="14"/>
                <w:szCs w:val="14"/>
                <w:b w:val="1"/>
                <w:bCs w:val="1"/>
                <w:color w:val="auto"/>
                <w:w w:val="99"/>
              </w:rPr>
              <w:t>&amp; Min.</w:t>
            </w:r>
          </w:p>
        </w:tc>
        <w:tc>
          <w:tcPr>
            <w:tcW w:w="1020" w:type="dxa"/>
            <w:vAlign w:val="bottom"/>
            <w:gridSpan w:val="6"/>
          </w:tcPr>
          <w:p>
            <w:pPr>
              <w:ind w:left="60"/>
              <w:spacing w:after="0" w:line="149" w:lineRule="exact"/>
              <w:rPr>
                <w:sz w:val="20"/>
                <w:szCs w:val="20"/>
                <w:color w:val="auto"/>
              </w:rPr>
            </w:pPr>
            <w:r>
              <w:rPr>
                <w:rFonts w:ascii="Arial" w:cs="Arial" w:eastAsia="Arial" w:hAnsi="Arial"/>
                <w:sz w:val="14"/>
                <w:szCs w:val="14"/>
                <w:b w:val="1"/>
                <w:bCs w:val="1"/>
                <w:color w:val="auto"/>
              </w:rPr>
              <w:t>Minority</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3"/>
          </w:tcPr>
          <w:p>
            <w:pPr>
              <w:jc w:val="right"/>
              <w:ind w:right="140"/>
              <w:spacing w:after="0" w:line="149" w:lineRule="exact"/>
              <w:rPr>
                <w:sz w:val="20"/>
                <w:szCs w:val="20"/>
                <w:color w:val="auto"/>
              </w:rPr>
            </w:pPr>
            <w:r>
              <w:rPr>
                <w:rFonts w:ascii="Arial" w:cs="Arial" w:eastAsia="Arial" w:hAnsi="Arial"/>
                <w:sz w:val="14"/>
                <w:szCs w:val="14"/>
                <w:b w:val="1"/>
                <w:bCs w:val="1"/>
                <w:color w:val="auto"/>
              </w:rPr>
              <w:t>Tax</w:t>
            </w: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3"/>
          </w:tcPr>
          <w:p>
            <w:pPr>
              <w:jc w:val="right"/>
              <w:ind w:right="440"/>
              <w:spacing w:after="0" w:line="149" w:lineRule="exact"/>
              <w:rPr>
                <w:sz w:val="20"/>
                <w:szCs w:val="20"/>
                <w:color w:val="auto"/>
              </w:rPr>
            </w:pPr>
            <w:r>
              <w:rPr>
                <w:rFonts w:ascii="Arial" w:cs="Arial" w:eastAsia="Arial" w:hAnsi="Arial"/>
                <w:sz w:val="14"/>
                <w:szCs w:val="14"/>
                <w:b w:val="1"/>
                <w:bCs w:val="1"/>
                <w:color w:val="auto"/>
                <w:w w:val="83"/>
              </w:rPr>
              <w:t>before tax</w:t>
            </w: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340"/>
              <w:spacing w:after="0" w:line="149" w:lineRule="exact"/>
              <w:rPr>
                <w:sz w:val="20"/>
                <w:szCs w:val="20"/>
                <w:color w:val="auto"/>
              </w:rPr>
            </w:pPr>
            <w:r>
              <w:rPr>
                <w:rFonts w:ascii="Arial" w:cs="Arial" w:eastAsia="Arial" w:hAnsi="Arial"/>
                <w:sz w:val="14"/>
                <w:szCs w:val="14"/>
                <w:b w:val="1"/>
                <w:bCs w:val="1"/>
                <w:color w:val="auto"/>
                <w:w w:val="86"/>
              </w:rPr>
              <w:t>Depn. &amp;</w:t>
            </w:r>
          </w:p>
        </w:tc>
        <w:tc>
          <w:tcPr>
            <w:tcW w:w="120" w:type="dxa"/>
            <w:vAlign w:val="bottom"/>
          </w:tcPr>
          <w:p>
            <w:pPr>
              <w:spacing w:after="0"/>
              <w:rPr>
                <w:sz w:val="12"/>
                <w:szCs w:val="12"/>
                <w:color w:val="auto"/>
              </w:rPr>
            </w:pPr>
          </w:p>
        </w:tc>
        <w:tc>
          <w:tcPr>
            <w:tcW w:w="800" w:type="dxa"/>
            <w:vAlign w:val="bottom"/>
            <w:gridSpan w:val="2"/>
          </w:tcPr>
          <w:p>
            <w:pPr>
              <w:jc w:val="right"/>
              <w:ind w:right="20"/>
              <w:spacing w:after="0" w:line="149" w:lineRule="exact"/>
              <w:rPr>
                <w:sz w:val="20"/>
                <w:szCs w:val="20"/>
                <w:color w:val="auto"/>
              </w:rPr>
            </w:pPr>
            <w:r>
              <w:rPr>
                <w:rFonts w:ascii="Arial" w:cs="Arial" w:eastAsia="Arial" w:hAnsi="Arial"/>
                <w:sz w:val="14"/>
                <w:szCs w:val="14"/>
                <w:b w:val="1"/>
                <w:bCs w:val="1"/>
                <w:color w:val="auto"/>
              </w:rPr>
              <w:t>Capital</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540" w:type="dxa"/>
            <w:vAlign w:val="bottom"/>
          </w:tcPr>
          <w:p>
            <w:pPr>
              <w:spacing w:after="0"/>
              <w:rPr>
                <w:sz w:val="15"/>
                <w:szCs w:val="15"/>
                <w:color w:val="auto"/>
              </w:rPr>
            </w:pPr>
          </w:p>
        </w:tc>
        <w:tc>
          <w:tcPr>
            <w:tcW w:w="1000" w:type="dxa"/>
            <w:vAlign w:val="bottom"/>
            <w:gridSpan w:val="5"/>
          </w:tcPr>
          <w:p>
            <w:pPr>
              <w:jc w:val="right"/>
              <w:ind w:right="440"/>
              <w:spacing w:after="0"/>
              <w:rPr>
                <w:sz w:val="20"/>
                <w:szCs w:val="20"/>
                <w:color w:val="auto"/>
              </w:rPr>
            </w:pPr>
            <w:r>
              <w:rPr>
                <w:rFonts w:ascii="Arial" w:cs="Arial" w:eastAsia="Arial" w:hAnsi="Arial"/>
                <w:sz w:val="14"/>
                <w:szCs w:val="14"/>
                <w:b w:val="1"/>
                <w:bCs w:val="1"/>
                <w:color w:val="auto"/>
                <w:w w:val="92"/>
              </w:rPr>
              <w:t>Revenue</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40" w:type="dxa"/>
            <w:vAlign w:val="bottom"/>
            <w:gridSpan w:val="3"/>
          </w:tcPr>
          <w:p>
            <w:pPr>
              <w:jc w:val="right"/>
              <w:ind w:right="440"/>
              <w:spacing w:after="0"/>
              <w:rPr>
                <w:sz w:val="20"/>
                <w:szCs w:val="20"/>
                <w:color w:val="auto"/>
              </w:rPr>
            </w:pPr>
            <w:r>
              <w:rPr>
                <w:rFonts w:ascii="Arial" w:cs="Arial" w:eastAsia="Arial" w:hAnsi="Arial"/>
                <w:sz w:val="14"/>
                <w:szCs w:val="14"/>
                <w:b w:val="1"/>
                <w:bCs w:val="1"/>
                <w:color w:val="auto"/>
              </w:rPr>
              <w:t>Int.</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80" w:type="dxa"/>
            <w:vAlign w:val="bottom"/>
            <w:gridSpan w:val="3"/>
          </w:tcPr>
          <w:p>
            <w:pPr>
              <w:jc w:val="right"/>
              <w:ind w:right="440"/>
              <w:spacing w:after="0"/>
              <w:rPr>
                <w:sz w:val="20"/>
                <w:szCs w:val="20"/>
                <w:color w:val="auto"/>
              </w:rPr>
            </w:pPr>
            <w:r>
              <w:rPr>
                <w:rFonts w:ascii="Arial" w:cs="Arial" w:eastAsia="Arial" w:hAnsi="Arial"/>
                <w:sz w:val="14"/>
                <w:szCs w:val="14"/>
                <w:b w:val="1"/>
                <w:bCs w:val="1"/>
                <w:color w:val="auto"/>
                <w:w w:val="82"/>
              </w:rPr>
              <w:t>Interest</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gridSpan w:val="4"/>
          </w:tcPr>
          <w:p>
            <w:pPr>
              <w:jc w:val="right"/>
              <w:ind w:right="140"/>
              <w:spacing w:after="0"/>
              <w:rPr>
                <w:sz w:val="20"/>
                <w:szCs w:val="20"/>
                <w:color w:val="auto"/>
              </w:rPr>
            </w:pPr>
            <w:r>
              <w:rPr>
                <w:rFonts w:ascii="Arial" w:cs="Arial" w:eastAsia="Arial" w:hAnsi="Arial"/>
                <w:sz w:val="14"/>
                <w:szCs w:val="14"/>
                <w:b w:val="1"/>
                <w:bCs w:val="1"/>
                <w:color w:val="auto"/>
                <w:w w:val="86"/>
              </w:rPr>
              <w:t>Expense</w:t>
            </w:r>
          </w:p>
        </w:tc>
        <w:tc>
          <w:tcPr>
            <w:tcW w:w="300" w:type="dxa"/>
            <w:vAlign w:val="bottom"/>
          </w:tcPr>
          <w:p>
            <w:pPr>
              <w:spacing w:after="0"/>
              <w:rPr>
                <w:sz w:val="15"/>
                <w:szCs w:val="15"/>
                <w:color w:val="auto"/>
              </w:rPr>
            </w:pPr>
          </w:p>
        </w:tc>
        <w:tc>
          <w:tcPr>
            <w:tcW w:w="1160" w:type="dxa"/>
            <w:vAlign w:val="bottom"/>
            <w:gridSpan w:val="5"/>
          </w:tcPr>
          <w:p>
            <w:pPr>
              <w:jc w:val="right"/>
              <w:ind w:right="440"/>
              <w:spacing w:after="0"/>
              <w:rPr>
                <w:sz w:val="20"/>
                <w:szCs w:val="20"/>
                <w:color w:val="auto"/>
              </w:rPr>
            </w:pPr>
            <w:r>
              <w:rPr>
                <w:rFonts w:ascii="Arial" w:cs="Arial" w:eastAsia="Arial" w:hAnsi="Arial"/>
                <w:sz w:val="14"/>
                <w:szCs w:val="14"/>
                <w:b w:val="1"/>
                <w:bCs w:val="1"/>
                <w:color w:val="auto"/>
              </w:rPr>
              <w:t>&amp; Min. Int.</w:t>
            </w:r>
          </w:p>
        </w:tc>
        <w:tc>
          <w:tcPr>
            <w:tcW w:w="100" w:type="dxa"/>
            <w:vAlign w:val="bottom"/>
          </w:tcPr>
          <w:p>
            <w:pPr>
              <w:spacing w:after="0"/>
              <w:rPr>
                <w:sz w:val="15"/>
                <w:szCs w:val="15"/>
                <w:color w:val="auto"/>
              </w:rPr>
            </w:pPr>
          </w:p>
        </w:tc>
        <w:tc>
          <w:tcPr>
            <w:tcW w:w="720" w:type="dxa"/>
            <w:vAlign w:val="bottom"/>
            <w:gridSpan w:val="2"/>
          </w:tcPr>
          <w:p>
            <w:pPr>
              <w:ind w:left="20"/>
              <w:spacing w:after="0"/>
              <w:rPr>
                <w:sz w:val="20"/>
                <w:szCs w:val="20"/>
                <w:color w:val="auto"/>
              </w:rPr>
            </w:pPr>
            <w:r>
              <w:rPr>
                <w:rFonts w:ascii="Arial" w:cs="Arial" w:eastAsia="Arial" w:hAnsi="Arial"/>
                <w:sz w:val="14"/>
                <w:szCs w:val="14"/>
                <w:b w:val="1"/>
                <w:bCs w:val="1"/>
                <w:color w:val="auto"/>
              </w:rPr>
              <w:t>Assets</w:t>
            </w:r>
          </w:p>
        </w:tc>
        <w:tc>
          <w:tcPr>
            <w:tcW w:w="90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rPr>
              <w:t>Amortn.</w:t>
            </w:r>
          </w:p>
        </w:tc>
        <w:tc>
          <w:tcPr>
            <w:tcW w:w="120" w:type="dxa"/>
            <w:vAlign w:val="bottom"/>
          </w:tcPr>
          <w:p>
            <w:pPr>
              <w:spacing w:after="0"/>
              <w:rPr>
                <w:sz w:val="15"/>
                <w:szCs w:val="15"/>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93"/>
              </w:rPr>
              <w:t>Expenditure</w:t>
            </w:r>
          </w:p>
        </w:tc>
        <w:tc>
          <w:tcPr>
            <w:tcW w:w="0" w:type="dxa"/>
            <w:vAlign w:val="bottom"/>
          </w:tcPr>
          <w:p>
            <w:pPr>
              <w:spacing w:after="0"/>
              <w:rPr>
                <w:sz w:val="1"/>
                <w:szCs w:val="1"/>
                <w:color w:val="auto"/>
              </w:rPr>
            </w:pPr>
          </w:p>
        </w:tc>
      </w:tr>
      <w:tr>
        <w:trPr>
          <w:trHeight w:val="41"/>
        </w:trPr>
        <w:tc>
          <w:tcPr>
            <w:tcW w:w="20" w:type="dxa"/>
            <w:vAlign w:val="bottom"/>
            <w:vMerge w:val="restart"/>
          </w:tcPr>
          <w:p>
            <w:pPr>
              <w:spacing w:after="0"/>
              <w:rPr>
                <w:sz w:val="3"/>
                <w:szCs w:val="3"/>
                <w:color w:val="auto"/>
              </w:rPr>
            </w:pPr>
          </w:p>
        </w:tc>
        <w:tc>
          <w:tcPr>
            <w:tcW w:w="3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400" w:type="dxa"/>
            <w:vAlign w:val="bottom"/>
          </w:tcPr>
          <w:p>
            <w:pPr>
              <w:spacing w:after="0"/>
              <w:rPr>
                <w:sz w:val="3"/>
                <w:szCs w:val="3"/>
                <w:color w:val="auto"/>
              </w:rPr>
            </w:pPr>
          </w:p>
        </w:tc>
        <w:tc>
          <w:tcPr>
            <w:tcW w:w="60" w:type="dxa"/>
            <w:vAlign w:val="bottom"/>
          </w:tcPr>
          <w:p>
            <w:pPr>
              <w:spacing w:after="0"/>
              <w:rPr>
                <w:sz w:val="3"/>
                <w:szCs w:val="3"/>
                <w:color w:val="auto"/>
              </w:rPr>
            </w:pPr>
          </w:p>
        </w:tc>
        <w:tc>
          <w:tcPr>
            <w:tcW w:w="38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44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54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7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5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OFS</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tcPr>
          <w:p>
            <w:pPr>
              <w:ind w:left="320"/>
              <w:spacing w:after="0" w:line="149" w:lineRule="exact"/>
              <w:rPr>
                <w:sz w:val="20"/>
                <w:szCs w:val="20"/>
                <w:color w:val="auto"/>
              </w:rPr>
            </w:pPr>
            <w:r>
              <w:rPr>
                <w:rFonts w:ascii="Arial" w:cs="Arial" w:eastAsia="Arial" w:hAnsi="Arial"/>
                <w:sz w:val="14"/>
                <w:szCs w:val="14"/>
                <w:color w:val="auto"/>
              </w:rPr>
              <w:t>North America</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2,847</w:t>
            </w: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0" w:type="dxa"/>
            <w:vAlign w:val="bottom"/>
          </w:tcPr>
          <w:p>
            <w:pPr>
              <w:spacing w:after="0"/>
              <w:rPr>
                <w:sz w:val="12"/>
                <w:szCs w:val="12"/>
                <w:color w:val="auto"/>
              </w:rPr>
            </w:pPr>
          </w:p>
        </w:tc>
        <w:tc>
          <w:tcPr>
            <w:tcW w:w="4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401</w:t>
            </w: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gridSpan w:val="2"/>
          </w:tcPr>
          <w:p>
            <w:pPr>
              <w:jc w:val="right"/>
              <w:spacing w:after="0" w:line="149" w:lineRule="exact"/>
              <w:rPr>
                <w:sz w:val="20"/>
                <w:szCs w:val="20"/>
                <w:color w:val="auto"/>
              </w:rPr>
            </w:pPr>
            <w:r>
              <w:rPr>
                <w:rFonts w:ascii="Arial" w:cs="Arial" w:eastAsia="Arial" w:hAnsi="Arial"/>
                <w:sz w:val="14"/>
                <w:szCs w:val="14"/>
                <w:color w:val="auto"/>
                <w:w w:val="76"/>
              </w:rPr>
              <w:t>$</w:t>
            </w:r>
          </w:p>
        </w:tc>
        <w:tc>
          <w:tcPr>
            <w:tcW w:w="60" w:type="dxa"/>
            <w:vAlign w:val="bottom"/>
          </w:tcPr>
          <w:p>
            <w:pPr>
              <w:spacing w:after="0"/>
              <w:rPr>
                <w:sz w:val="12"/>
                <w:szCs w:val="12"/>
                <w:color w:val="auto"/>
              </w:rPr>
            </w:pPr>
          </w:p>
        </w:tc>
        <w:tc>
          <w:tcPr>
            <w:tcW w:w="880" w:type="dxa"/>
            <w:vAlign w:val="bottom"/>
            <w:gridSpan w:val="3"/>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80" w:type="dxa"/>
            <w:vAlign w:val="bottom"/>
            <w:gridSpan w:val="2"/>
          </w:tcPr>
          <w:p>
            <w:pPr>
              <w:jc w:val="right"/>
              <w:spacing w:after="0" w:line="149" w:lineRule="exact"/>
              <w:rPr>
                <w:sz w:val="20"/>
                <w:szCs w:val="20"/>
                <w:color w:val="auto"/>
              </w:rPr>
            </w:pPr>
            <w:r>
              <w:rPr>
                <w:rFonts w:ascii="Arial" w:cs="Arial" w:eastAsia="Arial" w:hAnsi="Arial"/>
                <w:sz w:val="14"/>
                <w:szCs w:val="14"/>
                <w:color w:val="auto"/>
                <w:w w:val="76"/>
              </w:rPr>
              <w:t>$</w:t>
            </w:r>
          </w:p>
        </w:tc>
        <w:tc>
          <w:tcPr>
            <w:tcW w:w="8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236</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5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637</w:t>
            </w:r>
          </w:p>
        </w:tc>
        <w:tc>
          <w:tcPr>
            <w:tcW w:w="44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2,048</w:t>
            </w:r>
          </w:p>
        </w:tc>
        <w:tc>
          <w:tcPr>
            <w:tcW w:w="340" w:type="dxa"/>
            <w:vAlign w:val="bottom"/>
          </w:tcPr>
          <w:p>
            <w:pPr>
              <w:spacing w:after="0"/>
              <w:rPr>
                <w:sz w:val="12"/>
                <w:szCs w:val="12"/>
                <w:color w:val="auto"/>
              </w:rPr>
            </w:pP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244</w:t>
            </w:r>
          </w:p>
        </w:tc>
        <w:tc>
          <w:tcPr>
            <w:tcW w:w="340" w:type="dxa"/>
            <w:vAlign w:val="bottom"/>
          </w:tcPr>
          <w:p>
            <w:pPr>
              <w:spacing w:after="0"/>
              <w:rPr>
                <w:sz w:val="12"/>
                <w:szCs w:val="12"/>
                <w:color w:val="auto"/>
              </w:rPr>
            </w:pP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555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Latin America</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1,456</w:t>
            </w: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148</w:t>
            </w: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gridSpan w:val="3"/>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183</w:t>
            </w: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1,307</w:t>
            </w: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142</w:t>
            </w: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tcPr>
          <w:p>
            <w:pPr>
              <w:ind w:left="320"/>
              <w:spacing w:after="0" w:line="149" w:lineRule="exact"/>
              <w:rPr>
                <w:sz w:val="20"/>
                <w:szCs w:val="20"/>
                <w:color w:val="auto"/>
              </w:rPr>
            </w:pPr>
            <w:r>
              <w:rPr>
                <w:rFonts w:ascii="Arial" w:cs="Arial" w:eastAsia="Arial" w:hAnsi="Arial"/>
                <w:sz w:val="14"/>
                <w:szCs w:val="14"/>
                <w:color w:val="auto"/>
              </w:rPr>
              <w:t>Europe/CIS/W. Africa</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2,134</w:t>
            </w: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308</w:t>
            </w: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gridSpan w:val="3"/>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77</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385</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1,676</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180</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284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Middle East &amp; Asia</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1,772</w:t>
            </w: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360</w:t>
            </w: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gridSpan w:val="3"/>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56</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416</w:t>
            </w: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1,302</w:t>
            </w: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178</w:t>
            </w: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540" w:type="dxa"/>
            <w:vAlign w:val="bottom"/>
          </w:tcPr>
          <w:p>
            <w:pPr>
              <w:ind w:left="320"/>
              <w:spacing w:after="0"/>
              <w:rPr>
                <w:sz w:val="20"/>
                <w:szCs w:val="20"/>
                <w:color w:val="auto"/>
              </w:rPr>
            </w:pPr>
            <w:r>
              <w:rPr>
                <w:rFonts w:ascii="Arial" w:cs="Arial" w:eastAsia="Arial" w:hAnsi="Arial"/>
                <w:sz w:val="14"/>
                <w:szCs w:val="14"/>
                <w:color w:val="auto"/>
              </w:rPr>
              <w:t>Elims/Other</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172</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gridSpan w:val="3"/>
          </w:tcPr>
          <w:p>
            <w:pPr>
              <w:jc w:val="right"/>
              <w:ind w:right="20"/>
              <w:spacing w:after="0"/>
              <w:rPr>
                <w:sz w:val="20"/>
                <w:szCs w:val="20"/>
                <w:color w:val="auto"/>
              </w:rPr>
            </w:pPr>
            <w:r>
              <w:rPr>
                <w:rFonts w:ascii="Arial" w:cs="Arial" w:eastAsia="Arial" w:hAnsi="Arial"/>
                <w:sz w:val="14"/>
                <w:szCs w:val="14"/>
                <w:color w:val="auto"/>
              </w:rPr>
              <w:t>(40)</w:t>
            </w: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80" w:type="dxa"/>
            <w:vAlign w:val="bottom"/>
            <w:gridSpan w:val="3"/>
          </w:tcPr>
          <w:p>
            <w:pPr>
              <w:jc w:val="right"/>
              <w:ind w:right="4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4</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3"/>
          </w:tcPr>
          <w:p>
            <w:pPr>
              <w:jc w:val="right"/>
              <w:ind w:right="400"/>
              <w:spacing w:after="0"/>
              <w:rPr>
                <w:sz w:val="20"/>
                <w:szCs w:val="20"/>
                <w:color w:val="auto"/>
              </w:rPr>
            </w:pPr>
            <w:r>
              <w:rPr>
                <w:rFonts w:ascii="Arial" w:cs="Arial" w:eastAsia="Arial" w:hAnsi="Arial"/>
                <w:sz w:val="14"/>
                <w:szCs w:val="14"/>
                <w:color w:val="auto"/>
              </w:rPr>
              <w:t>(36)</w:t>
            </w:r>
          </w:p>
        </w:tc>
        <w:tc>
          <w:tcPr>
            <w:tcW w:w="10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1,957</w:t>
            </w: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31</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177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354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36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gridSpan w:val="2"/>
          </w:tcPr>
          <w:p>
            <w:pPr>
              <w:spacing w:after="0"/>
              <w:rPr>
                <w:sz w:val="7"/>
                <w:szCs w:val="7"/>
                <w:color w:val="auto"/>
              </w:rPr>
            </w:pPr>
          </w:p>
        </w:tc>
        <w:tc>
          <w:tcPr>
            <w:tcW w:w="60" w:type="dxa"/>
            <w:vAlign w:val="bottom"/>
          </w:tcPr>
          <w:p>
            <w:pPr>
              <w:spacing w:after="0"/>
              <w:rPr>
                <w:sz w:val="7"/>
                <w:szCs w:val="7"/>
                <w:color w:val="auto"/>
              </w:rPr>
            </w:pPr>
          </w:p>
        </w:tc>
        <w:tc>
          <w:tcPr>
            <w:tcW w:w="38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440" w:type="dxa"/>
            <w:vAlign w:val="bottom"/>
            <w:gridSpan w:val="2"/>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gridSpan w:val="2"/>
          </w:tcPr>
          <w:p>
            <w:pPr>
              <w:spacing w:after="0"/>
              <w:rPr>
                <w:sz w:val="7"/>
                <w:szCs w:val="7"/>
                <w:color w:val="auto"/>
              </w:rPr>
            </w:pPr>
          </w:p>
        </w:tc>
        <w:tc>
          <w:tcPr>
            <w:tcW w:w="44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5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8,381</w:t>
            </w: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1,177</w:t>
            </w: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gridSpan w:val="3"/>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408</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1,585</w:t>
            </w: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8,290</w:t>
            </w: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775</w:t>
            </w: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1,466</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54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gridSpan w:val="2"/>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gridSpan w:val="2"/>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5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5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WESTERNGECO</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1,702</w:t>
            </w: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79</w:t>
            </w: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w:t>
            </w: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107</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221</w:t>
            </w: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2,843</w:t>
            </w: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559</w:t>
            </w: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676</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54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5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5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SLSEMA</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tcPr>
          <w:p>
            <w:pPr>
              <w:ind w:left="320"/>
              <w:spacing w:after="0" w:line="149" w:lineRule="exact"/>
              <w:rPr>
                <w:sz w:val="20"/>
                <w:szCs w:val="20"/>
                <w:color w:val="auto"/>
              </w:rPr>
            </w:pPr>
            <w:r>
              <w:rPr>
                <w:rFonts w:ascii="Arial" w:cs="Arial" w:eastAsia="Arial" w:hAnsi="Arial"/>
                <w:sz w:val="14"/>
                <w:szCs w:val="14"/>
                <w:color w:val="auto"/>
              </w:rPr>
              <w:t>North &amp; South America</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381</w:t>
            </w: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(29)</w:t>
            </w: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gridSpan w:val="3"/>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(30)</w:t>
            </w: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3"/>
          </w:tcPr>
          <w:p>
            <w:pPr>
              <w:jc w:val="right"/>
              <w:ind w:right="400"/>
              <w:spacing w:after="0" w:line="149" w:lineRule="exact"/>
              <w:rPr>
                <w:sz w:val="20"/>
                <w:szCs w:val="20"/>
                <w:color w:val="auto"/>
              </w:rPr>
            </w:pPr>
            <w:r>
              <w:rPr>
                <w:rFonts w:ascii="Arial" w:cs="Arial" w:eastAsia="Arial" w:hAnsi="Arial"/>
                <w:sz w:val="14"/>
                <w:szCs w:val="14"/>
                <w:color w:val="auto"/>
              </w:rPr>
              <w:t>(59)</w:t>
            </w:r>
          </w:p>
        </w:tc>
        <w:tc>
          <w:tcPr>
            <w:tcW w:w="10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837</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40</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85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Europe/M. East/Africa</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1,447</w:t>
            </w: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72</w:t>
            </w: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gridSpan w:val="3"/>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99</w:t>
            </w: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3,532</w:t>
            </w: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w:t>
            </w: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tcPr>
          <w:p>
            <w:pPr>
              <w:ind w:left="320"/>
              <w:spacing w:after="0" w:line="149" w:lineRule="exact"/>
              <w:rPr>
                <w:sz w:val="20"/>
                <w:szCs w:val="20"/>
                <w:color w:val="auto"/>
              </w:rPr>
            </w:pPr>
            <w:r>
              <w:rPr>
                <w:rFonts w:ascii="Arial" w:cs="Arial" w:eastAsia="Arial" w:hAnsi="Arial"/>
                <w:sz w:val="14"/>
                <w:szCs w:val="14"/>
                <w:color w:val="auto"/>
              </w:rPr>
              <w:t>Asia</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110</w:t>
            </w: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w:t>
            </w: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gridSpan w:val="3"/>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2</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489</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19</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43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Elims/Other</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(105)</w:t>
            </w:r>
          </w:p>
        </w:tc>
        <w:tc>
          <w:tcPr>
            <w:tcW w:w="3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(54)</w:t>
            </w:r>
          </w:p>
        </w:tc>
        <w:tc>
          <w:tcPr>
            <w:tcW w:w="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gridSpan w:val="3"/>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(9)</w:t>
            </w: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20" w:type="dxa"/>
            <w:vAlign w:val="bottom"/>
            <w:gridSpan w:val="3"/>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(63)</w:t>
            </w: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1,699</w:t>
            </w: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54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gridSpan w:val="2"/>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44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gridSpan w:val="2"/>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5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1,833</w:t>
            </w: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(5)</w:t>
            </w:r>
          </w:p>
        </w:tc>
        <w:tc>
          <w:tcPr>
            <w:tcW w:w="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gridSpan w:val="3"/>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(10)</w:t>
            </w: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20" w:type="dxa"/>
            <w:vAlign w:val="bottom"/>
            <w:gridSpan w:val="3"/>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(15)</w:t>
            </w: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6,557</w:t>
            </w: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95</w:t>
            </w: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165</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54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gridSpan w:val="2"/>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gridSpan w:val="2"/>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5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5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OTHER</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2,016</w:t>
            </w: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71</w:t>
            </w: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w:t>
            </w: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88</w:t>
            </w: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2,199</w:t>
            </w: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95</w:t>
            </w: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97</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540" w:type="dxa"/>
            <w:vAlign w:val="bottom"/>
          </w:tcPr>
          <w:p>
            <w:pPr>
              <w:spacing w:after="0"/>
              <w:rPr>
                <w:sz w:val="20"/>
                <w:szCs w:val="20"/>
                <w:color w:val="auto"/>
              </w:rPr>
            </w:pPr>
            <w:r>
              <w:rPr>
                <w:rFonts w:ascii="Arial" w:cs="Arial" w:eastAsia="Arial" w:hAnsi="Arial"/>
                <w:sz w:val="14"/>
                <w:szCs w:val="14"/>
                <w:color w:val="auto"/>
              </w:rPr>
              <w:t>Corporate eliminations &amp; Other</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4"/>
                <w:szCs w:val="14"/>
                <w:color w:val="auto"/>
              </w:rPr>
              <w:t>(176)</w:t>
            </w: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gridSpan w:val="3"/>
          </w:tcPr>
          <w:p>
            <w:pPr>
              <w:jc w:val="right"/>
              <w:ind w:right="20"/>
              <w:spacing w:after="0"/>
              <w:rPr>
                <w:sz w:val="20"/>
                <w:szCs w:val="20"/>
                <w:color w:val="auto"/>
              </w:rPr>
            </w:pPr>
            <w:r>
              <w:rPr>
                <w:rFonts w:ascii="Arial" w:cs="Arial" w:eastAsia="Arial" w:hAnsi="Arial"/>
                <w:sz w:val="14"/>
                <w:szCs w:val="14"/>
                <w:color w:val="auto"/>
              </w:rPr>
              <w:t>(458)</w:t>
            </w: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4"/>
                <w:szCs w:val="14"/>
                <w:color w:val="auto"/>
              </w:rPr>
              <w:t>(12)</w:t>
            </w: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48</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3"/>
          </w:tcPr>
          <w:p>
            <w:pPr>
              <w:jc w:val="right"/>
              <w:ind w:right="400"/>
              <w:spacing w:after="0"/>
              <w:rPr>
                <w:sz w:val="20"/>
                <w:szCs w:val="20"/>
                <w:color w:val="auto"/>
              </w:rPr>
            </w:pPr>
            <w:r>
              <w:rPr>
                <w:rFonts w:ascii="Arial" w:cs="Arial" w:eastAsia="Arial" w:hAnsi="Arial"/>
                <w:sz w:val="14"/>
                <w:szCs w:val="14"/>
                <w:color w:val="auto"/>
              </w:rPr>
              <w:t>(422)</w:t>
            </w:r>
          </w:p>
        </w:tc>
        <w:tc>
          <w:tcPr>
            <w:tcW w:w="10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2,437</w:t>
            </w: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352</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354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36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gridSpan w:val="2"/>
          </w:tcPr>
          <w:p>
            <w:pPr>
              <w:spacing w:after="0"/>
              <w:rPr>
                <w:sz w:val="7"/>
                <w:szCs w:val="7"/>
                <w:color w:val="auto"/>
              </w:rPr>
            </w:pPr>
          </w:p>
        </w:tc>
        <w:tc>
          <w:tcPr>
            <w:tcW w:w="60" w:type="dxa"/>
            <w:vAlign w:val="bottom"/>
          </w:tcPr>
          <w:p>
            <w:pPr>
              <w:spacing w:after="0"/>
              <w:rPr>
                <w:sz w:val="7"/>
                <w:szCs w:val="7"/>
                <w:color w:val="auto"/>
              </w:rPr>
            </w:pPr>
          </w:p>
        </w:tc>
        <w:tc>
          <w:tcPr>
            <w:tcW w:w="380" w:type="dxa"/>
            <w:vAlign w:val="bottom"/>
          </w:tcPr>
          <w:p>
            <w:pPr>
              <w:spacing w:after="0"/>
              <w:rPr>
                <w:sz w:val="7"/>
                <w:szCs w:val="7"/>
                <w:color w:val="auto"/>
              </w:rPr>
            </w:pPr>
          </w:p>
        </w:tc>
        <w:tc>
          <w:tcPr>
            <w:tcW w:w="80" w:type="dxa"/>
            <w:vAlign w:val="bottom"/>
            <w:tcBorders>
              <w:bottom w:val="single" w:sz="8" w:color="auto"/>
            </w:tcBorders>
            <w:gridSpan w:val="2"/>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36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540" w:type="dxa"/>
            <w:vAlign w:val="bottom"/>
          </w:tcPr>
          <w:p>
            <w:pPr>
              <w:spacing w:after="0"/>
              <w:rPr>
                <w:sz w:val="7"/>
                <w:szCs w:val="7"/>
                <w:color w:val="auto"/>
              </w:rPr>
            </w:pPr>
          </w:p>
        </w:tc>
        <w:tc>
          <w:tcPr>
            <w:tcW w:w="44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5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13,756</w:t>
            </w: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864</w:t>
            </w: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w:t>
            </w: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564</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22,326</w:t>
            </w: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1,876</w:t>
            </w: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2,453</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5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gridSpan w:val="2"/>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5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54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5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Interest Income</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153</w:t>
            </w: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tcPr>
          <w:p>
            <w:pPr>
              <w:spacing w:after="0" w:line="149" w:lineRule="exact"/>
              <w:rPr>
                <w:sz w:val="20"/>
                <w:szCs w:val="20"/>
                <w:color w:val="auto"/>
              </w:rPr>
            </w:pPr>
            <w:r>
              <w:rPr>
                <w:rFonts w:ascii="Arial" w:cs="Arial" w:eastAsia="Arial" w:hAnsi="Arial"/>
                <w:sz w:val="14"/>
                <w:szCs w:val="14"/>
                <w:color w:val="auto"/>
              </w:rPr>
              <w:t>Interest Expense</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3"/>
          </w:tcPr>
          <w:p>
            <w:pPr>
              <w:jc w:val="right"/>
              <w:ind w:right="400"/>
              <w:spacing w:after="0" w:line="149" w:lineRule="exact"/>
              <w:rPr>
                <w:sz w:val="20"/>
                <w:szCs w:val="20"/>
                <w:color w:val="auto"/>
              </w:rPr>
            </w:pPr>
            <w:r>
              <w:rPr>
                <w:rFonts w:ascii="Arial" w:cs="Arial" w:eastAsia="Arial" w:hAnsi="Arial"/>
                <w:sz w:val="14"/>
                <w:szCs w:val="14"/>
                <w:color w:val="auto"/>
              </w:rPr>
              <w:t>(380)</w:t>
            </w: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Charges</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20" w:type="dxa"/>
            <w:vAlign w:val="bottom"/>
            <w:gridSpan w:val="3"/>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(143)</w:t>
            </w: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5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gridSpan w:val="2"/>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5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1,087</w:t>
            </w: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2310130</wp:posOffset>
            </wp:positionH>
            <wp:positionV relativeFrom="paragraph">
              <wp:posOffset>-4977765</wp:posOffset>
            </wp:positionV>
            <wp:extent cx="12700" cy="2984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2369820</wp:posOffset>
            </wp:positionH>
            <wp:positionV relativeFrom="paragraph">
              <wp:posOffset>-4977765</wp:posOffset>
            </wp:positionV>
            <wp:extent cx="21590" cy="2984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2653030</wp:posOffset>
            </wp:positionH>
            <wp:positionV relativeFrom="paragraph">
              <wp:posOffset>-4977765</wp:posOffset>
            </wp:positionV>
            <wp:extent cx="38735" cy="2984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2936240</wp:posOffset>
            </wp:positionH>
            <wp:positionV relativeFrom="paragraph">
              <wp:posOffset>-4977765</wp:posOffset>
            </wp:positionV>
            <wp:extent cx="398780" cy="2984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398780" cy="29845"/>
                    </a:xfrm>
                    <a:prstGeom prst="rect">
                      <a:avLst/>
                    </a:prstGeom>
                    <a:noFill/>
                  </pic:spPr>
                </pic:pic>
              </a:graphicData>
            </a:graphic>
          </wp:anchor>
        </w:drawing>
        <w:drawing>
          <wp:anchor simplePos="0" relativeHeight="251657728" behindDoc="1" locked="0" layoutInCell="0" allowOverlap="1">
            <wp:simplePos x="0" y="0"/>
            <wp:positionH relativeFrom="column">
              <wp:posOffset>3587750</wp:posOffset>
            </wp:positionH>
            <wp:positionV relativeFrom="paragraph">
              <wp:posOffset>-4977765</wp:posOffset>
            </wp:positionV>
            <wp:extent cx="12700" cy="2984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-4977765</wp:posOffset>
            </wp:positionV>
            <wp:extent cx="21590" cy="2984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3947795</wp:posOffset>
            </wp:positionH>
            <wp:positionV relativeFrom="paragraph">
              <wp:posOffset>-4977765</wp:posOffset>
            </wp:positionV>
            <wp:extent cx="38735" cy="2984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4239260</wp:posOffset>
            </wp:positionH>
            <wp:positionV relativeFrom="paragraph">
              <wp:posOffset>-4977765</wp:posOffset>
            </wp:positionV>
            <wp:extent cx="12700" cy="2984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-4977765</wp:posOffset>
            </wp:positionV>
            <wp:extent cx="21590" cy="2984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-4977765</wp:posOffset>
            </wp:positionV>
            <wp:extent cx="38735" cy="2984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5586095</wp:posOffset>
            </wp:positionH>
            <wp:positionV relativeFrom="paragraph">
              <wp:posOffset>-4977765</wp:posOffset>
            </wp:positionV>
            <wp:extent cx="12700" cy="2984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-4977765</wp:posOffset>
            </wp:positionV>
            <wp:extent cx="12700" cy="2984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-4977765</wp:posOffset>
            </wp:positionV>
            <wp:extent cx="21590" cy="2984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6109335</wp:posOffset>
            </wp:positionH>
            <wp:positionV relativeFrom="paragraph">
              <wp:posOffset>-4977765</wp:posOffset>
            </wp:positionV>
            <wp:extent cx="12700" cy="2984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6452235</wp:posOffset>
            </wp:positionH>
            <wp:positionV relativeFrom="paragraph">
              <wp:posOffset>-4977765</wp:posOffset>
            </wp:positionV>
            <wp:extent cx="12700" cy="2984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6169025</wp:posOffset>
            </wp:positionH>
            <wp:positionV relativeFrom="paragraph">
              <wp:posOffset>-4977765</wp:posOffset>
            </wp:positionV>
            <wp:extent cx="21590" cy="2984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6675120</wp:posOffset>
            </wp:positionH>
            <wp:positionV relativeFrom="paragraph">
              <wp:posOffset>-4977765</wp:posOffset>
            </wp:positionV>
            <wp:extent cx="12700" cy="2984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-4977765</wp:posOffset>
            </wp:positionV>
            <wp:extent cx="12700" cy="2984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6734810</wp:posOffset>
            </wp:positionH>
            <wp:positionV relativeFrom="paragraph">
              <wp:posOffset>-4977765</wp:posOffset>
            </wp:positionV>
            <wp:extent cx="21590" cy="2984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-4291330</wp:posOffset>
            </wp:positionV>
            <wp:extent cx="441325" cy="2984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441325" cy="29845"/>
                    </a:xfrm>
                    <a:prstGeom prst="rect">
                      <a:avLst/>
                    </a:prstGeom>
                    <a:noFill/>
                  </pic:spPr>
                </pic:pic>
              </a:graphicData>
            </a:graphic>
          </wp:anchor>
        </w:drawing>
        <w:drawing>
          <wp:anchor simplePos="0" relativeHeight="251657728" behindDoc="1" locked="0" layoutInCell="0" allowOverlap="1">
            <wp:simplePos x="0" y="0"/>
            <wp:positionH relativeFrom="column">
              <wp:posOffset>2258695</wp:posOffset>
            </wp:positionH>
            <wp:positionV relativeFrom="paragraph">
              <wp:posOffset>-715010</wp:posOffset>
            </wp:positionV>
            <wp:extent cx="12700" cy="2984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2318385</wp:posOffset>
            </wp:positionH>
            <wp:positionV relativeFrom="paragraph">
              <wp:posOffset>-715010</wp:posOffset>
            </wp:positionV>
            <wp:extent cx="21590" cy="2984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2601595</wp:posOffset>
            </wp:positionH>
            <wp:positionV relativeFrom="paragraph">
              <wp:posOffset>-715010</wp:posOffset>
            </wp:positionV>
            <wp:extent cx="38735" cy="2984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2893060</wp:posOffset>
            </wp:positionH>
            <wp:positionV relativeFrom="paragraph">
              <wp:posOffset>-715010</wp:posOffset>
            </wp:positionV>
            <wp:extent cx="12700" cy="2984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2953385</wp:posOffset>
            </wp:positionH>
            <wp:positionV relativeFrom="paragraph">
              <wp:posOffset>-715010</wp:posOffset>
            </wp:positionV>
            <wp:extent cx="21590" cy="2984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3253105</wp:posOffset>
            </wp:positionH>
            <wp:positionV relativeFrom="paragraph">
              <wp:posOffset>-715010</wp:posOffset>
            </wp:positionV>
            <wp:extent cx="38735" cy="2984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3544570</wp:posOffset>
            </wp:positionH>
            <wp:positionV relativeFrom="paragraph">
              <wp:posOffset>-715010</wp:posOffset>
            </wp:positionV>
            <wp:extent cx="12700" cy="2984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3604895</wp:posOffset>
            </wp:positionH>
            <wp:positionV relativeFrom="paragraph">
              <wp:posOffset>-715010</wp:posOffset>
            </wp:positionV>
            <wp:extent cx="21590" cy="2984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-715010</wp:posOffset>
            </wp:positionV>
            <wp:extent cx="38735" cy="2984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-715010</wp:posOffset>
            </wp:positionV>
            <wp:extent cx="12700" cy="2984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4256405</wp:posOffset>
            </wp:positionH>
            <wp:positionV relativeFrom="paragraph">
              <wp:posOffset>-715010</wp:posOffset>
            </wp:positionV>
            <wp:extent cx="21590" cy="2984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-715010</wp:posOffset>
            </wp:positionV>
            <wp:extent cx="38735" cy="2984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5586095</wp:posOffset>
            </wp:positionH>
            <wp:positionV relativeFrom="paragraph">
              <wp:posOffset>-715010</wp:posOffset>
            </wp:positionV>
            <wp:extent cx="12700" cy="2984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-715010</wp:posOffset>
            </wp:positionV>
            <wp:extent cx="12700" cy="2984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-715010</wp:posOffset>
            </wp:positionV>
            <wp:extent cx="21590" cy="2984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6109335</wp:posOffset>
            </wp:positionH>
            <wp:positionV relativeFrom="paragraph">
              <wp:posOffset>-715010</wp:posOffset>
            </wp:positionV>
            <wp:extent cx="12700" cy="2984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6452235</wp:posOffset>
            </wp:positionH>
            <wp:positionV relativeFrom="paragraph">
              <wp:posOffset>-715010</wp:posOffset>
            </wp:positionV>
            <wp:extent cx="12700" cy="2984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6169025</wp:posOffset>
            </wp:positionH>
            <wp:positionV relativeFrom="paragraph">
              <wp:posOffset>-715010</wp:posOffset>
            </wp:positionV>
            <wp:extent cx="21590" cy="2984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6675120</wp:posOffset>
            </wp:positionH>
            <wp:positionV relativeFrom="paragraph">
              <wp:posOffset>-715010</wp:posOffset>
            </wp:positionV>
            <wp:extent cx="12700" cy="2984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-715010</wp:posOffset>
            </wp:positionV>
            <wp:extent cx="12700" cy="2984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6734810</wp:posOffset>
            </wp:positionH>
            <wp:positionV relativeFrom="paragraph">
              <wp:posOffset>-715010</wp:posOffset>
            </wp:positionV>
            <wp:extent cx="21590" cy="2984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-29210</wp:posOffset>
            </wp:positionV>
            <wp:extent cx="12700" cy="2984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-29210</wp:posOffset>
            </wp:positionV>
            <wp:extent cx="21590" cy="2984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5294630</wp:posOffset>
            </wp:positionH>
            <wp:positionV relativeFrom="paragraph">
              <wp:posOffset>-29210</wp:posOffset>
            </wp:positionV>
            <wp:extent cx="38735" cy="2984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p>
      <w:pPr>
        <w:spacing w:after="0" w:line="243" w:lineRule="exact"/>
        <w:rPr>
          <w:sz w:val="20"/>
          <w:szCs w:val="20"/>
          <w:color w:val="auto"/>
        </w:rPr>
      </w:pPr>
    </w:p>
    <w:p>
      <w:pPr>
        <w:spacing w:after="0"/>
        <w:tabs>
          <w:tab w:leader="none" w:pos="10400" w:val="left"/>
        </w:tabs>
        <w:rPr>
          <w:sz w:val="20"/>
          <w:szCs w:val="20"/>
          <w:color w:val="auto"/>
        </w:rPr>
      </w:pPr>
      <w:r>
        <w:rPr>
          <w:rFonts w:ascii="Arial" w:cs="Arial" w:eastAsia="Arial" w:hAnsi="Arial"/>
          <w:sz w:val="14"/>
          <w:szCs w:val="14"/>
          <w:color w:val="auto"/>
        </w:rPr>
        <w:t>62 / SLB</w:t>
      </w:r>
      <w:r>
        <w:rPr>
          <w:sz w:val="20"/>
          <w:szCs w:val="20"/>
          <w:color w:val="auto"/>
        </w:rPr>
        <w:tab/>
      </w:r>
      <w:r>
        <w:rPr>
          <w:rFonts w:ascii="Arial" w:cs="Arial" w:eastAsia="Arial" w:hAnsi="Arial"/>
          <w:sz w:val="12"/>
          <w:szCs w:val="12"/>
          <w:color w:val="auto"/>
        </w:rPr>
        <w:t>2003 FORM 10-K</w:t>
      </w:r>
    </w:p>
    <w:p>
      <w:pPr>
        <w:sectPr>
          <w:pgSz w:w="11900" w:h="16838" w:orient="portrait"/>
          <w:cols w:equalWidth="0" w:num="1">
            <w:col w:w="11420"/>
          </w:cols>
          <w:pgMar w:left="240" w:top="459" w:right="239" w:bottom="1440" w:gutter="0" w:footer="0" w:header="0"/>
          <w:type w:val="continuous"/>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4"/>
          <w:szCs w:val="14"/>
          <w:color w:val="auto"/>
        </w:rPr>
        <w:t>Part II, Item 8</w:t>
      </w:r>
    </w:p>
    <w:p>
      <w:pPr>
        <w:spacing w:after="0" w:line="139" w:lineRule="exact"/>
        <w:rPr>
          <w:sz w:val="20"/>
          <w:szCs w:val="20"/>
          <w:color w:val="auto"/>
        </w:rPr>
      </w:pPr>
    </w:p>
    <w:p>
      <w:pPr>
        <w:ind w:right="120" w:firstLine="228"/>
        <w:spacing w:after="0" w:line="254" w:lineRule="auto"/>
        <w:rPr>
          <w:sz w:val="20"/>
          <w:szCs w:val="20"/>
          <w:color w:val="auto"/>
        </w:rPr>
      </w:pPr>
      <w:r>
        <w:rPr>
          <w:rFonts w:ascii="Arial" w:cs="Arial" w:eastAsia="Arial" w:hAnsi="Arial"/>
          <w:sz w:val="18"/>
          <w:szCs w:val="18"/>
          <w:color w:val="auto"/>
        </w:rPr>
        <w:t>Oilfield Services net income eliminations include certain headquarters administrative costs which are not allocated geographically, manufacturing and certain other operations, and costs maintained at the Oilfield Services level.</w:t>
      </w:r>
    </w:p>
    <w:p>
      <w:pPr>
        <w:ind w:right="760" w:firstLine="228"/>
        <w:spacing w:after="0" w:line="250" w:lineRule="auto"/>
        <w:rPr>
          <w:sz w:val="20"/>
          <w:szCs w:val="20"/>
          <w:color w:val="auto"/>
        </w:rPr>
      </w:pPr>
      <w:r>
        <w:rPr>
          <w:rFonts w:ascii="Arial" w:cs="Arial" w:eastAsia="Arial" w:hAnsi="Arial"/>
          <w:sz w:val="18"/>
          <w:szCs w:val="18"/>
          <w:color w:val="auto"/>
        </w:rPr>
        <w:t>SchlumbergerSema net income eliminations include certain headquarters administrative costs which are not allocated geographically and other costs maintained at the SchlumbergerSema level.</w:t>
      </w:r>
    </w:p>
    <w:p>
      <w:pPr>
        <w:spacing w:after="0" w:line="1" w:lineRule="exact"/>
        <w:rPr>
          <w:sz w:val="20"/>
          <w:szCs w:val="20"/>
          <w:color w:val="auto"/>
        </w:rPr>
      </w:pPr>
    </w:p>
    <w:p>
      <w:pPr>
        <w:jc w:val="both"/>
        <w:ind w:right="240" w:firstLine="228"/>
        <w:spacing w:after="0" w:line="250" w:lineRule="auto"/>
        <w:rPr>
          <w:sz w:val="20"/>
          <w:szCs w:val="20"/>
          <w:color w:val="auto"/>
        </w:rPr>
      </w:pPr>
      <w:r>
        <w:rPr>
          <w:rFonts w:ascii="Arial" w:cs="Arial" w:eastAsia="Arial" w:hAnsi="Arial"/>
          <w:sz w:val="18"/>
          <w:szCs w:val="18"/>
          <w:color w:val="auto"/>
        </w:rPr>
        <w:t>Corporate income eliminations principally comprise the amortization of goodwill (in 2001) and other intangibles, as well as nonoperating expenses, such as certain intersegment charges and interest expense (except as shown above), which are not included in the segments’ income. Corporate assets largely comprise short-term investments and fixed income investments, held to maturity.</w:t>
      </w:r>
    </w:p>
    <w:p>
      <w:pPr>
        <w:spacing w:after="0" w:line="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During the three years ended December 31, 2003, no single customer exceeded 10% of consolidated revenue.</w:t>
      </w:r>
    </w:p>
    <w:p>
      <w:pPr>
        <w:spacing w:after="0" w:line="9" w:lineRule="exact"/>
        <w:rPr>
          <w:sz w:val="20"/>
          <w:szCs w:val="20"/>
          <w:color w:val="auto"/>
        </w:rPr>
      </w:pPr>
    </w:p>
    <w:p>
      <w:pPr>
        <w:ind w:right="40" w:firstLine="228"/>
        <w:spacing w:after="0" w:line="281" w:lineRule="auto"/>
        <w:rPr>
          <w:sz w:val="20"/>
          <w:szCs w:val="20"/>
          <w:color w:val="auto"/>
        </w:rPr>
      </w:pPr>
      <w:r>
        <w:rPr>
          <w:rFonts w:ascii="Arial" w:cs="Arial" w:eastAsia="Arial" w:hAnsi="Arial"/>
          <w:sz w:val="16"/>
          <w:szCs w:val="16"/>
          <w:color w:val="auto"/>
        </w:rPr>
        <w:t>Schlumberger did not have revenue from third-party customers in its country of domicile during the last three years. In each of the three years, only revenue in the US exceeded 10% of consolidated revenue. Revenue in the US in 2003, 2002 and 2001 was $3.8 billion, $4.0 billion and $5.1 billion, respectively.</w:t>
      </w:r>
    </w:p>
    <w:p>
      <w:pPr>
        <w:spacing w:after="0" w:line="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Interest expense excludes amounts which are included in the segments’ income (2003 – $5 million: 2002 – $4 million: 2001 – $5 million).</w:t>
      </w:r>
    </w:p>
    <w:p>
      <w:pPr>
        <w:spacing w:after="0" w:line="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Depreciation &amp; Amortization and Capital Expenditure include Multiclient seismic data costs.</w:t>
      </w:r>
    </w:p>
    <w:p>
      <w:pPr>
        <w:spacing w:after="0" w:line="141" w:lineRule="exact"/>
        <w:rPr>
          <w:sz w:val="20"/>
          <w:szCs w:val="20"/>
          <w:color w:val="auto"/>
        </w:rPr>
      </w:pPr>
    </w:p>
    <w:p>
      <w:pPr>
        <w:ind w:left="440" w:hanging="432"/>
        <w:spacing w:after="0"/>
        <w:tabs>
          <w:tab w:leader="none" w:pos="440"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color w:val="auto"/>
        </w:rPr>
        <w:t>Pension and Other Benefit Plans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Pension Plans</w:t>
      </w:r>
    </w:p>
    <w:p>
      <w:pPr>
        <w:spacing w:after="0" w:line="72" w:lineRule="exact"/>
        <w:rPr>
          <w:sz w:val="20"/>
          <w:szCs w:val="20"/>
          <w:color w:val="auto"/>
        </w:rPr>
      </w:pPr>
    </w:p>
    <w:p>
      <w:pPr>
        <w:ind w:right="240"/>
        <w:spacing w:after="0" w:line="252" w:lineRule="auto"/>
        <w:rPr>
          <w:sz w:val="20"/>
          <w:szCs w:val="20"/>
          <w:color w:val="auto"/>
        </w:rPr>
      </w:pPr>
      <w:r>
        <w:rPr>
          <w:rFonts w:ascii="Arial" w:cs="Arial" w:eastAsia="Arial" w:hAnsi="Arial"/>
          <w:sz w:val="18"/>
          <w:szCs w:val="18"/>
          <w:color w:val="auto"/>
        </w:rPr>
        <w:t>Schlumberger and its US subsidiary sponsor several defined benefit pension plans that cover substantially all employees. The benefits are based on years of service and compensation on a career-average pay basis. These plans are funded through a trust in respect to past and current service. Charges to expense are based upon costs computed by independent actuaries. The funding policy is to annually contribute amounts that are allowable for federal income tax purposes. These contributions are intended to provide for benefits earned to date and those expected to be earned in the future. The contribution in 2004 is expected to be between $40 million and $150 million.</w:t>
      </w:r>
    </w:p>
    <w:p>
      <w:pPr>
        <w:ind w:left="240"/>
        <w:spacing w:after="0"/>
        <w:rPr>
          <w:sz w:val="20"/>
          <w:szCs w:val="20"/>
          <w:color w:val="auto"/>
        </w:rPr>
      </w:pPr>
      <w:r>
        <w:rPr>
          <w:rFonts w:ascii="Arial" w:cs="Arial" w:eastAsia="Arial" w:hAnsi="Arial"/>
          <w:sz w:val="18"/>
          <w:szCs w:val="18"/>
          <w:color w:val="auto"/>
        </w:rPr>
        <w:t>The assumed discount rate, compensation increases and return on plan assets used to determine pension expense were as follows:</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8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2003</w:t>
            </w:r>
          </w:p>
        </w:tc>
        <w:tc>
          <w:tcPr>
            <w:tcW w:w="100" w:type="dxa"/>
            <w:vAlign w:val="bottom"/>
          </w:tcPr>
          <w:p>
            <w:pPr>
              <w:spacing w:after="0"/>
              <w:rPr>
                <w:sz w:val="15"/>
                <w:szCs w:val="15"/>
                <w:color w:val="auto"/>
              </w:rPr>
            </w:pPr>
          </w:p>
        </w:tc>
        <w:tc>
          <w:tcPr>
            <w:tcW w:w="920" w:type="dxa"/>
            <w:vAlign w:val="bottom"/>
            <w:gridSpan w:val="2"/>
          </w:tcPr>
          <w:p>
            <w:pPr>
              <w:jc w:val="right"/>
              <w:ind w:right="512"/>
              <w:spacing w:after="0"/>
              <w:rPr>
                <w:sz w:val="20"/>
                <w:szCs w:val="20"/>
                <w:color w:val="auto"/>
              </w:rPr>
            </w:pPr>
            <w:r>
              <w:rPr>
                <w:rFonts w:ascii="Arial" w:cs="Arial" w:eastAsia="Arial" w:hAnsi="Arial"/>
                <w:sz w:val="14"/>
                <w:szCs w:val="14"/>
                <w:b w:val="1"/>
                <w:bCs w:val="1"/>
                <w:color w:val="auto"/>
              </w:rPr>
              <w:t>2002</w:t>
            </w:r>
          </w:p>
        </w:tc>
        <w:tc>
          <w:tcPr>
            <w:tcW w:w="80" w:type="dxa"/>
            <w:vAlign w:val="bottom"/>
          </w:tcPr>
          <w:p>
            <w:pPr>
              <w:spacing w:after="0"/>
              <w:rPr>
                <w:sz w:val="15"/>
                <w:szCs w:val="15"/>
                <w:color w:val="auto"/>
              </w:rPr>
            </w:pPr>
          </w:p>
        </w:tc>
        <w:tc>
          <w:tcPr>
            <w:tcW w:w="300" w:type="dxa"/>
            <w:vAlign w:val="bottom"/>
          </w:tcPr>
          <w:p>
            <w:pPr>
              <w:jc w:val="right"/>
              <w:spacing w:after="0"/>
              <w:rPr>
                <w:sz w:val="20"/>
                <w:szCs w:val="20"/>
                <w:color w:val="auto"/>
              </w:rPr>
            </w:pPr>
            <w:r>
              <w:rPr>
                <w:rFonts w:ascii="Arial" w:cs="Arial" w:eastAsia="Arial" w:hAnsi="Arial"/>
                <w:sz w:val="14"/>
                <w:szCs w:val="14"/>
                <w:b w:val="1"/>
                <w:bCs w:val="1"/>
                <w:color w:val="auto"/>
                <w:w w:val="83"/>
              </w:rPr>
              <w:t>2001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888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88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Assumed discount rate</w:t>
            </w: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b w:val="1"/>
                <w:bCs w:val="1"/>
                <w:color w:val="auto"/>
              </w:rPr>
              <w:t>6.75%</w:t>
            </w: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392"/>
              <w:spacing w:after="0" w:line="149" w:lineRule="exact"/>
              <w:rPr>
                <w:sz w:val="20"/>
                <w:szCs w:val="20"/>
                <w:color w:val="auto"/>
              </w:rPr>
            </w:pPr>
            <w:r>
              <w:rPr>
                <w:rFonts w:ascii="Arial" w:cs="Arial" w:eastAsia="Arial" w:hAnsi="Arial"/>
                <w:sz w:val="14"/>
                <w:szCs w:val="14"/>
                <w:color w:val="auto"/>
              </w:rPr>
              <w:t>7.25%</w:t>
            </w:r>
          </w:p>
        </w:tc>
        <w:tc>
          <w:tcPr>
            <w:tcW w:w="8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95"/>
              </w:rPr>
              <w:t>7.50%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80" w:type="dxa"/>
            <w:vAlign w:val="bottom"/>
          </w:tcPr>
          <w:p>
            <w:pPr>
              <w:spacing w:after="0" w:line="149" w:lineRule="exact"/>
              <w:rPr>
                <w:sz w:val="20"/>
                <w:szCs w:val="20"/>
                <w:color w:val="auto"/>
              </w:rPr>
            </w:pPr>
            <w:r>
              <w:rPr>
                <w:rFonts w:ascii="Arial" w:cs="Arial" w:eastAsia="Arial" w:hAnsi="Arial"/>
                <w:sz w:val="14"/>
                <w:szCs w:val="14"/>
                <w:color w:val="auto"/>
              </w:rPr>
              <w:t>Compensation increases</w:t>
            </w:r>
          </w:p>
        </w:tc>
        <w:tc>
          <w:tcPr>
            <w:tcW w:w="80" w:type="dxa"/>
            <w:vAlign w:val="bottom"/>
          </w:tcPr>
          <w:p>
            <w:pPr>
              <w:spacing w:after="0"/>
              <w:rPr>
                <w:sz w:val="12"/>
                <w:szCs w:val="12"/>
                <w:color w:val="auto"/>
              </w:rPr>
            </w:pPr>
          </w:p>
        </w:tc>
        <w:tc>
          <w:tcPr>
            <w:tcW w:w="940" w:type="dxa"/>
            <w:vAlign w:val="bottom"/>
            <w:gridSpan w:val="2"/>
          </w:tcPr>
          <w:p>
            <w:pPr>
              <w:jc w:val="right"/>
              <w:ind w:right="360"/>
              <w:spacing w:after="0" w:line="149" w:lineRule="exact"/>
              <w:rPr>
                <w:sz w:val="20"/>
                <w:szCs w:val="20"/>
                <w:color w:val="auto"/>
              </w:rPr>
            </w:pPr>
            <w:r>
              <w:rPr>
                <w:rFonts w:ascii="Arial" w:cs="Arial" w:eastAsia="Arial" w:hAnsi="Arial"/>
                <w:sz w:val="14"/>
                <w:szCs w:val="14"/>
                <w:b w:val="1"/>
                <w:bCs w:val="1"/>
                <w:color w:val="auto"/>
              </w:rPr>
              <w:t>3.00%</w:t>
            </w:r>
          </w:p>
        </w:tc>
        <w:tc>
          <w:tcPr>
            <w:tcW w:w="100" w:type="dxa"/>
            <w:vAlign w:val="bottom"/>
          </w:tcPr>
          <w:p>
            <w:pPr>
              <w:spacing w:after="0"/>
              <w:rPr>
                <w:sz w:val="12"/>
                <w:szCs w:val="12"/>
                <w:color w:val="auto"/>
              </w:rPr>
            </w:pPr>
          </w:p>
        </w:tc>
        <w:tc>
          <w:tcPr>
            <w:tcW w:w="920" w:type="dxa"/>
            <w:vAlign w:val="bottom"/>
            <w:gridSpan w:val="2"/>
          </w:tcPr>
          <w:p>
            <w:pPr>
              <w:jc w:val="right"/>
              <w:ind w:right="392"/>
              <w:spacing w:after="0" w:line="149" w:lineRule="exact"/>
              <w:rPr>
                <w:sz w:val="20"/>
                <w:szCs w:val="20"/>
                <w:color w:val="auto"/>
              </w:rPr>
            </w:pPr>
            <w:r>
              <w:rPr>
                <w:rFonts w:ascii="Arial" w:cs="Arial" w:eastAsia="Arial" w:hAnsi="Arial"/>
                <w:sz w:val="14"/>
                <w:szCs w:val="14"/>
                <w:color w:val="auto"/>
              </w:rPr>
              <w:t>3.00%</w:t>
            </w:r>
          </w:p>
        </w:tc>
        <w:tc>
          <w:tcPr>
            <w:tcW w:w="80" w:type="dxa"/>
            <w:vAlign w:val="bottom"/>
          </w:tcPr>
          <w:p>
            <w:pPr>
              <w:spacing w:after="0"/>
              <w:rPr>
                <w:sz w:val="12"/>
                <w:szCs w:val="12"/>
                <w:color w:val="auto"/>
              </w:rPr>
            </w:pPr>
          </w:p>
        </w:tc>
        <w:tc>
          <w:tcPr>
            <w:tcW w:w="400" w:type="dxa"/>
            <w:vAlign w:val="bottom"/>
            <w:gridSpan w:val="2"/>
          </w:tcPr>
          <w:p>
            <w:pPr>
              <w:jc w:val="right"/>
              <w:spacing w:after="0" w:line="149" w:lineRule="exact"/>
              <w:rPr>
                <w:sz w:val="20"/>
                <w:szCs w:val="20"/>
                <w:color w:val="auto"/>
              </w:rPr>
            </w:pPr>
            <w:r>
              <w:rPr>
                <w:rFonts w:ascii="Arial" w:cs="Arial" w:eastAsia="Arial" w:hAnsi="Arial"/>
                <w:sz w:val="14"/>
                <w:szCs w:val="14"/>
                <w:color w:val="auto"/>
                <w:w w:val="95"/>
              </w:rPr>
              <w:t>4.50%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Return on plan assets</w:t>
            </w: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b w:val="1"/>
                <w:bCs w:val="1"/>
                <w:color w:val="auto"/>
              </w:rPr>
              <w:t>8.50%</w:t>
            </w: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392"/>
              <w:spacing w:after="0" w:line="149" w:lineRule="exact"/>
              <w:rPr>
                <w:sz w:val="20"/>
                <w:szCs w:val="20"/>
                <w:color w:val="auto"/>
              </w:rPr>
            </w:pPr>
            <w:r>
              <w:rPr>
                <w:rFonts w:ascii="Arial" w:cs="Arial" w:eastAsia="Arial" w:hAnsi="Arial"/>
                <w:sz w:val="14"/>
                <w:szCs w:val="14"/>
                <w:color w:val="auto"/>
              </w:rPr>
              <w:t>8.50%</w:t>
            </w:r>
          </w:p>
        </w:tc>
        <w:tc>
          <w:tcPr>
            <w:tcW w:w="8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95"/>
              </w:rPr>
              <w:t>9.00%</w:t>
            </w: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8880" w:type="dxa"/>
            <w:vAlign w:val="bottom"/>
          </w:tcPr>
          <w:p>
            <w:pPr>
              <w:ind w:left="220"/>
              <w:spacing w:after="0"/>
              <w:rPr>
                <w:sz w:val="20"/>
                <w:szCs w:val="20"/>
                <w:color w:val="auto"/>
              </w:rPr>
            </w:pPr>
            <w:r>
              <w:rPr>
                <w:rFonts w:ascii="Arial" w:cs="Arial" w:eastAsia="Arial" w:hAnsi="Arial"/>
                <w:sz w:val="18"/>
                <w:szCs w:val="18"/>
                <w:color w:val="auto"/>
              </w:rPr>
              <w:t>Net pension cost in the US for 2003, 2002 and 2001, included the following components:</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1"/>
        </w:trPr>
        <w:tc>
          <w:tcPr>
            <w:tcW w:w="8900" w:type="dxa"/>
            <w:vAlign w:val="bottom"/>
            <w:gridSpan w:val="2"/>
          </w:tcPr>
          <w:p>
            <w:pPr>
              <w:spacing w:after="0"/>
              <w:rPr>
                <w:sz w:val="20"/>
                <w:szCs w:val="20"/>
                <w:color w:val="auto"/>
              </w:rPr>
            </w:pPr>
            <w:r>
              <w:rPr>
                <w:rFonts w:ascii="Arial" w:cs="Arial" w:eastAsia="Arial" w:hAnsi="Arial"/>
                <w:sz w:val="14"/>
                <w:szCs w:val="14"/>
                <w:b w:val="1"/>
                <w:bCs w:val="1"/>
                <w:color w:val="auto"/>
              </w:rPr>
              <w:t>(Stated in millions)</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88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88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00" w:type="dxa"/>
            <w:vAlign w:val="bottom"/>
          </w:tcPr>
          <w:p>
            <w:pPr>
              <w:jc w:val="right"/>
              <w:spacing w:after="0"/>
              <w:rPr>
                <w:sz w:val="20"/>
                <w:szCs w:val="20"/>
                <w:color w:val="auto"/>
              </w:rPr>
            </w:pPr>
            <w:r>
              <w:rPr>
                <w:rFonts w:ascii="Arial" w:cs="Arial" w:eastAsia="Arial" w:hAnsi="Arial"/>
                <w:sz w:val="14"/>
                <w:szCs w:val="14"/>
                <w:b w:val="1"/>
                <w:bCs w:val="1"/>
                <w:color w:val="auto"/>
                <w:w w:val="89"/>
              </w:rPr>
              <w:t>2003</w:t>
            </w:r>
          </w:p>
        </w:tc>
        <w:tc>
          <w:tcPr>
            <w:tcW w:w="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jc w:val="right"/>
              <w:spacing w:after="0"/>
              <w:rPr>
                <w:sz w:val="20"/>
                <w:szCs w:val="20"/>
                <w:color w:val="auto"/>
              </w:rPr>
            </w:pPr>
            <w:r>
              <w:rPr>
                <w:rFonts w:ascii="Arial" w:cs="Arial" w:eastAsia="Arial" w:hAnsi="Arial"/>
                <w:sz w:val="14"/>
                <w:szCs w:val="14"/>
                <w:b w:val="1"/>
                <w:bCs w:val="1"/>
                <w:color w:val="auto"/>
                <w:w w:val="83"/>
              </w:rPr>
              <w:t>2002</w:t>
            </w:r>
          </w:p>
        </w:tc>
        <w:tc>
          <w:tcPr>
            <w:tcW w:w="6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00" w:type="dxa"/>
            <w:vAlign w:val="bottom"/>
          </w:tcPr>
          <w:p>
            <w:pPr>
              <w:jc w:val="right"/>
              <w:spacing w:after="0"/>
              <w:rPr>
                <w:sz w:val="20"/>
                <w:szCs w:val="20"/>
                <w:color w:val="auto"/>
              </w:rPr>
            </w:pPr>
            <w:r>
              <w:rPr>
                <w:rFonts w:ascii="Arial" w:cs="Arial" w:eastAsia="Arial" w:hAnsi="Arial"/>
                <w:sz w:val="14"/>
                <w:szCs w:val="14"/>
                <w:b w:val="1"/>
                <w:bCs w:val="1"/>
                <w:color w:val="auto"/>
                <w:w w:val="89"/>
              </w:rPr>
              <w:t>2001</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888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88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Service cost – benefits earned during the period</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56</w:t>
            </w: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2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51</w:t>
            </w: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80" w:type="dxa"/>
            <w:vAlign w:val="bottom"/>
          </w:tcPr>
          <w:p>
            <w:pPr>
              <w:spacing w:after="0" w:line="149" w:lineRule="exact"/>
              <w:rPr>
                <w:sz w:val="20"/>
                <w:szCs w:val="20"/>
                <w:color w:val="auto"/>
              </w:rPr>
            </w:pPr>
            <w:r>
              <w:rPr>
                <w:rFonts w:ascii="Arial" w:cs="Arial" w:eastAsia="Arial" w:hAnsi="Arial"/>
                <w:sz w:val="14"/>
                <w:szCs w:val="14"/>
                <w:color w:val="auto"/>
              </w:rPr>
              <w:t>Interest cost on projected benefit obligation</w:t>
            </w:r>
          </w:p>
        </w:tc>
        <w:tc>
          <w:tcPr>
            <w:tcW w:w="80" w:type="dxa"/>
            <w:vAlign w:val="bottom"/>
          </w:tcPr>
          <w:p>
            <w:pPr>
              <w:spacing w:after="0"/>
              <w:rPr>
                <w:sz w:val="12"/>
                <w:szCs w:val="12"/>
                <w:color w:val="auto"/>
              </w:rPr>
            </w:pPr>
          </w:p>
        </w:tc>
        <w:tc>
          <w:tcPr>
            <w:tcW w:w="3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93</w:t>
            </w: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jc w:val="right"/>
              <w:spacing w:after="0" w:line="149" w:lineRule="exact"/>
              <w:rPr>
                <w:sz w:val="20"/>
                <w:szCs w:val="20"/>
                <w:color w:val="auto"/>
              </w:rPr>
            </w:pPr>
            <w:r>
              <w:rPr>
                <w:rFonts w:ascii="Arial" w:cs="Arial" w:eastAsia="Arial" w:hAnsi="Arial"/>
                <w:sz w:val="14"/>
                <w:szCs w:val="14"/>
                <w:color w:val="auto"/>
              </w:rPr>
              <w:t>90</w:t>
            </w: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rPr>
              <w:t>84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Expected return on plan assets [actual return: 2003 – $177; 2002 – $(114); 2001 – $(70)]</w:t>
            </w: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600"/>
              <w:spacing w:after="0" w:line="149" w:lineRule="exact"/>
              <w:rPr>
                <w:sz w:val="20"/>
                <w:szCs w:val="20"/>
                <w:color w:val="auto"/>
              </w:rPr>
            </w:pPr>
            <w:r>
              <w:rPr>
                <w:rFonts w:ascii="Arial" w:cs="Arial" w:eastAsia="Arial" w:hAnsi="Arial"/>
                <w:sz w:val="14"/>
                <w:szCs w:val="14"/>
                <w:b w:val="1"/>
                <w:bCs w:val="1"/>
                <w:color w:val="auto"/>
              </w:rPr>
              <w:t>(87)</w:t>
            </w: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532"/>
              <w:spacing w:after="0" w:line="149" w:lineRule="exact"/>
              <w:rPr>
                <w:sz w:val="20"/>
                <w:szCs w:val="20"/>
                <w:color w:val="auto"/>
              </w:rPr>
            </w:pPr>
            <w:r>
              <w:rPr>
                <w:rFonts w:ascii="Arial" w:cs="Arial" w:eastAsia="Arial" w:hAnsi="Arial"/>
                <w:sz w:val="14"/>
                <w:szCs w:val="14"/>
                <w:color w:val="auto"/>
              </w:rPr>
              <w:t>(93)</w:t>
            </w:r>
          </w:p>
        </w:tc>
        <w:tc>
          <w:tcPr>
            <w:tcW w:w="8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97"/>
              </w:rPr>
              <w:t>(101)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80" w:type="dxa"/>
            <w:vAlign w:val="bottom"/>
          </w:tcPr>
          <w:p>
            <w:pPr>
              <w:spacing w:after="0" w:line="149" w:lineRule="exact"/>
              <w:rPr>
                <w:sz w:val="20"/>
                <w:szCs w:val="20"/>
                <w:color w:val="auto"/>
              </w:rPr>
            </w:pPr>
            <w:r>
              <w:rPr>
                <w:rFonts w:ascii="Arial" w:cs="Arial" w:eastAsia="Arial" w:hAnsi="Arial"/>
                <w:sz w:val="14"/>
                <w:szCs w:val="14"/>
                <w:color w:val="auto"/>
              </w:rPr>
              <w:t>Amortization of transition assets</w:t>
            </w:r>
          </w:p>
        </w:tc>
        <w:tc>
          <w:tcPr>
            <w:tcW w:w="80" w:type="dxa"/>
            <w:vAlign w:val="bottom"/>
          </w:tcPr>
          <w:p>
            <w:pPr>
              <w:spacing w:after="0"/>
              <w:rPr>
                <w:sz w:val="12"/>
                <w:szCs w:val="12"/>
                <w:color w:val="auto"/>
              </w:rPr>
            </w:pPr>
          </w:p>
        </w:tc>
        <w:tc>
          <w:tcPr>
            <w:tcW w:w="940" w:type="dxa"/>
            <w:vAlign w:val="bottom"/>
            <w:gridSpan w:val="2"/>
          </w:tcPr>
          <w:p>
            <w:pPr>
              <w:jc w:val="right"/>
              <w:ind w:right="640"/>
              <w:spacing w:after="0" w:line="149"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2"/>
                <w:szCs w:val="12"/>
                <w:color w:val="auto"/>
              </w:rPr>
            </w:pPr>
          </w:p>
        </w:tc>
        <w:tc>
          <w:tcPr>
            <w:tcW w:w="920" w:type="dxa"/>
            <w:vAlign w:val="bottom"/>
            <w:gridSpan w:val="2"/>
          </w:tcPr>
          <w:p>
            <w:pPr>
              <w:jc w:val="right"/>
              <w:ind w:right="572"/>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4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Amortization of prior service cost/other</w:t>
            </w: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5</w:t>
            </w: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w:t>
            </w: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880" w:type="dxa"/>
            <w:vAlign w:val="bottom"/>
          </w:tcPr>
          <w:p>
            <w:pPr>
              <w:spacing w:after="0"/>
              <w:rPr>
                <w:sz w:val="20"/>
                <w:szCs w:val="20"/>
                <w:color w:val="auto"/>
              </w:rPr>
            </w:pPr>
            <w:r>
              <w:rPr>
                <w:rFonts w:ascii="Arial" w:cs="Arial" w:eastAsia="Arial" w:hAnsi="Arial"/>
                <w:sz w:val="14"/>
                <w:szCs w:val="14"/>
                <w:color w:val="auto"/>
              </w:rPr>
              <w:t>Amortization of unrecognized net loss (gain)</w:t>
            </w:r>
          </w:p>
        </w:tc>
        <w:tc>
          <w:tcPr>
            <w:tcW w:w="80" w:type="dxa"/>
            <w:vAlign w:val="bottom"/>
          </w:tcPr>
          <w:p>
            <w:pPr>
              <w:spacing w:after="0"/>
              <w:rPr>
                <w:sz w:val="15"/>
                <w:szCs w:val="15"/>
                <w:color w:val="auto"/>
              </w:rPr>
            </w:pPr>
          </w:p>
        </w:tc>
        <w:tc>
          <w:tcPr>
            <w:tcW w:w="300" w:type="dxa"/>
            <w:vAlign w:val="bottom"/>
          </w:tcPr>
          <w:p>
            <w:pPr>
              <w:jc w:val="right"/>
              <w:spacing w:after="0"/>
              <w:rPr>
                <w:sz w:val="20"/>
                <w:szCs w:val="20"/>
                <w:color w:val="auto"/>
              </w:rPr>
            </w:pPr>
            <w:r>
              <w:rPr>
                <w:rFonts w:ascii="Arial" w:cs="Arial" w:eastAsia="Arial" w:hAnsi="Arial"/>
                <w:sz w:val="14"/>
                <w:szCs w:val="14"/>
                <w:b w:val="1"/>
                <w:bCs w:val="1"/>
                <w:color w:val="auto"/>
              </w:rPr>
              <w:t>4</w:t>
            </w: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2"/>
          </w:tcPr>
          <w:p>
            <w:pPr>
              <w:jc w:val="right"/>
              <w:ind w:right="572"/>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400" w:type="dxa"/>
            <w:vAlign w:val="bottom"/>
            <w:gridSpan w:val="2"/>
          </w:tcPr>
          <w:p>
            <w:pPr>
              <w:jc w:val="right"/>
              <w:ind w:right="60"/>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888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64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64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88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8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Net pension cost</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71</w:t>
            </w: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2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55</w:t>
            </w: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8900" w:type="dxa"/>
            <w:vAlign w:val="bottom"/>
            <w:gridSpan w:val="2"/>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640" w:type="dxa"/>
            <w:vAlign w:val="bottom"/>
          </w:tcPr>
          <w:p>
            <w:pPr>
              <w:spacing w:after="0"/>
              <w:rPr>
                <w:sz w:val="11"/>
                <w:szCs w:val="11"/>
                <w:color w:val="auto"/>
              </w:rPr>
            </w:pPr>
          </w:p>
        </w:tc>
        <w:tc>
          <w:tcPr>
            <w:tcW w:w="380" w:type="dxa"/>
            <w:vAlign w:val="bottom"/>
            <w:tcBorders>
              <w:bottom w:val="single" w:sz="8" w:color="auto"/>
            </w:tcBorders>
            <w:gridSpan w:val="2"/>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15"/>
        </w:trPr>
        <w:tc>
          <w:tcPr>
            <w:tcW w:w="8900" w:type="dxa"/>
            <w:vAlign w:val="bottom"/>
            <w:gridSpan w:val="2"/>
          </w:tcPr>
          <w:p>
            <w:pPr>
              <w:spacing w:after="0"/>
              <w:rPr>
                <w:sz w:val="20"/>
                <w:szCs w:val="20"/>
                <w:color w:val="auto"/>
              </w:rPr>
            </w:pPr>
            <w:r>
              <w:rPr>
                <w:rFonts w:ascii="Arial" w:cs="Arial" w:eastAsia="Arial" w:hAnsi="Arial"/>
                <w:sz w:val="14"/>
                <w:szCs w:val="14"/>
                <w:color w:val="auto"/>
              </w:rPr>
              <w:t>63 / SLB</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gridSpan w:val="4"/>
          </w:tcPr>
          <w:p>
            <w:pPr>
              <w:jc w:val="right"/>
              <w:spacing w:after="0"/>
              <w:rPr>
                <w:sz w:val="20"/>
                <w:szCs w:val="20"/>
                <w:color w:val="auto"/>
              </w:rPr>
            </w:pPr>
            <w:r>
              <w:rPr>
                <w:rFonts w:ascii="Arial" w:cs="Arial" w:eastAsia="Arial" w:hAnsi="Arial"/>
                <w:sz w:val="14"/>
                <w:szCs w:val="14"/>
                <w:color w:val="auto"/>
              </w:rPr>
              <w:t>2003 FORM 10-K</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5645785</wp:posOffset>
            </wp:positionH>
            <wp:positionV relativeFrom="paragraph">
              <wp:posOffset>-292735</wp:posOffset>
            </wp:positionV>
            <wp:extent cx="12700" cy="2984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-292735</wp:posOffset>
            </wp:positionV>
            <wp:extent cx="21590" cy="2984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5877560</wp:posOffset>
            </wp:positionH>
            <wp:positionV relativeFrom="paragraph">
              <wp:posOffset>-292735</wp:posOffset>
            </wp:positionV>
            <wp:extent cx="38735" cy="2984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-292735</wp:posOffset>
            </wp:positionV>
            <wp:extent cx="12700" cy="2984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6357620</wp:posOffset>
            </wp:positionH>
            <wp:positionV relativeFrom="paragraph">
              <wp:posOffset>-292735</wp:posOffset>
            </wp:positionV>
            <wp:extent cx="21590" cy="2984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6529070</wp:posOffset>
            </wp:positionH>
            <wp:positionV relativeFrom="paragraph">
              <wp:posOffset>-292735</wp:posOffset>
            </wp:positionV>
            <wp:extent cx="38735" cy="2984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6949440</wp:posOffset>
            </wp:positionH>
            <wp:positionV relativeFrom="paragraph">
              <wp:posOffset>-292735</wp:posOffset>
            </wp:positionV>
            <wp:extent cx="12700" cy="2984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7009765</wp:posOffset>
            </wp:positionH>
            <wp:positionV relativeFrom="paragraph">
              <wp:posOffset>-292735</wp:posOffset>
            </wp:positionV>
            <wp:extent cx="21590" cy="2984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-292735</wp:posOffset>
            </wp:positionV>
            <wp:extent cx="38735" cy="2984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4"/>
          <w:szCs w:val="14"/>
          <w:color w:val="auto"/>
        </w:rPr>
        <w:t>Part II, Item 8</w:t>
      </w:r>
    </w:p>
    <w:p>
      <w:pPr>
        <w:spacing w:after="0" w:line="13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change in the projected benefit obligation, plan assets and funded status of the plans on December 31, 2003 and 2002, was as follows:</w:t>
      </w:r>
    </w:p>
    <w:p>
      <w:pPr>
        <w:spacing w:after="0" w:line="7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(Stated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178040" cy="8890"/>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7178040" cy="8890"/>
                    </a:xfrm>
                    <a:prstGeom prst="rect">
                      <a:avLst/>
                    </a:prstGeom>
                    <a:noFill/>
                  </pic:spPr>
                </pic:pic>
              </a:graphicData>
            </a:graphic>
          </wp:anchor>
        </w:drawing>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9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rPr>
              <w:t>2003</w:t>
            </w: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rPr>
              <w:t>2002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9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97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Projected benefit obligation at beginning of the year</w:t>
            </w:r>
          </w:p>
        </w:tc>
        <w:tc>
          <w:tcPr>
            <w:tcW w:w="1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b w:val="1"/>
                <w:bCs w:val="1"/>
                <w:color w:val="auto"/>
                <w:w w:val="76"/>
              </w:rPr>
              <w:t>$</w:t>
            </w: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96"/>
              </w:rPr>
              <w:t>1,441</w:t>
            </w:r>
          </w:p>
        </w:tc>
        <w:tc>
          <w:tcPr>
            <w:tcW w:w="6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1,254</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700" w:type="dxa"/>
            <w:vAlign w:val="bottom"/>
          </w:tcPr>
          <w:p>
            <w:pPr>
              <w:spacing w:after="0" w:line="149" w:lineRule="exact"/>
              <w:rPr>
                <w:sz w:val="20"/>
                <w:szCs w:val="20"/>
                <w:color w:val="auto"/>
              </w:rPr>
            </w:pPr>
            <w:r>
              <w:rPr>
                <w:rFonts w:ascii="Arial" w:cs="Arial" w:eastAsia="Arial" w:hAnsi="Arial"/>
                <w:sz w:val="14"/>
                <w:szCs w:val="14"/>
                <w:color w:val="auto"/>
              </w:rPr>
              <w:t>Service cost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56</w:t>
            </w: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rPr>
              <w:t>51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7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Interest cost</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93</w:t>
            </w:r>
          </w:p>
        </w:tc>
        <w:tc>
          <w:tcPr>
            <w:tcW w:w="6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700" w:type="dxa"/>
            <w:vAlign w:val="bottom"/>
          </w:tcPr>
          <w:p>
            <w:pPr>
              <w:spacing w:after="0" w:line="149" w:lineRule="exact"/>
              <w:rPr>
                <w:sz w:val="20"/>
                <w:szCs w:val="20"/>
                <w:color w:val="auto"/>
              </w:rPr>
            </w:pPr>
            <w:r>
              <w:rPr>
                <w:rFonts w:ascii="Arial" w:cs="Arial" w:eastAsia="Arial" w:hAnsi="Arial"/>
                <w:sz w:val="14"/>
                <w:szCs w:val="14"/>
                <w:color w:val="auto"/>
              </w:rPr>
              <w:t>Actuarial losses</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94</w:t>
            </w: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rPr>
              <w:t>123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7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Benefits paid</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600"/>
              <w:spacing w:after="0" w:line="149" w:lineRule="exact"/>
              <w:rPr>
                <w:sz w:val="20"/>
                <w:szCs w:val="20"/>
                <w:color w:val="auto"/>
              </w:rPr>
            </w:pPr>
            <w:r>
              <w:rPr>
                <w:rFonts w:ascii="Arial" w:cs="Arial" w:eastAsia="Arial" w:hAnsi="Arial"/>
                <w:sz w:val="14"/>
                <w:szCs w:val="14"/>
                <w:b w:val="1"/>
                <w:bCs w:val="1"/>
                <w:color w:val="auto"/>
              </w:rPr>
              <w:t>(82)</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(77)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700" w:type="dxa"/>
            <w:vAlign w:val="bottom"/>
          </w:tcPr>
          <w:p>
            <w:pPr>
              <w:spacing w:after="0" w:line="149" w:lineRule="exact"/>
              <w:rPr>
                <w:sz w:val="20"/>
                <w:szCs w:val="20"/>
                <w:color w:val="auto"/>
              </w:rPr>
            </w:pPr>
            <w:r>
              <w:rPr>
                <w:rFonts w:ascii="Arial" w:cs="Arial" w:eastAsia="Arial" w:hAnsi="Arial"/>
                <w:sz w:val="14"/>
                <w:szCs w:val="14"/>
                <w:color w:val="auto"/>
              </w:rPr>
              <w:t>Amendments</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right"/>
              <w:ind w:right="600"/>
              <w:spacing w:after="0" w:line="149" w:lineRule="exact"/>
              <w:rPr>
                <w:sz w:val="20"/>
                <w:szCs w:val="20"/>
                <w:color w:val="auto"/>
              </w:rPr>
            </w:pPr>
            <w:r>
              <w:rPr>
                <w:rFonts w:ascii="Arial" w:cs="Arial" w:eastAsia="Arial" w:hAnsi="Arial"/>
                <w:sz w:val="14"/>
                <w:szCs w:val="14"/>
                <w:b w:val="1"/>
                <w:bCs w:val="1"/>
                <w:color w:val="auto"/>
              </w:rPr>
              <w:t>(6)</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7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Divestiture</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600"/>
              <w:spacing w:after="0" w:line="149" w:lineRule="exact"/>
              <w:rPr>
                <w:sz w:val="20"/>
                <w:szCs w:val="20"/>
                <w:color w:val="auto"/>
              </w:rPr>
            </w:pPr>
            <w:r>
              <w:rPr>
                <w:rFonts w:ascii="Arial" w:cs="Arial" w:eastAsia="Arial" w:hAnsi="Arial"/>
                <w:sz w:val="14"/>
                <w:szCs w:val="14"/>
                <w:b w:val="1"/>
                <w:bCs w:val="1"/>
                <w:color w:val="auto"/>
              </w:rPr>
              <w:t>(13)</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70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97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Projected benefit obligation at end of the year</w:t>
            </w:r>
          </w:p>
        </w:tc>
        <w:tc>
          <w:tcPr>
            <w:tcW w:w="1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b w:val="1"/>
                <w:bCs w:val="1"/>
                <w:color w:val="auto"/>
                <w:w w:val="76"/>
              </w:rPr>
              <w:t>$</w:t>
            </w: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96"/>
              </w:rPr>
              <w:t>1,583</w:t>
            </w:r>
          </w:p>
        </w:tc>
        <w:tc>
          <w:tcPr>
            <w:tcW w:w="6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1,441</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9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9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97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Plan assets at market value at beginning of the year</w:t>
            </w:r>
          </w:p>
        </w:tc>
        <w:tc>
          <w:tcPr>
            <w:tcW w:w="1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b w:val="1"/>
                <w:bCs w:val="1"/>
                <w:color w:val="auto"/>
                <w:w w:val="76"/>
              </w:rPr>
              <w:t>$</w:t>
            </w: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952</w:t>
            </w:r>
          </w:p>
        </w:tc>
        <w:tc>
          <w:tcPr>
            <w:tcW w:w="6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1,074</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700" w:type="dxa"/>
            <w:vAlign w:val="bottom"/>
          </w:tcPr>
          <w:p>
            <w:pPr>
              <w:spacing w:after="0" w:line="149" w:lineRule="exact"/>
              <w:rPr>
                <w:sz w:val="20"/>
                <w:szCs w:val="20"/>
                <w:color w:val="auto"/>
              </w:rPr>
            </w:pPr>
            <w:r>
              <w:rPr>
                <w:rFonts w:ascii="Arial" w:cs="Arial" w:eastAsia="Arial" w:hAnsi="Arial"/>
                <w:sz w:val="14"/>
                <w:szCs w:val="14"/>
                <w:color w:val="auto"/>
              </w:rPr>
              <w:t>Actual return on plan assets</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177</w:t>
            </w: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(114)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7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Contribution</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69</w:t>
            </w:r>
          </w:p>
        </w:tc>
        <w:tc>
          <w:tcPr>
            <w:tcW w:w="6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69</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700" w:type="dxa"/>
            <w:vAlign w:val="bottom"/>
          </w:tcPr>
          <w:p>
            <w:pPr>
              <w:spacing w:after="0" w:line="149" w:lineRule="exact"/>
              <w:rPr>
                <w:sz w:val="20"/>
                <w:szCs w:val="20"/>
                <w:color w:val="auto"/>
              </w:rPr>
            </w:pPr>
            <w:r>
              <w:rPr>
                <w:rFonts w:ascii="Arial" w:cs="Arial" w:eastAsia="Arial" w:hAnsi="Arial"/>
                <w:sz w:val="14"/>
                <w:szCs w:val="14"/>
                <w:color w:val="auto"/>
              </w:rPr>
              <w:t>Benefits paid</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right"/>
              <w:ind w:right="600"/>
              <w:spacing w:after="0" w:line="149" w:lineRule="exact"/>
              <w:rPr>
                <w:sz w:val="20"/>
                <w:szCs w:val="20"/>
                <w:color w:val="auto"/>
              </w:rPr>
            </w:pPr>
            <w:r>
              <w:rPr>
                <w:rFonts w:ascii="Arial" w:cs="Arial" w:eastAsia="Arial" w:hAnsi="Arial"/>
                <w:sz w:val="14"/>
                <w:szCs w:val="14"/>
                <w:b w:val="1"/>
                <w:bCs w:val="1"/>
                <w:color w:val="auto"/>
              </w:rPr>
              <w:t>(82)</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(77)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7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Divestiture</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600"/>
              <w:spacing w:after="0" w:line="149" w:lineRule="exact"/>
              <w:rPr>
                <w:sz w:val="20"/>
                <w:szCs w:val="20"/>
                <w:color w:val="auto"/>
              </w:rPr>
            </w:pPr>
            <w:r>
              <w:rPr>
                <w:rFonts w:ascii="Arial" w:cs="Arial" w:eastAsia="Arial" w:hAnsi="Arial"/>
                <w:sz w:val="14"/>
                <w:szCs w:val="14"/>
                <w:b w:val="1"/>
                <w:bCs w:val="1"/>
                <w:color w:val="auto"/>
              </w:rPr>
              <w:t>(9)</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70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97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Plan assets at market value at end of the year</w:t>
            </w:r>
          </w:p>
        </w:tc>
        <w:tc>
          <w:tcPr>
            <w:tcW w:w="1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b w:val="1"/>
                <w:bCs w:val="1"/>
                <w:color w:val="auto"/>
                <w:w w:val="76"/>
              </w:rPr>
              <w:t>$</w:t>
            </w: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96"/>
              </w:rPr>
              <w:t>1,107</w:t>
            </w:r>
          </w:p>
        </w:tc>
        <w:tc>
          <w:tcPr>
            <w:tcW w:w="6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952</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9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9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97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Excess of projected benefit obligation over assets</w:t>
            </w:r>
          </w:p>
        </w:tc>
        <w:tc>
          <w:tcPr>
            <w:tcW w:w="1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b w:val="1"/>
                <w:bCs w:val="1"/>
                <w:color w:val="auto"/>
                <w:w w:val="76"/>
              </w:rPr>
              <w:t>$</w:t>
            </w:r>
          </w:p>
        </w:tc>
        <w:tc>
          <w:tcPr>
            <w:tcW w:w="1000" w:type="dxa"/>
            <w:vAlign w:val="bottom"/>
            <w:gridSpan w:val="2"/>
            <w:shd w:val="clear" w:color="auto" w:fill="CCEEFF"/>
          </w:tcPr>
          <w:p>
            <w:pPr>
              <w:jc w:val="right"/>
              <w:ind w:right="600"/>
              <w:spacing w:after="0" w:line="149" w:lineRule="exact"/>
              <w:rPr>
                <w:sz w:val="20"/>
                <w:szCs w:val="20"/>
                <w:color w:val="auto"/>
              </w:rPr>
            </w:pPr>
            <w:r>
              <w:rPr>
                <w:rFonts w:ascii="Arial" w:cs="Arial" w:eastAsia="Arial" w:hAnsi="Arial"/>
                <w:sz w:val="14"/>
                <w:szCs w:val="14"/>
                <w:b w:val="1"/>
                <w:bCs w:val="1"/>
                <w:color w:val="auto"/>
              </w:rPr>
              <w:t>(476)</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(489)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700" w:type="dxa"/>
            <w:vAlign w:val="bottom"/>
          </w:tcPr>
          <w:p>
            <w:pPr>
              <w:spacing w:after="0" w:line="149" w:lineRule="exact"/>
              <w:rPr>
                <w:sz w:val="20"/>
                <w:szCs w:val="20"/>
                <w:color w:val="auto"/>
              </w:rPr>
            </w:pPr>
            <w:r>
              <w:rPr>
                <w:rFonts w:ascii="Arial" w:cs="Arial" w:eastAsia="Arial" w:hAnsi="Arial"/>
                <w:sz w:val="14"/>
                <w:szCs w:val="14"/>
                <w:color w:val="auto"/>
              </w:rPr>
              <w:t>Unrecognized net loss</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324</w:t>
            </w: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rPr>
              <w:t>329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7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Unrecognized prior service cost</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11</w:t>
            </w:r>
          </w:p>
        </w:tc>
        <w:tc>
          <w:tcPr>
            <w:tcW w:w="6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9700" w:type="dxa"/>
            <w:vAlign w:val="bottom"/>
          </w:tcPr>
          <w:p>
            <w:pPr>
              <w:spacing w:after="0"/>
              <w:rPr>
                <w:sz w:val="20"/>
                <w:szCs w:val="20"/>
                <w:color w:val="auto"/>
              </w:rPr>
            </w:pPr>
            <w:r>
              <w:rPr>
                <w:rFonts w:ascii="Arial" w:cs="Arial" w:eastAsia="Arial" w:hAnsi="Arial"/>
                <w:sz w:val="14"/>
                <w:szCs w:val="14"/>
                <w:color w:val="auto"/>
              </w:rPr>
              <w:t>Contribution receivable</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3"/>
          </w:tcPr>
          <w:p>
            <w:pPr>
              <w:jc w:val="right"/>
              <w:ind w:right="66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5"/>
                <w:szCs w:val="15"/>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4"/>
                <w:szCs w:val="14"/>
                <w:color w:val="auto"/>
              </w:rPr>
              <w:t>(50)</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970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97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Pension liability at end of the year</w:t>
            </w:r>
          </w:p>
        </w:tc>
        <w:tc>
          <w:tcPr>
            <w:tcW w:w="1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b w:val="1"/>
                <w:bCs w:val="1"/>
                <w:color w:val="auto"/>
                <w:w w:val="76"/>
              </w:rPr>
              <w:t>$</w:t>
            </w:r>
          </w:p>
        </w:tc>
        <w:tc>
          <w:tcPr>
            <w:tcW w:w="1000" w:type="dxa"/>
            <w:vAlign w:val="bottom"/>
            <w:gridSpan w:val="2"/>
            <w:shd w:val="clear" w:color="auto" w:fill="CCEEFF"/>
          </w:tcPr>
          <w:p>
            <w:pPr>
              <w:jc w:val="right"/>
              <w:ind w:right="600"/>
              <w:spacing w:after="0" w:line="149" w:lineRule="exact"/>
              <w:rPr>
                <w:sz w:val="20"/>
                <w:szCs w:val="20"/>
                <w:color w:val="auto"/>
              </w:rPr>
            </w:pPr>
            <w:r>
              <w:rPr>
                <w:rFonts w:ascii="Arial" w:cs="Arial" w:eastAsia="Arial" w:hAnsi="Arial"/>
                <w:sz w:val="14"/>
                <w:szCs w:val="14"/>
                <w:b w:val="1"/>
                <w:bCs w:val="1"/>
                <w:color w:val="auto"/>
              </w:rPr>
              <w:t>(141)</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(188)</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7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9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97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Plan assets at market value at end of the year</w:t>
            </w:r>
          </w:p>
        </w:tc>
        <w:tc>
          <w:tcPr>
            <w:tcW w:w="1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b w:val="1"/>
                <w:bCs w:val="1"/>
                <w:color w:val="auto"/>
                <w:w w:val="76"/>
              </w:rPr>
              <w:t>$</w:t>
            </w: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96"/>
              </w:rPr>
              <w:t>1,107</w:t>
            </w:r>
          </w:p>
        </w:tc>
        <w:tc>
          <w:tcPr>
            <w:tcW w:w="6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902</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9700" w:type="dxa"/>
            <w:vAlign w:val="bottom"/>
          </w:tcPr>
          <w:p>
            <w:pPr>
              <w:spacing w:after="0"/>
              <w:rPr>
                <w:sz w:val="20"/>
                <w:szCs w:val="20"/>
                <w:color w:val="auto"/>
              </w:rPr>
            </w:pPr>
            <w:r>
              <w:rPr>
                <w:rFonts w:ascii="Arial" w:cs="Arial" w:eastAsia="Arial" w:hAnsi="Arial"/>
                <w:sz w:val="14"/>
                <w:szCs w:val="14"/>
                <w:color w:val="auto"/>
              </w:rPr>
              <w:t>Accumulated benefits obligation at end of the year</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w w:val="85"/>
              </w:rPr>
              <w:t>(1,478)</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4"/>
                <w:szCs w:val="14"/>
                <w:color w:val="auto"/>
                <w:w w:val="85"/>
              </w:rPr>
              <w:t>(1,336)</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970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97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Minimum liability</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600"/>
              <w:spacing w:after="0" w:line="149" w:lineRule="exact"/>
              <w:rPr>
                <w:sz w:val="20"/>
                <w:szCs w:val="20"/>
                <w:color w:val="auto"/>
              </w:rPr>
            </w:pPr>
            <w:r>
              <w:rPr>
                <w:rFonts w:ascii="Arial" w:cs="Arial" w:eastAsia="Arial" w:hAnsi="Arial"/>
                <w:sz w:val="14"/>
                <w:szCs w:val="14"/>
                <w:b w:val="1"/>
                <w:bCs w:val="1"/>
                <w:color w:val="auto"/>
              </w:rPr>
              <w:t>(371)</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(434)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700" w:type="dxa"/>
            <w:vAlign w:val="bottom"/>
          </w:tcPr>
          <w:p>
            <w:pPr>
              <w:spacing w:after="0" w:line="149" w:lineRule="exact"/>
              <w:rPr>
                <w:sz w:val="20"/>
                <w:szCs w:val="20"/>
                <w:color w:val="auto"/>
              </w:rPr>
            </w:pPr>
            <w:r>
              <w:rPr>
                <w:rFonts w:ascii="Arial" w:cs="Arial" w:eastAsia="Arial" w:hAnsi="Arial"/>
                <w:sz w:val="14"/>
                <w:szCs w:val="14"/>
                <w:color w:val="auto"/>
              </w:rPr>
              <w:t>Pension liability at end of the year</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141</w:t>
            </w: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rPr>
              <w:t>188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7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Unrecognized prior service cost</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11</w:t>
            </w:r>
          </w:p>
        </w:tc>
        <w:tc>
          <w:tcPr>
            <w:tcW w:w="6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70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6177915</wp:posOffset>
            </wp:positionH>
            <wp:positionV relativeFrom="paragraph">
              <wp:posOffset>-2445385</wp:posOffset>
            </wp:positionV>
            <wp:extent cx="321310" cy="2984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321310" cy="29845"/>
                    </a:xfrm>
                    <a:prstGeom prst="rect">
                      <a:avLst/>
                    </a:prstGeom>
                    <a:noFill/>
                  </pic:spPr>
                </pic:pic>
              </a:graphicData>
            </a:graphic>
          </wp:anchor>
        </w:drawing>
        <w:drawing>
          <wp:anchor simplePos="0" relativeHeight="251657728" behindDoc="1" locked="0" layoutInCell="0" allowOverlap="1">
            <wp:simplePos x="0" y="0"/>
            <wp:positionH relativeFrom="column">
              <wp:posOffset>6889115</wp:posOffset>
            </wp:positionH>
            <wp:positionV relativeFrom="paragraph">
              <wp:posOffset>-2445385</wp:posOffset>
            </wp:positionV>
            <wp:extent cx="321310" cy="2984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321310" cy="29845"/>
                    </a:xfrm>
                    <a:prstGeom prst="rect">
                      <a:avLst/>
                    </a:prstGeom>
                    <a:noFill/>
                  </pic:spPr>
                </pic:pic>
              </a:graphicData>
            </a:graphic>
          </wp:anchor>
        </w:drawing>
        <w:drawing>
          <wp:anchor simplePos="0" relativeHeight="251657728" behindDoc="1" locked="0" layoutInCell="0" allowOverlap="1">
            <wp:simplePos x="0" y="0"/>
            <wp:positionH relativeFrom="column">
              <wp:posOffset>6177915</wp:posOffset>
            </wp:positionH>
            <wp:positionV relativeFrom="paragraph">
              <wp:posOffset>-1570990</wp:posOffset>
            </wp:positionV>
            <wp:extent cx="321310" cy="2984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321310" cy="29845"/>
                    </a:xfrm>
                    <a:prstGeom prst="rect">
                      <a:avLst/>
                    </a:prstGeom>
                    <a:noFill/>
                  </pic:spPr>
                </pic:pic>
              </a:graphicData>
            </a:graphic>
          </wp:anchor>
        </w:drawing>
        <w:drawing>
          <wp:anchor simplePos="0" relativeHeight="251657728" behindDoc="1" locked="0" layoutInCell="0" allowOverlap="1">
            <wp:simplePos x="0" y="0"/>
            <wp:positionH relativeFrom="column">
              <wp:posOffset>6889115</wp:posOffset>
            </wp:positionH>
            <wp:positionV relativeFrom="paragraph">
              <wp:posOffset>-1570990</wp:posOffset>
            </wp:positionV>
            <wp:extent cx="321310" cy="2984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321310" cy="29845"/>
                    </a:xfrm>
                    <a:prstGeom prst="rect">
                      <a:avLst/>
                    </a:prstGeom>
                    <a:noFill/>
                  </pic:spPr>
                </pic:pic>
              </a:graphicData>
            </a:graphic>
          </wp:anchor>
        </w:drawing>
        <w:drawing>
          <wp:anchor simplePos="0" relativeHeight="251657728" behindDoc="1" locked="0" layoutInCell="0" allowOverlap="1">
            <wp:simplePos x="0" y="0"/>
            <wp:positionH relativeFrom="column">
              <wp:posOffset>6177915</wp:posOffset>
            </wp:positionH>
            <wp:positionV relativeFrom="paragraph">
              <wp:posOffset>-790575</wp:posOffset>
            </wp:positionV>
            <wp:extent cx="12700" cy="2984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6237605</wp:posOffset>
            </wp:positionH>
            <wp:positionV relativeFrom="paragraph">
              <wp:posOffset>-790575</wp:posOffset>
            </wp:positionV>
            <wp:extent cx="21590" cy="2984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-790575</wp:posOffset>
            </wp:positionV>
            <wp:extent cx="38735" cy="2984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6889115</wp:posOffset>
            </wp:positionH>
            <wp:positionV relativeFrom="paragraph">
              <wp:posOffset>-790575</wp:posOffset>
            </wp:positionV>
            <wp:extent cx="12700" cy="2984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6949440</wp:posOffset>
            </wp:positionH>
            <wp:positionV relativeFrom="paragraph">
              <wp:posOffset>-790575</wp:posOffset>
            </wp:positionV>
            <wp:extent cx="21590" cy="2984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-790575</wp:posOffset>
            </wp:positionV>
            <wp:extent cx="38735" cy="2984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p>
      <w:pPr>
        <w:spacing w:after="0" w:line="97" w:lineRule="exact"/>
        <w:rPr>
          <w:sz w:val="20"/>
          <w:szCs w:val="20"/>
          <w:color w:val="auto"/>
        </w:rPr>
      </w:pPr>
    </w:p>
    <w:p>
      <w:pPr>
        <w:spacing w:after="0"/>
        <w:rPr>
          <w:sz w:val="20"/>
          <w:szCs w:val="20"/>
          <w:color w:val="auto"/>
        </w:rPr>
      </w:pPr>
      <w:r>
        <w:rPr>
          <w:rFonts w:ascii="Arial" w:cs="Arial" w:eastAsia="Arial" w:hAnsi="Arial"/>
          <w:sz w:val="12"/>
          <w:szCs w:val="12"/>
          <w:color w:val="auto"/>
        </w:rPr>
        <w:t>Charged to other comprehensive income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246620" cy="9461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7246620" cy="946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75" w:lineRule="exact"/>
        <w:rPr>
          <w:sz w:val="20"/>
          <w:szCs w:val="20"/>
          <w:color w:val="auto"/>
        </w:rPr>
      </w:pPr>
    </w:p>
    <w:p>
      <w:pPr>
        <w:spacing w:after="0"/>
        <w:tabs>
          <w:tab w:leader="none" w:pos="180" w:val="left"/>
          <w:tab w:leader="none" w:pos="1100" w:val="left"/>
          <w:tab w:leader="none" w:pos="1300" w:val="left"/>
        </w:tabs>
        <w:rPr>
          <w:sz w:val="20"/>
          <w:szCs w:val="20"/>
          <w:color w:val="auto"/>
        </w:rPr>
      </w:pPr>
      <w:r>
        <w:rPr>
          <w:rFonts w:ascii="Arial" w:cs="Arial" w:eastAsia="Arial" w:hAnsi="Arial"/>
          <w:sz w:val="14"/>
          <w:szCs w:val="14"/>
          <w:b w:val="1"/>
          <w:bCs w:val="1"/>
          <w:color w:val="auto"/>
        </w:rPr>
        <w:t>$</w:t>
        <w:tab/>
        <w:t>(219)</w:t>
      </w:r>
      <w:r>
        <w:rPr>
          <w:sz w:val="20"/>
          <w:szCs w:val="20"/>
          <w:color w:val="auto"/>
        </w:rPr>
        <w:tab/>
      </w:r>
      <w:r>
        <w:rPr>
          <w:rFonts w:ascii="Arial" w:cs="Arial" w:eastAsia="Arial" w:hAnsi="Arial"/>
          <w:sz w:val="14"/>
          <w:szCs w:val="14"/>
          <w:color w:val="auto"/>
        </w:rPr>
        <w:t>$</w:t>
      </w:r>
      <w:r>
        <w:rPr>
          <w:sz w:val="20"/>
          <w:szCs w:val="20"/>
          <w:color w:val="auto"/>
        </w:rPr>
        <w:tab/>
      </w:r>
      <w:r>
        <w:rPr>
          <w:rFonts w:ascii="Arial" w:cs="Arial" w:eastAsia="Arial" w:hAnsi="Arial"/>
          <w:sz w:val="12"/>
          <w:szCs w:val="12"/>
          <w:color w:val="auto"/>
        </w:rPr>
        <w:t>(224)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66675</wp:posOffset>
            </wp:positionV>
            <wp:extent cx="321310" cy="2984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321310" cy="29845"/>
                    </a:xfrm>
                    <a:prstGeom prst="rect">
                      <a:avLst/>
                    </a:prstGeom>
                    <a:noFill/>
                  </pic:spPr>
                </pic:pic>
              </a:graphicData>
            </a:graphic>
          </wp:anchor>
        </w:drawing>
        <w:drawing>
          <wp:anchor simplePos="0" relativeHeight="251657728" behindDoc="1" locked="0" layoutInCell="0" allowOverlap="1">
            <wp:simplePos x="0" y="0"/>
            <wp:positionH relativeFrom="column">
              <wp:posOffset>704215</wp:posOffset>
            </wp:positionH>
            <wp:positionV relativeFrom="paragraph">
              <wp:posOffset>66675</wp:posOffset>
            </wp:positionV>
            <wp:extent cx="321310" cy="2984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321310" cy="298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020" w:space="720"/>
            <w:col w:w="1680"/>
          </w:cols>
          <w:pgMar w:left="240" w:top="459" w:right="239" w:bottom="1440" w:gutter="0" w:footer="0" w:header="0"/>
          <w:type w:val="continuous"/>
        </w:sectPr>
      </w:pPr>
    </w:p>
    <w:p>
      <w:pPr>
        <w:spacing w:after="0" w:line="116" w:lineRule="exact"/>
        <w:rPr>
          <w:sz w:val="20"/>
          <w:szCs w:val="20"/>
          <w:color w:val="auto"/>
        </w:rPr>
      </w:pPr>
    </w:p>
    <w:p>
      <w:pPr>
        <w:jc w:val="both"/>
        <w:ind w:firstLine="228"/>
        <w:spacing w:after="0" w:line="283" w:lineRule="auto"/>
        <w:rPr>
          <w:sz w:val="20"/>
          <w:szCs w:val="20"/>
          <w:color w:val="auto"/>
        </w:rPr>
      </w:pPr>
      <w:r>
        <w:rPr>
          <w:rFonts w:ascii="Arial" w:cs="Arial" w:eastAsia="Arial" w:hAnsi="Arial"/>
          <w:sz w:val="16"/>
          <w:szCs w:val="16"/>
          <w:color w:val="auto"/>
        </w:rPr>
        <w:t xml:space="preserve">The combined market performance over the last three years and declining interest rates have decreased the value of assets held in the US pension plans and has correspondingly increased the amount by which the pension plans are under-funded. As a result of the decline in the value of the pension plan assets and a decline in the interest rates, which increases the present value of the benefit obligations, Schlumberger has recorded a cumulative non-cash pretax charge to </w:t>
      </w:r>
      <w:r>
        <w:rPr>
          <w:rFonts w:ascii="Arial" w:cs="Arial" w:eastAsia="Arial" w:hAnsi="Arial"/>
          <w:sz w:val="16"/>
          <w:szCs w:val="16"/>
          <w:i w:val="1"/>
          <w:iCs w:val="1"/>
          <w:color w:val="auto"/>
        </w:rPr>
        <w:t>Stockholders’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Equity </w:t>
      </w:r>
      <w:r>
        <w:rPr>
          <w:rFonts w:ascii="Arial" w:cs="Arial" w:eastAsia="Arial" w:hAnsi="Arial"/>
          <w:sz w:val="16"/>
          <w:szCs w:val="16"/>
          <w:color w:val="auto"/>
        </w:rPr>
        <w:t>of $219 million ($136 million after-tax). A recovery in market returns in future periods would reverse a portion of the charge.</w:t>
      </w:r>
    </w:p>
    <w:p>
      <w:pPr>
        <w:spacing w:after="0" w:line="3" w:lineRule="exact"/>
        <w:rPr>
          <w:sz w:val="20"/>
          <w:szCs w:val="20"/>
          <w:color w:val="auto"/>
        </w:rPr>
      </w:pPr>
    </w:p>
    <w:p>
      <w:pPr>
        <w:ind w:right="100" w:firstLine="228"/>
        <w:spacing w:after="0" w:line="261" w:lineRule="auto"/>
        <w:rPr>
          <w:sz w:val="20"/>
          <w:szCs w:val="20"/>
          <w:color w:val="auto"/>
        </w:rPr>
      </w:pPr>
      <w:r>
        <w:rPr>
          <w:rFonts w:ascii="Arial" w:cs="Arial" w:eastAsia="Arial" w:hAnsi="Arial"/>
          <w:sz w:val="18"/>
          <w:szCs w:val="18"/>
          <w:color w:val="auto"/>
        </w:rPr>
        <w:t>The assumed discount rate, the rate of compensation increases and the expected long-term rate of return on plan assets used to determine the projected benefit obligations were as follows: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8560" w:type="dxa"/>
            <w:vAlign w:val="bottom"/>
          </w:tcPr>
          <w:p>
            <w:pPr>
              <w:spacing w:after="0"/>
              <w:rPr>
                <w:sz w:val="15"/>
                <w:szCs w:val="15"/>
                <w:color w:val="auto"/>
              </w:rPr>
            </w:pPr>
          </w:p>
        </w:tc>
        <w:tc>
          <w:tcPr>
            <w:tcW w:w="2180" w:type="dxa"/>
            <w:vAlign w:val="bottom"/>
          </w:tcPr>
          <w:p>
            <w:pPr>
              <w:jc w:val="right"/>
              <w:ind w:right="352"/>
              <w:spacing w:after="0"/>
              <w:rPr>
                <w:sz w:val="20"/>
                <w:szCs w:val="20"/>
                <w:color w:val="auto"/>
              </w:rPr>
            </w:pPr>
            <w:r>
              <w:rPr>
                <w:rFonts w:ascii="Arial" w:cs="Arial" w:eastAsia="Arial" w:hAnsi="Arial"/>
                <w:sz w:val="14"/>
                <w:szCs w:val="14"/>
                <w:b w:val="1"/>
                <w:bCs w:val="1"/>
                <w:color w:val="auto"/>
              </w:rPr>
              <w:t>2003</w:t>
            </w:r>
          </w:p>
        </w:tc>
        <w:tc>
          <w:tcPr>
            <w:tcW w:w="660" w:type="dxa"/>
            <w:vAlign w:val="bottom"/>
          </w:tcPr>
          <w:p>
            <w:pPr>
              <w:jc w:val="right"/>
              <w:ind w:right="52"/>
              <w:spacing w:after="0"/>
              <w:rPr>
                <w:sz w:val="20"/>
                <w:szCs w:val="20"/>
                <w:color w:val="auto"/>
              </w:rPr>
            </w:pPr>
            <w:r>
              <w:rPr>
                <w:rFonts w:ascii="Arial" w:cs="Arial" w:eastAsia="Arial" w:hAnsi="Arial"/>
                <w:sz w:val="14"/>
                <w:szCs w:val="14"/>
                <w:b w:val="1"/>
                <w:bCs w:val="1"/>
                <w:color w:val="auto"/>
              </w:rPr>
              <w:t>2002</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8560" w:type="dxa"/>
            <w:vAlign w:val="bottom"/>
          </w:tcPr>
          <w:p>
            <w:pPr>
              <w:spacing w:after="0"/>
              <w:rPr>
                <w:sz w:val="8"/>
                <w:szCs w:val="8"/>
                <w:color w:val="auto"/>
              </w:rPr>
            </w:pPr>
          </w:p>
        </w:tc>
        <w:tc>
          <w:tcPr>
            <w:tcW w:w="2180" w:type="dxa"/>
            <w:vAlign w:val="bottom"/>
          </w:tcPr>
          <w:p>
            <w:pPr>
              <w:spacing w:after="0"/>
              <w:rPr>
                <w:sz w:val="8"/>
                <w:szCs w:val="8"/>
                <w:color w:val="auto"/>
              </w:rPr>
            </w:pPr>
          </w:p>
        </w:tc>
        <w:tc>
          <w:tcPr>
            <w:tcW w:w="6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85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Assumed discount rate</w:t>
            </w:r>
          </w:p>
        </w:tc>
        <w:tc>
          <w:tcPr>
            <w:tcW w:w="218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b w:val="1"/>
                <w:bCs w:val="1"/>
                <w:color w:val="auto"/>
              </w:rPr>
              <w:t>6.25%</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6.75%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560" w:type="dxa"/>
            <w:vAlign w:val="bottom"/>
          </w:tcPr>
          <w:p>
            <w:pPr>
              <w:spacing w:after="0" w:line="149" w:lineRule="exact"/>
              <w:rPr>
                <w:sz w:val="20"/>
                <w:szCs w:val="20"/>
                <w:color w:val="auto"/>
              </w:rPr>
            </w:pPr>
            <w:r>
              <w:rPr>
                <w:rFonts w:ascii="Arial" w:cs="Arial" w:eastAsia="Arial" w:hAnsi="Arial"/>
                <w:sz w:val="14"/>
                <w:szCs w:val="14"/>
                <w:color w:val="auto"/>
              </w:rPr>
              <w:t>Compensation increases</w:t>
            </w:r>
          </w:p>
        </w:tc>
        <w:tc>
          <w:tcPr>
            <w:tcW w:w="2180" w:type="dxa"/>
            <w:vAlign w:val="bottom"/>
          </w:tcPr>
          <w:p>
            <w:pPr>
              <w:jc w:val="right"/>
              <w:ind w:right="212"/>
              <w:spacing w:after="0" w:line="149" w:lineRule="exact"/>
              <w:rPr>
                <w:sz w:val="20"/>
                <w:szCs w:val="20"/>
                <w:color w:val="auto"/>
              </w:rPr>
            </w:pPr>
            <w:r>
              <w:rPr>
                <w:rFonts w:ascii="Arial" w:cs="Arial" w:eastAsia="Arial" w:hAnsi="Arial"/>
                <w:sz w:val="14"/>
                <w:szCs w:val="14"/>
                <w:b w:val="1"/>
                <w:bCs w:val="1"/>
                <w:color w:val="auto"/>
              </w:rPr>
              <w:t>3.00%</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3.00%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5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Return on plan assets</w:t>
            </w:r>
          </w:p>
        </w:tc>
        <w:tc>
          <w:tcPr>
            <w:tcW w:w="218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b w:val="1"/>
                <w:bCs w:val="1"/>
                <w:color w:val="auto"/>
              </w:rPr>
              <w:t>8.50%</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8.50%</w:t>
            </w: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8560" w:type="dxa"/>
            <w:vAlign w:val="bottom"/>
          </w:tcPr>
          <w:p>
            <w:pPr>
              <w:ind w:left="220"/>
              <w:spacing w:after="0"/>
              <w:rPr>
                <w:sz w:val="20"/>
                <w:szCs w:val="20"/>
                <w:color w:val="auto"/>
              </w:rPr>
            </w:pPr>
            <w:r>
              <w:rPr>
                <w:rFonts w:ascii="Arial" w:cs="Arial" w:eastAsia="Arial" w:hAnsi="Arial"/>
                <w:sz w:val="18"/>
                <w:szCs w:val="18"/>
                <w:color w:val="auto"/>
              </w:rPr>
              <w:t>On December 31, 2003, there is no investment of the plan assets in Schlumberger common stock.</w:t>
            </w:r>
          </w:p>
        </w:tc>
        <w:tc>
          <w:tcPr>
            <w:tcW w:w="2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2"/>
        </w:trPr>
        <w:tc>
          <w:tcPr>
            <w:tcW w:w="8580" w:type="dxa"/>
            <w:vAlign w:val="bottom"/>
            <w:gridSpan w:val="2"/>
          </w:tcPr>
          <w:p>
            <w:pPr>
              <w:spacing w:after="0"/>
              <w:rPr>
                <w:sz w:val="20"/>
                <w:szCs w:val="20"/>
                <w:color w:val="auto"/>
              </w:rPr>
            </w:pPr>
            <w:r>
              <w:rPr>
                <w:rFonts w:ascii="Arial" w:cs="Arial" w:eastAsia="Arial" w:hAnsi="Arial"/>
                <w:sz w:val="14"/>
                <w:szCs w:val="14"/>
                <w:color w:val="auto"/>
              </w:rPr>
              <w:t>64 / SLB</w:t>
            </w:r>
          </w:p>
        </w:tc>
        <w:tc>
          <w:tcPr>
            <w:tcW w:w="2840" w:type="dxa"/>
            <w:vAlign w:val="bottom"/>
            <w:gridSpan w:val="2"/>
          </w:tcPr>
          <w:p>
            <w:pPr>
              <w:jc w:val="right"/>
              <w:spacing w:after="0"/>
              <w:rPr>
                <w:sz w:val="20"/>
                <w:szCs w:val="20"/>
                <w:color w:val="auto"/>
              </w:rPr>
            </w:pPr>
            <w:r>
              <w:rPr>
                <w:rFonts w:ascii="Arial" w:cs="Arial" w:eastAsia="Arial" w:hAnsi="Arial"/>
                <w:sz w:val="14"/>
                <w:szCs w:val="14"/>
                <w:color w:val="auto"/>
              </w:rPr>
              <w:t>2003 FORM 10-K</w:t>
            </w: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type w:val="continuous"/>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4"/>
          <w:szCs w:val="14"/>
          <w:color w:val="auto"/>
        </w:rPr>
        <w:t>Part II, Item 8</w:t>
      </w:r>
    </w:p>
    <w:p>
      <w:pPr>
        <w:spacing w:after="0" w:line="13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following is a breakdown of the plan assets:</w:t>
      </w:r>
    </w:p>
    <w:p>
      <w:pPr>
        <w:spacing w:after="0" w:line="7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(Stated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46620" cy="8890"/>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10040" w:type="dxa"/>
            <w:vAlign w:val="bottom"/>
          </w:tcPr>
          <w:p>
            <w:pPr>
              <w:spacing w:after="0"/>
              <w:rPr>
                <w:sz w:val="15"/>
                <w:szCs w:val="15"/>
                <w:color w:val="auto"/>
              </w:rPr>
            </w:pPr>
          </w:p>
        </w:tc>
        <w:tc>
          <w:tcPr>
            <w:tcW w:w="110" w:type="dxa"/>
            <w:vAlign w:val="bottom"/>
          </w:tcPr>
          <w:p>
            <w:pPr>
              <w:spacing w:after="0"/>
              <w:rPr>
                <w:sz w:val="15"/>
                <w:szCs w:val="15"/>
                <w:color w:val="auto"/>
              </w:rPr>
            </w:pPr>
          </w:p>
        </w:tc>
        <w:tc>
          <w:tcPr>
            <w:tcW w:w="350" w:type="dxa"/>
            <w:vAlign w:val="bottom"/>
          </w:tcPr>
          <w:p>
            <w:pPr>
              <w:jc w:val="right"/>
              <w:spacing w:after="0"/>
              <w:rPr>
                <w:sz w:val="20"/>
                <w:szCs w:val="20"/>
                <w:color w:val="auto"/>
              </w:rPr>
            </w:pPr>
            <w:r>
              <w:rPr>
                <w:rFonts w:ascii="Arial" w:cs="Arial" w:eastAsia="Arial" w:hAnsi="Arial"/>
                <w:sz w:val="14"/>
                <w:szCs w:val="14"/>
                <w:b w:val="1"/>
                <w:bCs w:val="1"/>
                <w:color w:val="auto"/>
              </w:rPr>
              <w:t>2003</w:t>
            </w: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0" w:type="dxa"/>
            <w:vAlign w:val="bottom"/>
          </w:tcPr>
          <w:p>
            <w:pPr>
              <w:spacing w:after="0"/>
              <w:rPr>
                <w:sz w:val="15"/>
                <w:szCs w:val="15"/>
                <w:color w:val="auto"/>
              </w:rPr>
            </w:pPr>
          </w:p>
        </w:tc>
        <w:tc>
          <w:tcPr>
            <w:tcW w:w="37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2002</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10040" w:type="dxa"/>
            <w:vAlign w:val="bottom"/>
          </w:tcPr>
          <w:p>
            <w:pPr>
              <w:spacing w:after="0"/>
              <w:rPr>
                <w:sz w:val="8"/>
                <w:szCs w:val="8"/>
                <w:color w:val="auto"/>
              </w:rPr>
            </w:pPr>
          </w:p>
        </w:tc>
        <w:tc>
          <w:tcPr>
            <w:tcW w:w="110" w:type="dxa"/>
            <w:vAlign w:val="bottom"/>
          </w:tcPr>
          <w:p>
            <w:pPr>
              <w:spacing w:after="0"/>
              <w:rPr>
                <w:sz w:val="8"/>
                <w:szCs w:val="8"/>
                <w:color w:val="auto"/>
              </w:rPr>
            </w:pPr>
          </w:p>
        </w:tc>
        <w:tc>
          <w:tcPr>
            <w:tcW w:w="35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90" w:type="dxa"/>
            <w:vAlign w:val="bottom"/>
          </w:tcPr>
          <w:p>
            <w:pPr>
              <w:spacing w:after="0"/>
              <w:rPr>
                <w:sz w:val="8"/>
                <w:szCs w:val="8"/>
                <w:color w:val="auto"/>
              </w:rPr>
            </w:pPr>
          </w:p>
        </w:tc>
        <w:tc>
          <w:tcPr>
            <w:tcW w:w="35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10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US Equity – Active</w:t>
            </w:r>
          </w:p>
        </w:tc>
        <w:tc>
          <w:tcPr>
            <w:tcW w:w="11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35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381</w:t>
            </w:r>
          </w:p>
        </w:tc>
        <w:tc>
          <w:tcPr>
            <w:tcW w:w="550" w:type="dxa"/>
            <w:vAlign w:val="bottom"/>
            <w:gridSpan w:val="3"/>
            <w:shd w:val="clear" w:color="auto" w:fill="CCEEFF"/>
          </w:tcPr>
          <w:p>
            <w:pPr>
              <w:jc w:val="right"/>
              <w:ind w:right="30"/>
              <w:spacing w:after="0" w:line="149" w:lineRule="exact"/>
              <w:rPr>
                <w:sz w:val="20"/>
                <w:szCs w:val="20"/>
                <w:color w:val="auto"/>
              </w:rPr>
            </w:pPr>
            <w:r>
              <w:rPr>
                <w:rFonts w:ascii="Arial" w:cs="Arial" w:eastAsia="Arial" w:hAnsi="Arial"/>
                <w:sz w:val="14"/>
                <w:szCs w:val="14"/>
                <w:color w:val="auto"/>
              </w:rPr>
              <w:t>$</w:t>
            </w:r>
          </w:p>
        </w:tc>
        <w:tc>
          <w:tcPr>
            <w:tcW w:w="35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301</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40" w:type="dxa"/>
            <w:vAlign w:val="bottom"/>
          </w:tcPr>
          <w:p>
            <w:pPr>
              <w:spacing w:after="0" w:line="149" w:lineRule="exact"/>
              <w:rPr>
                <w:sz w:val="20"/>
                <w:szCs w:val="20"/>
                <w:color w:val="auto"/>
              </w:rPr>
            </w:pPr>
            <w:r>
              <w:rPr>
                <w:rFonts w:ascii="Arial" w:cs="Arial" w:eastAsia="Arial" w:hAnsi="Arial"/>
                <w:sz w:val="14"/>
                <w:szCs w:val="14"/>
                <w:color w:val="auto"/>
              </w:rPr>
              <w:t>US Equity – Indexed</w:t>
            </w:r>
          </w:p>
        </w:tc>
        <w:tc>
          <w:tcPr>
            <w:tcW w:w="110" w:type="dxa"/>
            <w:vAlign w:val="bottom"/>
          </w:tcPr>
          <w:p>
            <w:pPr>
              <w:spacing w:after="0"/>
              <w:rPr>
                <w:sz w:val="12"/>
                <w:szCs w:val="12"/>
                <w:color w:val="auto"/>
              </w:rPr>
            </w:pPr>
          </w:p>
        </w:tc>
        <w:tc>
          <w:tcPr>
            <w:tcW w:w="35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131</w:t>
            </w:r>
          </w:p>
        </w:tc>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0" w:type="dxa"/>
            <w:vAlign w:val="bottom"/>
          </w:tcPr>
          <w:p>
            <w:pPr>
              <w:spacing w:after="0"/>
              <w:rPr>
                <w:sz w:val="12"/>
                <w:szCs w:val="12"/>
                <w:color w:val="auto"/>
              </w:rPr>
            </w:pPr>
          </w:p>
        </w:tc>
        <w:tc>
          <w:tcPr>
            <w:tcW w:w="350" w:type="dxa"/>
            <w:vAlign w:val="bottom"/>
          </w:tcPr>
          <w:p>
            <w:pPr>
              <w:jc w:val="right"/>
              <w:spacing w:after="0" w:line="149" w:lineRule="exact"/>
              <w:rPr>
                <w:sz w:val="20"/>
                <w:szCs w:val="20"/>
                <w:color w:val="auto"/>
              </w:rPr>
            </w:pPr>
            <w:r>
              <w:rPr>
                <w:rFonts w:ascii="Arial" w:cs="Arial" w:eastAsia="Arial" w:hAnsi="Arial"/>
                <w:sz w:val="14"/>
                <w:szCs w:val="14"/>
                <w:color w:val="auto"/>
              </w:rPr>
              <w:t>89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Non-US Equity</w:t>
            </w:r>
          </w:p>
        </w:tc>
        <w:tc>
          <w:tcPr>
            <w:tcW w:w="110" w:type="dxa"/>
            <w:vAlign w:val="bottom"/>
            <w:shd w:val="clear" w:color="auto" w:fill="CCEEFF"/>
          </w:tcPr>
          <w:p>
            <w:pPr>
              <w:spacing w:after="0"/>
              <w:rPr>
                <w:sz w:val="12"/>
                <w:szCs w:val="12"/>
                <w:color w:val="auto"/>
              </w:rPr>
            </w:pPr>
          </w:p>
        </w:tc>
        <w:tc>
          <w:tcPr>
            <w:tcW w:w="35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180</w:t>
            </w:r>
          </w:p>
        </w:tc>
        <w:tc>
          <w:tcPr>
            <w:tcW w:w="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90" w:type="dxa"/>
            <w:vAlign w:val="bottom"/>
            <w:shd w:val="clear" w:color="auto" w:fill="CCEEFF"/>
          </w:tcPr>
          <w:p>
            <w:pPr>
              <w:spacing w:after="0"/>
              <w:rPr>
                <w:sz w:val="12"/>
                <w:szCs w:val="12"/>
                <w:color w:val="auto"/>
              </w:rPr>
            </w:pPr>
          </w:p>
        </w:tc>
        <w:tc>
          <w:tcPr>
            <w:tcW w:w="35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40" w:type="dxa"/>
            <w:vAlign w:val="bottom"/>
          </w:tcPr>
          <w:p>
            <w:pPr>
              <w:spacing w:after="0" w:line="149" w:lineRule="exact"/>
              <w:rPr>
                <w:sz w:val="20"/>
                <w:szCs w:val="20"/>
                <w:color w:val="auto"/>
              </w:rPr>
            </w:pPr>
            <w:r>
              <w:rPr>
                <w:rFonts w:ascii="Arial" w:cs="Arial" w:eastAsia="Arial" w:hAnsi="Arial"/>
                <w:sz w:val="14"/>
                <w:szCs w:val="14"/>
                <w:color w:val="auto"/>
              </w:rPr>
              <w:t>Long-term fixed income</w:t>
            </w:r>
          </w:p>
        </w:tc>
        <w:tc>
          <w:tcPr>
            <w:tcW w:w="110" w:type="dxa"/>
            <w:vAlign w:val="bottom"/>
          </w:tcPr>
          <w:p>
            <w:pPr>
              <w:spacing w:after="0"/>
              <w:rPr>
                <w:sz w:val="12"/>
                <w:szCs w:val="12"/>
                <w:color w:val="auto"/>
              </w:rPr>
            </w:pPr>
          </w:p>
        </w:tc>
        <w:tc>
          <w:tcPr>
            <w:tcW w:w="35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257</w:t>
            </w:r>
          </w:p>
        </w:tc>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0" w:type="dxa"/>
            <w:vAlign w:val="bottom"/>
          </w:tcPr>
          <w:p>
            <w:pPr>
              <w:spacing w:after="0"/>
              <w:rPr>
                <w:sz w:val="12"/>
                <w:szCs w:val="12"/>
                <w:color w:val="auto"/>
              </w:rPr>
            </w:pPr>
          </w:p>
        </w:tc>
        <w:tc>
          <w:tcPr>
            <w:tcW w:w="350" w:type="dxa"/>
            <w:vAlign w:val="bottom"/>
          </w:tcPr>
          <w:p>
            <w:pPr>
              <w:jc w:val="right"/>
              <w:spacing w:after="0" w:line="149" w:lineRule="exact"/>
              <w:rPr>
                <w:sz w:val="20"/>
                <w:szCs w:val="20"/>
                <w:color w:val="auto"/>
              </w:rPr>
            </w:pPr>
            <w:r>
              <w:rPr>
                <w:rFonts w:ascii="Arial" w:cs="Arial" w:eastAsia="Arial" w:hAnsi="Arial"/>
                <w:sz w:val="14"/>
                <w:szCs w:val="14"/>
                <w:color w:val="auto"/>
              </w:rPr>
              <w:t>228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or cash equivalents</w:t>
            </w:r>
          </w:p>
        </w:tc>
        <w:tc>
          <w:tcPr>
            <w:tcW w:w="110" w:type="dxa"/>
            <w:vAlign w:val="bottom"/>
            <w:shd w:val="clear" w:color="auto" w:fill="CCEEFF"/>
          </w:tcPr>
          <w:p>
            <w:pPr>
              <w:spacing w:after="0"/>
              <w:rPr>
                <w:sz w:val="12"/>
                <w:szCs w:val="12"/>
                <w:color w:val="auto"/>
              </w:rPr>
            </w:pPr>
          </w:p>
        </w:tc>
        <w:tc>
          <w:tcPr>
            <w:tcW w:w="35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103</w:t>
            </w:r>
          </w:p>
        </w:tc>
        <w:tc>
          <w:tcPr>
            <w:tcW w:w="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90" w:type="dxa"/>
            <w:vAlign w:val="bottom"/>
            <w:shd w:val="clear" w:color="auto" w:fill="CCEEFF"/>
          </w:tcPr>
          <w:p>
            <w:pPr>
              <w:spacing w:after="0"/>
              <w:rPr>
                <w:sz w:val="12"/>
                <w:szCs w:val="12"/>
                <w:color w:val="auto"/>
              </w:rPr>
            </w:pPr>
          </w:p>
        </w:tc>
        <w:tc>
          <w:tcPr>
            <w:tcW w:w="35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40" w:type="dxa"/>
            <w:vAlign w:val="bottom"/>
          </w:tcPr>
          <w:p>
            <w:pPr>
              <w:spacing w:after="0" w:line="149" w:lineRule="exact"/>
              <w:rPr>
                <w:sz w:val="20"/>
                <w:szCs w:val="20"/>
                <w:color w:val="auto"/>
              </w:rPr>
            </w:pPr>
            <w:r>
              <w:rPr>
                <w:rFonts w:ascii="Arial" w:cs="Arial" w:eastAsia="Arial" w:hAnsi="Arial"/>
                <w:sz w:val="14"/>
                <w:szCs w:val="14"/>
                <w:color w:val="auto"/>
              </w:rPr>
              <w:t>Other investments</w:t>
            </w:r>
          </w:p>
        </w:tc>
        <w:tc>
          <w:tcPr>
            <w:tcW w:w="110" w:type="dxa"/>
            <w:vAlign w:val="bottom"/>
          </w:tcPr>
          <w:p>
            <w:pPr>
              <w:spacing w:after="0"/>
              <w:rPr>
                <w:sz w:val="12"/>
                <w:szCs w:val="12"/>
                <w:color w:val="auto"/>
              </w:rPr>
            </w:pPr>
          </w:p>
        </w:tc>
        <w:tc>
          <w:tcPr>
            <w:tcW w:w="35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55</w:t>
            </w:r>
          </w:p>
        </w:tc>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0" w:type="dxa"/>
            <w:vAlign w:val="bottom"/>
          </w:tcPr>
          <w:p>
            <w:pPr>
              <w:spacing w:after="0"/>
              <w:rPr>
                <w:sz w:val="12"/>
                <w:szCs w:val="12"/>
                <w:color w:val="auto"/>
              </w:rPr>
            </w:pPr>
          </w:p>
        </w:tc>
        <w:tc>
          <w:tcPr>
            <w:tcW w:w="350" w:type="dxa"/>
            <w:vAlign w:val="bottom"/>
          </w:tcPr>
          <w:p>
            <w:pPr>
              <w:jc w:val="right"/>
              <w:spacing w:after="0" w:line="149" w:lineRule="exact"/>
              <w:rPr>
                <w:sz w:val="20"/>
                <w:szCs w:val="20"/>
                <w:color w:val="auto"/>
              </w:rPr>
            </w:pPr>
            <w:r>
              <w:rPr>
                <w:rFonts w:ascii="Arial" w:cs="Arial" w:eastAsia="Arial" w:hAnsi="Arial"/>
                <w:sz w:val="14"/>
                <w:szCs w:val="14"/>
                <w:color w:val="auto"/>
              </w:rPr>
              <w:t>52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Contribution receivable</w:t>
            </w:r>
          </w:p>
        </w:tc>
        <w:tc>
          <w:tcPr>
            <w:tcW w:w="110" w:type="dxa"/>
            <w:vAlign w:val="bottom"/>
            <w:shd w:val="clear" w:color="auto" w:fill="CCEEFF"/>
          </w:tcPr>
          <w:p>
            <w:pPr>
              <w:spacing w:after="0"/>
              <w:rPr>
                <w:sz w:val="12"/>
                <w:szCs w:val="12"/>
                <w:color w:val="auto"/>
              </w:rPr>
            </w:pPr>
          </w:p>
        </w:tc>
        <w:tc>
          <w:tcPr>
            <w:tcW w:w="35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90" w:type="dxa"/>
            <w:vAlign w:val="bottom"/>
            <w:shd w:val="clear" w:color="auto" w:fill="CCEEFF"/>
          </w:tcPr>
          <w:p>
            <w:pPr>
              <w:spacing w:after="0"/>
              <w:rPr>
                <w:sz w:val="12"/>
                <w:szCs w:val="12"/>
                <w:color w:val="auto"/>
              </w:rPr>
            </w:pPr>
          </w:p>
        </w:tc>
        <w:tc>
          <w:tcPr>
            <w:tcW w:w="35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40" w:type="dxa"/>
            <w:vAlign w:val="bottom"/>
            <w:tcBorders>
              <w:bottom w:val="single" w:sz="8" w:color="auto"/>
            </w:tcBorders>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35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90" w:type="dxa"/>
            <w:vAlign w:val="bottom"/>
            <w:tcBorders>
              <w:bottom w:val="single" w:sz="8" w:color="auto"/>
            </w:tcBorders>
          </w:tcPr>
          <w:p>
            <w:pPr>
              <w:spacing w:after="0"/>
              <w:rPr>
                <w:sz w:val="9"/>
                <w:szCs w:val="9"/>
                <w:color w:val="auto"/>
              </w:rPr>
            </w:pPr>
          </w:p>
        </w:tc>
        <w:tc>
          <w:tcPr>
            <w:tcW w:w="35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040" w:type="dxa"/>
            <w:vAlign w:val="bottom"/>
          </w:tcPr>
          <w:p>
            <w:pPr>
              <w:spacing w:after="0"/>
              <w:rPr>
                <w:sz w:val="8"/>
                <w:szCs w:val="8"/>
                <w:color w:val="auto"/>
              </w:rPr>
            </w:pPr>
          </w:p>
        </w:tc>
        <w:tc>
          <w:tcPr>
            <w:tcW w:w="110" w:type="dxa"/>
            <w:vAlign w:val="bottom"/>
          </w:tcPr>
          <w:p>
            <w:pPr>
              <w:spacing w:after="0"/>
              <w:rPr>
                <w:sz w:val="8"/>
                <w:szCs w:val="8"/>
                <w:color w:val="auto"/>
              </w:rPr>
            </w:pPr>
          </w:p>
        </w:tc>
        <w:tc>
          <w:tcPr>
            <w:tcW w:w="35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90" w:type="dxa"/>
            <w:vAlign w:val="bottom"/>
          </w:tcPr>
          <w:p>
            <w:pPr>
              <w:spacing w:after="0"/>
              <w:rPr>
                <w:sz w:val="8"/>
                <w:szCs w:val="8"/>
                <w:color w:val="auto"/>
              </w:rPr>
            </w:pPr>
          </w:p>
        </w:tc>
        <w:tc>
          <w:tcPr>
            <w:tcW w:w="35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40" w:type="dxa"/>
            <w:vAlign w:val="bottom"/>
            <w:shd w:val="clear" w:color="auto" w:fill="CCEEFF"/>
          </w:tcPr>
          <w:p>
            <w:pPr>
              <w:spacing w:after="0"/>
              <w:rPr>
                <w:sz w:val="12"/>
                <w:szCs w:val="12"/>
                <w:color w:val="auto"/>
              </w:rPr>
            </w:pPr>
          </w:p>
        </w:tc>
        <w:tc>
          <w:tcPr>
            <w:tcW w:w="11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35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91"/>
              </w:rPr>
              <w:t>1,107</w:t>
            </w:r>
          </w:p>
        </w:tc>
        <w:tc>
          <w:tcPr>
            <w:tcW w:w="550" w:type="dxa"/>
            <w:vAlign w:val="bottom"/>
            <w:gridSpan w:val="3"/>
            <w:shd w:val="clear" w:color="auto" w:fill="CCEEFF"/>
          </w:tcPr>
          <w:p>
            <w:pPr>
              <w:jc w:val="right"/>
              <w:ind w:right="30"/>
              <w:spacing w:after="0" w:line="149" w:lineRule="exact"/>
              <w:rPr>
                <w:sz w:val="20"/>
                <w:szCs w:val="20"/>
                <w:color w:val="auto"/>
              </w:rPr>
            </w:pPr>
            <w:r>
              <w:rPr>
                <w:rFonts w:ascii="Arial" w:cs="Arial" w:eastAsia="Arial" w:hAnsi="Arial"/>
                <w:sz w:val="14"/>
                <w:szCs w:val="14"/>
                <w:color w:val="auto"/>
              </w:rPr>
              <w:t>$</w:t>
            </w:r>
          </w:p>
        </w:tc>
        <w:tc>
          <w:tcPr>
            <w:tcW w:w="35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952</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40" w:type="dxa"/>
            <w:vAlign w:val="bottom"/>
          </w:tcPr>
          <w:p>
            <w:pPr>
              <w:spacing w:after="0"/>
              <w:rPr>
                <w:sz w:val="11"/>
                <w:szCs w:val="11"/>
                <w:color w:val="auto"/>
              </w:rPr>
            </w:pPr>
          </w:p>
        </w:tc>
        <w:tc>
          <w:tcPr>
            <w:tcW w:w="110" w:type="dxa"/>
            <w:vAlign w:val="bottom"/>
            <w:tcBorders>
              <w:bottom w:val="single" w:sz="8" w:color="auto"/>
            </w:tcBorders>
          </w:tcPr>
          <w:p>
            <w:pPr>
              <w:spacing w:after="0"/>
              <w:rPr>
                <w:sz w:val="11"/>
                <w:szCs w:val="11"/>
                <w:color w:val="auto"/>
              </w:rPr>
            </w:pPr>
          </w:p>
        </w:tc>
        <w:tc>
          <w:tcPr>
            <w:tcW w:w="35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90" w:type="dxa"/>
            <w:vAlign w:val="bottom"/>
            <w:tcBorders>
              <w:bottom w:val="single" w:sz="8" w:color="auto"/>
            </w:tcBorders>
          </w:tcPr>
          <w:p>
            <w:pPr>
              <w:spacing w:after="0"/>
              <w:rPr>
                <w:sz w:val="11"/>
                <w:szCs w:val="11"/>
                <w:color w:val="auto"/>
              </w:rPr>
            </w:pPr>
          </w:p>
        </w:tc>
        <w:tc>
          <w:tcPr>
            <w:tcW w:w="35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6383655</wp:posOffset>
            </wp:positionH>
            <wp:positionV relativeFrom="paragraph">
              <wp:posOffset>-29210</wp:posOffset>
            </wp:positionV>
            <wp:extent cx="12700" cy="2984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6675120</wp:posOffset>
            </wp:positionH>
            <wp:positionV relativeFrom="paragraph">
              <wp:posOffset>-29210</wp:posOffset>
            </wp:positionV>
            <wp:extent cx="12700" cy="2984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6452235</wp:posOffset>
            </wp:positionH>
            <wp:positionV relativeFrom="paragraph">
              <wp:posOffset>-29210</wp:posOffset>
            </wp:positionV>
            <wp:extent cx="21590" cy="2984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6966585</wp:posOffset>
            </wp:positionH>
            <wp:positionV relativeFrom="paragraph">
              <wp:posOffset>-29210</wp:posOffset>
            </wp:positionV>
            <wp:extent cx="12700" cy="2984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7026910</wp:posOffset>
            </wp:positionH>
            <wp:positionV relativeFrom="paragraph">
              <wp:posOffset>-29210</wp:posOffset>
            </wp:positionV>
            <wp:extent cx="21590" cy="2984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144" w:lineRule="exact"/>
        <w:rPr>
          <w:sz w:val="20"/>
          <w:szCs w:val="20"/>
          <w:color w:val="auto"/>
        </w:rPr>
      </w:pPr>
    </w:p>
    <w:p>
      <w:pPr>
        <w:ind w:right="160" w:firstLine="228"/>
        <w:spacing w:after="0" w:line="283" w:lineRule="auto"/>
        <w:rPr>
          <w:sz w:val="20"/>
          <w:szCs w:val="20"/>
          <w:color w:val="auto"/>
        </w:rPr>
      </w:pPr>
      <w:r>
        <w:rPr>
          <w:rFonts w:ascii="Arial" w:cs="Arial" w:eastAsia="Arial" w:hAnsi="Arial"/>
          <w:sz w:val="16"/>
          <w:szCs w:val="16"/>
          <w:color w:val="auto"/>
        </w:rPr>
        <w:t>The asset allocation objectives are to diversify the portfolio among several asset classes to reduce volatility while maintaining an asset mix that provide the highest expected rate of return consistent with an acceptable level of risk. The investment strategies include a rebalancing of the asset mix as necessary to the previously defined levels and reassessing funding levels and asset allocation strategy at least annually. In order to increase diversification and limit management risk, Schlumberger generally does not allocate more than 15% of fund assets to a single investment manager.</w:t>
      </w:r>
    </w:p>
    <w:p>
      <w:pPr>
        <w:spacing w:after="0" w:line="3" w:lineRule="exact"/>
        <w:rPr>
          <w:sz w:val="20"/>
          <w:szCs w:val="20"/>
          <w:color w:val="auto"/>
        </w:rPr>
      </w:pPr>
    </w:p>
    <w:p>
      <w:pPr>
        <w:ind w:right="40" w:firstLine="228"/>
        <w:spacing w:after="0" w:line="295" w:lineRule="auto"/>
        <w:rPr>
          <w:sz w:val="20"/>
          <w:szCs w:val="20"/>
          <w:color w:val="auto"/>
        </w:rPr>
      </w:pPr>
      <w:r>
        <w:rPr>
          <w:rFonts w:ascii="Arial" w:cs="Arial" w:eastAsia="Arial" w:hAnsi="Arial"/>
          <w:sz w:val="16"/>
          <w:szCs w:val="16"/>
          <w:color w:val="auto"/>
        </w:rPr>
        <w:t>The expected long-term rate of return on assets is 8.5%. This assumption represents the rate of return on plan assets reflecting the average rate of earnings expected on the funds invested or to be invested to provide for the benefits included in the projected benefit obligation. The assumption has been determined by reflecting expectations regarding future rates of return for the portfolio considering the asset distribution and related historical rates of return. The appropriateness of the assumption is reviewed at least annually. The pension trust’s performance over the last 10 years has been an annualized return of 9.2%.</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Non-US Pension Plans</w:t>
      </w:r>
    </w:p>
    <w:p>
      <w:pPr>
        <w:spacing w:after="0" w:line="72" w:lineRule="exact"/>
        <w:rPr>
          <w:sz w:val="20"/>
          <w:szCs w:val="20"/>
          <w:color w:val="auto"/>
        </w:rPr>
      </w:pPr>
    </w:p>
    <w:p>
      <w:pPr>
        <w:ind w:right="220"/>
        <w:spacing w:after="0" w:line="283" w:lineRule="auto"/>
        <w:rPr>
          <w:sz w:val="20"/>
          <w:szCs w:val="20"/>
          <w:color w:val="auto"/>
        </w:rPr>
      </w:pPr>
      <w:r>
        <w:rPr>
          <w:rFonts w:ascii="Arial" w:cs="Arial" w:eastAsia="Arial" w:hAnsi="Arial"/>
          <w:sz w:val="16"/>
          <w:szCs w:val="16"/>
          <w:color w:val="auto"/>
        </w:rPr>
        <w:t>Outside the US, subsidiaries of Schlumberger sponsor several defined benefit and defined contribution plans that cover substantially all employees who are not covered by statutory plans. For defined benefit plans, charges to expense are based upon costs computed by independent actuaries. These plans are funded through trusts in respect to past and current service. For all defined benefit plans, pension expense was $87 million, $58 million and $52 million in 2003, 2002 and 2001, respectively. Based on plan assets and the projected benefit obligation, the only significant defined benefit plan is in the UK.</w:t>
      </w:r>
    </w:p>
    <w:p>
      <w:pPr>
        <w:spacing w:after="0" w:line="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assumed discount rate, compensation increases and return on plan assets used to determine pension expense were as follows:</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000" w:type="dxa"/>
            <w:vAlign w:val="bottom"/>
          </w:tcPr>
          <w:p>
            <w:pPr>
              <w:spacing w:after="0"/>
              <w:rPr>
                <w:sz w:val="15"/>
                <w:szCs w:val="15"/>
                <w:color w:val="auto"/>
              </w:rPr>
            </w:pPr>
          </w:p>
        </w:tc>
        <w:tc>
          <w:tcPr>
            <w:tcW w:w="4780" w:type="dxa"/>
            <w:vAlign w:val="bottom"/>
          </w:tcPr>
          <w:p>
            <w:pPr>
              <w:jc w:val="right"/>
              <w:ind w:right="332"/>
              <w:spacing w:after="0"/>
              <w:rPr>
                <w:sz w:val="20"/>
                <w:szCs w:val="20"/>
                <w:color w:val="auto"/>
              </w:rPr>
            </w:pPr>
            <w:r>
              <w:rPr>
                <w:rFonts w:ascii="Arial" w:cs="Arial" w:eastAsia="Arial" w:hAnsi="Arial"/>
                <w:sz w:val="14"/>
                <w:szCs w:val="14"/>
                <w:b w:val="1"/>
                <w:bCs w:val="1"/>
                <w:color w:val="auto"/>
              </w:rPr>
              <w:t>2003</w:t>
            </w:r>
          </w:p>
        </w:tc>
        <w:tc>
          <w:tcPr>
            <w:tcW w:w="940" w:type="dxa"/>
            <w:vAlign w:val="bottom"/>
          </w:tcPr>
          <w:p>
            <w:pPr>
              <w:jc w:val="right"/>
              <w:ind w:right="312"/>
              <w:spacing w:after="0"/>
              <w:rPr>
                <w:sz w:val="20"/>
                <w:szCs w:val="20"/>
                <w:color w:val="auto"/>
              </w:rPr>
            </w:pPr>
            <w:r>
              <w:rPr>
                <w:rFonts w:ascii="Arial" w:cs="Arial" w:eastAsia="Arial" w:hAnsi="Arial"/>
                <w:sz w:val="14"/>
                <w:szCs w:val="14"/>
                <w:b w:val="1"/>
                <w:bCs w:val="1"/>
                <w:color w:val="auto"/>
              </w:rPr>
              <w:t>2002</w:t>
            </w:r>
          </w:p>
        </w:tc>
        <w:tc>
          <w:tcPr>
            <w:tcW w:w="680" w:type="dxa"/>
            <w:vAlign w:val="bottom"/>
          </w:tcPr>
          <w:p>
            <w:pPr>
              <w:jc w:val="right"/>
              <w:ind w:right="52"/>
              <w:spacing w:after="0"/>
              <w:rPr>
                <w:sz w:val="20"/>
                <w:szCs w:val="20"/>
                <w:color w:val="auto"/>
              </w:rPr>
            </w:pPr>
            <w:r>
              <w:rPr>
                <w:rFonts w:ascii="Arial" w:cs="Arial" w:eastAsia="Arial" w:hAnsi="Arial"/>
                <w:sz w:val="14"/>
                <w:szCs w:val="14"/>
                <w:b w:val="1"/>
                <w:bCs w:val="1"/>
                <w:color w:val="auto"/>
              </w:rPr>
              <w:t>2001</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5000" w:type="dxa"/>
            <w:vAlign w:val="bottom"/>
          </w:tcPr>
          <w:p>
            <w:pPr>
              <w:spacing w:after="0"/>
              <w:rPr>
                <w:sz w:val="8"/>
                <w:szCs w:val="8"/>
                <w:color w:val="auto"/>
              </w:rPr>
            </w:pPr>
          </w:p>
        </w:tc>
        <w:tc>
          <w:tcPr>
            <w:tcW w:w="4780" w:type="dxa"/>
            <w:vAlign w:val="bottom"/>
          </w:tcPr>
          <w:p>
            <w:pPr>
              <w:spacing w:after="0"/>
              <w:rPr>
                <w:sz w:val="8"/>
                <w:szCs w:val="8"/>
                <w:color w:val="auto"/>
              </w:rPr>
            </w:pPr>
          </w:p>
        </w:tc>
        <w:tc>
          <w:tcPr>
            <w:tcW w:w="940" w:type="dxa"/>
            <w:vAlign w:val="bottom"/>
          </w:tcPr>
          <w:p>
            <w:pPr>
              <w:spacing w:after="0"/>
              <w:rPr>
                <w:sz w:val="8"/>
                <w:szCs w:val="8"/>
                <w:color w:val="auto"/>
              </w:rPr>
            </w:pPr>
          </w:p>
        </w:tc>
        <w:tc>
          <w:tcPr>
            <w:tcW w:w="6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0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Assumed discount rate</w:t>
            </w:r>
          </w:p>
        </w:tc>
        <w:tc>
          <w:tcPr>
            <w:tcW w:w="478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b w:val="1"/>
                <w:bCs w:val="1"/>
                <w:color w:val="auto"/>
              </w:rPr>
              <w:t>5.70%</w:t>
            </w:r>
          </w:p>
        </w:tc>
        <w:tc>
          <w:tcPr>
            <w:tcW w:w="94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5.75%</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00" w:type="dxa"/>
            <w:vAlign w:val="bottom"/>
          </w:tcPr>
          <w:p>
            <w:pPr>
              <w:spacing w:after="0" w:line="149" w:lineRule="exact"/>
              <w:rPr>
                <w:sz w:val="20"/>
                <w:szCs w:val="20"/>
                <w:color w:val="auto"/>
              </w:rPr>
            </w:pPr>
            <w:r>
              <w:rPr>
                <w:rFonts w:ascii="Arial" w:cs="Arial" w:eastAsia="Arial" w:hAnsi="Arial"/>
                <w:sz w:val="14"/>
                <w:szCs w:val="14"/>
                <w:color w:val="auto"/>
              </w:rPr>
              <w:t>Compensation increases</w:t>
            </w:r>
          </w:p>
        </w:tc>
        <w:tc>
          <w:tcPr>
            <w:tcW w:w="4780" w:type="dxa"/>
            <w:vAlign w:val="bottom"/>
          </w:tcPr>
          <w:p>
            <w:pPr>
              <w:jc w:val="right"/>
              <w:ind w:right="212"/>
              <w:spacing w:after="0" w:line="149" w:lineRule="exact"/>
              <w:rPr>
                <w:sz w:val="20"/>
                <w:szCs w:val="20"/>
                <w:color w:val="auto"/>
              </w:rPr>
            </w:pPr>
            <w:r>
              <w:rPr>
                <w:rFonts w:ascii="Arial" w:cs="Arial" w:eastAsia="Arial" w:hAnsi="Arial"/>
                <w:sz w:val="14"/>
                <w:szCs w:val="14"/>
                <w:b w:val="1"/>
                <w:bCs w:val="1"/>
                <w:color w:val="auto"/>
              </w:rPr>
              <w:t>3.75% – 2.5%</w:t>
            </w:r>
          </w:p>
        </w:tc>
        <w:tc>
          <w:tcPr>
            <w:tcW w:w="94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4.00%</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4.00%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Return on plan assets</w:t>
            </w:r>
          </w:p>
        </w:tc>
        <w:tc>
          <w:tcPr>
            <w:tcW w:w="478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b w:val="1"/>
                <w:bCs w:val="1"/>
                <w:color w:val="auto"/>
              </w:rPr>
              <w:t>8.50%</w:t>
            </w:r>
          </w:p>
        </w:tc>
        <w:tc>
          <w:tcPr>
            <w:tcW w:w="94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9.00%</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9.00%</w:t>
            </w:r>
          </w:p>
        </w:tc>
        <w:tc>
          <w:tcPr>
            <w:tcW w:w="0" w:type="dxa"/>
            <w:vAlign w:val="bottom"/>
          </w:tcPr>
          <w:p>
            <w:pPr>
              <w:spacing w:after="0"/>
              <w:rPr>
                <w:sz w:val="1"/>
                <w:szCs w:val="1"/>
                <w:color w:val="auto"/>
              </w:rPr>
            </w:pPr>
          </w:p>
        </w:tc>
      </w:tr>
    </w:tbl>
    <w:p>
      <w:pPr>
        <w:spacing w:after="0" w:line="59" w:lineRule="exact"/>
        <w:rPr>
          <w:sz w:val="20"/>
          <w:szCs w:val="20"/>
          <w:color w:val="auto"/>
        </w:rPr>
      </w:pPr>
    </w:p>
    <w:p>
      <w:pPr>
        <w:ind w:right="540" w:firstLine="228"/>
        <w:spacing w:after="0" w:line="268" w:lineRule="auto"/>
        <w:rPr>
          <w:sz w:val="20"/>
          <w:szCs w:val="20"/>
          <w:color w:val="auto"/>
        </w:rPr>
      </w:pPr>
      <w:r>
        <w:rPr>
          <w:rFonts w:ascii="Arial" w:cs="Arial" w:eastAsia="Arial" w:hAnsi="Arial"/>
          <w:sz w:val="18"/>
          <w:szCs w:val="18"/>
          <w:color w:val="auto"/>
        </w:rPr>
        <w:t>Net pension cost in the UK plan for 2003, 2002 and 2001 (including the Sema plc plans) (translated into US dollars at the average exchange rate for the periods), included the following components:</w:t>
      </w:r>
    </w:p>
    <w:p>
      <w:pPr>
        <w:spacing w:after="0" w:line="3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(Stated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178040" cy="8890"/>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7178040" cy="8890"/>
                    </a:xfrm>
                    <a:prstGeom prst="rect">
                      <a:avLst/>
                    </a:prstGeom>
                    <a:noFill/>
                  </pic:spPr>
                </pic:pic>
              </a:graphicData>
            </a:graphic>
          </wp:anchor>
        </w:drawing>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9080" w:type="dxa"/>
            <w:vAlign w:val="bottom"/>
          </w:tcPr>
          <w:p>
            <w:pPr>
              <w:spacing w:after="0"/>
              <w:rPr>
                <w:sz w:val="15"/>
                <w:szCs w:val="15"/>
                <w:color w:val="auto"/>
              </w:rPr>
            </w:pPr>
          </w:p>
        </w:tc>
        <w:tc>
          <w:tcPr>
            <w:tcW w:w="90" w:type="dxa"/>
            <w:vAlign w:val="bottom"/>
          </w:tcPr>
          <w:p>
            <w:pPr>
              <w:spacing w:after="0"/>
              <w:rPr>
                <w:sz w:val="15"/>
                <w:szCs w:val="15"/>
                <w:color w:val="auto"/>
              </w:rPr>
            </w:pPr>
          </w:p>
        </w:tc>
        <w:tc>
          <w:tcPr>
            <w:tcW w:w="290" w:type="dxa"/>
            <w:vAlign w:val="bottom"/>
          </w:tcPr>
          <w:p>
            <w:pPr>
              <w:jc w:val="right"/>
              <w:spacing w:after="0"/>
              <w:rPr>
                <w:sz w:val="20"/>
                <w:szCs w:val="20"/>
                <w:color w:val="auto"/>
              </w:rPr>
            </w:pPr>
            <w:r>
              <w:rPr>
                <w:rFonts w:ascii="Arial" w:cs="Arial" w:eastAsia="Arial" w:hAnsi="Arial"/>
                <w:sz w:val="14"/>
                <w:szCs w:val="14"/>
                <w:b w:val="1"/>
                <w:bCs w:val="1"/>
                <w:color w:val="auto"/>
                <w:w w:val="83"/>
              </w:rPr>
              <w:t>2003</w:t>
            </w: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jc w:val="right"/>
              <w:spacing w:after="0"/>
              <w:rPr>
                <w:sz w:val="20"/>
                <w:szCs w:val="20"/>
                <w:color w:val="auto"/>
              </w:rPr>
            </w:pPr>
            <w:r>
              <w:rPr>
                <w:rFonts w:ascii="Arial" w:cs="Arial" w:eastAsia="Arial" w:hAnsi="Arial"/>
                <w:sz w:val="14"/>
                <w:szCs w:val="14"/>
                <w:b w:val="1"/>
                <w:bCs w:val="1"/>
                <w:color w:val="auto"/>
                <w:w w:val="89"/>
              </w:rPr>
              <w:t>2002</w:t>
            </w: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jc w:val="right"/>
              <w:spacing w:after="0"/>
              <w:rPr>
                <w:sz w:val="20"/>
                <w:szCs w:val="20"/>
                <w:color w:val="auto"/>
              </w:rPr>
            </w:pPr>
            <w:r>
              <w:rPr>
                <w:rFonts w:ascii="Arial" w:cs="Arial" w:eastAsia="Arial" w:hAnsi="Arial"/>
                <w:sz w:val="14"/>
                <w:szCs w:val="14"/>
                <w:b w:val="1"/>
                <w:bCs w:val="1"/>
                <w:color w:val="auto"/>
                <w:w w:val="89"/>
              </w:rPr>
              <w:t>2001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9080" w:type="dxa"/>
            <w:vAlign w:val="bottom"/>
          </w:tcPr>
          <w:p>
            <w:pPr>
              <w:spacing w:after="0"/>
              <w:rPr>
                <w:sz w:val="8"/>
                <w:szCs w:val="8"/>
                <w:color w:val="auto"/>
              </w:rPr>
            </w:pPr>
          </w:p>
        </w:tc>
        <w:tc>
          <w:tcPr>
            <w:tcW w:w="90" w:type="dxa"/>
            <w:vAlign w:val="bottom"/>
          </w:tcPr>
          <w:p>
            <w:pPr>
              <w:spacing w:after="0"/>
              <w:rPr>
                <w:sz w:val="8"/>
                <w:szCs w:val="8"/>
                <w:color w:val="auto"/>
              </w:rPr>
            </w:pPr>
          </w:p>
        </w:tc>
        <w:tc>
          <w:tcPr>
            <w:tcW w:w="29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9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Service cost – benefits earned during the period</w:t>
            </w:r>
          </w:p>
        </w:tc>
        <w:tc>
          <w:tcPr>
            <w:tcW w:w="9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29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52</w:t>
            </w: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58</w:t>
            </w: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47</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80" w:type="dxa"/>
            <w:vAlign w:val="bottom"/>
          </w:tcPr>
          <w:p>
            <w:pPr>
              <w:spacing w:after="0" w:line="149" w:lineRule="exact"/>
              <w:rPr>
                <w:sz w:val="20"/>
                <w:szCs w:val="20"/>
                <w:color w:val="auto"/>
              </w:rPr>
            </w:pPr>
            <w:r>
              <w:rPr>
                <w:rFonts w:ascii="Arial" w:cs="Arial" w:eastAsia="Arial" w:hAnsi="Arial"/>
                <w:sz w:val="14"/>
                <w:szCs w:val="14"/>
                <w:color w:val="auto"/>
              </w:rPr>
              <w:t>Interest cost on projected benefit obligation</w:t>
            </w:r>
          </w:p>
        </w:tc>
        <w:tc>
          <w:tcPr>
            <w:tcW w:w="90" w:type="dxa"/>
            <w:vAlign w:val="bottom"/>
          </w:tcPr>
          <w:p>
            <w:pPr>
              <w:spacing w:after="0"/>
              <w:rPr>
                <w:sz w:val="12"/>
                <w:szCs w:val="12"/>
                <w:color w:val="auto"/>
              </w:rPr>
            </w:pPr>
          </w:p>
        </w:tc>
        <w:tc>
          <w:tcPr>
            <w:tcW w:w="29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66</w:t>
            </w: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rPr>
              <w:t>59</w:t>
            </w: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rPr>
              <w:t>44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Expected return on plan assets [actual return: 2003 – $152; 2002 – $(147); 2001 – $(47)]</w:t>
            </w:r>
          </w:p>
        </w:tc>
        <w:tc>
          <w:tcPr>
            <w:tcW w:w="90" w:type="dxa"/>
            <w:vAlign w:val="bottom"/>
            <w:shd w:val="clear" w:color="auto" w:fill="CCEEFF"/>
          </w:tcPr>
          <w:p>
            <w:pPr>
              <w:spacing w:after="0"/>
              <w:rPr>
                <w:sz w:val="12"/>
                <w:szCs w:val="12"/>
                <w:color w:val="auto"/>
              </w:rPr>
            </w:pPr>
          </w:p>
        </w:tc>
        <w:tc>
          <w:tcPr>
            <w:tcW w:w="83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b w:val="1"/>
                <w:bCs w:val="1"/>
                <w:color w:val="auto"/>
              </w:rPr>
              <w:t>(90)</w:t>
            </w: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432"/>
              <w:spacing w:after="0" w:line="149" w:lineRule="exact"/>
              <w:rPr>
                <w:sz w:val="20"/>
                <w:szCs w:val="20"/>
                <w:color w:val="auto"/>
              </w:rPr>
            </w:pPr>
            <w:r>
              <w:rPr>
                <w:rFonts w:ascii="Arial" w:cs="Arial" w:eastAsia="Arial" w:hAnsi="Arial"/>
                <w:sz w:val="14"/>
                <w:szCs w:val="14"/>
                <w:color w:val="auto"/>
              </w:rPr>
              <w:t>(91)</w:t>
            </w:r>
          </w:p>
        </w:tc>
        <w:tc>
          <w:tcPr>
            <w:tcW w:w="8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(68)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80" w:type="dxa"/>
            <w:vAlign w:val="bottom"/>
          </w:tcPr>
          <w:p>
            <w:pPr>
              <w:spacing w:after="0" w:line="149" w:lineRule="exact"/>
              <w:rPr>
                <w:sz w:val="20"/>
                <w:szCs w:val="20"/>
                <w:color w:val="auto"/>
              </w:rPr>
            </w:pPr>
            <w:r>
              <w:rPr>
                <w:rFonts w:ascii="Arial" w:cs="Arial" w:eastAsia="Arial" w:hAnsi="Arial"/>
                <w:sz w:val="14"/>
                <w:szCs w:val="14"/>
                <w:color w:val="auto"/>
              </w:rPr>
              <w:t>Amortization of unrecognized loss</w:t>
            </w:r>
          </w:p>
        </w:tc>
        <w:tc>
          <w:tcPr>
            <w:tcW w:w="90" w:type="dxa"/>
            <w:vAlign w:val="bottom"/>
          </w:tcPr>
          <w:p>
            <w:pPr>
              <w:spacing w:after="0"/>
              <w:rPr>
                <w:sz w:val="12"/>
                <w:szCs w:val="12"/>
                <w:color w:val="auto"/>
              </w:rPr>
            </w:pPr>
          </w:p>
        </w:tc>
        <w:tc>
          <w:tcPr>
            <w:tcW w:w="29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11</w:t>
            </w: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472"/>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4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Amortization of transition asset and other</w:t>
            </w:r>
          </w:p>
        </w:tc>
        <w:tc>
          <w:tcPr>
            <w:tcW w:w="90" w:type="dxa"/>
            <w:vAlign w:val="bottom"/>
            <w:shd w:val="clear" w:color="auto" w:fill="CCEEFF"/>
          </w:tcPr>
          <w:p>
            <w:pPr>
              <w:spacing w:after="0"/>
              <w:rPr>
                <w:sz w:val="12"/>
                <w:szCs w:val="12"/>
                <w:color w:val="auto"/>
              </w:rPr>
            </w:pPr>
          </w:p>
        </w:tc>
        <w:tc>
          <w:tcPr>
            <w:tcW w:w="83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b w:val="1"/>
                <w:bCs w:val="1"/>
                <w:color w:val="auto"/>
              </w:rPr>
              <w:t>–</w:t>
            </w: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w:t>
            </w: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080" w:type="dxa"/>
            <w:vAlign w:val="bottom"/>
            <w:tcBorders>
              <w:bottom w:val="single" w:sz="8" w:color="auto"/>
            </w:tcBorders>
          </w:tcPr>
          <w:p>
            <w:pPr>
              <w:spacing w:after="0"/>
              <w:rPr>
                <w:sz w:val="9"/>
                <w:szCs w:val="9"/>
                <w:color w:val="auto"/>
              </w:rPr>
            </w:pPr>
          </w:p>
        </w:tc>
        <w:tc>
          <w:tcPr>
            <w:tcW w:w="90" w:type="dxa"/>
            <w:vAlign w:val="bottom"/>
            <w:tcBorders>
              <w:bottom w:val="single" w:sz="8" w:color="auto"/>
            </w:tcBorders>
          </w:tcPr>
          <w:p>
            <w:pPr>
              <w:spacing w:after="0"/>
              <w:rPr>
                <w:sz w:val="9"/>
                <w:szCs w:val="9"/>
                <w:color w:val="auto"/>
              </w:rPr>
            </w:pPr>
          </w:p>
        </w:tc>
        <w:tc>
          <w:tcPr>
            <w:tcW w:w="29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080" w:type="dxa"/>
            <w:vAlign w:val="bottom"/>
          </w:tcPr>
          <w:p>
            <w:pPr>
              <w:spacing w:after="0"/>
              <w:rPr>
                <w:sz w:val="8"/>
                <w:szCs w:val="8"/>
                <w:color w:val="auto"/>
              </w:rPr>
            </w:pPr>
          </w:p>
        </w:tc>
        <w:tc>
          <w:tcPr>
            <w:tcW w:w="90" w:type="dxa"/>
            <w:vAlign w:val="bottom"/>
          </w:tcPr>
          <w:p>
            <w:pPr>
              <w:spacing w:after="0"/>
              <w:rPr>
                <w:sz w:val="8"/>
                <w:szCs w:val="8"/>
                <w:color w:val="auto"/>
              </w:rPr>
            </w:pPr>
          </w:p>
        </w:tc>
        <w:tc>
          <w:tcPr>
            <w:tcW w:w="29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9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pension cost</w:t>
            </w:r>
          </w:p>
        </w:tc>
        <w:tc>
          <w:tcPr>
            <w:tcW w:w="9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29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39</w:t>
            </w: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w:t>
            </w: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9100" w:type="dxa"/>
            <w:vAlign w:val="bottom"/>
            <w:gridSpan w:val="2"/>
          </w:tcPr>
          <w:p>
            <w:pPr>
              <w:spacing w:after="0"/>
              <w:rPr>
                <w:sz w:val="11"/>
                <w:szCs w:val="11"/>
                <w:color w:val="auto"/>
              </w:rPr>
            </w:pPr>
          </w:p>
        </w:tc>
        <w:tc>
          <w:tcPr>
            <w:tcW w:w="90" w:type="dxa"/>
            <w:vAlign w:val="bottom"/>
            <w:tcBorders>
              <w:bottom w:val="single" w:sz="8" w:color="auto"/>
            </w:tcBorders>
          </w:tcPr>
          <w:p>
            <w:pPr>
              <w:spacing w:after="0"/>
              <w:rPr>
                <w:sz w:val="11"/>
                <w:szCs w:val="11"/>
                <w:color w:val="auto"/>
              </w:rPr>
            </w:pPr>
          </w:p>
        </w:tc>
        <w:tc>
          <w:tcPr>
            <w:tcW w:w="29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380" w:type="dxa"/>
            <w:vAlign w:val="bottom"/>
            <w:tcBorders>
              <w:bottom w:val="single" w:sz="8" w:color="auto"/>
            </w:tcBorders>
            <w:gridSpan w:val="2"/>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15"/>
        </w:trPr>
        <w:tc>
          <w:tcPr>
            <w:tcW w:w="9100" w:type="dxa"/>
            <w:vAlign w:val="bottom"/>
            <w:gridSpan w:val="2"/>
          </w:tcPr>
          <w:p>
            <w:pPr>
              <w:spacing w:after="0"/>
              <w:rPr>
                <w:sz w:val="20"/>
                <w:szCs w:val="20"/>
                <w:color w:val="auto"/>
              </w:rPr>
            </w:pPr>
            <w:r>
              <w:rPr>
                <w:rFonts w:ascii="Arial" w:cs="Arial" w:eastAsia="Arial" w:hAnsi="Arial"/>
                <w:sz w:val="14"/>
                <w:szCs w:val="14"/>
                <w:color w:val="auto"/>
              </w:rPr>
              <w:t>65 / SLB</w:t>
            </w:r>
          </w:p>
        </w:tc>
        <w:tc>
          <w:tcPr>
            <w:tcW w:w="90" w:type="dxa"/>
            <w:vAlign w:val="bottom"/>
          </w:tcPr>
          <w:p>
            <w:pPr>
              <w:spacing w:after="0"/>
              <w:rPr>
                <w:sz w:val="24"/>
                <w:szCs w:val="24"/>
                <w:color w:val="auto"/>
              </w:rPr>
            </w:pPr>
          </w:p>
        </w:tc>
        <w:tc>
          <w:tcPr>
            <w:tcW w:w="29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gridSpan w:val="4"/>
          </w:tcPr>
          <w:p>
            <w:pPr>
              <w:jc w:val="right"/>
              <w:spacing w:after="0"/>
              <w:rPr>
                <w:sz w:val="20"/>
                <w:szCs w:val="20"/>
                <w:color w:val="auto"/>
              </w:rPr>
            </w:pPr>
            <w:r>
              <w:rPr>
                <w:rFonts w:ascii="Arial" w:cs="Arial" w:eastAsia="Arial" w:hAnsi="Arial"/>
                <w:sz w:val="14"/>
                <w:szCs w:val="14"/>
                <w:color w:val="auto"/>
                <w:w w:val="91"/>
              </w:rPr>
              <w:t>2003 FORM 10-K</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5774690</wp:posOffset>
            </wp:positionH>
            <wp:positionV relativeFrom="paragraph">
              <wp:posOffset>-292735</wp:posOffset>
            </wp:positionV>
            <wp:extent cx="12700" cy="2984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-292735</wp:posOffset>
            </wp:positionV>
            <wp:extent cx="21590" cy="2984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-292735</wp:posOffset>
            </wp:positionV>
            <wp:extent cx="38735" cy="2984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6357620</wp:posOffset>
            </wp:positionH>
            <wp:positionV relativeFrom="paragraph">
              <wp:posOffset>-292735</wp:posOffset>
            </wp:positionV>
            <wp:extent cx="12700" cy="2984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-292735</wp:posOffset>
            </wp:positionV>
            <wp:extent cx="21590" cy="2984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6589395</wp:posOffset>
            </wp:positionH>
            <wp:positionV relativeFrom="paragraph">
              <wp:posOffset>-292735</wp:posOffset>
            </wp:positionV>
            <wp:extent cx="38735" cy="29845"/>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6941185</wp:posOffset>
            </wp:positionH>
            <wp:positionV relativeFrom="paragraph">
              <wp:posOffset>-292735</wp:posOffset>
            </wp:positionV>
            <wp:extent cx="12700" cy="2984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7000875</wp:posOffset>
            </wp:positionH>
            <wp:positionV relativeFrom="paragraph">
              <wp:posOffset>-292735</wp:posOffset>
            </wp:positionV>
            <wp:extent cx="21590" cy="2984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-292735</wp:posOffset>
            </wp:positionV>
            <wp:extent cx="38735" cy="2984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4"/>
          <w:szCs w:val="14"/>
          <w:color w:val="auto"/>
        </w:rPr>
        <w:t>Part II, Item 8</w:t>
      </w:r>
    </w:p>
    <w:p>
      <w:pPr>
        <w:spacing w:after="0" w:line="139" w:lineRule="exact"/>
        <w:rPr>
          <w:sz w:val="20"/>
          <w:szCs w:val="20"/>
          <w:color w:val="auto"/>
        </w:rPr>
      </w:pPr>
    </w:p>
    <w:p>
      <w:pPr>
        <w:ind w:left="240"/>
        <w:spacing w:after="0"/>
        <w:rPr>
          <w:sz w:val="20"/>
          <w:szCs w:val="20"/>
          <w:color w:val="auto"/>
        </w:rPr>
      </w:pPr>
      <w:r>
        <w:rPr>
          <w:rFonts w:ascii="Arial" w:cs="Arial" w:eastAsia="Arial" w:hAnsi="Arial"/>
          <w:sz w:val="15"/>
          <w:szCs w:val="15"/>
          <w:color w:val="auto"/>
        </w:rPr>
        <w:t>The change in the projected benefit obligation, plan assets and funded status of the plan (translated into US dollars at year-end exchange rates) was as follows:</w:t>
      </w:r>
    </w:p>
    <w:p>
      <w:pPr>
        <w:spacing w:after="0" w:line="10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(Stated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178040" cy="8890"/>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7178040" cy="8890"/>
                    </a:xfrm>
                    <a:prstGeom prst="rect">
                      <a:avLst/>
                    </a:prstGeom>
                    <a:noFill/>
                  </pic:spPr>
                </pic:pic>
              </a:graphicData>
            </a:graphic>
          </wp:anchor>
        </w:drawing>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9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rPr>
              <w:t>2003</w:t>
            </w: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jc w:val="right"/>
              <w:spacing w:after="0"/>
              <w:rPr>
                <w:sz w:val="20"/>
                <w:szCs w:val="20"/>
                <w:color w:val="auto"/>
              </w:rPr>
            </w:pPr>
            <w:r>
              <w:rPr>
                <w:rFonts w:ascii="Arial" w:cs="Arial" w:eastAsia="Arial" w:hAnsi="Arial"/>
                <w:sz w:val="14"/>
                <w:szCs w:val="14"/>
                <w:b w:val="1"/>
                <w:bCs w:val="1"/>
                <w:color w:val="auto"/>
                <w:w w:val="96"/>
              </w:rPr>
              <w:t>2002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97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97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Projected benefit obligation at beginning of the year</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96"/>
              </w:rPr>
              <w:t>1,142</w:t>
            </w: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989</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760" w:type="dxa"/>
            <w:vAlign w:val="bottom"/>
            <w:gridSpan w:val="2"/>
          </w:tcPr>
          <w:p>
            <w:pPr>
              <w:spacing w:after="0" w:line="149" w:lineRule="exact"/>
              <w:rPr>
                <w:sz w:val="20"/>
                <w:szCs w:val="20"/>
                <w:color w:val="auto"/>
              </w:rPr>
            </w:pPr>
            <w:r>
              <w:rPr>
                <w:rFonts w:ascii="Arial" w:cs="Arial" w:eastAsia="Arial" w:hAnsi="Arial"/>
                <w:sz w:val="14"/>
                <w:szCs w:val="14"/>
                <w:color w:val="auto"/>
              </w:rPr>
              <w:t>Service cost</w:t>
            </w:r>
          </w:p>
        </w:tc>
        <w:tc>
          <w:tcPr>
            <w:tcW w:w="10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52</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jc w:val="right"/>
              <w:spacing w:after="0" w:line="149" w:lineRule="exact"/>
              <w:rPr>
                <w:sz w:val="20"/>
                <w:szCs w:val="20"/>
                <w:color w:val="auto"/>
              </w:rPr>
            </w:pPr>
            <w:r>
              <w:rPr>
                <w:rFonts w:ascii="Arial" w:cs="Arial" w:eastAsia="Arial" w:hAnsi="Arial"/>
                <w:sz w:val="14"/>
                <w:szCs w:val="14"/>
                <w:color w:val="auto"/>
              </w:rPr>
              <w:t>58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7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Interest cost</w:t>
            </w: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66</w:t>
            </w: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59</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760" w:type="dxa"/>
            <w:vAlign w:val="bottom"/>
            <w:gridSpan w:val="2"/>
          </w:tcPr>
          <w:p>
            <w:pPr>
              <w:spacing w:after="0" w:line="149" w:lineRule="exact"/>
              <w:rPr>
                <w:sz w:val="20"/>
                <w:szCs w:val="20"/>
                <w:color w:val="auto"/>
              </w:rPr>
            </w:pPr>
            <w:r>
              <w:rPr>
                <w:rFonts w:ascii="Arial" w:cs="Arial" w:eastAsia="Arial" w:hAnsi="Arial"/>
                <w:sz w:val="14"/>
                <w:szCs w:val="14"/>
                <w:color w:val="auto"/>
              </w:rPr>
              <w:t>Contributions by Plan participants</w:t>
            </w:r>
          </w:p>
        </w:tc>
        <w:tc>
          <w:tcPr>
            <w:tcW w:w="10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7</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jc w:val="right"/>
              <w:spacing w:after="0" w:line="149" w:lineRule="exact"/>
              <w:rPr>
                <w:sz w:val="20"/>
                <w:szCs w:val="20"/>
                <w:color w:val="auto"/>
              </w:rPr>
            </w:pPr>
            <w:r>
              <w:rPr>
                <w:rFonts w:ascii="Arial" w:cs="Arial" w:eastAsia="Arial" w:hAnsi="Arial"/>
                <w:sz w:val="14"/>
                <w:szCs w:val="14"/>
                <w:color w:val="auto"/>
              </w:rPr>
              <w:t>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7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Transfer in</w:t>
            </w: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18</w:t>
            </w: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760" w:type="dxa"/>
            <w:vAlign w:val="bottom"/>
            <w:gridSpan w:val="2"/>
          </w:tcPr>
          <w:p>
            <w:pPr>
              <w:spacing w:after="0" w:line="149" w:lineRule="exact"/>
              <w:rPr>
                <w:sz w:val="20"/>
                <w:szCs w:val="20"/>
                <w:color w:val="auto"/>
              </w:rPr>
            </w:pPr>
            <w:r>
              <w:rPr>
                <w:rFonts w:ascii="Arial" w:cs="Arial" w:eastAsia="Arial" w:hAnsi="Arial"/>
                <w:sz w:val="14"/>
                <w:szCs w:val="14"/>
                <w:color w:val="auto"/>
              </w:rPr>
              <w:t>Actuarial losses (gains)</w:t>
            </w:r>
          </w:p>
        </w:tc>
        <w:tc>
          <w:tcPr>
            <w:tcW w:w="10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165</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(45)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7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Currency effect</w:t>
            </w: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152</w:t>
            </w: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106</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760" w:type="dxa"/>
            <w:vAlign w:val="bottom"/>
            <w:gridSpan w:val="2"/>
          </w:tcPr>
          <w:p>
            <w:pPr>
              <w:spacing w:after="0" w:line="149" w:lineRule="exact"/>
              <w:rPr>
                <w:sz w:val="20"/>
                <w:szCs w:val="20"/>
                <w:color w:val="auto"/>
              </w:rPr>
            </w:pPr>
            <w:r>
              <w:rPr>
                <w:rFonts w:ascii="Arial" w:cs="Arial" w:eastAsia="Arial" w:hAnsi="Arial"/>
                <w:sz w:val="14"/>
                <w:szCs w:val="14"/>
                <w:color w:val="auto"/>
              </w:rPr>
              <w:t>Benefits paid</w:t>
            </w:r>
          </w:p>
        </w:tc>
        <w:tc>
          <w:tcPr>
            <w:tcW w:w="100" w:type="dxa"/>
            <w:vAlign w:val="bottom"/>
          </w:tcPr>
          <w:p>
            <w:pPr>
              <w:spacing w:after="0"/>
              <w:rPr>
                <w:sz w:val="12"/>
                <w:szCs w:val="12"/>
                <w:color w:val="auto"/>
              </w:rPr>
            </w:pPr>
          </w:p>
        </w:tc>
        <w:tc>
          <w:tcPr>
            <w:tcW w:w="1020" w:type="dxa"/>
            <w:vAlign w:val="bottom"/>
            <w:gridSpan w:val="2"/>
          </w:tcPr>
          <w:p>
            <w:pPr>
              <w:jc w:val="right"/>
              <w:ind w:right="620"/>
              <w:spacing w:after="0" w:line="149" w:lineRule="exact"/>
              <w:rPr>
                <w:sz w:val="20"/>
                <w:szCs w:val="20"/>
                <w:color w:val="auto"/>
              </w:rPr>
            </w:pPr>
            <w:r>
              <w:rPr>
                <w:rFonts w:ascii="Arial" w:cs="Arial" w:eastAsia="Arial" w:hAnsi="Arial"/>
                <w:sz w:val="14"/>
                <w:szCs w:val="14"/>
                <w:b w:val="1"/>
                <w:bCs w:val="1"/>
                <w:color w:val="auto"/>
              </w:rPr>
              <w:t>(32)</w:t>
            </w:r>
          </w:p>
        </w:tc>
        <w:tc>
          <w:tcPr>
            <w:tcW w:w="100" w:type="dxa"/>
            <w:vAlign w:val="bottom"/>
          </w:tcPr>
          <w:p>
            <w:pPr>
              <w:spacing w:after="0"/>
              <w:rPr>
                <w:sz w:val="12"/>
                <w:szCs w:val="12"/>
                <w:color w:val="auto"/>
              </w:rPr>
            </w:pPr>
          </w:p>
        </w:tc>
        <w:tc>
          <w:tcPr>
            <w:tcW w:w="4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7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Disposals</w:t>
            </w:r>
          </w:p>
        </w:tc>
        <w:tc>
          <w:tcPr>
            <w:tcW w:w="1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660"/>
              <w:spacing w:after="0" w:line="149" w:lineRule="exact"/>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74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7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97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Projected benefit obligation at end of the year</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96"/>
              </w:rPr>
              <w:t>1,570</w:t>
            </w: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5"/>
              </w:rPr>
              <w:t>1,142</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7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97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97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Plan assets at market value at beginning of the year</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815</w:t>
            </w: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868</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760" w:type="dxa"/>
            <w:vAlign w:val="bottom"/>
            <w:gridSpan w:val="2"/>
          </w:tcPr>
          <w:p>
            <w:pPr>
              <w:spacing w:after="0" w:line="149" w:lineRule="exact"/>
              <w:rPr>
                <w:sz w:val="20"/>
                <w:szCs w:val="20"/>
                <w:color w:val="auto"/>
              </w:rPr>
            </w:pPr>
            <w:r>
              <w:rPr>
                <w:rFonts w:ascii="Arial" w:cs="Arial" w:eastAsia="Arial" w:hAnsi="Arial"/>
                <w:sz w:val="14"/>
                <w:szCs w:val="14"/>
                <w:color w:val="auto"/>
              </w:rPr>
              <w:t>Actual return on plan assets</w:t>
            </w:r>
          </w:p>
        </w:tc>
        <w:tc>
          <w:tcPr>
            <w:tcW w:w="10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152</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(147)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7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Currency effect</w:t>
            </w: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106</w:t>
            </w: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81</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760" w:type="dxa"/>
            <w:vAlign w:val="bottom"/>
            <w:gridSpan w:val="2"/>
          </w:tcPr>
          <w:p>
            <w:pPr>
              <w:spacing w:after="0" w:line="149" w:lineRule="exact"/>
              <w:rPr>
                <w:sz w:val="20"/>
                <w:szCs w:val="20"/>
                <w:color w:val="auto"/>
              </w:rPr>
            </w:pPr>
            <w:r>
              <w:rPr>
                <w:rFonts w:ascii="Arial" w:cs="Arial" w:eastAsia="Arial" w:hAnsi="Arial"/>
                <w:sz w:val="14"/>
                <w:szCs w:val="14"/>
                <w:color w:val="auto"/>
              </w:rPr>
              <w:t>Employer contributions</w:t>
            </w:r>
          </w:p>
        </w:tc>
        <w:tc>
          <w:tcPr>
            <w:tcW w:w="10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47</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jc w:val="right"/>
              <w:spacing w:after="0" w:line="149" w:lineRule="exact"/>
              <w:rPr>
                <w:sz w:val="20"/>
                <w:szCs w:val="20"/>
                <w:color w:val="auto"/>
              </w:rPr>
            </w:pPr>
            <w:r>
              <w:rPr>
                <w:rFonts w:ascii="Arial" w:cs="Arial" w:eastAsia="Arial" w:hAnsi="Arial"/>
                <w:sz w:val="14"/>
                <w:szCs w:val="14"/>
                <w:color w:val="auto"/>
              </w:rPr>
              <w:t>39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7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Employee contributions</w:t>
            </w: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7</w:t>
            </w: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760" w:type="dxa"/>
            <w:vAlign w:val="bottom"/>
            <w:gridSpan w:val="2"/>
          </w:tcPr>
          <w:p>
            <w:pPr>
              <w:spacing w:after="0" w:line="149" w:lineRule="exact"/>
              <w:rPr>
                <w:sz w:val="20"/>
                <w:szCs w:val="20"/>
                <w:color w:val="auto"/>
              </w:rPr>
            </w:pPr>
            <w:r>
              <w:rPr>
                <w:rFonts w:ascii="Arial" w:cs="Arial" w:eastAsia="Arial" w:hAnsi="Arial"/>
                <w:sz w:val="14"/>
                <w:szCs w:val="14"/>
                <w:color w:val="auto"/>
              </w:rPr>
              <w:t>Transfer in</w:t>
            </w:r>
          </w:p>
        </w:tc>
        <w:tc>
          <w:tcPr>
            <w:tcW w:w="10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15</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7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Benefits paid</w:t>
            </w:r>
          </w:p>
        </w:tc>
        <w:tc>
          <w:tcPr>
            <w:tcW w:w="1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620"/>
              <w:spacing w:after="0" w:line="149" w:lineRule="exact"/>
              <w:rPr>
                <w:sz w:val="20"/>
                <w:szCs w:val="20"/>
                <w:color w:val="auto"/>
              </w:rPr>
            </w:pPr>
            <w:r>
              <w:rPr>
                <w:rFonts w:ascii="Arial" w:cs="Arial" w:eastAsia="Arial" w:hAnsi="Arial"/>
                <w:sz w:val="14"/>
                <w:szCs w:val="14"/>
                <w:b w:val="1"/>
                <w:bCs w:val="1"/>
                <w:color w:val="auto"/>
              </w:rPr>
              <w:t>(32)</w:t>
            </w:r>
          </w:p>
        </w:tc>
        <w:tc>
          <w:tcPr>
            <w:tcW w:w="10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9760" w:type="dxa"/>
            <w:vAlign w:val="bottom"/>
            <w:gridSpan w:val="2"/>
          </w:tcPr>
          <w:p>
            <w:pPr>
              <w:spacing w:after="0"/>
              <w:rPr>
                <w:sz w:val="20"/>
                <w:szCs w:val="20"/>
                <w:color w:val="auto"/>
              </w:rPr>
            </w:pPr>
            <w:r>
              <w:rPr>
                <w:rFonts w:ascii="Arial" w:cs="Arial" w:eastAsia="Arial" w:hAnsi="Arial"/>
                <w:sz w:val="14"/>
                <w:szCs w:val="14"/>
                <w:color w:val="auto"/>
              </w:rPr>
              <w:t>Disposals</w:t>
            </w:r>
          </w:p>
        </w:tc>
        <w:tc>
          <w:tcPr>
            <w:tcW w:w="100" w:type="dxa"/>
            <w:vAlign w:val="bottom"/>
          </w:tcPr>
          <w:p>
            <w:pPr>
              <w:spacing w:after="0"/>
              <w:rPr>
                <w:sz w:val="15"/>
                <w:szCs w:val="15"/>
                <w:color w:val="auto"/>
              </w:rPr>
            </w:pPr>
          </w:p>
        </w:tc>
        <w:tc>
          <w:tcPr>
            <w:tcW w:w="102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(2)</w:t>
            </w:r>
          </w:p>
        </w:tc>
        <w:tc>
          <w:tcPr>
            <w:tcW w:w="100" w:type="dxa"/>
            <w:vAlign w:val="bottom"/>
          </w:tcPr>
          <w:p>
            <w:pPr>
              <w:spacing w:after="0"/>
              <w:rPr>
                <w:sz w:val="15"/>
                <w:szCs w:val="15"/>
                <w:color w:val="auto"/>
              </w:rPr>
            </w:pPr>
          </w:p>
        </w:tc>
        <w:tc>
          <w:tcPr>
            <w:tcW w:w="420" w:type="dxa"/>
            <w:vAlign w:val="bottom"/>
            <w:gridSpan w:val="2"/>
          </w:tcPr>
          <w:p>
            <w:pPr>
              <w:jc w:val="right"/>
              <w:ind w:right="60"/>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974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66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7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97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Plan assets at market value at end of the year</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96"/>
              </w:rPr>
              <w:t>1,108</w:t>
            </w: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815</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7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97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97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Excess of projected benefit obligation over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1020" w:type="dxa"/>
            <w:vAlign w:val="bottom"/>
            <w:gridSpan w:val="2"/>
            <w:shd w:val="clear" w:color="auto" w:fill="CCEEFF"/>
          </w:tcPr>
          <w:p>
            <w:pPr>
              <w:jc w:val="right"/>
              <w:ind w:right="620"/>
              <w:spacing w:after="0" w:line="149" w:lineRule="exact"/>
              <w:rPr>
                <w:sz w:val="20"/>
                <w:szCs w:val="20"/>
                <w:color w:val="auto"/>
              </w:rPr>
            </w:pPr>
            <w:r>
              <w:rPr>
                <w:rFonts w:ascii="Arial" w:cs="Arial" w:eastAsia="Arial" w:hAnsi="Arial"/>
                <w:sz w:val="14"/>
                <w:szCs w:val="14"/>
                <w:b w:val="1"/>
                <w:bCs w:val="1"/>
                <w:color w:val="auto"/>
              </w:rPr>
              <w:t>(462)</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(327)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760" w:type="dxa"/>
            <w:vAlign w:val="bottom"/>
            <w:gridSpan w:val="2"/>
          </w:tcPr>
          <w:p>
            <w:pPr>
              <w:spacing w:after="0" w:line="149" w:lineRule="exact"/>
              <w:rPr>
                <w:sz w:val="20"/>
                <w:szCs w:val="20"/>
                <w:color w:val="auto"/>
              </w:rPr>
            </w:pPr>
            <w:r>
              <w:rPr>
                <w:rFonts w:ascii="Arial" w:cs="Arial" w:eastAsia="Arial" w:hAnsi="Arial"/>
                <w:sz w:val="14"/>
                <w:szCs w:val="14"/>
                <w:color w:val="auto"/>
              </w:rPr>
              <w:t>Unrecognized net loss</w:t>
            </w:r>
          </w:p>
        </w:tc>
        <w:tc>
          <w:tcPr>
            <w:tcW w:w="10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498</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jc w:val="right"/>
              <w:spacing w:after="0" w:line="149" w:lineRule="exact"/>
              <w:rPr>
                <w:sz w:val="20"/>
                <w:szCs w:val="20"/>
                <w:color w:val="auto"/>
              </w:rPr>
            </w:pPr>
            <w:r>
              <w:rPr>
                <w:rFonts w:ascii="Arial" w:cs="Arial" w:eastAsia="Arial" w:hAnsi="Arial"/>
                <w:sz w:val="14"/>
                <w:szCs w:val="14"/>
                <w:color w:val="auto"/>
              </w:rPr>
              <w:t>351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7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Unrecognized prior service cost</w:t>
            </w:r>
          </w:p>
        </w:tc>
        <w:tc>
          <w:tcPr>
            <w:tcW w:w="1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660"/>
              <w:spacing w:after="0" w:line="149" w:lineRule="exact"/>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9760" w:type="dxa"/>
            <w:vAlign w:val="bottom"/>
            <w:gridSpan w:val="2"/>
          </w:tcPr>
          <w:p>
            <w:pPr>
              <w:spacing w:after="0"/>
              <w:rPr>
                <w:sz w:val="20"/>
                <w:szCs w:val="20"/>
                <w:color w:val="auto"/>
              </w:rPr>
            </w:pPr>
            <w:r>
              <w:rPr>
                <w:rFonts w:ascii="Arial" w:cs="Arial" w:eastAsia="Arial" w:hAnsi="Arial"/>
                <w:sz w:val="14"/>
                <w:szCs w:val="14"/>
                <w:color w:val="auto"/>
              </w:rPr>
              <w:t>Unrecognized net asset at transition date</w:t>
            </w:r>
          </w:p>
        </w:tc>
        <w:tc>
          <w:tcPr>
            <w:tcW w:w="100" w:type="dxa"/>
            <w:vAlign w:val="bottom"/>
          </w:tcPr>
          <w:p>
            <w:pPr>
              <w:spacing w:after="0"/>
              <w:rPr>
                <w:sz w:val="15"/>
                <w:szCs w:val="15"/>
                <w:color w:val="auto"/>
              </w:rPr>
            </w:pPr>
          </w:p>
        </w:tc>
        <w:tc>
          <w:tcPr>
            <w:tcW w:w="102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(1)</w:t>
            </w:r>
          </w:p>
        </w:tc>
        <w:tc>
          <w:tcPr>
            <w:tcW w:w="100" w:type="dxa"/>
            <w:vAlign w:val="bottom"/>
          </w:tcPr>
          <w:p>
            <w:pPr>
              <w:spacing w:after="0"/>
              <w:rPr>
                <w:sz w:val="15"/>
                <w:szCs w:val="15"/>
                <w:color w:val="auto"/>
              </w:rPr>
            </w:pPr>
          </w:p>
        </w:tc>
        <w:tc>
          <w:tcPr>
            <w:tcW w:w="420" w:type="dxa"/>
            <w:vAlign w:val="bottom"/>
            <w:gridSpan w:val="2"/>
          </w:tcPr>
          <w:p>
            <w:pPr>
              <w:jc w:val="right"/>
              <w:ind w:right="60"/>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974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66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7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97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Pension asset</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35</w:t>
            </w: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9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97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97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Assets of under-funded plans at market value at end of the year</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882</w:t>
            </w: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335</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9760" w:type="dxa"/>
            <w:vAlign w:val="bottom"/>
            <w:gridSpan w:val="2"/>
          </w:tcPr>
          <w:p>
            <w:pPr>
              <w:spacing w:after="0"/>
              <w:rPr>
                <w:sz w:val="20"/>
                <w:szCs w:val="20"/>
                <w:color w:val="auto"/>
              </w:rPr>
            </w:pPr>
            <w:r>
              <w:rPr>
                <w:rFonts w:ascii="Arial" w:cs="Arial" w:eastAsia="Arial" w:hAnsi="Arial"/>
                <w:sz w:val="14"/>
                <w:szCs w:val="14"/>
                <w:color w:val="auto"/>
              </w:rPr>
              <w:t>Accumulated benefit obligation of under-funded plans at end of the year</w:t>
            </w:r>
          </w:p>
        </w:tc>
        <w:tc>
          <w:tcPr>
            <w:tcW w:w="100" w:type="dxa"/>
            <w:vAlign w:val="bottom"/>
          </w:tcPr>
          <w:p>
            <w:pPr>
              <w:spacing w:after="0"/>
              <w:rPr>
                <w:sz w:val="15"/>
                <w:szCs w:val="15"/>
                <w:color w:val="auto"/>
              </w:rPr>
            </w:pPr>
          </w:p>
        </w:tc>
        <w:tc>
          <w:tcPr>
            <w:tcW w:w="102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w w:val="85"/>
              </w:rPr>
              <w:t>(1,097)</w:t>
            </w:r>
          </w:p>
        </w:tc>
        <w:tc>
          <w:tcPr>
            <w:tcW w:w="100" w:type="dxa"/>
            <w:vAlign w:val="bottom"/>
          </w:tcPr>
          <w:p>
            <w:pPr>
              <w:spacing w:after="0"/>
              <w:rPr>
                <w:sz w:val="15"/>
                <w:szCs w:val="15"/>
                <w:color w:val="auto"/>
              </w:rPr>
            </w:pPr>
          </w:p>
        </w:tc>
        <w:tc>
          <w:tcPr>
            <w:tcW w:w="420" w:type="dxa"/>
            <w:vAlign w:val="bottom"/>
            <w:gridSpan w:val="2"/>
          </w:tcPr>
          <w:p>
            <w:pPr>
              <w:jc w:val="right"/>
              <w:ind w:right="60"/>
              <w:spacing w:after="0"/>
              <w:rPr>
                <w:sz w:val="20"/>
                <w:szCs w:val="20"/>
                <w:color w:val="auto"/>
              </w:rPr>
            </w:pPr>
            <w:r>
              <w:rPr>
                <w:rFonts w:ascii="Arial" w:cs="Arial" w:eastAsia="Arial" w:hAnsi="Arial"/>
                <w:sz w:val="14"/>
                <w:szCs w:val="14"/>
                <w:color w:val="auto"/>
              </w:rPr>
              <w:t>(495)</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974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66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7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97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Minimum liability of under-funded plans</w:t>
            </w:r>
          </w:p>
        </w:tc>
        <w:tc>
          <w:tcPr>
            <w:tcW w:w="1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620"/>
              <w:spacing w:after="0" w:line="149" w:lineRule="exact"/>
              <w:rPr>
                <w:sz w:val="20"/>
                <w:szCs w:val="20"/>
                <w:color w:val="auto"/>
              </w:rPr>
            </w:pPr>
            <w:r>
              <w:rPr>
                <w:rFonts w:ascii="Arial" w:cs="Arial" w:eastAsia="Arial" w:hAnsi="Arial"/>
                <w:sz w:val="14"/>
                <w:szCs w:val="14"/>
                <w:b w:val="1"/>
                <w:bCs w:val="1"/>
                <w:color w:val="auto"/>
              </w:rPr>
              <w:t>(215)</w:t>
            </w:r>
          </w:p>
        </w:tc>
        <w:tc>
          <w:tcPr>
            <w:tcW w:w="10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(160)</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9760" w:type="dxa"/>
            <w:vAlign w:val="bottom"/>
            <w:gridSpan w:val="2"/>
          </w:tcPr>
          <w:p>
            <w:pPr>
              <w:spacing w:after="0"/>
              <w:rPr>
                <w:sz w:val="20"/>
                <w:szCs w:val="20"/>
                <w:color w:val="auto"/>
              </w:rPr>
            </w:pPr>
            <w:r>
              <w:rPr>
                <w:rFonts w:ascii="Arial" w:cs="Arial" w:eastAsia="Arial" w:hAnsi="Arial"/>
                <w:sz w:val="14"/>
                <w:szCs w:val="14"/>
                <w:color w:val="auto"/>
              </w:rPr>
              <w:t>Pension liability of under-funded plans</w:t>
            </w:r>
          </w:p>
        </w:tc>
        <w:tc>
          <w:tcPr>
            <w:tcW w:w="10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rPr>
              <w:t>6</w:t>
            </w: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rPr>
              <w:t>70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6203315</wp:posOffset>
            </wp:positionH>
            <wp:positionV relativeFrom="paragraph">
              <wp:posOffset>-2573655</wp:posOffset>
            </wp:positionV>
            <wp:extent cx="12700" cy="2984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6263640</wp:posOffset>
            </wp:positionH>
            <wp:positionV relativeFrom="paragraph">
              <wp:posOffset>-2573655</wp:posOffset>
            </wp:positionV>
            <wp:extent cx="21590" cy="29845"/>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-2573655</wp:posOffset>
            </wp:positionV>
            <wp:extent cx="38735" cy="29845"/>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6915150</wp:posOffset>
            </wp:positionH>
            <wp:positionV relativeFrom="paragraph">
              <wp:posOffset>-2573655</wp:posOffset>
            </wp:positionV>
            <wp:extent cx="12700" cy="29845"/>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6975475</wp:posOffset>
            </wp:positionH>
            <wp:positionV relativeFrom="paragraph">
              <wp:posOffset>-2573655</wp:posOffset>
            </wp:positionV>
            <wp:extent cx="21590" cy="29845"/>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-2573655</wp:posOffset>
            </wp:positionV>
            <wp:extent cx="38735" cy="29845"/>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6203315</wp:posOffset>
            </wp:positionH>
            <wp:positionV relativeFrom="paragraph">
              <wp:posOffset>-1415415</wp:posOffset>
            </wp:positionV>
            <wp:extent cx="12700" cy="29845"/>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6263640</wp:posOffset>
            </wp:positionH>
            <wp:positionV relativeFrom="paragraph">
              <wp:posOffset>-1415415</wp:posOffset>
            </wp:positionV>
            <wp:extent cx="21590" cy="29845"/>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-1415415</wp:posOffset>
            </wp:positionV>
            <wp:extent cx="38735" cy="29845"/>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6915150</wp:posOffset>
            </wp:positionH>
            <wp:positionV relativeFrom="paragraph">
              <wp:posOffset>-1415415</wp:posOffset>
            </wp:positionV>
            <wp:extent cx="12700" cy="29845"/>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6975475</wp:posOffset>
            </wp:positionH>
            <wp:positionV relativeFrom="paragraph">
              <wp:posOffset>-1415415</wp:posOffset>
            </wp:positionV>
            <wp:extent cx="21590" cy="29845"/>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-1415415</wp:posOffset>
            </wp:positionV>
            <wp:extent cx="38735" cy="29845"/>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6203315</wp:posOffset>
            </wp:positionH>
            <wp:positionV relativeFrom="paragraph">
              <wp:posOffset>-635000</wp:posOffset>
            </wp:positionV>
            <wp:extent cx="321310" cy="29845"/>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321310" cy="29845"/>
                    </a:xfrm>
                    <a:prstGeom prst="rect">
                      <a:avLst/>
                    </a:prstGeom>
                    <a:noFill/>
                  </pic:spPr>
                </pic:pic>
              </a:graphicData>
            </a:graphic>
          </wp:anchor>
        </w:drawing>
        <w:drawing>
          <wp:anchor simplePos="0" relativeHeight="251657728" behindDoc="1" locked="0" layoutInCell="0" allowOverlap="1">
            <wp:simplePos x="0" y="0"/>
            <wp:positionH relativeFrom="column">
              <wp:posOffset>6915150</wp:posOffset>
            </wp:positionH>
            <wp:positionV relativeFrom="paragraph">
              <wp:posOffset>-635000</wp:posOffset>
            </wp:positionV>
            <wp:extent cx="295910" cy="29845"/>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295910" cy="298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52070</wp:posOffset>
            </wp:positionV>
            <wp:extent cx="7178040" cy="8890"/>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7178040" cy="8890"/>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p>
      <w:pPr>
        <w:spacing w:after="0" w:line="193" w:lineRule="exact"/>
        <w:rPr>
          <w:sz w:val="20"/>
          <w:szCs w:val="20"/>
          <w:color w:val="auto"/>
        </w:rPr>
      </w:pPr>
    </w:p>
    <w:p>
      <w:pPr>
        <w:spacing w:after="0"/>
        <w:rPr>
          <w:sz w:val="20"/>
          <w:szCs w:val="20"/>
          <w:color w:val="auto"/>
        </w:rPr>
      </w:pPr>
      <w:r>
        <w:rPr>
          <w:rFonts w:ascii="Arial" w:cs="Arial" w:eastAsia="Arial" w:hAnsi="Arial"/>
          <w:sz w:val="12"/>
          <w:szCs w:val="12"/>
          <w:color w:val="auto"/>
        </w:rPr>
        <w:t>Charged to other comprehensive income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246620" cy="94615"/>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7246620" cy="946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p>
    <w:p>
      <w:pPr>
        <w:spacing w:after="0"/>
        <w:tabs>
          <w:tab w:leader="none" w:pos="180" w:val="left"/>
          <w:tab w:leader="none" w:pos="1100" w:val="left"/>
          <w:tab w:leader="none" w:pos="1340" w:val="left"/>
        </w:tabs>
        <w:rPr>
          <w:sz w:val="20"/>
          <w:szCs w:val="20"/>
          <w:color w:val="auto"/>
        </w:rPr>
      </w:pPr>
      <w:r>
        <w:rPr>
          <w:rFonts w:ascii="Arial" w:cs="Arial" w:eastAsia="Arial" w:hAnsi="Arial"/>
          <w:sz w:val="14"/>
          <w:szCs w:val="14"/>
          <w:b w:val="1"/>
          <w:bCs w:val="1"/>
          <w:color w:val="auto"/>
        </w:rPr>
        <w:t>$</w:t>
        <w:tab/>
        <w:t>(209)</w:t>
      </w:r>
      <w:r>
        <w:rPr>
          <w:sz w:val="20"/>
          <w:szCs w:val="20"/>
          <w:color w:val="auto"/>
        </w:rPr>
        <w:tab/>
      </w:r>
      <w:r>
        <w:rPr>
          <w:rFonts w:ascii="Arial" w:cs="Arial" w:eastAsia="Arial" w:hAnsi="Arial"/>
          <w:sz w:val="14"/>
          <w:szCs w:val="14"/>
          <w:color w:val="auto"/>
        </w:rPr>
        <w:t>$</w:t>
      </w:r>
      <w:r>
        <w:rPr>
          <w:sz w:val="20"/>
          <w:szCs w:val="20"/>
          <w:color w:val="auto"/>
        </w:rPr>
        <w:tab/>
      </w:r>
      <w:r>
        <w:rPr>
          <w:rFonts w:ascii="Arial" w:cs="Arial" w:eastAsia="Arial" w:hAnsi="Arial"/>
          <w:sz w:val="12"/>
          <w:szCs w:val="12"/>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66675</wp:posOffset>
            </wp:positionV>
            <wp:extent cx="321310" cy="29845"/>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321310" cy="29845"/>
                    </a:xfrm>
                    <a:prstGeom prst="rect">
                      <a:avLst/>
                    </a:prstGeom>
                    <a:noFill/>
                  </pic:spPr>
                </pic:pic>
              </a:graphicData>
            </a:graphic>
          </wp:anchor>
        </w:drawing>
        <w:drawing>
          <wp:anchor simplePos="0" relativeHeight="251657728" behindDoc="1" locked="0" layoutInCell="0" allowOverlap="1">
            <wp:simplePos x="0" y="0"/>
            <wp:positionH relativeFrom="column">
              <wp:posOffset>704850</wp:posOffset>
            </wp:positionH>
            <wp:positionV relativeFrom="paragraph">
              <wp:posOffset>66675</wp:posOffset>
            </wp:positionV>
            <wp:extent cx="295910" cy="29845"/>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295910" cy="298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060" w:space="720"/>
            <w:col w:w="1640"/>
          </w:cols>
          <w:pgMar w:left="240" w:top="459" w:right="239" w:bottom="1440" w:gutter="0" w:footer="0" w:header="0"/>
          <w:type w:val="continuous"/>
        </w:sectPr>
      </w:pPr>
    </w:p>
    <w:p>
      <w:pPr>
        <w:spacing w:after="0" w:line="116" w:lineRule="exact"/>
        <w:rPr>
          <w:sz w:val="20"/>
          <w:szCs w:val="20"/>
          <w:color w:val="auto"/>
        </w:rPr>
      </w:pPr>
    </w:p>
    <w:p>
      <w:pPr>
        <w:ind w:right="240" w:firstLine="228"/>
        <w:spacing w:after="0" w:line="298" w:lineRule="auto"/>
        <w:rPr>
          <w:sz w:val="20"/>
          <w:szCs w:val="20"/>
          <w:color w:val="auto"/>
        </w:rPr>
      </w:pPr>
      <w:r>
        <w:rPr>
          <w:rFonts w:ascii="Arial" w:cs="Arial" w:eastAsia="Arial" w:hAnsi="Arial"/>
          <w:sz w:val="16"/>
          <w:szCs w:val="16"/>
          <w:color w:val="auto"/>
        </w:rPr>
        <w:t xml:space="preserve">The combined market performance over the last three years and declining interest rates have decreased the value of assets held in the UK pension plans and has correspondingly increased the amount by which the pension plans are under-funded. As a result of the decline in the value of the pension plan assets and a decline in the interest rates, which increased the present value of the benefit obligations, Schlumberger has recorded a cumulative non-cash pretax charge to </w:t>
      </w:r>
      <w:r>
        <w:rPr>
          <w:rFonts w:ascii="Arial" w:cs="Arial" w:eastAsia="Arial" w:hAnsi="Arial"/>
          <w:sz w:val="16"/>
          <w:szCs w:val="16"/>
          <w:i w:val="1"/>
          <w:iCs w:val="1"/>
          <w:color w:val="auto"/>
        </w:rPr>
        <w:t xml:space="preserve">Stockholders’ Equity </w:t>
      </w:r>
      <w:r>
        <w:rPr>
          <w:rFonts w:ascii="Arial" w:cs="Arial" w:eastAsia="Arial" w:hAnsi="Arial"/>
          <w:sz w:val="16"/>
          <w:szCs w:val="16"/>
          <w:color w:val="auto"/>
        </w:rPr>
        <w:t>of $209 million ($147 million after-tax). A recovery in market returns in future periods would reverse a portion of the charge.</w:t>
      </w:r>
    </w:p>
    <w:p>
      <w:pPr>
        <w:spacing w:after="0" w:line="18"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assumed discount rate and rate of compensation increases used to determine the projected benefit obligation were as follows:</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340" w:type="dxa"/>
            <w:vAlign w:val="bottom"/>
          </w:tcPr>
          <w:p>
            <w:pPr>
              <w:spacing w:after="0"/>
              <w:rPr>
                <w:sz w:val="15"/>
                <w:szCs w:val="15"/>
                <w:color w:val="auto"/>
              </w:rPr>
            </w:pPr>
          </w:p>
        </w:tc>
        <w:tc>
          <w:tcPr>
            <w:tcW w:w="4880" w:type="dxa"/>
            <w:vAlign w:val="bottom"/>
          </w:tcPr>
          <w:p>
            <w:pPr>
              <w:jc w:val="right"/>
              <w:ind w:right="252"/>
              <w:spacing w:after="0"/>
              <w:rPr>
                <w:sz w:val="20"/>
                <w:szCs w:val="20"/>
                <w:color w:val="auto"/>
              </w:rPr>
            </w:pPr>
            <w:r>
              <w:rPr>
                <w:rFonts w:ascii="Arial" w:cs="Arial" w:eastAsia="Arial" w:hAnsi="Arial"/>
                <w:sz w:val="14"/>
                <w:szCs w:val="14"/>
                <w:b w:val="1"/>
                <w:bCs w:val="1"/>
                <w:color w:val="auto"/>
              </w:rPr>
              <w:t>2003</w:t>
            </w:r>
          </w:p>
        </w:tc>
        <w:tc>
          <w:tcPr>
            <w:tcW w:w="1180" w:type="dxa"/>
            <w:vAlign w:val="bottom"/>
          </w:tcPr>
          <w:p>
            <w:pPr>
              <w:jc w:val="right"/>
              <w:ind w:right="52"/>
              <w:spacing w:after="0"/>
              <w:rPr>
                <w:sz w:val="20"/>
                <w:szCs w:val="20"/>
                <w:color w:val="auto"/>
              </w:rPr>
            </w:pPr>
            <w:r>
              <w:rPr>
                <w:rFonts w:ascii="Arial" w:cs="Arial" w:eastAsia="Arial" w:hAnsi="Arial"/>
                <w:sz w:val="14"/>
                <w:szCs w:val="14"/>
                <w:b w:val="1"/>
                <w:bCs w:val="1"/>
                <w:color w:val="auto"/>
              </w:rPr>
              <w:t>2002</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5340" w:type="dxa"/>
            <w:vAlign w:val="bottom"/>
          </w:tcPr>
          <w:p>
            <w:pPr>
              <w:spacing w:after="0"/>
              <w:rPr>
                <w:sz w:val="8"/>
                <w:szCs w:val="8"/>
                <w:color w:val="auto"/>
              </w:rPr>
            </w:pPr>
          </w:p>
        </w:tc>
        <w:tc>
          <w:tcPr>
            <w:tcW w:w="48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Assumed discount rate</w:t>
            </w:r>
          </w:p>
        </w:tc>
        <w:tc>
          <w:tcPr>
            <w:tcW w:w="488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b w:val="1"/>
                <w:bCs w:val="1"/>
                <w:color w:val="auto"/>
              </w:rPr>
              <w:t>5.60%</w:t>
            </w:r>
          </w:p>
        </w:tc>
        <w:tc>
          <w:tcPr>
            <w:tcW w:w="1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5.70%</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340" w:type="dxa"/>
            <w:vAlign w:val="bottom"/>
          </w:tcPr>
          <w:p>
            <w:pPr>
              <w:spacing w:after="0"/>
              <w:rPr>
                <w:sz w:val="20"/>
                <w:szCs w:val="20"/>
                <w:color w:val="auto"/>
              </w:rPr>
            </w:pPr>
            <w:r>
              <w:rPr>
                <w:rFonts w:ascii="Arial" w:cs="Arial" w:eastAsia="Arial" w:hAnsi="Arial"/>
                <w:sz w:val="14"/>
                <w:szCs w:val="14"/>
                <w:color w:val="auto"/>
              </w:rPr>
              <w:t>Compensation increases</w:t>
            </w:r>
          </w:p>
        </w:tc>
        <w:tc>
          <w:tcPr>
            <w:tcW w:w="4880" w:type="dxa"/>
            <w:vAlign w:val="bottom"/>
          </w:tcPr>
          <w:p>
            <w:pPr>
              <w:jc w:val="right"/>
              <w:ind w:right="112"/>
              <w:spacing w:after="0"/>
              <w:rPr>
                <w:sz w:val="20"/>
                <w:szCs w:val="20"/>
                <w:color w:val="auto"/>
              </w:rPr>
            </w:pPr>
            <w:r>
              <w:rPr>
                <w:rFonts w:ascii="Arial" w:cs="Arial" w:eastAsia="Arial" w:hAnsi="Arial"/>
                <w:sz w:val="14"/>
                <w:szCs w:val="14"/>
                <w:b w:val="1"/>
                <w:bCs w:val="1"/>
                <w:color w:val="auto"/>
              </w:rPr>
              <w:t>4% – 3.5%</w:t>
            </w:r>
          </w:p>
        </w:tc>
        <w:tc>
          <w:tcPr>
            <w:tcW w:w="1180" w:type="dxa"/>
            <w:vAlign w:val="bottom"/>
          </w:tcPr>
          <w:p>
            <w:pPr>
              <w:jc w:val="right"/>
              <w:spacing w:after="0"/>
              <w:rPr>
                <w:sz w:val="20"/>
                <w:szCs w:val="20"/>
                <w:color w:val="auto"/>
              </w:rPr>
            </w:pPr>
            <w:r>
              <w:rPr>
                <w:rFonts w:ascii="Arial" w:cs="Arial" w:eastAsia="Arial" w:hAnsi="Arial"/>
                <w:sz w:val="14"/>
                <w:szCs w:val="14"/>
                <w:color w:val="auto"/>
              </w:rPr>
              <w:t>3.75% – 2.55%</w:t>
            </w:r>
          </w:p>
        </w:tc>
        <w:tc>
          <w:tcPr>
            <w:tcW w:w="0" w:type="dxa"/>
            <w:vAlign w:val="bottom"/>
          </w:tcPr>
          <w:p>
            <w:pPr>
              <w:spacing w:after="0"/>
              <w:rPr>
                <w:sz w:val="1"/>
                <w:szCs w:val="1"/>
                <w:color w:val="auto"/>
              </w:rPr>
            </w:pPr>
          </w:p>
        </w:tc>
      </w:tr>
      <w:tr>
        <w:trPr>
          <w:trHeight w:val="284"/>
        </w:trPr>
        <w:tc>
          <w:tcPr>
            <w:tcW w:w="5360" w:type="dxa"/>
            <w:vAlign w:val="bottom"/>
            <w:gridSpan w:val="2"/>
          </w:tcPr>
          <w:p>
            <w:pPr>
              <w:spacing w:after="0"/>
              <w:rPr>
                <w:sz w:val="20"/>
                <w:szCs w:val="20"/>
                <w:color w:val="auto"/>
              </w:rPr>
            </w:pPr>
            <w:r>
              <w:rPr>
                <w:rFonts w:ascii="Arial" w:cs="Arial" w:eastAsia="Arial" w:hAnsi="Arial"/>
                <w:sz w:val="14"/>
                <w:szCs w:val="14"/>
                <w:color w:val="auto"/>
              </w:rPr>
              <w:t>66 / SLB</w:t>
            </w:r>
          </w:p>
        </w:tc>
        <w:tc>
          <w:tcPr>
            <w:tcW w:w="488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2003 FORM 10-K</w:t>
            </w: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type w:val="continuous"/>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4"/>
          <w:szCs w:val="14"/>
          <w:color w:val="auto"/>
        </w:rPr>
        <w:t>Part II, Item 8</w:t>
      </w:r>
    </w:p>
    <w:p>
      <w:pPr>
        <w:spacing w:after="0" w:line="13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following is a breakdown of the plan assets:</w:t>
      </w:r>
    </w:p>
    <w:p>
      <w:pPr>
        <w:spacing w:after="0" w:line="7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(Stated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46620" cy="8890"/>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10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Arial" w:cs="Arial" w:eastAsia="Arial" w:hAnsi="Arial"/>
                <w:sz w:val="14"/>
                <w:szCs w:val="14"/>
                <w:b w:val="1"/>
                <w:bCs w:val="1"/>
                <w:color w:val="auto"/>
              </w:rPr>
              <w:t>2003</w:t>
            </w: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2002</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10040" w:type="dxa"/>
            <w:vAlign w:val="bottom"/>
          </w:tcPr>
          <w:p>
            <w:pPr>
              <w:spacing w:after="0"/>
              <w:rPr>
                <w:sz w:val="8"/>
                <w:szCs w:val="8"/>
                <w:color w:val="auto"/>
              </w:rPr>
            </w:pPr>
          </w:p>
        </w:tc>
        <w:tc>
          <w:tcPr>
            <w:tcW w:w="1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10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Equity securities</w:t>
            </w: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b w:val="1"/>
                <w:bCs w:val="1"/>
                <w:color w:val="auto"/>
                <w:w w:val="71"/>
              </w:rPr>
              <w:t>$</w:t>
            </w: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818</w:t>
            </w:r>
          </w:p>
        </w:tc>
        <w:tc>
          <w:tcPr>
            <w:tcW w:w="56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610</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40" w:type="dxa"/>
            <w:vAlign w:val="bottom"/>
          </w:tcPr>
          <w:p>
            <w:pPr>
              <w:spacing w:after="0" w:line="149" w:lineRule="exact"/>
              <w:rPr>
                <w:sz w:val="20"/>
                <w:szCs w:val="20"/>
                <w:color w:val="auto"/>
              </w:rPr>
            </w:pPr>
            <w:r>
              <w:rPr>
                <w:rFonts w:ascii="Arial" w:cs="Arial" w:eastAsia="Arial" w:hAnsi="Arial"/>
                <w:sz w:val="14"/>
                <w:szCs w:val="14"/>
                <w:color w:val="auto"/>
              </w:rPr>
              <w:t>Fixed income securities</w:t>
            </w:r>
          </w:p>
        </w:tc>
        <w:tc>
          <w:tcPr>
            <w:tcW w:w="120" w:type="dxa"/>
            <w:vAlign w:val="bottom"/>
          </w:tcPr>
          <w:p>
            <w:pPr>
              <w:spacing w:after="0"/>
              <w:rPr>
                <w:sz w:val="12"/>
                <w:szCs w:val="12"/>
                <w:color w:val="auto"/>
              </w:rPr>
            </w:pPr>
          </w:p>
        </w:tc>
        <w:tc>
          <w:tcPr>
            <w:tcW w:w="3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178</w:t>
            </w:r>
          </w:p>
        </w:tc>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jc w:val="right"/>
              <w:spacing w:after="0" w:line="149" w:lineRule="exact"/>
              <w:rPr>
                <w:sz w:val="20"/>
                <w:szCs w:val="20"/>
                <w:color w:val="auto"/>
              </w:rPr>
            </w:pPr>
            <w:r>
              <w:rPr>
                <w:rFonts w:ascii="Arial" w:cs="Arial" w:eastAsia="Arial" w:hAnsi="Arial"/>
                <w:sz w:val="14"/>
                <w:szCs w:val="14"/>
                <w:color w:val="auto"/>
              </w:rPr>
              <w:t>95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Index linked gilts</w:t>
            </w:r>
          </w:p>
        </w:tc>
        <w:tc>
          <w:tcPr>
            <w:tcW w:w="12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56</w:t>
            </w:r>
          </w:p>
        </w:tc>
        <w:tc>
          <w:tcPr>
            <w:tcW w:w="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40" w:type="dxa"/>
            <w:vAlign w:val="bottom"/>
          </w:tcPr>
          <w:p>
            <w:pPr>
              <w:spacing w:after="0" w:line="149" w:lineRule="exact"/>
              <w:rPr>
                <w:sz w:val="20"/>
                <w:szCs w:val="20"/>
                <w:color w:val="auto"/>
              </w:rPr>
            </w:pPr>
            <w:r>
              <w:rPr>
                <w:rFonts w:ascii="Arial" w:cs="Arial" w:eastAsia="Arial" w:hAnsi="Arial"/>
                <w:sz w:val="14"/>
                <w:szCs w:val="14"/>
                <w:color w:val="auto"/>
              </w:rPr>
              <w:t>Real estate</w:t>
            </w:r>
          </w:p>
        </w:tc>
        <w:tc>
          <w:tcPr>
            <w:tcW w:w="120" w:type="dxa"/>
            <w:vAlign w:val="bottom"/>
          </w:tcPr>
          <w:p>
            <w:pPr>
              <w:spacing w:after="0"/>
              <w:rPr>
                <w:sz w:val="12"/>
                <w:szCs w:val="12"/>
                <w:color w:val="auto"/>
              </w:rPr>
            </w:pPr>
          </w:p>
        </w:tc>
        <w:tc>
          <w:tcPr>
            <w:tcW w:w="3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17</w:t>
            </w:r>
          </w:p>
        </w:tc>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jc w:val="right"/>
              <w:spacing w:after="0" w:line="149" w:lineRule="exact"/>
              <w:rPr>
                <w:sz w:val="20"/>
                <w:szCs w:val="20"/>
                <w:color w:val="auto"/>
              </w:rPr>
            </w:pPr>
            <w:r>
              <w:rPr>
                <w:rFonts w:ascii="Arial" w:cs="Arial" w:eastAsia="Arial" w:hAnsi="Arial"/>
                <w:sz w:val="14"/>
                <w:szCs w:val="14"/>
                <w:color w:val="auto"/>
              </w:rPr>
              <w:t>15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investments</w:t>
            </w:r>
          </w:p>
        </w:tc>
        <w:tc>
          <w:tcPr>
            <w:tcW w:w="12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39</w:t>
            </w:r>
          </w:p>
        </w:tc>
        <w:tc>
          <w:tcPr>
            <w:tcW w:w="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4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040" w:type="dxa"/>
            <w:vAlign w:val="bottom"/>
          </w:tcPr>
          <w:p>
            <w:pPr>
              <w:spacing w:after="0"/>
              <w:rPr>
                <w:sz w:val="8"/>
                <w:szCs w:val="8"/>
                <w:color w:val="auto"/>
              </w:rPr>
            </w:pPr>
          </w:p>
        </w:tc>
        <w:tc>
          <w:tcPr>
            <w:tcW w:w="1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4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b w:val="1"/>
                <w:bCs w:val="1"/>
                <w:color w:val="auto"/>
                <w:w w:val="71"/>
              </w:rPr>
              <w:t>$</w:t>
            </w: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91"/>
              </w:rPr>
              <w:t>1,108</w:t>
            </w:r>
          </w:p>
        </w:tc>
        <w:tc>
          <w:tcPr>
            <w:tcW w:w="56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815</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6383655</wp:posOffset>
            </wp:positionH>
            <wp:positionV relativeFrom="paragraph">
              <wp:posOffset>-29210</wp:posOffset>
            </wp:positionV>
            <wp:extent cx="12700" cy="29845"/>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6675120</wp:posOffset>
            </wp:positionH>
            <wp:positionV relativeFrom="paragraph">
              <wp:posOffset>-29210</wp:posOffset>
            </wp:positionV>
            <wp:extent cx="12700" cy="29845"/>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6452235</wp:posOffset>
            </wp:positionH>
            <wp:positionV relativeFrom="paragraph">
              <wp:posOffset>-29210</wp:posOffset>
            </wp:positionV>
            <wp:extent cx="21590" cy="29845"/>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6966585</wp:posOffset>
            </wp:positionH>
            <wp:positionV relativeFrom="paragraph">
              <wp:posOffset>-29210</wp:posOffset>
            </wp:positionV>
            <wp:extent cx="287020" cy="29845"/>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287020" cy="29845"/>
                    </a:xfrm>
                    <a:prstGeom prst="rect">
                      <a:avLst/>
                    </a:prstGeom>
                    <a:noFill/>
                  </pic:spPr>
                </pic:pic>
              </a:graphicData>
            </a:graphic>
          </wp:anchor>
        </w:drawing>
      </w:r>
    </w:p>
    <w:p>
      <w:pPr>
        <w:spacing w:after="0" w:line="144" w:lineRule="exact"/>
        <w:rPr>
          <w:sz w:val="20"/>
          <w:szCs w:val="20"/>
          <w:color w:val="auto"/>
        </w:rPr>
      </w:pPr>
    </w:p>
    <w:p>
      <w:pPr>
        <w:ind w:right="120" w:firstLine="228"/>
        <w:spacing w:after="0" w:line="253" w:lineRule="auto"/>
        <w:rPr>
          <w:sz w:val="20"/>
          <w:szCs w:val="20"/>
          <w:color w:val="auto"/>
        </w:rPr>
      </w:pPr>
      <w:r>
        <w:rPr>
          <w:rFonts w:ascii="Arial" w:cs="Arial" w:eastAsia="Arial" w:hAnsi="Arial"/>
          <w:sz w:val="18"/>
          <w:szCs w:val="18"/>
          <w:color w:val="auto"/>
        </w:rPr>
        <w:t>The trustees of all the UK plans determine their investment strategy with regard to the liability profile of each Fund on an individual basis and have determined benchmarks which they believe provides an adequate balance between maximizing the return on the assets and minimizing the risk of failing to meet the liabilities over the long-term.</w:t>
      </w:r>
    </w:p>
    <w:p>
      <w:pPr>
        <w:ind w:right="140" w:firstLine="228"/>
        <w:spacing w:after="0" w:line="250" w:lineRule="auto"/>
        <w:rPr>
          <w:sz w:val="20"/>
          <w:szCs w:val="20"/>
          <w:color w:val="auto"/>
        </w:rPr>
      </w:pPr>
      <w:r>
        <w:rPr>
          <w:rFonts w:ascii="Arial" w:cs="Arial" w:eastAsia="Arial" w:hAnsi="Arial"/>
          <w:sz w:val="18"/>
          <w:szCs w:val="18"/>
          <w:color w:val="auto"/>
        </w:rPr>
        <w:t>Overall, the trustees of each plan aim to have a sufficiently diversified portfolio of appropriate liquidity, which will generate income and capital growth to meet, together with new contributions from members and the employers, the cost of current and future liabilities which each plan provides. They achieve this by using active investment managers who are set specific benchmarks and various restrictions to avoid undue concentration of assets. As the plans mature, the Trustees review the appropriateness of their investment strategy.</w:t>
      </w:r>
    </w:p>
    <w:p>
      <w:pPr>
        <w:spacing w:after="0" w:line="2" w:lineRule="exact"/>
        <w:rPr>
          <w:sz w:val="20"/>
          <w:szCs w:val="20"/>
          <w:color w:val="auto"/>
        </w:rPr>
      </w:pPr>
    </w:p>
    <w:p>
      <w:pPr>
        <w:ind w:firstLine="228"/>
        <w:spacing w:after="0" w:line="281" w:lineRule="auto"/>
        <w:rPr>
          <w:sz w:val="20"/>
          <w:szCs w:val="20"/>
          <w:color w:val="auto"/>
        </w:rPr>
      </w:pPr>
      <w:r>
        <w:rPr>
          <w:rFonts w:ascii="Arial" w:cs="Arial" w:eastAsia="Arial" w:hAnsi="Arial"/>
          <w:sz w:val="16"/>
          <w:szCs w:val="16"/>
          <w:color w:val="auto"/>
        </w:rPr>
        <w:t>The overall expected return on assets assumption is derived as the weighted average of the expected returns from each of the main asset classes. The expected return for each asset class reflects a combination of historical performance analysis, the forward looking views of the financial markets (as suggested by the yields available) and the views of investment organizations. Consideration is also given to the rate of return expected to be available for reinvestment. The pension trusts’ performance over the last 10 years has been an annualized return of 5.3%.</w:t>
      </w:r>
    </w:p>
    <w:p>
      <w:pPr>
        <w:spacing w:after="0" w:line="3" w:lineRule="exact"/>
        <w:rPr>
          <w:sz w:val="20"/>
          <w:szCs w:val="20"/>
          <w:color w:val="auto"/>
        </w:rPr>
      </w:pPr>
    </w:p>
    <w:p>
      <w:pPr>
        <w:ind w:right="20" w:firstLine="228"/>
        <w:spacing w:after="0" w:line="261" w:lineRule="auto"/>
        <w:rPr>
          <w:sz w:val="20"/>
          <w:szCs w:val="20"/>
          <w:color w:val="auto"/>
        </w:rPr>
      </w:pPr>
      <w:r>
        <w:rPr>
          <w:rFonts w:ascii="Arial" w:cs="Arial" w:eastAsia="Arial" w:hAnsi="Arial"/>
          <w:sz w:val="18"/>
          <w:szCs w:val="18"/>
          <w:color w:val="auto"/>
        </w:rPr>
        <w:t>For defined contribution plans, funding and cost are generally based upon a predetermined percentage of employee compensation. Charges to expense in 2003, 2002 and 2001, were $47 million, $44 million and $32 million, respectively.</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Deferred Benefits</w:t>
      </w:r>
    </w:p>
    <w:p>
      <w:pPr>
        <w:spacing w:after="0" w:line="72"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In addition to providing pension benefits, Schlumberger and its subsidiaries have other deferred benefit programs, primarily profit sharing. Expenses for these programs were $137 million, $143 million and $192 million in 2003, 2002 and 2001, respectively.</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 Care Benefits</w:t>
      </w:r>
    </w:p>
    <w:p>
      <w:pPr>
        <w:spacing w:after="0" w:line="72"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Schlumberger and its US subsidiary provide health care benefits for certain active employees. The cost of providing these benefits is recognized as expense when incurred and aggregated $70 million, $79 million and $68 million in 2003, 2002 and 2001, respectively. Outside the US, such benefits are mostly provided through government-sponsored programs.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Postretirement Benefits Other than Pensions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Schlumberger and its US subsidiary provide certain health care benefits to former employees who have retired under the US pension plans.</w:t>
      </w:r>
    </w:p>
    <w:p>
      <w:pPr>
        <w:spacing w:after="0" w:line="15" w:lineRule="exact"/>
        <w:rPr>
          <w:sz w:val="20"/>
          <w:szCs w:val="20"/>
          <w:color w:val="auto"/>
        </w:rPr>
      </w:pPr>
    </w:p>
    <w:p>
      <w:pPr>
        <w:ind w:right="180" w:firstLine="228"/>
        <w:spacing w:after="0" w:line="261" w:lineRule="auto"/>
        <w:rPr>
          <w:sz w:val="20"/>
          <w:szCs w:val="20"/>
          <w:color w:val="auto"/>
        </w:rPr>
      </w:pPr>
      <w:r>
        <w:rPr>
          <w:rFonts w:ascii="Arial" w:cs="Arial" w:eastAsia="Arial" w:hAnsi="Arial"/>
          <w:sz w:val="18"/>
          <w:szCs w:val="18"/>
          <w:color w:val="auto"/>
        </w:rPr>
        <w:t>The principal actuarial assumptions used to measure costs were a discount rate of 6.75% in 2003, 7.25% in 2002 and 7.5% in 2001. The overall medical cost trend rate assumption is 10.8% graded to 5% over the next six years and 5% thereafter.</w:t>
      </w:r>
    </w:p>
    <w:p>
      <w:pPr>
        <w:spacing w:after="0" w:line="122" w:lineRule="exact"/>
        <w:rPr>
          <w:sz w:val="20"/>
          <w:szCs w:val="20"/>
          <w:color w:val="auto"/>
        </w:rPr>
      </w:pPr>
    </w:p>
    <w:p>
      <w:pPr>
        <w:spacing w:after="0"/>
        <w:tabs>
          <w:tab w:leader="none" w:pos="10400" w:val="left"/>
        </w:tabs>
        <w:rPr>
          <w:sz w:val="20"/>
          <w:szCs w:val="20"/>
          <w:color w:val="auto"/>
        </w:rPr>
      </w:pPr>
      <w:r>
        <w:rPr>
          <w:rFonts w:ascii="Arial" w:cs="Arial" w:eastAsia="Arial" w:hAnsi="Arial"/>
          <w:sz w:val="14"/>
          <w:szCs w:val="14"/>
          <w:color w:val="auto"/>
        </w:rPr>
        <w:t>67 / SLB</w:t>
      </w:r>
      <w:r>
        <w:rPr>
          <w:sz w:val="20"/>
          <w:szCs w:val="20"/>
          <w:color w:val="auto"/>
        </w:rPr>
        <w:tab/>
      </w:r>
      <w:r>
        <w:rPr>
          <w:rFonts w:ascii="Arial" w:cs="Arial" w:eastAsia="Arial" w:hAnsi="Arial"/>
          <w:sz w:val="12"/>
          <w:szCs w:val="12"/>
          <w:color w:val="auto"/>
        </w:rPr>
        <w:t>2003 FORM 10-K</w:t>
      </w:r>
    </w:p>
    <w:p>
      <w:pPr>
        <w:sectPr>
          <w:pgSz w:w="11900" w:h="16838" w:orient="portrait"/>
          <w:cols w:equalWidth="0" w:num="1">
            <w:col w:w="11420"/>
          </w:cols>
          <w:pgMar w:left="240" w:top="459" w:right="2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4"/>
          <w:szCs w:val="14"/>
          <w:color w:val="auto"/>
        </w:rPr>
        <w:t>Part II, Item 8</w:t>
      </w:r>
    </w:p>
    <w:p>
      <w:pPr>
        <w:spacing w:after="0" w:line="13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Net periodic postretirement benefit cost in the US for 2003, 2002 and 2001, included the following components:</w:t>
      </w:r>
    </w:p>
    <w:p>
      <w:pPr>
        <w:spacing w:after="0" w:line="7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(Stated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178040" cy="8890"/>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7178040" cy="8890"/>
                    </a:xfrm>
                    <a:prstGeom prst="rect">
                      <a:avLst/>
                    </a:prstGeom>
                    <a:noFill/>
                  </pic:spPr>
                </pic:pic>
              </a:graphicData>
            </a:graphic>
          </wp:anchor>
        </w:drawing>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6180" w:type="dxa"/>
            <w:vAlign w:val="bottom"/>
          </w:tcPr>
          <w:p>
            <w:pPr>
              <w:spacing w:after="0"/>
              <w:rPr>
                <w:sz w:val="15"/>
                <w:szCs w:val="15"/>
                <w:color w:val="auto"/>
              </w:rPr>
            </w:pPr>
          </w:p>
        </w:tc>
        <w:tc>
          <w:tcPr>
            <w:tcW w:w="2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w w:val="83"/>
              </w:rPr>
              <w:t>2003</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3"/>
          </w:tcPr>
          <w:p>
            <w:pPr>
              <w:jc w:val="right"/>
              <w:ind w:right="580"/>
              <w:spacing w:after="0"/>
              <w:rPr>
                <w:sz w:val="20"/>
                <w:szCs w:val="20"/>
                <w:color w:val="auto"/>
              </w:rPr>
            </w:pPr>
            <w:r>
              <w:rPr>
                <w:rFonts w:ascii="Arial" w:cs="Arial" w:eastAsia="Arial" w:hAnsi="Arial"/>
                <w:sz w:val="14"/>
                <w:szCs w:val="14"/>
                <w:b w:val="1"/>
                <w:bCs w:val="1"/>
                <w:color w:val="auto"/>
                <w:w w:val="83"/>
              </w:rPr>
              <w:t>2002</w:t>
            </w:r>
          </w:p>
        </w:tc>
        <w:tc>
          <w:tcPr>
            <w:tcW w:w="80" w:type="dxa"/>
            <w:vAlign w:val="bottom"/>
          </w:tcPr>
          <w:p>
            <w:pPr>
              <w:spacing w:after="0"/>
              <w:rPr>
                <w:sz w:val="15"/>
                <w:szCs w:val="15"/>
                <w:color w:val="auto"/>
              </w:rPr>
            </w:pPr>
          </w:p>
        </w:tc>
        <w:tc>
          <w:tcPr>
            <w:tcW w:w="300" w:type="dxa"/>
            <w:vAlign w:val="bottom"/>
          </w:tcPr>
          <w:p>
            <w:pPr>
              <w:jc w:val="right"/>
              <w:spacing w:after="0"/>
              <w:rPr>
                <w:sz w:val="20"/>
                <w:szCs w:val="20"/>
                <w:color w:val="auto"/>
              </w:rPr>
            </w:pPr>
            <w:r>
              <w:rPr>
                <w:rFonts w:ascii="Arial" w:cs="Arial" w:eastAsia="Arial" w:hAnsi="Arial"/>
                <w:sz w:val="14"/>
                <w:szCs w:val="14"/>
                <w:b w:val="1"/>
                <w:bCs w:val="1"/>
                <w:color w:val="auto"/>
                <w:w w:val="89"/>
              </w:rPr>
              <w:t>2001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6180" w:type="dxa"/>
            <w:vAlign w:val="bottom"/>
          </w:tcPr>
          <w:p>
            <w:pPr>
              <w:spacing w:after="0"/>
              <w:rPr>
                <w:sz w:val="8"/>
                <w:szCs w:val="8"/>
                <w:color w:val="auto"/>
              </w:rPr>
            </w:pPr>
          </w:p>
        </w:tc>
        <w:tc>
          <w:tcPr>
            <w:tcW w:w="2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Service cost – benefits earned during the period</w:t>
            </w:r>
          </w:p>
        </w:tc>
        <w:tc>
          <w:tcPr>
            <w:tcW w:w="29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b w:val="1"/>
                <w:bCs w:val="1"/>
                <w:color w:val="auto"/>
              </w:rPr>
              <w:t>$</w:t>
            </w:r>
          </w:p>
        </w:tc>
        <w:tc>
          <w:tcPr>
            <w:tcW w:w="560" w:type="dxa"/>
            <w:vAlign w:val="bottom"/>
            <w:gridSpan w:val="3"/>
            <w:shd w:val="clear" w:color="auto" w:fill="CCEEFF"/>
          </w:tcPr>
          <w:p>
            <w:pPr>
              <w:jc w:val="right"/>
              <w:ind w:right="280"/>
              <w:spacing w:after="0" w:line="149" w:lineRule="exact"/>
              <w:rPr>
                <w:sz w:val="20"/>
                <w:szCs w:val="20"/>
                <w:color w:val="auto"/>
              </w:rPr>
            </w:pPr>
            <w:r>
              <w:rPr>
                <w:rFonts w:ascii="Arial" w:cs="Arial" w:eastAsia="Arial" w:hAnsi="Arial"/>
                <w:sz w:val="14"/>
                <w:szCs w:val="14"/>
                <w:b w:val="1"/>
                <w:bCs w:val="1"/>
                <w:color w:val="auto"/>
              </w:rPr>
              <w:t>28</w:t>
            </w:r>
          </w:p>
        </w:tc>
        <w:tc>
          <w:tcPr>
            <w:tcW w:w="3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3"/>
            <w:shd w:val="clear" w:color="auto" w:fill="CCEEFF"/>
          </w:tcPr>
          <w:p>
            <w:pPr>
              <w:jc w:val="right"/>
              <w:ind w:right="580"/>
              <w:spacing w:after="0" w:line="149" w:lineRule="exact"/>
              <w:rPr>
                <w:sz w:val="20"/>
                <w:szCs w:val="20"/>
                <w:color w:val="auto"/>
              </w:rPr>
            </w:pPr>
            <w:r>
              <w:rPr>
                <w:rFonts w:ascii="Arial" w:cs="Arial" w:eastAsia="Arial" w:hAnsi="Arial"/>
                <w:sz w:val="14"/>
                <w:szCs w:val="14"/>
                <w:color w:val="auto"/>
              </w:rPr>
              <w:t>21</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80" w:type="dxa"/>
            <w:vAlign w:val="bottom"/>
          </w:tcPr>
          <w:p>
            <w:pPr>
              <w:spacing w:after="0" w:line="149" w:lineRule="exact"/>
              <w:rPr>
                <w:sz w:val="20"/>
                <w:szCs w:val="20"/>
                <w:color w:val="auto"/>
              </w:rPr>
            </w:pPr>
            <w:r>
              <w:rPr>
                <w:rFonts w:ascii="Arial" w:cs="Arial" w:eastAsia="Arial" w:hAnsi="Arial"/>
                <w:sz w:val="14"/>
                <w:szCs w:val="14"/>
                <w:color w:val="auto"/>
              </w:rPr>
              <w:t>Interest cost on accumulated postretirement benefit obligation</w:t>
            </w:r>
          </w:p>
        </w:tc>
        <w:tc>
          <w:tcPr>
            <w:tcW w:w="2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3"/>
          </w:tcPr>
          <w:p>
            <w:pPr>
              <w:jc w:val="right"/>
              <w:ind w:right="280"/>
              <w:spacing w:after="0" w:line="149" w:lineRule="exact"/>
              <w:rPr>
                <w:sz w:val="20"/>
                <w:szCs w:val="20"/>
                <w:color w:val="auto"/>
              </w:rPr>
            </w:pPr>
            <w:r>
              <w:rPr>
                <w:rFonts w:ascii="Arial" w:cs="Arial" w:eastAsia="Arial" w:hAnsi="Arial"/>
                <w:sz w:val="14"/>
                <w:szCs w:val="14"/>
                <w:b w:val="1"/>
                <w:bCs w:val="1"/>
                <w:color w:val="auto"/>
              </w:rPr>
              <w:t>53</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3"/>
          </w:tcPr>
          <w:p>
            <w:pPr>
              <w:jc w:val="right"/>
              <w:ind w:right="580"/>
              <w:spacing w:after="0" w:line="149" w:lineRule="exact"/>
              <w:rPr>
                <w:sz w:val="20"/>
                <w:szCs w:val="20"/>
                <w:color w:val="auto"/>
              </w:rPr>
            </w:pPr>
            <w:r>
              <w:rPr>
                <w:rFonts w:ascii="Arial" w:cs="Arial" w:eastAsia="Arial" w:hAnsi="Arial"/>
                <w:sz w:val="14"/>
                <w:szCs w:val="14"/>
                <w:color w:val="auto"/>
              </w:rPr>
              <w:t>41</w:t>
            </w:r>
          </w:p>
        </w:tc>
        <w:tc>
          <w:tcPr>
            <w:tcW w:w="80" w:type="dxa"/>
            <w:vAlign w:val="bottom"/>
          </w:tcPr>
          <w:p>
            <w:pPr>
              <w:spacing w:after="0"/>
              <w:rPr>
                <w:sz w:val="12"/>
                <w:szCs w:val="12"/>
                <w:color w:val="auto"/>
              </w:rPr>
            </w:pP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rPr>
              <w:t>32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Amortization of unrecognized net loss (gain) and other</w:t>
            </w:r>
          </w:p>
        </w:tc>
        <w:tc>
          <w:tcPr>
            <w:tcW w:w="2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gridSpan w:val="3"/>
            <w:shd w:val="clear" w:color="auto" w:fill="CCEEFF"/>
          </w:tcPr>
          <w:p>
            <w:pPr>
              <w:jc w:val="right"/>
              <w:ind w:right="280"/>
              <w:spacing w:after="0" w:line="149" w:lineRule="exact"/>
              <w:rPr>
                <w:sz w:val="20"/>
                <w:szCs w:val="20"/>
                <w:color w:val="auto"/>
              </w:rPr>
            </w:pPr>
            <w:r>
              <w:rPr>
                <w:rFonts w:ascii="Arial" w:cs="Arial" w:eastAsia="Arial" w:hAnsi="Arial"/>
                <w:sz w:val="14"/>
                <w:szCs w:val="14"/>
                <w:b w:val="1"/>
                <w:bCs w:val="1"/>
                <w:color w:val="auto"/>
              </w:rPr>
              <w:t>11</w:t>
            </w: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gridSpan w:val="3"/>
            <w:shd w:val="clear" w:color="auto" w:fill="CCEEFF"/>
          </w:tcPr>
          <w:p>
            <w:pPr>
              <w:jc w:val="right"/>
              <w:ind w:right="580"/>
              <w:spacing w:after="0" w:line="149" w:lineRule="exact"/>
              <w:rPr>
                <w:sz w:val="20"/>
                <w:szCs w:val="20"/>
                <w:color w:val="auto"/>
              </w:rPr>
            </w:pPr>
            <w:r>
              <w:rPr>
                <w:rFonts w:ascii="Arial" w:cs="Arial" w:eastAsia="Arial" w:hAnsi="Arial"/>
                <w:sz w:val="14"/>
                <w:szCs w:val="14"/>
                <w:color w:val="auto"/>
              </w:rPr>
              <w:t>4</w:t>
            </w:r>
          </w:p>
        </w:tc>
        <w:tc>
          <w:tcPr>
            <w:tcW w:w="8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180" w:type="dxa"/>
            <w:vAlign w:val="bottom"/>
            <w:tcBorders>
              <w:bottom w:val="single" w:sz="8" w:color="auto"/>
            </w:tcBorders>
          </w:tcPr>
          <w:p>
            <w:pPr>
              <w:spacing w:after="0"/>
              <w:rPr>
                <w:sz w:val="9"/>
                <w:szCs w:val="9"/>
                <w:color w:val="auto"/>
              </w:rPr>
            </w:pPr>
          </w:p>
        </w:tc>
        <w:tc>
          <w:tcPr>
            <w:tcW w:w="284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180" w:type="dxa"/>
            <w:vAlign w:val="bottom"/>
          </w:tcPr>
          <w:p>
            <w:pPr>
              <w:spacing w:after="0"/>
              <w:rPr>
                <w:sz w:val="8"/>
                <w:szCs w:val="8"/>
                <w:color w:val="auto"/>
              </w:rPr>
            </w:pPr>
          </w:p>
        </w:tc>
        <w:tc>
          <w:tcPr>
            <w:tcW w:w="2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80" w:type="dxa"/>
            <w:vAlign w:val="bottom"/>
            <w:shd w:val="clear" w:color="auto" w:fill="CCEEFF"/>
          </w:tcPr>
          <w:p>
            <w:pPr>
              <w:spacing w:after="0"/>
              <w:rPr>
                <w:sz w:val="12"/>
                <w:szCs w:val="12"/>
                <w:color w:val="auto"/>
              </w:rPr>
            </w:pPr>
          </w:p>
        </w:tc>
        <w:tc>
          <w:tcPr>
            <w:tcW w:w="29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b w:val="1"/>
                <w:bCs w:val="1"/>
                <w:color w:val="auto"/>
              </w:rPr>
              <w:t>$</w:t>
            </w:r>
          </w:p>
        </w:tc>
        <w:tc>
          <w:tcPr>
            <w:tcW w:w="560" w:type="dxa"/>
            <w:vAlign w:val="bottom"/>
            <w:gridSpan w:val="3"/>
            <w:shd w:val="clear" w:color="auto" w:fill="CCEEFF"/>
          </w:tcPr>
          <w:p>
            <w:pPr>
              <w:jc w:val="right"/>
              <w:ind w:right="280"/>
              <w:spacing w:after="0" w:line="149" w:lineRule="exact"/>
              <w:rPr>
                <w:sz w:val="20"/>
                <w:szCs w:val="20"/>
                <w:color w:val="auto"/>
              </w:rPr>
            </w:pPr>
            <w:r>
              <w:rPr>
                <w:rFonts w:ascii="Arial" w:cs="Arial" w:eastAsia="Arial" w:hAnsi="Arial"/>
                <w:sz w:val="14"/>
                <w:szCs w:val="14"/>
                <w:b w:val="1"/>
                <w:bCs w:val="1"/>
                <w:color w:val="auto"/>
              </w:rPr>
              <w:t>92</w:t>
            </w:r>
          </w:p>
        </w:tc>
        <w:tc>
          <w:tcPr>
            <w:tcW w:w="3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3"/>
            <w:shd w:val="clear" w:color="auto" w:fill="CCEEFF"/>
          </w:tcPr>
          <w:p>
            <w:pPr>
              <w:jc w:val="right"/>
              <w:ind w:right="580"/>
              <w:spacing w:after="0" w:line="149" w:lineRule="exact"/>
              <w:rPr>
                <w:sz w:val="20"/>
                <w:szCs w:val="20"/>
                <w:color w:val="auto"/>
              </w:rPr>
            </w:pPr>
            <w:r>
              <w:rPr>
                <w:rFonts w:ascii="Arial" w:cs="Arial" w:eastAsia="Arial" w:hAnsi="Arial"/>
                <w:sz w:val="14"/>
                <w:szCs w:val="14"/>
                <w:color w:val="auto"/>
              </w:rPr>
              <w:t>66</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44</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180" w:type="dxa"/>
            <w:vAlign w:val="bottom"/>
          </w:tcPr>
          <w:p>
            <w:pPr>
              <w:spacing w:after="0"/>
              <w:rPr>
                <w:sz w:val="11"/>
                <w:szCs w:val="11"/>
                <w:color w:val="auto"/>
              </w:rPr>
            </w:pPr>
          </w:p>
        </w:tc>
        <w:tc>
          <w:tcPr>
            <w:tcW w:w="28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5740400</wp:posOffset>
            </wp:positionH>
            <wp:positionV relativeFrom="paragraph">
              <wp:posOffset>-29210</wp:posOffset>
            </wp:positionV>
            <wp:extent cx="244475" cy="29845"/>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244475" cy="29845"/>
                    </a:xfrm>
                    <a:prstGeom prst="rect">
                      <a:avLst/>
                    </a:prstGeom>
                    <a:noFill/>
                  </pic:spPr>
                </pic:pic>
              </a:graphicData>
            </a:graphic>
          </wp:anchor>
        </w:drawing>
        <w:drawing>
          <wp:anchor simplePos="0" relativeHeight="251657728" behindDoc="1" locked="0" layoutInCell="0" allowOverlap="1">
            <wp:simplePos x="0" y="0"/>
            <wp:positionH relativeFrom="column">
              <wp:posOffset>6340475</wp:posOffset>
            </wp:positionH>
            <wp:positionV relativeFrom="paragraph">
              <wp:posOffset>-29210</wp:posOffset>
            </wp:positionV>
            <wp:extent cx="244475" cy="29845"/>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244475" cy="29845"/>
                    </a:xfrm>
                    <a:prstGeom prst="rect">
                      <a:avLst/>
                    </a:prstGeom>
                    <a:noFill/>
                  </pic:spPr>
                </pic:pic>
              </a:graphicData>
            </a:graphic>
          </wp:anchor>
        </w:drawing>
        <w:drawing>
          <wp:anchor simplePos="0" relativeHeight="251657728" behindDoc="1" locked="0" layoutInCell="0" allowOverlap="1">
            <wp:simplePos x="0" y="0"/>
            <wp:positionH relativeFrom="column">
              <wp:posOffset>6941185</wp:posOffset>
            </wp:positionH>
            <wp:positionV relativeFrom="paragraph">
              <wp:posOffset>-29210</wp:posOffset>
            </wp:positionV>
            <wp:extent cx="12700" cy="29845"/>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7000875</wp:posOffset>
            </wp:positionH>
            <wp:positionV relativeFrom="paragraph">
              <wp:posOffset>-29210</wp:posOffset>
            </wp:positionV>
            <wp:extent cx="21590" cy="29845"/>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-29210</wp:posOffset>
            </wp:positionV>
            <wp:extent cx="38735" cy="29845"/>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144"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change in accumulated postretirement benefit obligation and funded status on December 31, 2003 and 2002, was as follows:</w:t>
      </w:r>
    </w:p>
    <w:p>
      <w:pPr>
        <w:spacing w:after="0" w:line="7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(Stated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178040" cy="8890"/>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7178040" cy="8890"/>
                    </a:xfrm>
                    <a:prstGeom prst="rect">
                      <a:avLst/>
                    </a:prstGeom>
                    <a:noFill/>
                  </pic:spPr>
                </pic:pic>
              </a:graphicData>
            </a:graphic>
          </wp:anchor>
        </w:drawing>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6860" w:type="dxa"/>
            <w:vAlign w:val="bottom"/>
          </w:tcPr>
          <w:p>
            <w:pPr>
              <w:spacing w:after="0"/>
              <w:rPr>
                <w:sz w:val="15"/>
                <w:szCs w:val="15"/>
                <w:color w:val="auto"/>
              </w:rPr>
            </w:pPr>
          </w:p>
        </w:tc>
        <w:tc>
          <w:tcPr>
            <w:tcW w:w="3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gridSpan w:val="3"/>
          </w:tcPr>
          <w:p>
            <w:pPr>
              <w:jc w:val="right"/>
              <w:ind w:right="660"/>
              <w:spacing w:after="0"/>
              <w:rPr>
                <w:sz w:val="20"/>
                <w:szCs w:val="20"/>
                <w:color w:val="auto"/>
              </w:rPr>
            </w:pPr>
            <w:r>
              <w:rPr>
                <w:rFonts w:ascii="Arial" w:cs="Arial" w:eastAsia="Arial" w:hAnsi="Arial"/>
                <w:sz w:val="14"/>
                <w:szCs w:val="14"/>
                <w:b w:val="1"/>
                <w:bCs w:val="1"/>
                <w:color w:val="auto"/>
                <w:w w:val="83"/>
              </w:rPr>
              <w:t>2003</w:t>
            </w:r>
          </w:p>
        </w:tc>
        <w:tc>
          <w:tcPr>
            <w:tcW w:w="100" w:type="dxa"/>
            <w:vAlign w:val="bottom"/>
          </w:tcPr>
          <w:p>
            <w:pPr>
              <w:spacing w:after="0"/>
              <w:rPr>
                <w:sz w:val="15"/>
                <w:szCs w:val="15"/>
                <w:color w:val="auto"/>
              </w:rPr>
            </w:pPr>
          </w:p>
        </w:tc>
        <w:tc>
          <w:tcPr>
            <w:tcW w:w="280" w:type="dxa"/>
            <w:vAlign w:val="bottom"/>
          </w:tcPr>
          <w:p>
            <w:pPr>
              <w:jc w:val="right"/>
              <w:spacing w:after="0"/>
              <w:rPr>
                <w:sz w:val="20"/>
                <w:szCs w:val="20"/>
                <w:color w:val="auto"/>
              </w:rPr>
            </w:pPr>
            <w:r>
              <w:rPr>
                <w:rFonts w:ascii="Arial" w:cs="Arial" w:eastAsia="Arial" w:hAnsi="Arial"/>
                <w:sz w:val="14"/>
                <w:szCs w:val="14"/>
                <w:b w:val="1"/>
                <w:bCs w:val="1"/>
                <w:color w:val="auto"/>
                <w:w w:val="83"/>
              </w:rPr>
              <w:t>2002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6860" w:type="dxa"/>
            <w:vAlign w:val="bottom"/>
          </w:tcPr>
          <w:p>
            <w:pPr>
              <w:spacing w:after="0"/>
              <w:rPr>
                <w:sz w:val="8"/>
                <w:szCs w:val="8"/>
                <w:color w:val="auto"/>
              </w:rPr>
            </w:pPr>
          </w:p>
        </w:tc>
        <w:tc>
          <w:tcPr>
            <w:tcW w:w="30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8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Accumulated postretirement benefit obligation at beginning of the year</w:t>
            </w:r>
          </w:p>
        </w:tc>
        <w:tc>
          <w:tcPr>
            <w:tcW w:w="31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b w:val="1"/>
                <w:bCs w:val="1"/>
                <w:color w:val="auto"/>
              </w:rPr>
              <w:t>$</w:t>
            </w:r>
          </w:p>
        </w:tc>
        <w:tc>
          <w:tcPr>
            <w:tcW w:w="940" w:type="dxa"/>
            <w:vAlign w:val="bottom"/>
            <w:gridSpan w:val="3"/>
            <w:shd w:val="clear" w:color="auto" w:fill="CCEEFF"/>
          </w:tcPr>
          <w:p>
            <w:pPr>
              <w:jc w:val="right"/>
              <w:ind w:right="660"/>
              <w:spacing w:after="0" w:line="149" w:lineRule="exact"/>
              <w:rPr>
                <w:sz w:val="20"/>
                <w:szCs w:val="20"/>
                <w:color w:val="auto"/>
              </w:rPr>
            </w:pPr>
            <w:r>
              <w:rPr>
                <w:rFonts w:ascii="Arial" w:cs="Arial" w:eastAsia="Arial" w:hAnsi="Arial"/>
                <w:sz w:val="14"/>
                <w:szCs w:val="14"/>
                <w:b w:val="1"/>
                <w:bCs w:val="1"/>
                <w:color w:val="auto"/>
              </w:rPr>
              <w:t>676</w:t>
            </w: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2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478</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60" w:type="dxa"/>
            <w:vAlign w:val="bottom"/>
          </w:tcPr>
          <w:p>
            <w:pPr>
              <w:spacing w:after="0" w:line="149" w:lineRule="exact"/>
              <w:rPr>
                <w:sz w:val="20"/>
                <w:szCs w:val="20"/>
                <w:color w:val="auto"/>
              </w:rPr>
            </w:pPr>
            <w:r>
              <w:rPr>
                <w:rFonts w:ascii="Arial" w:cs="Arial" w:eastAsia="Arial" w:hAnsi="Arial"/>
                <w:sz w:val="14"/>
                <w:szCs w:val="14"/>
                <w:color w:val="auto"/>
              </w:rPr>
              <w:t>Service cost</w:t>
            </w:r>
          </w:p>
        </w:tc>
        <w:tc>
          <w:tcPr>
            <w:tcW w:w="3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3"/>
          </w:tcPr>
          <w:p>
            <w:pPr>
              <w:jc w:val="right"/>
              <w:ind w:right="660"/>
              <w:spacing w:after="0" w:line="149" w:lineRule="exact"/>
              <w:rPr>
                <w:sz w:val="20"/>
                <w:szCs w:val="20"/>
                <w:color w:val="auto"/>
              </w:rPr>
            </w:pPr>
            <w:r>
              <w:rPr>
                <w:rFonts w:ascii="Arial" w:cs="Arial" w:eastAsia="Arial" w:hAnsi="Arial"/>
                <w:sz w:val="14"/>
                <w:szCs w:val="14"/>
                <w:b w:val="1"/>
                <w:bCs w:val="1"/>
                <w:color w:val="auto"/>
              </w:rPr>
              <w:t>28</w:t>
            </w:r>
          </w:p>
        </w:tc>
        <w:tc>
          <w:tcPr>
            <w:tcW w:w="100" w:type="dxa"/>
            <w:vAlign w:val="bottom"/>
          </w:tcPr>
          <w:p>
            <w:pPr>
              <w:spacing w:after="0"/>
              <w:rPr>
                <w:sz w:val="12"/>
                <w:szCs w:val="12"/>
                <w:color w:val="auto"/>
              </w:rPr>
            </w:pPr>
          </w:p>
        </w:tc>
        <w:tc>
          <w:tcPr>
            <w:tcW w:w="280" w:type="dxa"/>
            <w:vAlign w:val="bottom"/>
          </w:tcPr>
          <w:p>
            <w:pPr>
              <w:jc w:val="right"/>
              <w:spacing w:after="0" w:line="149" w:lineRule="exact"/>
              <w:rPr>
                <w:sz w:val="20"/>
                <w:szCs w:val="20"/>
                <w:color w:val="auto"/>
              </w:rPr>
            </w:pPr>
            <w:r>
              <w:rPr>
                <w:rFonts w:ascii="Arial" w:cs="Arial" w:eastAsia="Arial" w:hAnsi="Arial"/>
                <w:sz w:val="14"/>
                <w:szCs w:val="14"/>
                <w:color w:val="auto"/>
              </w:rPr>
              <w:t>21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Interest cost</w:t>
            </w:r>
          </w:p>
        </w:tc>
        <w:tc>
          <w:tcPr>
            <w:tcW w:w="30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gridSpan w:val="3"/>
            <w:shd w:val="clear" w:color="auto" w:fill="CCEEFF"/>
          </w:tcPr>
          <w:p>
            <w:pPr>
              <w:jc w:val="right"/>
              <w:ind w:right="660"/>
              <w:spacing w:after="0" w:line="149" w:lineRule="exact"/>
              <w:rPr>
                <w:sz w:val="20"/>
                <w:szCs w:val="20"/>
                <w:color w:val="auto"/>
              </w:rPr>
            </w:pPr>
            <w:r>
              <w:rPr>
                <w:rFonts w:ascii="Arial" w:cs="Arial" w:eastAsia="Arial" w:hAnsi="Arial"/>
                <w:sz w:val="14"/>
                <w:szCs w:val="14"/>
                <w:b w:val="1"/>
                <w:bCs w:val="1"/>
                <w:color w:val="auto"/>
              </w:rPr>
              <w:t>53</w:t>
            </w: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60" w:type="dxa"/>
            <w:vAlign w:val="bottom"/>
          </w:tcPr>
          <w:p>
            <w:pPr>
              <w:spacing w:after="0" w:line="149" w:lineRule="exact"/>
              <w:rPr>
                <w:sz w:val="20"/>
                <w:szCs w:val="20"/>
                <w:color w:val="auto"/>
              </w:rPr>
            </w:pPr>
            <w:r>
              <w:rPr>
                <w:rFonts w:ascii="Arial" w:cs="Arial" w:eastAsia="Arial" w:hAnsi="Arial"/>
                <w:sz w:val="14"/>
                <w:szCs w:val="14"/>
                <w:color w:val="auto"/>
              </w:rPr>
              <w:t>Actuarial losses</w:t>
            </w:r>
          </w:p>
        </w:tc>
        <w:tc>
          <w:tcPr>
            <w:tcW w:w="3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3"/>
          </w:tcPr>
          <w:p>
            <w:pPr>
              <w:jc w:val="right"/>
              <w:ind w:right="660"/>
              <w:spacing w:after="0" w:line="149" w:lineRule="exact"/>
              <w:rPr>
                <w:sz w:val="20"/>
                <w:szCs w:val="20"/>
                <w:color w:val="auto"/>
              </w:rPr>
            </w:pPr>
            <w:r>
              <w:rPr>
                <w:rFonts w:ascii="Arial" w:cs="Arial" w:eastAsia="Arial" w:hAnsi="Arial"/>
                <w:sz w:val="14"/>
                <w:szCs w:val="14"/>
                <w:b w:val="1"/>
                <w:bCs w:val="1"/>
                <w:color w:val="auto"/>
              </w:rPr>
              <w:t>202</w:t>
            </w:r>
          </w:p>
        </w:tc>
        <w:tc>
          <w:tcPr>
            <w:tcW w:w="100" w:type="dxa"/>
            <w:vAlign w:val="bottom"/>
          </w:tcPr>
          <w:p>
            <w:pPr>
              <w:spacing w:after="0"/>
              <w:rPr>
                <w:sz w:val="12"/>
                <w:szCs w:val="12"/>
                <w:color w:val="auto"/>
              </w:rPr>
            </w:pPr>
          </w:p>
        </w:tc>
        <w:tc>
          <w:tcPr>
            <w:tcW w:w="280" w:type="dxa"/>
            <w:vAlign w:val="bottom"/>
          </w:tcPr>
          <w:p>
            <w:pPr>
              <w:jc w:val="right"/>
              <w:spacing w:after="0" w:line="149" w:lineRule="exact"/>
              <w:rPr>
                <w:sz w:val="20"/>
                <w:szCs w:val="20"/>
                <w:color w:val="auto"/>
              </w:rPr>
            </w:pPr>
            <w:r>
              <w:rPr>
                <w:rFonts w:ascii="Arial" w:cs="Arial" w:eastAsia="Arial" w:hAnsi="Arial"/>
                <w:sz w:val="14"/>
                <w:szCs w:val="14"/>
                <w:color w:val="auto"/>
              </w:rPr>
              <w:t>121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Benefits paid</w:t>
            </w:r>
          </w:p>
        </w:tc>
        <w:tc>
          <w:tcPr>
            <w:tcW w:w="30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gridSpan w:val="3"/>
            <w:shd w:val="clear" w:color="auto" w:fill="CCEEFF"/>
          </w:tcPr>
          <w:p>
            <w:pPr>
              <w:jc w:val="right"/>
              <w:ind w:right="600"/>
              <w:spacing w:after="0" w:line="149" w:lineRule="exact"/>
              <w:rPr>
                <w:sz w:val="20"/>
                <w:szCs w:val="20"/>
                <w:color w:val="auto"/>
              </w:rPr>
            </w:pPr>
            <w:r>
              <w:rPr>
                <w:rFonts w:ascii="Arial" w:cs="Arial" w:eastAsia="Arial" w:hAnsi="Arial"/>
                <w:sz w:val="14"/>
                <w:szCs w:val="14"/>
                <w:b w:val="1"/>
                <w:bCs w:val="1"/>
                <w:color w:val="auto"/>
              </w:rPr>
              <w:t>(26)</w:t>
            </w:r>
          </w:p>
        </w:tc>
        <w:tc>
          <w:tcPr>
            <w:tcW w:w="10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860" w:type="dxa"/>
            <w:vAlign w:val="bottom"/>
          </w:tcPr>
          <w:p>
            <w:pPr>
              <w:spacing w:after="0"/>
              <w:rPr>
                <w:sz w:val="20"/>
                <w:szCs w:val="20"/>
                <w:color w:val="auto"/>
              </w:rPr>
            </w:pPr>
            <w:r>
              <w:rPr>
                <w:rFonts w:ascii="Arial" w:cs="Arial" w:eastAsia="Arial" w:hAnsi="Arial"/>
                <w:sz w:val="14"/>
                <w:szCs w:val="14"/>
                <w:color w:val="auto"/>
              </w:rPr>
              <w:t>Other</w:t>
            </w:r>
          </w:p>
        </w:tc>
        <w:tc>
          <w:tcPr>
            <w:tcW w:w="3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5"/>
                <w:szCs w:val="15"/>
                <w:color w:val="auto"/>
              </w:rPr>
            </w:pPr>
          </w:p>
        </w:tc>
        <w:tc>
          <w:tcPr>
            <w:tcW w:w="280" w:type="dxa"/>
            <w:vAlign w:val="bottom"/>
          </w:tcPr>
          <w:p>
            <w:pPr>
              <w:jc w:val="right"/>
              <w:spacing w:after="0"/>
              <w:rPr>
                <w:sz w:val="20"/>
                <w:szCs w:val="20"/>
                <w:color w:val="auto"/>
              </w:rPr>
            </w:pPr>
            <w:r>
              <w:rPr>
                <w:rFonts w:ascii="Arial" w:cs="Arial" w:eastAsia="Arial" w:hAnsi="Arial"/>
                <w:sz w:val="14"/>
                <w:szCs w:val="14"/>
                <w:color w:val="auto"/>
              </w:rPr>
              <w:t>36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6860" w:type="dxa"/>
            <w:vAlign w:val="bottom"/>
            <w:tcBorders>
              <w:bottom w:val="single" w:sz="8" w:color="auto"/>
            </w:tcBorders>
          </w:tcPr>
          <w:p>
            <w:pPr>
              <w:spacing w:after="0"/>
              <w:rPr>
                <w:sz w:val="7"/>
                <w:szCs w:val="7"/>
                <w:color w:val="auto"/>
              </w:rPr>
            </w:pPr>
          </w:p>
        </w:tc>
        <w:tc>
          <w:tcPr>
            <w:tcW w:w="304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66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860" w:type="dxa"/>
            <w:vAlign w:val="bottom"/>
          </w:tcPr>
          <w:p>
            <w:pPr>
              <w:spacing w:after="0"/>
              <w:rPr>
                <w:sz w:val="8"/>
                <w:szCs w:val="8"/>
                <w:color w:val="auto"/>
              </w:rPr>
            </w:pPr>
          </w:p>
        </w:tc>
        <w:tc>
          <w:tcPr>
            <w:tcW w:w="30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8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Accumulated postretirement benefit obligation at the end of the year</w:t>
            </w:r>
          </w:p>
        </w:tc>
        <w:tc>
          <w:tcPr>
            <w:tcW w:w="30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gridSpan w:val="3"/>
            <w:shd w:val="clear" w:color="auto" w:fill="CCEEFF"/>
          </w:tcPr>
          <w:p>
            <w:pPr>
              <w:jc w:val="right"/>
              <w:ind w:right="660"/>
              <w:spacing w:after="0" w:line="149" w:lineRule="exact"/>
              <w:rPr>
                <w:sz w:val="20"/>
                <w:szCs w:val="20"/>
                <w:color w:val="auto"/>
              </w:rPr>
            </w:pPr>
            <w:r>
              <w:rPr>
                <w:rFonts w:ascii="Arial" w:cs="Arial" w:eastAsia="Arial" w:hAnsi="Arial"/>
                <w:sz w:val="14"/>
                <w:szCs w:val="14"/>
                <w:b w:val="1"/>
                <w:bCs w:val="1"/>
                <w:color w:val="auto"/>
              </w:rPr>
              <w:t>933</w:t>
            </w: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676</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60" w:type="dxa"/>
            <w:vAlign w:val="bottom"/>
          </w:tcPr>
          <w:p>
            <w:pPr>
              <w:spacing w:after="0" w:line="149" w:lineRule="exact"/>
              <w:rPr>
                <w:sz w:val="20"/>
                <w:szCs w:val="20"/>
                <w:color w:val="auto"/>
              </w:rPr>
            </w:pPr>
            <w:r>
              <w:rPr>
                <w:rFonts w:ascii="Arial" w:cs="Arial" w:eastAsia="Arial" w:hAnsi="Arial"/>
                <w:sz w:val="14"/>
                <w:szCs w:val="14"/>
                <w:color w:val="auto"/>
              </w:rPr>
              <w:t>Unrecognized net loss</w:t>
            </w:r>
          </w:p>
        </w:tc>
        <w:tc>
          <w:tcPr>
            <w:tcW w:w="3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3"/>
          </w:tcPr>
          <w:p>
            <w:pPr>
              <w:jc w:val="right"/>
              <w:ind w:right="600"/>
              <w:spacing w:after="0" w:line="149" w:lineRule="exact"/>
              <w:rPr>
                <w:sz w:val="20"/>
                <w:szCs w:val="20"/>
                <w:color w:val="auto"/>
              </w:rPr>
            </w:pPr>
            <w:r>
              <w:rPr>
                <w:rFonts w:ascii="Arial" w:cs="Arial" w:eastAsia="Arial" w:hAnsi="Arial"/>
                <w:sz w:val="14"/>
                <w:szCs w:val="14"/>
                <w:b w:val="1"/>
                <w:bCs w:val="1"/>
                <w:color w:val="auto"/>
                <w:w w:val="97"/>
              </w:rPr>
              <w:t>(326)</w:t>
            </w:r>
          </w:p>
        </w:tc>
        <w:tc>
          <w:tcPr>
            <w:tcW w:w="100" w:type="dxa"/>
            <w:vAlign w:val="bottom"/>
          </w:tcPr>
          <w:p>
            <w:pPr>
              <w:spacing w:after="0"/>
              <w:rPr>
                <w:sz w:val="12"/>
                <w:szCs w:val="12"/>
                <w:color w:val="auto"/>
              </w:rPr>
            </w:pPr>
          </w:p>
        </w:tc>
        <w:tc>
          <w:tcPr>
            <w:tcW w:w="3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w w:val="91"/>
              </w:rPr>
              <w:t>(105)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Unrecognized prior service cost/other</w:t>
            </w:r>
          </w:p>
        </w:tc>
        <w:tc>
          <w:tcPr>
            <w:tcW w:w="30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gridSpan w:val="3"/>
            <w:shd w:val="clear" w:color="auto" w:fill="CCEEFF"/>
          </w:tcPr>
          <w:p>
            <w:pPr>
              <w:jc w:val="right"/>
              <w:ind w:right="600"/>
              <w:spacing w:after="0" w:line="149" w:lineRule="exact"/>
              <w:rPr>
                <w:sz w:val="20"/>
                <w:szCs w:val="20"/>
                <w:color w:val="auto"/>
              </w:rPr>
            </w:pPr>
            <w:r>
              <w:rPr>
                <w:rFonts w:ascii="Arial" w:cs="Arial" w:eastAsia="Arial" w:hAnsi="Arial"/>
                <w:sz w:val="14"/>
                <w:szCs w:val="14"/>
                <w:b w:val="1"/>
                <w:bCs w:val="1"/>
                <w:color w:val="auto"/>
              </w:rPr>
              <w:t>(2)</w:t>
            </w:r>
          </w:p>
        </w:tc>
        <w:tc>
          <w:tcPr>
            <w:tcW w:w="10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(27)</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860" w:type="dxa"/>
            <w:vAlign w:val="bottom"/>
            <w:tcBorders>
              <w:bottom w:val="single" w:sz="8" w:color="auto"/>
            </w:tcBorders>
          </w:tcPr>
          <w:p>
            <w:pPr>
              <w:spacing w:after="0"/>
              <w:rPr>
                <w:sz w:val="9"/>
                <w:szCs w:val="9"/>
                <w:color w:val="auto"/>
              </w:rPr>
            </w:pPr>
          </w:p>
        </w:tc>
        <w:tc>
          <w:tcPr>
            <w:tcW w:w="304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860" w:type="dxa"/>
            <w:vAlign w:val="bottom"/>
          </w:tcPr>
          <w:p>
            <w:pPr>
              <w:spacing w:after="0"/>
              <w:rPr>
                <w:sz w:val="8"/>
                <w:szCs w:val="8"/>
                <w:color w:val="auto"/>
              </w:rPr>
            </w:pPr>
          </w:p>
        </w:tc>
        <w:tc>
          <w:tcPr>
            <w:tcW w:w="30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8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Postretirement benefit liability on December 31</w:t>
            </w:r>
          </w:p>
        </w:tc>
        <w:tc>
          <w:tcPr>
            <w:tcW w:w="31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b w:val="1"/>
                <w:bCs w:val="1"/>
                <w:color w:val="auto"/>
              </w:rPr>
              <w:t>$</w:t>
            </w:r>
          </w:p>
        </w:tc>
        <w:tc>
          <w:tcPr>
            <w:tcW w:w="940" w:type="dxa"/>
            <w:vAlign w:val="bottom"/>
            <w:gridSpan w:val="3"/>
            <w:shd w:val="clear" w:color="auto" w:fill="CCEEFF"/>
          </w:tcPr>
          <w:p>
            <w:pPr>
              <w:jc w:val="right"/>
              <w:ind w:right="660"/>
              <w:spacing w:after="0" w:line="149" w:lineRule="exact"/>
              <w:rPr>
                <w:sz w:val="20"/>
                <w:szCs w:val="20"/>
                <w:color w:val="auto"/>
              </w:rPr>
            </w:pPr>
            <w:r>
              <w:rPr>
                <w:rFonts w:ascii="Arial" w:cs="Arial" w:eastAsia="Arial" w:hAnsi="Arial"/>
                <w:sz w:val="14"/>
                <w:szCs w:val="14"/>
                <w:b w:val="1"/>
                <w:bCs w:val="1"/>
                <w:color w:val="auto"/>
              </w:rPr>
              <w:t>605</w:t>
            </w: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2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544</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860" w:type="dxa"/>
            <w:vAlign w:val="bottom"/>
          </w:tcPr>
          <w:p>
            <w:pPr>
              <w:spacing w:after="0"/>
              <w:rPr>
                <w:sz w:val="11"/>
                <w:szCs w:val="11"/>
                <w:color w:val="auto"/>
              </w:rPr>
            </w:pPr>
          </w:p>
        </w:tc>
        <w:tc>
          <w:tcPr>
            <w:tcW w:w="30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6297930</wp:posOffset>
            </wp:positionH>
            <wp:positionV relativeFrom="paragraph">
              <wp:posOffset>-29210</wp:posOffset>
            </wp:positionV>
            <wp:extent cx="261620" cy="29845"/>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261620" cy="29845"/>
                    </a:xfrm>
                    <a:prstGeom prst="rect">
                      <a:avLst/>
                    </a:prstGeom>
                    <a:noFill/>
                  </pic:spPr>
                </pic:pic>
              </a:graphicData>
            </a:graphic>
          </wp:anchor>
        </w:drawing>
        <w:drawing>
          <wp:anchor simplePos="0" relativeHeight="251657728" behindDoc="1" locked="0" layoutInCell="0" allowOverlap="1">
            <wp:simplePos x="0" y="0"/>
            <wp:positionH relativeFrom="column">
              <wp:posOffset>6949440</wp:posOffset>
            </wp:positionH>
            <wp:positionV relativeFrom="paragraph">
              <wp:posOffset>-29210</wp:posOffset>
            </wp:positionV>
            <wp:extent cx="12700" cy="29845"/>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7009765</wp:posOffset>
            </wp:positionH>
            <wp:positionV relativeFrom="paragraph">
              <wp:posOffset>-29210</wp:posOffset>
            </wp:positionV>
            <wp:extent cx="21590" cy="29845"/>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-29210</wp:posOffset>
            </wp:positionV>
            <wp:extent cx="38735" cy="29845"/>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144"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components of the accumulated postretirement benefit obligation on December 31, 2003 and 2002, were as follows:</w:t>
      </w:r>
    </w:p>
    <w:p>
      <w:pPr>
        <w:spacing w:after="0" w:line="7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(Stated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46620" cy="8890"/>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10140" w:type="dxa"/>
            <w:vAlign w:val="bottom"/>
          </w:tcPr>
          <w:p>
            <w:pPr>
              <w:spacing w:after="0"/>
              <w:rPr>
                <w:sz w:val="15"/>
                <w:szCs w:val="15"/>
                <w:color w:val="auto"/>
              </w:rPr>
            </w:pPr>
          </w:p>
        </w:tc>
        <w:tc>
          <w:tcPr>
            <w:tcW w:w="60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w w:val="96"/>
              </w:rPr>
              <w:t>2003</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w w:val="89"/>
              </w:rPr>
              <w:t>2002</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10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10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Retirees</w:t>
            </w:r>
          </w:p>
        </w:tc>
        <w:tc>
          <w:tcPr>
            <w:tcW w:w="600" w:type="dxa"/>
            <w:vAlign w:val="bottom"/>
            <w:gridSpan w:val="3"/>
            <w:shd w:val="clear" w:color="auto" w:fill="CCEEFF"/>
          </w:tcPr>
          <w:p>
            <w:pPr>
              <w:jc w:val="right"/>
              <w:ind w:right="280"/>
              <w:spacing w:after="0" w:line="149" w:lineRule="exact"/>
              <w:rPr>
                <w:sz w:val="20"/>
                <w:szCs w:val="20"/>
                <w:color w:val="auto"/>
              </w:rPr>
            </w:pPr>
            <w:r>
              <w:rPr>
                <w:rFonts w:ascii="Arial" w:cs="Arial" w:eastAsia="Arial" w:hAnsi="Arial"/>
                <w:sz w:val="14"/>
                <w:szCs w:val="14"/>
                <w:b w:val="1"/>
                <w:bCs w:val="1"/>
                <w:color w:val="auto"/>
                <w:w w:val="85"/>
              </w:rPr>
              <w:t>$ 404</w:t>
            </w:r>
          </w:p>
        </w:tc>
        <w:tc>
          <w:tcPr>
            <w:tcW w:w="3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3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277</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140" w:type="dxa"/>
            <w:vAlign w:val="bottom"/>
          </w:tcPr>
          <w:p>
            <w:pPr>
              <w:spacing w:after="0" w:line="149" w:lineRule="exact"/>
              <w:rPr>
                <w:sz w:val="20"/>
                <w:szCs w:val="20"/>
                <w:color w:val="auto"/>
              </w:rPr>
            </w:pPr>
            <w:r>
              <w:rPr>
                <w:rFonts w:ascii="Arial" w:cs="Arial" w:eastAsia="Arial" w:hAnsi="Arial"/>
                <w:sz w:val="14"/>
                <w:szCs w:val="14"/>
                <w:color w:val="auto"/>
              </w:rPr>
              <w:t>Fully eligible</w:t>
            </w:r>
          </w:p>
        </w:tc>
        <w:tc>
          <w:tcPr>
            <w:tcW w:w="600" w:type="dxa"/>
            <w:vAlign w:val="bottom"/>
            <w:gridSpan w:val="3"/>
          </w:tcPr>
          <w:p>
            <w:pPr>
              <w:jc w:val="right"/>
              <w:ind w:right="280"/>
              <w:spacing w:after="0" w:line="149" w:lineRule="exact"/>
              <w:rPr>
                <w:sz w:val="20"/>
                <w:szCs w:val="20"/>
                <w:color w:val="auto"/>
              </w:rPr>
            </w:pPr>
            <w:r>
              <w:rPr>
                <w:rFonts w:ascii="Arial" w:cs="Arial" w:eastAsia="Arial" w:hAnsi="Arial"/>
                <w:sz w:val="14"/>
                <w:szCs w:val="14"/>
                <w:b w:val="1"/>
                <w:bCs w:val="1"/>
                <w:color w:val="auto"/>
              </w:rPr>
              <w:t>162</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110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Actives</w:t>
            </w:r>
          </w:p>
        </w:tc>
        <w:tc>
          <w:tcPr>
            <w:tcW w:w="600" w:type="dxa"/>
            <w:vAlign w:val="bottom"/>
            <w:gridSpan w:val="3"/>
            <w:shd w:val="clear" w:color="auto" w:fill="CCEEFF"/>
          </w:tcPr>
          <w:p>
            <w:pPr>
              <w:jc w:val="right"/>
              <w:ind w:right="280"/>
              <w:spacing w:after="0" w:line="149" w:lineRule="exact"/>
              <w:rPr>
                <w:sz w:val="20"/>
                <w:szCs w:val="20"/>
                <w:color w:val="auto"/>
              </w:rPr>
            </w:pPr>
            <w:r>
              <w:rPr>
                <w:rFonts w:ascii="Arial" w:cs="Arial" w:eastAsia="Arial" w:hAnsi="Arial"/>
                <w:sz w:val="14"/>
                <w:szCs w:val="14"/>
                <w:b w:val="1"/>
                <w:bCs w:val="1"/>
                <w:color w:val="auto"/>
              </w:rPr>
              <w:t>367</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289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14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140" w:type="dxa"/>
            <w:vAlign w:val="bottom"/>
            <w:shd w:val="clear" w:color="auto" w:fill="CCEEFF"/>
          </w:tcPr>
          <w:p>
            <w:pPr>
              <w:spacing w:after="0"/>
              <w:rPr>
                <w:sz w:val="12"/>
                <w:szCs w:val="12"/>
                <w:color w:val="auto"/>
              </w:rPr>
            </w:pPr>
          </w:p>
        </w:tc>
        <w:tc>
          <w:tcPr>
            <w:tcW w:w="600" w:type="dxa"/>
            <w:vAlign w:val="bottom"/>
            <w:gridSpan w:val="3"/>
            <w:shd w:val="clear" w:color="auto" w:fill="CCEEFF"/>
          </w:tcPr>
          <w:p>
            <w:pPr>
              <w:jc w:val="right"/>
              <w:ind w:right="280"/>
              <w:spacing w:after="0" w:line="149" w:lineRule="exact"/>
              <w:rPr>
                <w:sz w:val="20"/>
                <w:szCs w:val="20"/>
                <w:color w:val="auto"/>
              </w:rPr>
            </w:pPr>
            <w:r>
              <w:rPr>
                <w:rFonts w:ascii="Arial" w:cs="Arial" w:eastAsia="Arial" w:hAnsi="Arial"/>
                <w:sz w:val="14"/>
                <w:szCs w:val="14"/>
                <w:b w:val="1"/>
                <w:bCs w:val="1"/>
                <w:color w:val="auto"/>
                <w:w w:val="85"/>
              </w:rPr>
              <w:t>$ 933</w:t>
            </w:r>
          </w:p>
        </w:tc>
        <w:tc>
          <w:tcPr>
            <w:tcW w:w="3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3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676</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1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6452235</wp:posOffset>
            </wp:positionH>
            <wp:positionV relativeFrom="paragraph">
              <wp:posOffset>-27305</wp:posOffset>
            </wp:positionV>
            <wp:extent cx="201295" cy="29845"/>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201295" cy="29845"/>
                    </a:xfrm>
                    <a:prstGeom prst="rect">
                      <a:avLst/>
                    </a:prstGeom>
                    <a:noFill/>
                  </pic:spPr>
                </pic:pic>
              </a:graphicData>
            </a:graphic>
          </wp:anchor>
        </w:drawing>
        <w:drawing>
          <wp:anchor simplePos="0" relativeHeight="251657728" behindDoc="1" locked="0" layoutInCell="0" allowOverlap="1">
            <wp:simplePos x="0" y="0"/>
            <wp:positionH relativeFrom="column">
              <wp:posOffset>7009765</wp:posOffset>
            </wp:positionH>
            <wp:positionV relativeFrom="paragraph">
              <wp:posOffset>-27305</wp:posOffset>
            </wp:positionV>
            <wp:extent cx="244475" cy="29845"/>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244475" cy="29845"/>
                    </a:xfrm>
                    <a:prstGeom prst="rect">
                      <a:avLst/>
                    </a:prstGeom>
                    <a:noFill/>
                  </pic:spPr>
                </pic:pic>
              </a:graphicData>
            </a:graphic>
          </wp:anchor>
        </w:drawing>
      </w:r>
    </w:p>
    <w:p>
      <w:pPr>
        <w:spacing w:after="0" w:line="14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assumed discount rate used to determine the accumulated postretirement benefit obligation was 6.25% for 2003 and 6.75% for 2002.</w:t>
      </w:r>
    </w:p>
    <w:p>
      <w:pPr>
        <w:spacing w:after="0" w:line="15" w:lineRule="exact"/>
        <w:rPr>
          <w:sz w:val="20"/>
          <w:szCs w:val="20"/>
          <w:color w:val="auto"/>
        </w:rPr>
      </w:pPr>
    </w:p>
    <w:p>
      <w:pPr>
        <w:ind w:right="400" w:firstLine="228"/>
        <w:spacing w:after="0" w:line="250" w:lineRule="auto"/>
        <w:rPr>
          <w:sz w:val="20"/>
          <w:szCs w:val="20"/>
          <w:color w:val="auto"/>
        </w:rPr>
      </w:pPr>
      <w:r>
        <w:rPr>
          <w:rFonts w:ascii="Arial" w:cs="Arial" w:eastAsia="Arial" w:hAnsi="Arial"/>
          <w:sz w:val="18"/>
          <w:szCs w:val="18"/>
          <w:color w:val="auto"/>
        </w:rPr>
        <w:t>If the assumed medical cost trend rate was increased by one percentage point, health care cost in 2003 would have been $99 million, and the accumulated postretirement benefit obligation would have been $1.12 billion on December 31, 2003.</w:t>
      </w:r>
    </w:p>
    <w:p>
      <w:pPr>
        <w:spacing w:after="0" w:line="1" w:lineRule="exact"/>
        <w:rPr>
          <w:sz w:val="20"/>
          <w:szCs w:val="20"/>
          <w:color w:val="auto"/>
        </w:rPr>
      </w:pPr>
    </w:p>
    <w:p>
      <w:pPr>
        <w:ind w:right="360" w:firstLine="228"/>
        <w:spacing w:after="0" w:line="261" w:lineRule="auto"/>
        <w:rPr>
          <w:sz w:val="20"/>
          <w:szCs w:val="20"/>
          <w:color w:val="auto"/>
        </w:rPr>
      </w:pPr>
      <w:r>
        <w:rPr>
          <w:rFonts w:ascii="Arial" w:cs="Arial" w:eastAsia="Arial" w:hAnsi="Arial"/>
          <w:sz w:val="18"/>
          <w:szCs w:val="18"/>
          <w:color w:val="auto"/>
        </w:rPr>
        <w:t>If the assumed medical cost trend rate was decreased by one percentage point, health care cost in 2003 would have been $67 million, and the accumulated postretirement benefit obligation would have been $790 million on December 31, 2003.</w:t>
      </w:r>
    </w:p>
    <w:p>
      <w:pPr>
        <w:spacing w:after="0" w:line="122" w:lineRule="exact"/>
        <w:rPr>
          <w:sz w:val="20"/>
          <w:szCs w:val="20"/>
          <w:color w:val="auto"/>
        </w:rPr>
      </w:pPr>
    </w:p>
    <w:p>
      <w:pPr>
        <w:spacing w:after="0"/>
        <w:tabs>
          <w:tab w:leader="none" w:pos="10400" w:val="left"/>
        </w:tabs>
        <w:rPr>
          <w:sz w:val="20"/>
          <w:szCs w:val="20"/>
          <w:color w:val="auto"/>
        </w:rPr>
      </w:pPr>
      <w:r>
        <w:rPr>
          <w:rFonts w:ascii="Arial" w:cs="Arial" w:eastAsia="Arial" w:hAnsi="Arial"/>
          <w:sz w:val="14"/>
          <w:szCs w:val="14"/>
          <w:color w:val="auto"/>
        </w:rPr>
        <w:t>68 / SLB</w:t>
      </w:r>
      <w:r>
        <w:rPr>
          <w:sz w:val="20"/>
          <w:szCs w:val="20"/>
          <w:color w:val="auto"/>
        </w:rPr>
        <w:tab/>
      </w:r>
      <w:r>
        <w:rPr>
          <w:rFonts w:ascii="Arial" w:cs="Arial" w:eastAsia="Arial" w:hAnsi="Arial"/>
          <w:sz w:val="12"/>
          <w:szCs w:val="12"/>
          <w:color w:val="auto"/>
        </w:rPr>
        <w:t>2003 FORM 10-K</w:t>
      </w:r>
    </w:p>
    <w:p>
      <w:pPr>
        <w:sectPr>
          <w:pgSz w:w="11900" w:h="16838" w:orient="portrait"/>
          <w:cols w:equalWidth="0" w:num="1">
            <w:col w:w="11420"/>
          </w:cols>
          <w:pgMar w:left="240" w:top="459" w:right="2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4"/>
          <w:szCs w:val="14"/>
          <w:color w:val="auto"/>
        </w:rPr>
        <w:t>Part II, Item 8</w:t>
      </w:r>
    </w:p>
    <w:p>
      <w:pPr>
        <w:spacing w:after="0" w:line="128"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b w:val="1"/>
          <w:bCs w:val="1"/>
          <w:color w:val="auto"/>
        </w:rPr>
        <w:t>26.</w:t>
      </w:r>
      <w:r>
        <w:rPr>
          <w:sz w:val="20"/>
          <w:szCs w:val="20"/>
          <w:color w:val="auto"/>
        </w:rPr>
        <w:tab/>
      </w:r>
      <w:r>
        <w:rPr>
          <w:rFonts w:ascii="Arial" w:cs="Arial" w:eastAsia="Arial" w:hAnsi="Arial"/>
          <w:sz w:val="16"/>
          <w:szCs w:val="16"/>
          <w:b w:val="1"/>
          <w:bCs w:val="1"/>
          <w:color w:val="auto"/>
        </w:rPr>
        <w:t>Supplementary Information</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Operating revenue and related cost of goods sold and services for continuing operations comprised the following:</w:t>
      </w:r>
    </w:p>
    <w:p>
      <w:pPr>
        <w:spacing w:after="0" w:line="7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(Stated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46620" cy="8890"/>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9000" w:type="dxa"/>
            <w:vAlign w:val="bottom"/>
            <w:gridSpan w:val="2"/>
          </w:tcPr>
          <w:p>
            <w:pPr>
              <w:spacing w:after="0"/>
              <w:rPr>
                <w:sz w:val="20"/>
                <w:szCs w:val="20"/>
                <w:color w:val="auto"/>
              </w:rPr>
            </w:pPr>
            <w:r>
              <w:rPr>
                <w:rFonts w:ascii="Arial" w:cs="Arial" w:eastAsia="Arial" w:hAnsi="Arial"/>
                <w:sz w:val="14"/>
                <w:szCs w:val="14"/>
                <w:b w:val="1"/>
                <w:bCs w:val="1"/>
                <w:color w:val="auto"/>
              </w:rPr>
              <w:t>Year ended December 31,</w:t>
            </w:r>
          </w:p>
        </w:tc>
        <w:tc>
          <w:tcPr>
            <w:tcW w:w="12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4"/>
                <w:szCs w:val="14"/>
                <w:b w:val="1"/>
                <w:bCs w:val="1"/>
                <w:color w:val="auto"/>
              </w:rPr>
              <w:t>2003</w:t>
            </w: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4"/>
                <w:szCs w:val="14"/>
                <w:b w:val="1"/>
                <w:bCs w:val="1"/>
                <w:color w:val="auto"/>
              </w:rPr>
              <w:t>2002</w:t>
            </w: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2001</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89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89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Operating revenue</w:t>
            </w: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980" w:type="dxa"/>
            <w:vAlign w:val="bottom"/>
          </w:tcPr>
          <w:p>
            <w:pPr>
              <w:ind w:left="320"/>
              <w:spacing w:after="0" w:line="149" w:lineRule="exact"/>
              <w:rPr>
                <w:sz w:val="20"/>
                <w:szCs w:val="20"/>
                <w:color w:val="auto"/>
              </w:rPr>
            </w:pPr>
            <w:r>
              <w:rPr>
                <w:rFonts w:ascii="Arial" w:cs="Arial" w:eastAsia="Arial" w:hAnsi="Arial"/>
                <w:sz w:val="14"/>
                <w:szCs w:val="14"/>
                <w:color w:val="auto"/>
              </w:rPr>
              <w:t>Products</w:t>
            </w:r>
          </w:p>
        </w:tc>
        <w:tc>
          <w:tcPr>
            <w:tcW w:w="1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76"/>
              </w:rPr>
              <w:t>$</w:t>
            </w:r>
          </w:p>
        </w:tc>
        <w:tc>
          <w:tcPr>
            <w:tcW w:w="4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3,947</w:t>
            </w:r>
          </w:p>
        </w:tc>
        <w:tc>
          <w:tcPr>
            <w:tcW w:w="5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3,605</w:t>
            </w:r>
          </w:p>
        </w:tc>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4,421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98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Services</w:t>
            </w: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9,946</w:t>
            </w: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9,513</w:t>
            </w:r>
          </w:p>
        </w:tc>
        <w:tc>
          <w:tcPr>
            <w:tcW w:w="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9,335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98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9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98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76"/>
              </w:rPr>
              <w:t>$</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97"/>
              </w:rPr>
              <w:t>13,893</w:t>
            </w:r>
          </w:p>
        </w:tc>
        <w:tc>
          <w:tcPr>
            <w:tcW w:w="5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4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83"/>
              </w:rPr>
              <w:t>13,118</w:t>
            </w: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13,756</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9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89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Direct operating costs</w:t>
            </w: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980" w:type="dxa"/>
            <w:vAlign w:val="bottom"/>
          </w:tcPr>
          <w:p>
            <w:pPr>
              <w:ind w:left="320"/>
              <w:spacing w:after="0" w:line="149" w:lineRule="exact"/>
              <w:rPr>
                <w:sz w:val="20"/>
                <w:szCs w:val="20"/>
                <w:color w:val="auto"/>
              </w:rPr>
            </w:pPr>
            <w:r>
              <w:rPr>
                <w:rFonts w:ascii="Arial" w:cs="Arial" w:eastAsia="Arial" w:hAnsi="Arial"/>
                <w:sz w:val="14"/>
                <w:szCs w:val="14"/>
                <w:color w:val="auto"/>
              </w:rPr>
              <w:t>Goods sold</w:t>
            </w:r>
          </w:p>
        </w:tc>
        <w:tc>
          <w:tcPr>
            <w:tcW w:w="1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76"/>
              </w:rPr>
              <w:t>$</w:t>
            </w:r>
          </w:p>
        </w:tc>
        <w:tc>
          <w:tcPr>
            <w:tcW w:w="4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2,656</w:t>
            </w:r>
          </w:p>
        </w:tc>
        <w:tc>
          <w:tcPr>
            <w:tcW w:w="5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1,749</w:t>
            </w:r>
          </w:p>
        </w:tc>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2,540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98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Services</w:t>
            </w: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8,122</w:t>
            </w: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8,441</w:t>
            </w:r>
          </w:p>
        </w:tc>
        <w:tc>
          <w:tcPr>
            <w:tcW w:w="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7,766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98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9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98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76"/>
              </w:rPr>
              <w:t>$</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97"/>
              </w:rPr>
              <w:t>10,778</w:t>
            </w:r>
          </w:p>
        </w:tc>
        <w:tc>
          <w:tcPr>
            <w:tcW w:w="5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10,190</w:t>
            </w:r>
          </w:p>
        </w:tc>
        <w:tc>
          <w:tcPr>
            <w:tcW w:w="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10,306</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9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5714365</wp:posOffset>
            </wp:positionH>
            <wp:positionV relativeFrom="paragraph">
              <wp:posOffset>-715010</wp:posOffset>
            </wp:positionV>
            <wp:extent cx="12700" cy="29845"/>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-715010</wp:posOffset>
            </wp:positionV>
            <wp:extent cx="12700" cy="29845"/>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5774690</wp:posOffset>
            </wp:positionH>
            <wp:positionV relativeFrom="paragraph">
              <wp:posOffset>-715010</wp:posOffset>
            </wp:positionV>
            <wp:extent cx="21590" cy="29845"/>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6349365</wp:posOffset>
            </wp:positionH>
            <wp:positionV relativeFrom="paragraph">
              <wp:posOffset>-715010</wp:posOffset>
            </wp:positionV>
            <wp:extent cx="12700" cy="29845"/>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6649085</wp:posOffset>
            </wp:positionH>
            <wp:positionV relativeFrom="paragraph">
              <wp:posOffset>-715010</wp:posOffset>
            </wp:positionV>
            <wp:extent cx="12700" cy="29845"/>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6409055</wp:posOffset>
            </wp:positionH>
            <wp:positionV relativeFrom="paragraph">
              <wp:posOffset>-715010</wp:posOffset>
            </wp:positionV>
            <wp:extent cx="21590" cy="29845"/>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6941185</wp:posOffset>
            </wp:positionH>
            <wp:positionV relativeFrom="paragraph">
              <wp:posOffset>-715010</wp:posOffset>
            </wp:positionV>
            <wp:extent cx="313055" cy="29845"/>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313055" cy="2984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-29210</wp:posOffset>
            </wp:positionV>
            <wp:extent cx="355600" cy="29845"/>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355600" cy="29845"/>
                    </a:xfrm>
                    <a:prstGeom prst="rect">
                      <a:avLst/>
                    </a:prstGeom>
                    <a:noFill/>
                  </pic:spPr>
                </pic:pic>
              </a:graphicData>
            </a:graphic>
          </wp:anchor>
        </w:drawing>
        <w:drawing>
          <wp:anchor simplePos="0" relativeHeight="251657728" behindDoc="1" locked="0" layoutInCell="0" allowOverlap="1">
            <wp:simplePos x="0" y="0"/>
            <wp:positionH relativeFrom="column">
              <wp:posOffset>6349365</wp:posOffset>
            </wp:positionH>
            <wp:positionV relativeFrom="paragraph">
              <wp:posOffset>-29210</wp:posOffset>
            </wp:positionV>
            <wp:extent cx="12700" cy="29845"/>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6649085</wp:posOffset>
            </wp:positionH>
            <wp:positionV relativeFrom="paragraph">
              <wp:posOffset>-29210</wp:posOffset>
            </wp:positionV>
            <wp:extent cx="12700" cy="29845"/>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6409055</wp:posOffset>
            </wp:positionH>
            <wp:positionV relativeFrom="paragraph">
              <wp:posOffset>-29210</wp:posOffset>
            </wp:positionV>
            <wp:extent cx="21590" cy="29845"/>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6941185</wp:posOffset>
            </wp:positionH>
            <wp:positionV relativeFrom="paragraph">
              <wp:posOffset>-29210</wp:posOffset>
            </wp:positionV>
            <wp:extent cx="313055" cy="29845"/>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313055" cy="29845"/>
                    </a:xfrm>
                    <a:prstGeom prst="rect">
                      <a:avLst/>
                    </a:prstGeom>
                    <a:noFill/>
                  </pic:spPr>
                </pic:pic>
              </a:graphicData>
            </a:graphic>
          </wp:anchor>
        </w:drawing>
      </w:r>
    </w:p>
    <w:p>
      <w:pPr>
        <w:spacing w:after="0" w:line="144" w:lineRule="exact"/>
        <w:rPr>
          <w:sz w:val="20"/>
          <w:szCs w:val="20"/>
          <w:color w:val="auto"/>
        </w:rPr>
      </w:pPr>
    </w:p>
    <w:p>
      <w:pPr>
        <w:ind w:left="240"/>
        <w:spacing w:after="0"/>
        <w:rPr>
          <w:sz w:val="20"/>
          <w:szCs w:val="20"/>
          <w:color w:val="auto"/>
        </w:rPr>
      </w:pPr>
      <w:r>
        <w:rPr>
          <w:rFonts w:ascii="Arial" w:cs="Arial" w:eastAsia="Arial" w:hAnsi="Arial"/>
          <w:sz w:val="18"/>
          <w:szCs w:val="18"/>
          <w:color w:val="auto"/>
        </w:rPr>
        <w:t>Cash paid for interest and income taxes for continuing operations was as follows:</w:t>
      </w:r>
    </w:p>
    <w:p>
      <w:pPr>
        <w:spacing w:after="0" w:line="7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(Stated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46620" cy="8890"/>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9080" w:type="dxa"/>
            <w:vAlign w:val="bottom"/>
            <w:gridSpan w:val="2"/>
          </w:tcPr>
          <w:p>
            <w:pPr>
              <w:spacing w:after="0"/>
              <w:rPr>
                <w:sz w:val="20"/>
                <w:szCs w:val="20"/>
                <w:color w:val="auto"/>
              </w:rPr>
            </w:pPr>
            <w:r>
              <w:rPr>
                <w:rFonts w:ascii="Arial" w:cs="Arial" w:eastAsia="Arial" w:hAnsi="Arial"/>
                <w:sz w:val="14"/>
                <w:szCs w:val="14"/>
                <w:b w:val="1"/>
                <w:bCs w:val="1"/>
                <w:color w:val="auto"/>
              </w:rPr>
              <w:t>Year ended December 31,</w:t>
            </w:r>
          </w:p>
        </w:tc>
        <w:tc>
          <w:tcPr>
            <w:tcW w:w="100" w:type="dxa"/>
            <w:vAlign w:val="bottom"/>
          </w:tcPr>
          <w:p>
            <w:pPr>
              <w:spacing w:after="0"/>
              <w:rPr>
                <w:sz w:val="15"/>
                <w:szCs w:val="15"/>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2003</w:t>
            </w: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40" w:type="dxa"/>
            <w:vAlign w:val="bottom"/>
            <w:gridSpan w:val="5"/>
          </w:tcPr>
          <w:p>
            <w:pPr>
              <w:jc w:val="right"/>
              <w:ind w:right="400"/>
              <w:spacing w:after="0"/>
              <w:rPr>
                <w:sz w:val="20"/>
                <w:szCs w:val="20"/>
                <w:color w:val="auto"/>
              </w:rPr>
            </w:pPr>
            <w:r>
              <w:rPr>
                <w:rFonts w:ascii="Arial" w:cs="Arial" w:eastAsia="Arial" w:hAnsi="Arial"/>
                <w:sz w:val="14"/>
                <w:szCs w:val="14"/>
                <w:b w:val="1"/>
                <w:bCs w:val="1"/>
                <w:color w:val="auto"/>
              </w:rPr>
              <w:t>2002</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w w:val="96"/>
              </w:rPr>
              <w:t>2001</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90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9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Interest</w:t>
            </w: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b w:val="1"/>
                <w:bCs w:val="1"/>
                <w:color w:val="auto"/>
              </w:rPr>
              <w:t>$ 354</w:t>
            </w: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40" w:type="dxa"/>
            <w:vAlign w:val="bottom"/>
            <w:gridSpan w:val="5"/>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$ 373</w:t>
            </w: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85"/>
              </w:rPr>
              <w:t>$ 363</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9060" w:type="dxa"/>
            <w:vAlign w:val="bottom"/>
          </w:tcPr>
          <w:p>
            <w:pPr>
              <w:spacing w:after="0"/>
              <w:rPr>
                <w:sz w:val="20"/>
                <w:szCs w:val="20"/>
                <w:color w:val="auto"/>
              </w:rPr>
            </w:pPr>
            <w:r>
              <w:rPr>
                <w:rFonts w:ascii="Arial" w:cs="Arial" w:eastAsia="Arial" w:hAnsi="Arial"/>
                <w:sz w:val="14"/>
                <w:szCs w:val="14"/>
                <w:color w:val="auto"/>
              </w:rPr>
              <w:t>Income taxes</w:t>
            </w:r>
          </w:p>
        </w:tc>
        <w:tc>
          <w:tcPr>
            <w:tcW w:w="100" w:type="dxa"/>
            <w:vAlign w:val="bottom"/>
          </w:tcPr>
          <w:p>
            <w:pPr>
              <w:spacing w:after="0"/>
              <w:rPr>
                <w:sz w:val="15"/>
                <w:szCs w:val="15"/>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$ 150</w:t>
            </w: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40" w:type="dxa"/>
            <w:vAlign w:val="bottom"/>
            <w:gridSpan w:val="5"/>
          </w:tcPr>
          <w:p>
            <w:pPr>
              <w:jc w:val="right"/>
              <w:ind w:right="400"/>
              <w:spacing w:after="0"/>
              <w:rPr>
                <w:sz w:val="20"/>
                <w:szCs w:val="20"/>
                <w:color w:val="auto"/>
              </w:rPr>
            </w:pPr>
            <w:r>
              <w:rPr>
                <w:rFonts w:ascii="Arial" w:cs="Arial" w:eastAsia="Arial" w:hAnsi="Arial"/>
                <w:sz w:val="14"/>
                <w:szCs w:val="14"/>
                <w:color w:val="auto"/>
              </w:rPr>
              <w:t>$ 251</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gridSpan w:val="2"/>
          </w:tcPr>
          <w:p>
            <w:pPr>
              <w:jc w:val="right"/>
              <w:spacing w:after="0"/>
              <w:rPr>
                <w:sz w:val="20"/>
                <w:szCs w:val="20"/>
                <w:color w:val="auto"/>
              </w:rPr>
            </w:pPr>
            <w:r>
              <w:rPr>
                <w:rFonts w:ascii="Arial" w:cs="Arial" w:eastAsia="Arial" w:hAnsi="Arial"/>
                <w:sz w:val="14"/>
                <w:szCs w:val="14"/>
                <w:color w:val="auto"/>
                <w:w w:val="85"/>
              </w:rPr>
              <w:t>$ 298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9060" w:type="dxa"/>
            <w:vAlign w:val="bottom"/>
          </w:tcPr>
          <w:p>
            <w:pPr>
              <w:ind w:left="220"/>
              <w:spacing w:after="0"/>
              <w:rPr>
                <w:sz w:val="20"/>
                <w:szCs w:val="20"/>
                <w:color w:val="auto"/>
              </w:rPr>
            </w:pPr>
            <w:r>
              <w:rPr>
                <w:rFonts w:ascii="Arial" w:cs="Arial" w:eastAsia="Arial" w:hAnsi="Arial"/>
                <w:sz w:val="18"/>
                <w:szCs w:val="18"/>
                <w:i w:val="1"/>
                <w:iCs w:val="1"/>
                <w:color w:val="auto"/>
              </w:rPr>
              <w:t xml:space="preserve">Accounts payable and accrued liabilities </w:t>
            </w:r>
            <w:r>
              <w:rPr>
                <w:rFonts w:ascii="Arial" w:cs="Arial" w:eastAsia="Arial" w:hAnsi="Arial"/>
                <w:sz w:val="18"/>
                <w:szCs w:val="18"/>
                <w:color w:val="auto"/>
              </w:rPr>
              <w:t>are summarized as follows:</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1"/>
        </w:trPr>
        <w:tc>
          <w:tcPr>
            <w:tcW w:w="9080" w:type="dxa"/>
            <w:vAlign w:val="bottom"/>
            <w:gridSpan w:val="2"/>
          </w:tcPr>
          <w:p>
            <w:pPr>
              <w:spacing w:after="0"/>
              <w:rPr>
                <w:sz w:val="20"/>
                <w:szCs w:val="20"/>
                <w:color w:val="auto"/>
              </w:rPr>
            </w:pPr>
            <w:r>
              <w:rPr>
                <w:rFonts w:ascii="Arial" w:cs="Arial" w:eastAsia="Arial" w:hAnsi="Arial"/>
                <w:sz w:val="14"/>
                <w:szCs w:val="14"/>
                <w:b w:val="1"/>
                <w:bCs w:val="1"/>
                <w:color w:val="auto"/>
              </w:rPr>
              <w:t>(Stated in millions)</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5"/>
        </w:trPr>
        <w:tc>
          <w:tcPr>
            <w:tcW w:w="9080" w:type="dxa"/>
            <w:vAlign w:val="bottom"/>
            <w:tcBorders>
              <w:bottom w:val="single" w:sz="8" w:color="auto"/>
            </w:tcBorders>
            <w:gridSpan w:val="2"/>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9080" w:type="dxa"/>
            <w:vAlign w:val="bottom"/>
            <w:gridSpan w:val="2"/>
          </w:tcPr>
          <w:p>
            <w:pPr>
              <w:spacing w:after="0"/>
              <w:rPr>
                <w:sz w:val="20"/>
                <w:szCs w:val="20"/>
                <w:color w:val="auto"/>
              </w:rPr>
            </w:pPr>
            <w:r>
              <w:rPr>
                <w:rFonts w:ascii="Arial" w:cs="Arial" w:eastAsia="Arial" w:hAnsi="Arial"/>
                <w:sz w:val="14"/>
                <w:szCs w:val="14"/>
                <w:b w:val="1"/>
                <w:bCs w:val="1"/>
                <w:color w:val="auto"/>
              </w:rPr>
              <w:t>As at December 31,</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40" w:type="dxa"/>
            <w:vAlign w:val="bottom"/>
            <w:gridSpan w:val="4"/>
          </w:tcPr>
          <w:p>
            <w:pPr>
              <w:jc w:val="right"/>
              <w:spacing w:after="0"/>
              <w:rPr>
                <w:sz w:val="20"/>
                <w:szCs w:val="20"/>
                <w:color w:val="auto"/>
              </w:rPr>
            </w:pPr>
            <w:r>
              <w:rPr>
                <w:rFonts w:ascii="Arial" w:cs="Arial" w:eastAsia="Arial" w:hAnsi="Arial"/>
                <w:sz w:val="14"/>
                <w:szCs w:val="14"/>
                <w:b w:val="1"/>
                <w:bCs w:val="1"/>
                <w:color w:val="auto"/>
              </w:rPr>
              <w:t>2003</w:t>
            </w:r>
          </w:p>
        </w:tc>
        <w:tc>
          <w:tcPr>
            <w:tcW w:w="5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w w:val="96"/>
              </w:rPr>
              <w:t>2002</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90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9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Payroll, vacation and employee benefits</w:t>
            </w: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4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40" w:type="dxa"/>
            <w:vAlign w:val="bottom"/>
            <w:shd w:val="clear" w:color="auto" w:fill="CCEEFF"/>
          </w:tcPr>
          <w:p>
            <w:pPr>
              <w:spacing w:after="0"/>
              <w:rPr>
                <w:sz w:val="12"/>
                <w:szCs w:val="12"/>
                <w:color w:val="auto"/>
              </w:rPr>
            </w:pPr>
          </w:p>
        </w:tc>
        <w:tc>
          <w:tcPr>
            <w:tcW w:w="34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773</w:t>
            </w:r>
          </w:p>
        </w:tc>
        <w:tc>
          <w:tcPr>
            <w:tcW w:w="500" w:type="dxa"/>
            <w:vAlign w:val="bottom"/>
            <w:shd w:val="clear" w:color="auto" w:fill="CCEEFF"/>
          </w:tcPr>
          <w:p>
            <w:pPr>
              <w:spacing w:after="0"/>
              <w:rPr>
                <w:sz w:val="12"/>
                <w:szCs w:val="12"/>
                <w:color w:val="auto"/>
              </w:rPr>
            </w:pPr>
          </w:p>
        </w:tc>
        <w:tc>
          <w:tcPr>
            <w:tcW w:w="16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3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957</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60" w:type="dxa"/>
            <w:vAlign w:val="bottom"/>
          </w:tcPr>
          <w:p>
            <w:pPr>
              <w:spacing w:after="0" w:line="149" w:lineRule="exact"/>
              <w:rPr>
                <w:sz w:val="20"/>
                <w:szCs w:val="20"/>
                <w:color w:val="auto"/>
              </w:rPr>
            </w:pPr>
            <w:r>
              <w:rPr>
                <w:rFonts w:ascii="Arial" w:cs="Arial" w:eastAsia="Arial" w:hAnsi="Arial"/>
                <w:sz w:val="14"/>
                <w:szCs w:val="14"/>
                <w:color w:val="auto"/>
              </w:rPr>
              <w:t>Trade</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gridSpan w:val="4"/>
          </w:tcPr>
          <w:p>
            <w:pPr>
              <w:jc w:val="right"/>
              <w:spacing w:after="0" w:line="149" w:lineRule="exact"/>
              <w:rPr>
                <w:sz w:val="20"/>
                <w:szCs w:val="20"/>
                <w:color w:val="auto"/>
              </w:rPr>
            </w:pPr>
            <w:r>
              <w:rPr>
                <w:rFonts w:ascii="Arial" w:cs="Arial" w:eastAsia="Arial" w:hAnsi="Arial"/>
                <w:sz w:val="14"/>
                <w:szCs w:val="14"/>
                <w:b w:val="1"/>
                <w:bCs w:val="1"/>
                <w:color w:val="auto"/>
              </w:rPr>
              <w:t>800</w:t>
            </w: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999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Taxes, other than income</w:t>
            </w: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4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160</w:t>
            </w:r>
          </w:p>
        </w:tc>
        <w:tc>
          <w:tcPr>
            <w:tcW w:w="5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245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60" w:type="dxa"/>
            <w:vAlign w:val="bottom"/>
          </w:tcPr>
          <w:p>
            <w:pPr>
              <w:spacing w:after="0" w:line="149" w:lineRule="exact"/>
              <w:rPr>
                <w:sz w:val="20"/>
                <w:szCs w:val="20"/>
                <w:color w:val="auto"/>
              </w:rPr>
            </w:pPr>
            <w:r>
              <w:rPr>
                <w:rFonts w:ascii="Arial" w:cs="Arial" w:eastAsia="Arial" w:hAnsi="Arial"/>
                <w:sz w:val="14"/>
                <w:szCs w:val="14"/>
                <w:color w:val="auto"/>
              </w:rPr>
              <w:t>Accrued expenses</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gridSpan w:val="4"/>
          </w:tcPr>
          <w:p>
            <w:pPr>
              <w:jc w:val="right"/>
              <w:spacing w:after="0" w:line="149" w:lineRule="exact"/>
              <w:rPr>
                <w:sz w:val="20"/>
                <w:szCs w:val="20"/>
                <w:color w:val="auto"/>
              </w:rPr>
            </w:pPr>
            <w:r>
              <w:rPr>
                <w:rFonts w:ascii="Arial" w:cs="Arial" w:eastAsia="Arial" w:hAnsi="Arial"/>
                <w:sz w:val="14"/>
                <w:szCs w:val="14"/>
                <w:b w:val="1"/>
                <w:bCs w:val="1"/>
                <w:color w:val="auto"/>
                <w:w w:val="91"/>
              </w:rPr>
              <w:t>1,026</w:t>
            </w: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gridSpan w:val="2"/>
          </w:tcPr>
          <w:p>
            <w:pPr>
              <w:jc w:val="right"/>
              <w:spacing w:after="0" w:line="149" w:lineRule="exact"/>
              <w:rPr>
                <w:sz w:val="20"/>
                <w:szCs w:val="20"/>
                <w:color w:val="auto"/>
              </w:rPr>
            </w:pPr>
            <w:r>
              <w:rPr>
                <w:rFonts w:ascii="Arial" w:cs="Arial" w:eastAsia="Arial" w:hAnsi="Arial"/>
                <w:sz w:val="14"/>
                <w:szCs w:val="14"/>
                <w:color w:val="auto"/>
                <w:w w:val="85"/>
              </w:rPr>
              <w:t>1,266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w:t>
            </w: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4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489</w:t>
            </w:r>
          </w:p>
        </w:tc>
        <w:tc>
          <w:tcPr>
            <w:tcW w:w="5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85"/>
              </w:rPr>
              <w:t>1,114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06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0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4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40" w:type="dxa"/>
            <w:vAlign w:val="bottom"/>
            <w:shd w:val="clear" w:color="auto" w:fill="CCEEFF"/>
          </w:tcPr>
          <w:p>
            <w:pPr>
              <w:spacing w:after="0"/>
              <w:rPr>
                <w:sz w:val="12"/>
                <w:szCs w:val="12"/>
                <w:color w:val="auto"/>
              </w:rPr>
            </w:pPr>
          </w:p>
        </w:tc>
        <w:tc>
          <w:tcPr>
            <w:tcW w:w="34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91"/>
              </w:rPr>
              <w:t>3,248</w:t>
            </w:r>
          </w:p>
        </w:tc>
        <w:tc>
          <w:tcPr>
            <w:tcW w:w="500" w:type="dxa"/>
            <w:vAlign w:val="bottom"/>
            <w:shd w:val="clear" w:color="auto" w:fill="CCEEFF"/>
          </w:tcPr>
          <w:p>
            <w:pPr>
              <w:spacing w:after="0"/>
              <w:rPr>
                <w:sz w:val="12"/>
                <w:szCs w:val="12"/>
                <w:color w:val="auto"/>
              </w:rPr>
            </w:pPr>
          </w:p>
        </w:tc>
        <w:tc>
          <w:tcPr>
            <w:tcW w:w="480" w:type="dxa"/>
            <w:vAlign w:val="bottom"/>
            <w:gridSpan w:val="5"/>
            <w:shd w:val="clear" w:color="auto" w:fill="CCEEFF"/>
          </w:tcPr>
          <w:p>
            <w:pPr>
              <w:jc w:val="right"/>
              <w:spacing w:after="0" w:line="149" w:lineRule="exact"/>
              <w:rPr>
                <w:sz w:val="20"/>
                <w:szCs w:val="20"/>
                <w:color w:val="auto"/>
              </w:rPr>
            </w:pPr>
            <w:r>
              <w:rPr>
                <w:rFonts w:ascii="Arial" w:cs="Arial" w:eastAsia="Arial" w:hAnsi="Arial"/>
                <w:sz w:val="14"/>
                <w:szCs w:val="14"/>
                <w:color w:val="auto"/>
                <w:w w:val="98"/>
              </w:rPr>
              <w:t>$ 4,581</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060" w:type="dxa"/>
            <w:vAlign w:val="bottom"/>
            <w:vMerge w:val="restart"/>
          </w:tcPr>
          <w:p>
            <w:pPr>
              <w:ind w:left="220"/>
              <w:spacing w:after="0"/>
              <w:rPr>
                <w:sz w:val="20"/>
                <w:szCs w:val="20"/>
                <w:color w:val="auto"/>
              </w:rPr>
            </w:pPr>
            <w:r>
              <w:rPr>
                <w:rFonts w:ascii="Arial" w:cs="Arial" w:eastAsia="Arial" w:hAnsi="Arial"/>
                <w:sz w:val="18"/>
                <w:szCs w:val="18"/>
                <w:i w:val="1"/>
                <w:iCs w:val="1"/>
                <w:color w:val="auto"/>
              </w:rPr>
              <w:t xml:space="preserve">Interest and other income </w:t>
            </w:r>
            <w:r>
              <w:rPr>
                <w:rFonts w:ascii="Arial" w:cs="Arial" w:eastAsia="Arial" w:hAnsi="Arial"/>
                <w:sz w:val="18"/>
                <w:szCs w:val="18"/>
                <w:color w:val="auto"/>
              </w:rPr>
              <w:t>includes the following:</w:t>
            </w: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386"/>
        </w:trPr>
        <w:tc>
          <w:tcPr>
            <w:tcW w:w="20" w:type="dxa"/>
            <w:vAlign w:val="bottom"/>
          </w:tcPr>
          <w:p>
            <w:pPr>
              <w:spacing w:after="0"/>
              <w:rPr>
                <w:sz w:val="24"/>
                <w:szCs w:val="24"/>
                <w:color w:val="auto"/>
              </w:rPr>
            </w:pPr>
          </w:p>
        </w:tc>
        <w:tc>
          <w:tcPr>
            <w:tcW w:w="90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1"/>
        </w:trPr>
        <w:tc>
          <w:tcPr>
            <w:tcW w:w="9080" w:type="dxa"/>
            <w:vAlign w:val="bottom"/>
            <w:gridSpan w:val="2"/>
          </w:tcPr>
          <w:p>
            <w:pPr>
              <w:spacing w:after="0"/>
              <w:rPr>
                <w:sz w:val="20"/>
                <w:szCs w:val="20"/>
                <w:color w:val="auto"/>
              </w:rPr>
            </w:pPr>
            <w:r>
              <w:rPr>
                <w:rFonts w:ascii="Arial" w:cs="Arial" w:eastAsia="Arial" w:hAnsi="Arial"/>
                <w:sz w:val="14"/>
                <w:szCs w:val="14"/>
                <w:b w:val="1"/>
                <w:bCs w:val="1"/>
                <w:color w:val="auto"/>
              </w:rPr>
              <w:t>(Stated in millions)</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5"/>
        </w:trPr>
        <w:tc>
          <w:tcPr>
            <w:tcW w:w="9080" w:type="dxa"/>
            <w:vAlign w:val="bottom"/>
            <w:tcBorders>
              <w:bottom w:val="single" w:sz="8" w:color="auto"/>
            </w:tcBorders>
            <w:gridSpan w:val="2"/>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9080" w:type="dxa"/>
            <w:vAlign w:val="bottom"/>
            <w:gridSpan w:val="2"/>
          </w:tcPr>
          <w:p>
            <w:pPr>
              <w:spacing w:after="0"/>
              <w:rPr>
                <w:sz w:val="20"/>
                <w:szCs w:val="20"/>
                <w:color w:val="auto"/>
              </w:rPr>
            </w:pPr>
            <w:r>
              <w:rPr>
                <w:rFonts w:ascii="Arial" w:cs="Arial" w:eastAsia="Arial" w:hAnsi="Arial"/>
                <w:sz w:val="14"/>
                <w:szCs w:val="14"/>
                <w:b w:val="1"/>
                <w:bCs w:val="1"/>
                <w:color w:val="auto"/>
              </w:rPr>
              <w:t>Year ended December 31,</w:t>
            </w:r>
          </w:p>
        </w:tc>
        <w:tc>
          <w:tcPr>
            <w:tcW w:w="100" w:type="dxa"/>
            <w:vAlign w:val="bottom"/>
          </w:tcPr>
          <w:p>
            <w:pPr>
              <w:spacing w:after="0"/>
              <w:rPr>
                <w:sz w:val="22"/>
                <w:szCs w:val="22"/>
                <w:color w:val="auto"/>
              </w:rPr>
            </w:pPr>
          </w:p>
        </w:tc>
        <w:tc>
          <w:tcPr>
            <w:tcW w:w="280" w:type="dxa"/>
            <w:vAlign w:val="bottom"/>
          </w:tcPr>
          <w:p>
            <w:pPr>
              <w:jc w:val="right"/>
              <w:spacing w:after="0"/>
              <w:rPr>
                <w:sz w:val="20"/>
                <w:szCs w:val="20"/>
                <w:color w:val="auto"/>
              </w:rPr>
            </w:pPr>
            <w:r>
              <w:rPr>
                <w:rFonts w:ascii="Arial" w:cs="Arial" w:eastAsia="Arial" w:hAnsi="Arial"/>
                <w:sz w:val="14"/>
                <w:szCs w:val="14"/>
                <w:b w:val="1"/>
                <w:bCs w:val="1"/>
                <w:color w:val="auto"/>
                <w:w w:val="83"/>
              </w:rPr>
              <w:t>2003</w:t>
            </w:r>
          </w:p>
        </w:tc>
        <w:tc>
          <w:tcPr>
            <w:tcW w:w="3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00" w:type="dxa"/>
            <w:vAlign w:val="bottom"/>
            <w:gridSpan w:val="2"/>
          </w:tcPr>
          <w:p>
            <w:pPr>
              <w:jc w:val="right"/>
              <w:spacing w:after="0"/>
              <w:rPr>
                <w:sz w:val="20"/>
                <w:szCs w:val="20"/>
                <w:color w:val="auto"/>
              </w:rPr>
            </w:pPr>
            <w:r>
              <w:rPr>
                <w:rFonts w:ascii="Arial" w:cs="Arial" w:eastAsia="Arial" w:hAnsi="Arial"/>
                <w:sz w:val="14"/>
                <w:szCs w:val="14"/>
                <w:b w:val="1"/>
                <w:bCs w:val="1"/>
                <w:color w:val="auto"/>
                <w:w w:val="89"/>
              </w:rPr>
              <w:t>2002</w:t>
            </w: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w w:val="96"/>
              </w:rPr>
              <w:t>2001</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90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0" w:type="dxa"/>
            <w:vAlign w:val="bottom"/>
            <w:gridSpan w:val="2"/>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gridSpan w:val="2"/>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9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Interest income</w:t>
            </w: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76"/>
              </w:rPr>
              <w:t>$</w:t>
            </w:r>
          </w:p>
        </w:tc>
        <w:tc>
          <w:tcPr>
            <w:tcW w:w="2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52</w:t>
            </w:r>
          </w:p>
        </w:tc>
        <w:tc>
          <w:tcPr>
            <w:tcW w:w="360" w:type="dxa"/>
            <w:vAlign w:val="bottom"/>
            <w:shd w:val="clear" w:color="auto" w:fill="CCEEFF"/>
          </w:tcPr>
          <w:p>
            <w:pPr>
              <w:spacing w:after="0"/>
              <w:rPr>
                <w:sz w:val="12"/>
                <w:szCs w:val="12"/>
                <w:color w:val="auto"/>
              </w:rPr>
            </w:pPr>
          </w:p>
        </w:tc>
        <w:tc>
          <w:tcPr>
            <w:tcW w:w="28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69</w:t>
            </w: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6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3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159</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60" w:type="dxa"/>
            <w:vAlign w:val="bottom"/>
          </w:tcPr>
          <w:p>
            <w:pPr>
              <w:spacing w:after="0" w:line="149" w:lineRule="exact"/>
              <w:rPr>
                <w:sz w:val="20"/>
                <w:szCs w:val="20"/>
                <w:color w:val="auto"/>
              </w:rPr>
            </w:pPr>
            <w:r>
              <w:rPr>
                <w:rFonts w:ascii="Arial" w:cs="Arial" w:eastAsia="Arial" w:hAnsi="Arial"/>
                <w:sz w:val="14"/>
                <w:szCs w:val="14"/>
                <w:color w:val="auto"/>
              </w:rPr>
              <w:t>Equity in net earnings of affiliated companies</w:t>
            </w:r>
          </w:p>
        </w:tc>
        <w:tc>
          <w:tcPr>
            <w:tcW w:w="100" w:type="dxa"/>
            <w:vAlign w:val="bottom"/>
          </w:tcPr>
          <w:p>
            <w:pPr>
              <w:spacing w:after="0"/>
              <w:rPr>
                <w:sz w:val="12"/>
                <w:szCs w:val="12"/>
                <w:color w:val="auto"/>
              </w:rPr>
            </w:pPr>
          </w:p>
        </w:tc>
        <w:tc>
          <w:tcPr>
            <w:tcW w:w="2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75</w:t>
            </w: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64</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Gain on sale of Hanover Compressor note</w:t>
            </w: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32</w:t>
            </w:r>
          </w:p>
        </w:tc>
        <w:tc>
          <w:tcPr>
            <w:tcW w:w="3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40" w:type="dxa"/>
            <w:vAlign w:val="bottom"/>
            <w:gridSpan w:val="5"/>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60" w:type="dxa"/>
            <w:vAlign w:val="bottom"/>
          </w:tcPr>
          <w:p>
            <w:pPr>
              <w:spacing w:after="0" w:line="149" w:lineRule="exact"/>
              <w:rPr>
                <w:sz w:val="20"/>
                <w:szCs w:val="20"/>
                <w:color w:val="auto"/>
              </w:rPr>
            </w:pPr>
            <w:r>
              <w:rPr>
                <w:rFonts w:ascii="Arial" w:cs="Arial" w:eastAsia="Arial" w:hAnsi="Arial"/>
                <w:sz w:val="14"/>
                <w:szCs w:val="14"/>
                <w:color w:val="auto"/>
              </w:rPr>
              <w:t>Gain on sale of investments</w:t>
            </w:r>
          </w:p>
        </w:tc>
        <w:tc>
          <w:tcPr>
            <w:tcW w:w="100" w:type="dxa"/>
            <w:vAlign w:val="bottom"/>
          </w:tcPr>
          <w:p>
            <w:pPr>
              <w:spacing w:after="0"/>
              <w:rPr>
                <w:sz w:val="12"/>
                <w:szCs w:val="12"/>
                <w:color w:val="auto"/>
              </w:rPr>
            </w:pPr>
          </w:p>
        </w:tc>
        <w:tc>
          <w:tcPr>
            <w:tcW w:w="2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2</w:t>
            </w: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gridSpan w:val="5"/>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Gain on sale of financial instruments</w:t>
            </w: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5</w:t>
            </w:r>
          </w:p>
        </w:tc>
        <w:tc>
          <w:tcPr>
            <w:tcW w:w="3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w:t>
            </w: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06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200" w:type="dxa"/>
            <w:vAlign w:val="bottom"/>
            <w:gridSpan w:val="2"/>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Borders>
              <w:bottom w:val="single" w:sz="8" w:color="auto"/>
            </w:tcBorders>
            <w:gridSpan w:val="2"/>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0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6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76"/>
              </w:rPr>
              <w:t>$</w:t>
            </w:r>
          </w:p>
        </w:tc>
        <w:tc>
          <w:tcPr>
            <w:tcW w:w="2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166</w:t>
            </w:r>
          </w:p>
        </w:tc>
        <w:tc>
          <w:tcPr>
            <w:tcW w:w="360" w:type="dxa"/>
            <w:vAlign w:val="bottom"/>
            <w:shd w:val="clear" w:color="auto" w:fill="CCEEFF"/>
          </w:tcPr>
          <w:p>
            <w:pPr>
              <w:spacing w:after="0"/>
              <w:rPr>
                <w:sz w:val="12"/>
                <w:szCs w:val="12"/>
                <w:color w:val="auto"/>
              </w:rPr>
            </w:pPr>
          </w:p>
        </w:tc>
        <w:tc>
          <w:tcPr>
            <w:tcW w:w="28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139</w:t>
            </w: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6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3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242</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060" w:type="dxa"/>
            <w:vAlign w:val="bottom"/>
            <w:vMerge w:val="restart"/>
          </w:tcPr>
          <w:p>
            <w:pPr>
              <w:ind w:left="220"/>
              <w:spacing w:after="0"/>
              <w:rPr>
                <w:sz w:val="20"/>
                <w:szCs w:val="20"/>
                <w:color w:val="auto"/>
              </w:rPr>
            </w:pPr>
            <w:r>
              <w:rPr>
                <w:rFonts w:ascii="Arial" w:cs="Arial" w:eastAsia="Arial" w:hAnsi="Arial"/>
                <w:sz w:val="18"/>
                <w:szCs w:val="18"/>
                <w:i w:val="1"/>
                <w:iCs w:val="1"/>
                <w:color w:val="auto"/>
              </w:rPr>
              <w:t xml:space="preserve">Allowance for doubtful accounts </w:t>
            </w:r>
            <w:r>
              <w:rPr>
                <w:rFonts w:ascii="Arial" w:cs="Arial" w:eastAsia="Arial" w:hAnsi="Arial"/>
                <w:sz w:val="18"/>
                <w:szCs w:val="18"/>
                <w:color w:val="auto"/>
              </w:rPr>
              <w:t>is as follows:</w:t>
            </w:r>
          </w:p>
        </w:tc>
        <w:tc>
          <w:tcPr>
            <w:tcW w:w="10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386"/>
        </w:trPr>
        <w:tc>
          <w:tcPr>
            <w:tcW w:w="20" w:type="dxa"/>
            <w:vAlign w:val="bottom"/>
          </w:tcPr>
          <w:p>
            <w:pPr>
              <w:spacing w:after="0"/>
              <w:rPr>
                <w:sz w:val="24"/>
                <w:szCs w:val="24"/>
                <w:color w:val="auto"/>
              </w:rPr>
            </w:pPr>
          </w:p>
        </w:tc>
        <w:tc>
          <w:tcPr>
            <w:tcW w:w="90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1"/>
        </w:trPr>
        <w:tc>
          <w:tcPr>
            <w:tcW w:w="9080" w:type="dxa"/>
            <w:vAlign w:val="bottom"/>
            <w:gridSpan w:val="2"/>
          </w:tcPr>
          <w:p>
            <w:pPr>
              <w:spacing w:after="0"/>
              <w:rPr>
                <w:sz w:val="20"/>
                <w:szCs w:val="20"/>
                <w:color w:val="auto"/>
              </w:rPr>
            </w:pPr>
            <w:r>
              <w:rPr>
                <w:rFonts w:ascii="Arial" w:cs="Arial" w:eastAsia="Arial" w:hAnsi="Arial"/>
                <w:sz w:val="14"/>
                <w:szCs w:val="14"/>
                <w:b w:val="1"/>
                <w:bCs w:val="1"/>
                <w:color w:val="auto"/>
              </w:rPr>
              <w:t>(Stated in millions)</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5"/>
        </w:trPr>
        <w:tc>
          <w:tcPr>
            <w:tcW w:w="9080" w:type="dxa"/>
            <w:vAlign w:val="bottom"/>
            <w:tcBorders>
              <w:bottom w:val="single" w:sz="8" w:color="auto"/>
            </w:tcBorders>
            <w:gridSpan w:val="2"/>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gridSpan w:val="4"/>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9080" w:type="dxa"/>
            <w:vAlign w:val="bottom"/>
            <w:gridSpan w:val="2"/>
          </w:tcPr>
          <w:p>
            <w:pPr>
              <w:spacing w:after="0"/>
              <w:rPr>
                <w:sz w:val="20"/>
                <w:szCs w:val="20"/>
                <w:color w:val="auto"/>
              </w:rPr>
            </w:pPr>
            <w:r>
              <w:rPr>
                <w:rFonts w:ascii="Arial" w:cs="Arial" w:eastAsia="Arial" w:hAnsi="Arial"/>
                <w:sz w:val="14"/>
                <w:szCs w:val="14"/>
                <w:b w:val="1"/>
                <w:bCs w:val="1"/>
                <w:color w:val="auto"/>
              </w:rPr>
              <w:t>Year ended December 31,</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80" w:type="dxa"/>
            <w:vAlign w:val="bottom"/>
          </w:tcPr>
          <w:p>
            <w:pPr>
              <w:jc w:val="right"/>
              <w:spacing w:after="0"/>
              <w:rPr>
                <w:sz w:val="20"/>
                <w:szCs w:val="20"/>
                <w:color w:val="auto"/>
              </w:rPr>
            </w:pPr>
            <w:r>
              <w:rPr>
                <w:rFonts w:ascii="Arial" w:cs="Arial" w:eastAsia="Arial" w:hAnsi="Arial"/>
                <w:sz w:val="14"/>
                <w:szCs w:val="14"/>
                <w:b w:val="1"/>
                <w:bCs w:val="1"/>
                <w:color w:val="auto"/>
                <w:w w:val="83"/>
              </w:rPr>
              <w:t>2003</w:t>
            </w: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80" w:type="dxa"/>
            <w:vAlign w:val="bottom"/>
            <w:gridSpan w:val="4"/>
          </w:tcPr>
          <w:p>
            <w:pPr>
              <w:jc w:val="right"/>
              <w:spacing w:after="0"/>
              <w:rPr>
                <w:sz w:val="20"/>
                <w:szCs w:val="20"/>
                <w:color w:val="auto"/>
              </w:rPr>
            </w:pPr>
            <w:r>
              <w:rPr>
                <w:rFonts w:ascii="Arial" w:cs="Arial" w:eastAsia="Arial" w:hAnsi="Arial"/>
                <w:sz w:val="14"/>
                <w:szCs w:val="14"/>
                <w:b w:val="1"/>
                <w:bCs w:val="1"/>
                <w:color w:val="auto"/>
              </w:rPr>
              <w:t>2002</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90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40" w:type="dxa"/>
            <w:vAlign w:val="bottom"/>
            <w:gridSpan w:val="3"/>
          </w:tcPr>
          <w:p>
            <w:pPr>
              <w:spacing w:after="0"/>
              <w:rPr>
                <w:sz w:val="8"/>
                <w:szCs w:val="8"/>
                <w:color w:val="auto"/>
              </w:rPr>
            </w:pPr>
          </w:p>
        </w:tc>
        <w:tc>
          <w:tcPr>
            <w:tcW w:w="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gridSpan w:val="2"/>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9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Balance at beginning of year</w:t>
            </w: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560" w:type="dxa"/>
            <w:vAlign w:val="bottom"/>
            <w:gridSpan w:val="5"/>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$ 173</w:t>
            </w: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5"/>
              </w:rPr>
              <w:t>145</w:t>
            </w:r>
          </w:p>
        </w:tc>
        <w:tc>
          <w:tcPr>
            <w:tcW w:w="1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60" w:type="dxa"/>
            <w:vAlign w:val="bottom"/>
          </w:tcPr>
          <w:p>
            <w:pPr>
              <w:spacing w:after="0" w:line="149" w:lineRule="exact"/>
              <w:rPr>
                <w:sz w:val="20"/>
                <w:szCs w:val="20"/>
                <w:color w:val="auto"/>
              </w:rPr>
            </w:pPr>
            <w:r>
              <w:rPr>
                <w:rFonts w:ascii="Arial" w:cs="Arial" w:eastAsia="Arial" w:hAnsi="Arial"/>
                <w:sz w:val="14"/>
                <w:szCs w:val="14"/>
                <w:color w:val="auto"/>
              </w:rPr>
              <w:t>Provision in year</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55</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jc w:val="right"/>
              <w:spacing w:after="0" w:line="149" w:lineRule="exact"/>
              <w:rPr>
                <w:sz w:val="20"/>
                <w:szCs w:val="20"/>
                <w:color w:val="auto"/>
              </w:rPr>
            </w:pPr>
            <w:r>
              <w:rPr>
                <w:rFonts w:ascii="Arial" w:cs="Arial" w:eastAsia="Arial" w:hAnsi="Arial"/>
                <w:sz w:val="14"/>
                <w:szCs w:val="14"/>
                <w:color w:val="auto"/>
              </w:rPr>
              <w:t>66</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Written off in year</w:t>
            </w: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40" w:type="dxa"/>
            <w:vAlign w:val="bottom"/>
            <w:gridSpan w:val="4"/>
            <w:shd w:val="clear" w:color="auto" w:fill="CCEEFF"/>
          </w:tcPr>
          <w:p>
            <w:pPr>
              <w:jc w:val="right"/>
              <w:ind w:right="20"/>
              <w:spacing w:after="0" w:line="149" w:lineRule="exact"/>
              <w:rPr>
                <w:sz w:val="20"/>
                <w:szCs w:val="20"/>
                <w:color w:val="auto"/>
              </w:rPr>
            </w:pPr>
            <w:r>
              <w:rPr>
                <w:rFonts w:ascii="Arial" w:cs="Arial" w:eastAsia="Arial" w:hAnsi="Arial"/>
                <w:sz w:val="14"/>
                <w:szCs w:val="14"/>
                <w:b w:val="1"/>
                <w:bCs w:val="1"/>
                <w:color w:val="auto"/>
              </w:rPr>
              <w:t>(65)</w:t>
            </w:r>
          </w:p>
        </w:tc>
        <w:tc>
          <w:tcPr>
            <w:tcW w:w="5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(47)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60" w:type="dxa"/>
            <w:vAlign w:val="bottom"/>
          </w:tcPr>
          <w:p>
            <w:pPr>
              <w:spacing w:after="0" w:line="149" w:lineRule="exact"/>
              <w:rPr>
                <w:sz w:val="20"/>
                <w:szCs w:val="20"/>
                <w:color w:val="auto"/>
              </w:rPr>
            </w:pPr>
            <w:r>
              <w:rPr>
                <w:rFonts w:ascii="Arial" w:cs="Arial" w:eastAsia="Arial" w:hAnsi="Arial"/>
                <w:sz w:val="14"/>
                <w:szCs w:val="14"/>
                <w:color w:val="auto"/>
              </w:rPr>
              <w:t xml:space="preserve">Reclassified to </w:t>
            </w:r>
            <w:r>
              <w:rPr>
                <w:rFonts w:ascii="Arial" w:cs="Arial" w:eastAsia="Arial" w:hAnsi="Arial"/>
                <w:sz w:val="14"/>
                <w:szCs w:val="14"/>
                <w:i w:val="1"/>
                <w:iCs w:val="1"/>
                <w:color w:val="auto"/>
              </w:rPr>
              <w:t>Assets held for Sale</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gridSpan w:val="4"/>
          </w:tcPr>
          <w:p>
            <w:pPr>
              <w:jc w:val="right"/>
              <w:ind w:right="20"/>
              <w:spacing w:after="0" w:line="149" w:lineRule="exact"/>
              <w:rPr>
                <w:sz w:val="20"/>
                <w:szCs w:val="20"/>
                <w:color w:val="auto"/>
              </w:rPr>
            </w:pPr>
            <w:r>
              <w:rPr>
                <w:rFonts w:ascii="Arial" w:cs="Arial" w:eastAsia="Arial" w:hAnsi="Arial"/>
                <w:sz w:val="14"/>
                <w:szCs w:val="14"/>
                <w:b w:val="1"/>
                <w:bCs w:val="1"/>
                <w:color w:val="auto"/>
              </w:rPr>
              <w:t>(36)</w:t>
            </w: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gridSpan w:val="2"/>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9060" w:type="dxa"/>
            <w:vAlign w:val="bottom"/>
            <w:shd w:val="clear" w:color="auto" w:fill="CCEEFF"/>
          </w:tcPr>
          <w:p>
            <w:pPr>
              <w:spacing w:after="0" w:line="176" w:lineRule="exact"/>
              <w:rPr>
                <w:sz w:val="20"/>
                <w:szCs w:val="20"/>
                <w:color w:val="auto"/>
              </w:rPr>
            </w:pPr>
            <w:r>
              <w:rPr>
                <w:rFonts w:ascii="Arial" w:cs="Arial" w:eastAsia="Arial" w:hAnsi="Arial"/>
                <w:sz w:val="13"/>
                <w:szCs w:val="13"/>
                <w:color w:val="auto"/>
              </w:rPr>
              <w:t>Other</w:t>
            </w:r>
            <w:r>
              <w:rPr>
                <w:rFonts w:ascii="Arial" w:cs="Arial" w:eastAsia="Arial" w:hAnsi="Arial"/>
                <w:sz w:val="20"/>
                <w:szCs w:val="20"/>
                <w:color w:val="auto"/>
                <w:vertAlign w:val="superscript"/>
              </w:rPr>
              <w:t>1</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w:t>
            </w: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10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06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gridSpan w:val="3"/>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Borders>
              <w:bottom w:val="single" w:sz="8" w:color="auto"/>
            </w:tcBorders>
            <w:gridSpan w:val="2"/>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0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9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Balance at end of year</w:t>
            </w: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560" w:type="dxa"/>
            <w:vAlign w:val="bottom"/>
            <w:gridSpan w:val="5"/>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$ 128</w:t>
            </w: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5"/>
              </w:rPr>
              <w:t>173</w:t>
            </w:r>
          </w:p>
        </w:tc>
        <w:tc>
          <w:tcPr>
            <w:tcW w:w="1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6340475</wp:posOffset>
            </wp:positionH>
            <wp:positionV relativeFrom="paragraph">
              <wp:posOffset>-3048000</wp:posOffset>
            </wp:positionV>
            <wp:extent cx="287020" cy="29845"/>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287020" cy="29845"/>
                    </a:xfrm>
                    <a:prstGeom prst="rect">
                      <a:avLst/>
                    </a:prstGeom>
                    <a:noFill/>
                  </pic:spPr>
                </pic:pic>
              </a:graphicData>
            </a:graphic>
          </wp:anchor>
        </w:drawing>
        <w:drawing>
          <wp:anchor simplePos="0" relativeHeight="251657728" behindDoc="1" locked="0" layoutInCell="0" allowOverlap="1">
            <wp:simplePos x="0" y="0"/>
            <wp:positionH relativeFrom="column">
              <wp:posOffset>6983730</wp:posOffset>
            </wp:positionH>
            <wp:positionV relativeFrom="paragraph">
              <wp:posOffset>-3048000</wp:posOffset>
            </wp:positionV>
            <wp:extent cx="12700" cy="29845"/>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-3048000</wp:posOffset>
            </wp:positionV>
            <wp:extent cx="12700" cy="29845"/>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7044055</wp:posOffset>
            </wp:positionH>
            <wp:positionV relativeFrom="paragraph">
              <wp:posOffset>-3048000</wp:posOffset>
            </wp:positionV>
            <wp:extent cx="21590" cy="29845"/>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-1546860</wp:posOffset>
            </wp:positionV>
            <wp:extent cx="12700" cy="29845"/>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5997575</wp:posOffset>
            </wp:positionH>
            <wp:positionV relativeFrom="paragraph">
              <wp:posOffset>-1546860</wp:posOffset>
            </wp:positionV>
            <wp:extent cx="12700" cy="29845"/>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5826125</wp:posOffset>
            </wp:positionH>
            <wp:positionV relativeFrom="paragraph">
              <wp:posOffset>-1546860</wp:posOffset>
            </wp:positionV>
            <wp:extent cx="21590" cy="29845"/>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6366510</wp:posOffset>
            </wp:positionH>
            <wp:positionV relativeFrom="paragraph">
              <wp:posOffset>-1546860</wp:posOffset>
            </wp:positionV>
            <wp:extent cx="12700" cy="29845"/>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6597650</wp:posOffset>
            </wp:positionH>
            <wp:positionV relativeFrom="paragraph">
              <wp:posOffset>-1546860</wp:posOffset>
            </wp:positionV>
            <wp:extent cx="12700" cy="29845"/>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6426200</wp:posOffset>
            </wp:positionH>
            <wp:positionV relativeFrom="paragraph">
              <wp:posOffset>-1546860</wp:posOffset>
            </wp:positionV>
            <wp:extent cx="21590" cy="29845"/>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6966585</wp:posOffset>
            </wp:positionH>
            <wp:positionV relativeFrom="paragraph">
              <wp:posOffset>-1546860</wp:posOffset>
            </wp:positionV>
            <wp:extent cx="12700" cy="29845"/>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-1546860</wp:posOffset>
            </wp:positionV>
            <wp:extent cx="12700" cy="29845"/>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7026910</wp:posOffset>
            </wp:positionH>
            <wp:positionV relativeFrom="paragraph">
              <wp:posOffset>-1546860</wp:posOffset>
            </wp:positionV>
            <wp:extent cx="21590" cy="29845"/>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-29210</wp:posOffset>
            </wp:positionV>
            <wp:extent cx="12700" cy="29845"/>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6452235</wp:posOffset>
            </wp:positionH>
            <wp:positionV relativeFrom="paragraph">
              <wp:posOffset>-29210</wp:posOffset>
            </wp:positionV>
            <wp:extent cx="21590" cy="29845"/>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6580505</wp:posOffset>
            </wp:positionH>
            <wp:positionV relativeFrom="paragraph">
              <wp:posOffset>-29210</wp:posOffset>
            </wp:positionV>
            <wp:extent cx="38735" cy="29845"/>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6941185</wp:posOffset>
            </wp:positionH>
            <wp:positionV relativeFrom="paragraph">
              <wp:posOffset>-29210</wp:posOffset>
            </wp:positionV>
            <wp:extent cx="12700" cy="29845"/>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7000875</wp:posOffset>
            </wp:positionH>
            <wp:positionV relativeFrom="paragraph">
              <wp:posOffset>-29210</wp:posOffset>
            </wp:positionV>
            <wp:extent cx="21590" cy="29845"/>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-29210</wp:posOffset>
            </wp:positionV>
            <wp:extent cx="38735" cy="29845"/>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142" w:lineRule="exact"/>
        <w:rPr>
          <w:sz w:val="20"/>
          <w:szCs w:val="20"/>
          <w:color w:val="auto"/>
        </w:rPr>
      </w:pPr>
    </w:p>
    <w:p>
      <w:pPr>
        <w:ind w:left="400" w:hanging="392"/>
        <w:spacing w:after="0"/>
        <w:tabs>
          <w:tab w:leader="none" w:pos="400" w:val="left"/>
        </w:tabs>
        <w:numPr>
          <w:ilvl w:val="0"/>
          <w:numId w:val="52"/>
        </w:numPr>
        <w:rPr>
          <w:rFonts w:ascii="Arial" w:cs="Arial" w:eastAsia="Arial" w:hAnsi="Arial"/>
          <w:sz w:val="14"/>
          <w:szCs w:val="14"/>
          <w:color w:val="auto"/>
        </w:rPr>
      </w:pPr>
      <w:r>
        <w:rPr>
          <w:rFonts w:ascii="Arial" w:cs="Arial" w:eastAsia="Arial" w:hAnsi="Arial"/>
          <w:sz w:val="14"/>
          <w:szCs w:val="14"/>
          <w:color w:val="auto"/>
        </w:rPr>
        <w:t>Includes business acquisitions and divestitures</w:t>
      </w:r>
    </w:p>
    <w:p>
      <w:pPr>
        <w:spacing w:after="0" w:line="136" w:lineRule="exact"/>
        <w:rPr>
          <w:sz w:val="20"/>
          <w:szCs w:val="20"/>
          <w:color w:val="auto"/>
        </w:rPr>
      </w:pPr>
    </w:p>
    <w:p>
      <w:pPr>
        <w:spacing w:after="0"/>
        <w:tabs>
          <w:tab w:leader="none" w:pos="10400" w:val="left"/>
        </w:tabs>
        <w:rPr>
          <w:sz w:val="20"/>
          <w:szCs w:val="20"/>
          <w:color w:val="auto"/>
        </w:rPr>
      </w:pPr>
      <w:r>
        <w:rPr>
          <w:rFonts w:ascii="Arial" w:cs="Arial" w:eastAsia="Arial" w:hAnsi="Arial"/>
          <w:sz w:val="14"/>
          <w:szCs w:val="14"/>
          <w:color w:val="auto"/>
        </w:rPr>
        <w:t>69 / SLB</w:t>
      </w:r>
      <w:r>
        <w:rPr>
          <w:sz w:val="20"/>
          <w:szCs w:val="20"/>
          <w:color w:val="auto"/>
        </w:rPr>
        <w:tab/>
      </w:r>
      <w:r>
        <w:rPr>
          <w:rFonts w:ascii="Arial" w:cs="Arial" w:eastAsia="Arial" w:hAnsi="Arial"/>
          <w:sz w:val="12"/>
          <w:szCs w:val="12"/>
          <w:color w:val="auto"/>
        </w:rPr>
        <w:t>2003 FORM 10-K</w:t>
      </w:r>
    </w:p>
    <w:p>
      <w:pPr>
        <w:sectPr>
          <w:pgSz w:w="11900" w:h="16838" w:orient="portrait"/>
          <w:cols w:equalWidth="0" w:num="1">
            <w:col w:w="11420"/>
          </w:cols>
          <w:pgMar w:left="240" w:top="459" w:right="2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4"/>
          <w:szCs w:val="14"/>
          <w:color w:val="auto"/>
        </w:rPr>
        <w:t>Part II, Item 8</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Auditors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of Schlumberger Limited</w:t>
      </w:r>
    </w:p>
    <w:p>
      <w:pPr>
        <w:spacing w:after="0" w:line="151" w:lineRule="exact"/>
        <w:rPr>
          <w:sz w:val="20"/>
          <w:szCs w:val="20"/>
          <w:color w:val="auto"/>
        </w:rPr>
      </w:pPr>
    </w:p>
    <w:p>
      <w:pPr>
        <w:ind w:right="20"/>
        <w:spacing w:after="0" w:line="282" w:lineRule="auto"/>
        <w:rPr>
          <w:sz w:val="20"/>
          <w:szCs w:val="20"/>
          <w:color w:val="auto"/>
        </w:rPr>
      </w:pPr>
      <w:r>
        <w:rPr>
          <w:rFonts w:ascii="Arial" w:cs="Arial" w:eastAsia="Arial" w:hAnsi="Arial"/>
          <w:sz w:val="16"/>
          <w:szCs w:val="16"/>
          <w:color w:val="auto"/>
        </w:rPr>
        <w:t>In our opinion, the accompanying consolidated balance sheets and the related consolidated statements of income, of stockholder’s equity and of cash flows present fairly, in all material respects, the financial position of Schlumberger Limited and its subsidiaries at December 31, 2003 and 2002, and the results of their operations and their cash flows for each of the three years in the period ended December 31, 2003, in conformity with accounting principles generally accepted in the United States of America. These financial statements are the responsibility of the Company’s management; our responsibility is to express an opinion on these financial statements based on our audits. We conducted our audits of these statements in accordance with auditing standards generally accepted in the United States of America, which require that we plan and perform the audit to obtain reasonable assurance about whether the financial statements are free of material misstatement. An audit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our opinion.</w:t>
      </w:r>
    </w:p>
    <w:p>
      <w:pPr>
        <w:spacing w:after="0" w:line="5"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As discussed in Note 20 to the Consolidated Financial Statements, in 2003 the Company changed its accounting method for stock options.</w:t>
      </w:r>
    </w:p>
    <w:p>
      <w:pPr>
        <w:spacing w:after="0" w:line="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As discussed in Note 14 to the Consolidated Financial Statements, in 2002 the Company changed its accounting method for goodwill.</w:t>
      </w:r>
    </w:p>
    <w:p>
      <w:pPr>
        <w:spacing w:after="0" w:line="151"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P</w:t>
      </w:r>
      <w:r>
        <w:rPr>
          <w:rFonts w:ascii="Arial" w:cs="Arial" w:eastAsia="Arial" w:hAnsi="Arial"/>
          <w:sz w:val="13"/>
          <w:szCs w:val="13"/>
          <w:color w:val="auto"/>
        </w:rPr>
        <w:t>RICEWATERHOUSE</w:t>
      </w:r>
      <w:r>
        <w:rPr>
          <w:rFonts w:ascii="Arial" w:cs="Arial" w:eastAsia="Arial" w:hAnsi="Arial"/>
          <w:sz w:val="16"/>
          <w:szCs w:val="16"/>
          <w:color w:val="auto"/>
        </w:rPr>
        <w:t>C</w:t>
      </w:r>
      <w:r>
        <w:rPr>
          <w:rFonts w:ascii="Arial" w:cs="Arial" w:eastAsia="Arial" w:hAnsi="Arial"/>
          <w:sz w:val="13"/>
          <w:szCs w:val="13"/>
          <w:color w:val="auto"/>
        </w:rPr>
        <w:t>OOPERS</w:t>
      </w:r>
      <w:r>
        <w:rPr>
          <w:rFonts w:ascii="Arial" w:cs="Arial" w:eastAsia="Arial" w:hAnsi="Arial"/>
          <w:sz w:val="16"/>
          <w:szCs w:val="16"/>
          <w:color w:val="auto"/>
        </w:rPr>
        <w:t xml:space="preserve">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2898775" cy="8890"/>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PricewaterhouseCoopers LLP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25, 2004</w:t>
      </w:r>
    </w:p>
    <w:p>
      <w:pPr>
        <w:spacing w:after="0" w:line="230" w:lineRule="exact"/>
        <w:rPr>
          <w:sz w:val="20"/>
          <w:szCs w:val="20"/>
          <w:color w:val="auto"/>
        </w:rPr>
      </w:pPr>
    </w:p>
    <w:p>
      <w:pPr>
        <w:spacing w:after="0"/>
        <w:tabs>
          <w:tab w:leader="none" w:pos="10400" w:val="left"/>
        </w:tabs>
        <w:rPr>
          <w:sz w:val="20"/>
          <w:szCs w:val="20"/>
          <w:color w:val="auto"/>
        </w:rPr>
      </w:pPr>
      <w:r>
        <w:rPr>
          <w:rFonts w:ascii="Arial" w:cs="Arial" w:eastAsia="Arial" w:hAnsi="Arial"/>
          <w:sz w:val="14"/>
          <w:szCs w:val="14"/>
          <w:color w:val="auto"/>
        </w:rPr>
        <w:t>70 / SLB</w:t>
      </w:r>
      <w:r>
        <w:rPr>
          <w:sz w:val="20"/>
          <w:szCs w:val="20"/>
          <w:color w:val="auto"/>
        </w:rPr>
        <w:tab/>
      </w:r>
      <w:r>
        <w:rPr>
          <w:rFonts w:ascii="Arial" w:cs="Arial" w:eastAsia="Arial" w:hAnsi="Arial"/>
          <w:sz w:val="12"/>
          <w:szCs w:val="12"/>
          <w:color w:val="auto"/>
        </w:rPr>
        <w:t>2003 FORM 10-K</w:t>
      </w:r>
    </w:p>
    <w:p>
      <w:pPr>
        <w:sectPr>
          <w:pgSz w:w="11900" w:h="16838" w:orient="portrait"/>
          <w:cols w:equalWidth="0" w:num="1">
            <w:col w:w="11420"/>
          </w:cols>
          <w:pgMar w:left="240" w:top="459" w:right="2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4"/>
          <w:szCs w:val="14"/>
          <w:color w:val="auto"/>
        </w:rPr>
        <w:t>Part II, Item 8, 9, 9A</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Quarterly Results</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63" w:lineRule="exact"/>
        <w:rPr>
          <w:sz w:val="20"/>
          <w:szCs w:val="20"/>
          <w:color w:val="auto"/>
        </w:rPr>
      </w:pPr>
    </w:p>
    <w:p>
      <w:pPr>
        <w:ind w:right="540"/>
        <w:spacing w:after="0" w:line="323" w:lineRule="auto"/>
        <w:rPr>
          <w:sz w:val="20"/>
          <w:szCs w:val="20"/>
          <w:color w:val="auto"/>
        </w:rPr>
      </w:pPr>
      <w:r>
        <w:rPr>
          <w:rFonts w:ascii="Arial" w:cs="Arial" w:eastAsia="Arial" w:hAnsi="Arial"/>
          <w:sz w:val="16"/>
          <w:szCs w:val="16"/>
          <w:color w:val="auto"/>
        </w:rPr>
        <w:t>The following table summarizes Schlumberger’s results for each of the four quarters for the years ended December 31, 2003 and 2002. Revenue and Gross margin, which equals operating revenue less cost of goods sold and services, has been restated to exclude discontinued operations.</w:t>
      </w:r>
    </w:p>
    <w:p>
      <w:pPr>
        <w:spacing w:after="0"/>
        <w:rPr>
          <w:sz w:val="20"/>
          <w:szCs w:val="20"/>
          <w:color w:val="auto"/>
        </w:rPr>
      </w:pPr>
      <w:r>
        <w:rPr>
          <w:rFonts w:ascii="Arial" w:cs="Arial" w:eastAsia="Arial" w:hAnsi="Arial"/>
          <w:sz w:val="14"/>
          <w:szCs w:val="14"/>
          <w:b w:val="1"/>
          <w:bCs w:val="1"/>
          <w:color w:val="auto"/>
        </w:rPr>
        <w:t>(Stated in millions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178040" cy="8890"/>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5">
                      <a:extLst>
                        <a:ext uri="{28A0092B-C50C-407E-A947-70E740481C1C}"/>
                      </a:extLst>
                    </a:blip>
                    <a:srcRect/>
                    <a:stretch>
                      <a:fillRect/>
                    </a:stretch>
                  </pic:blipFill>
                  <pic:spPr bwMode="auto">
                    <a:xfrm>
                      <a:off x="0" y="0"/>
                      <a:ext cx="7178040" cy="8890"/>
                    </a:xfrm>
                    <a:prstGeom prst="rect">
                      <a:avLst/>
                    </a:prstGeom>
                    <a:noFill/>
                  </pic:spPr>
                </pic:pic>
              </a:graphicData>
            </a:graphic>
          </wp:anchor>
        </w:drawing>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00" w:type="dxa"/>
            <w:vAlign w:val="bottom"/>
            <w:gridSpan w:val="4"/>
          </w:tcPr>
          <w:p>
            <w:pPr>
              <w:jc w:val="right"/>
              <w:spacing w:after="0"/>
              <w:rPr>
                <w:sz w:val="20"/>
                <w:szCs w:val="20"/>
                <w:color w:val="auto"/>
              </w:rPr>
            </w:pPr>
            <w:r>
              <w:rPr>
                <w:rFonts w:ascii="Arial" w:cs="Arial" w:eastAsia="Arial" w:hAnsi="Arial"/>
                <w:sz w:val="14"/>
                <w:szCs w:val="14"/>
                <w:b w:val="1"/>
                <w:bCs w:val="1"/>
                <w:color w:val="auto"/>
              </w:rPr>
              <w:t>Earnings per</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560" w:type="dxa"/>
            <w:vAlign w:val="bottom"/>
          </w:tcPr>
          <w:p>
            <w:pPr>
              <w:spacing w:after="0"/>
              <w:rPr>
                <w:sz w:val="22"/>
                <w:szCs w:val="22"/>
                <w:color w:val="auto"/>
              </w:rPr>
            </w:pPr>
          </w:p>
        </w:tc>
        <w:tc>
          <w:tcPr>
            <w:tcW w:w="2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gridSpan w:val="2"/>
          </w:tcPr>
          <w:p>
            <w:pPr>
              <w:jc w:val="right"/>
              <w:ind w:right="172"/>
              <w:spacing w:after="0"/>
              <w:rPr>
                <w:sz w:val="20"/>
                <w:szCs w:val="20"/>
                <w:color w:val="auto"/>
              </w:rPr>
            </w:pPr>
            <w:r>
              <w:rPr>
                <w:rFonts w:ascii="Arial" w:cs="Arial" w:eastAsia="Arial" w:hAnsi="Arial"/>
                <w:sz w:val="14"/>
                <w:szCs w:val="14"/>
                <w:b w:val="1"/>
                <w:bCs w:val="1"/>
                <w:color w:val="auto"/>
                <w:w w:val="92"/>
              </w:rPr>
              <w:t>share</w:t>
            </w:r>
            <w:r>
              <w:rPr>
                <w:rFonts w:ascii="Arial" w:cs="Arial" w:eastAsia="Arial" w:hAnsi="Arial"/>
                <w:sz w:val="22"/>
                <w:szCs w:val="22"/>
                <w:b w:val="1"/>
                <w:bCs w:val="1"/>
                <w:color w:val="auto"/>
                <w:w w:val="92"/>
                <w:vertAlign w:val="superscript"/>
              </w:rPr>
              <w:t>6</w:t>
            </w:r>
          </w:p>
        </w:tc>
        <w:tc>
          <w:tcPr>
            <w:tcW w:w="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3560" w:type="dxa"/>
            <w:vAlign w:val="bottom"/>
          </w:tcPr>
          <w:p>
            <w:pPr>
              <w:spacing w:after="0"/>
              <w:rPr>
                <w:sz w:val="3"/>
                <w:szCs w:val="3"/>
                <w:color w:val="auto"/>
              </w:rPr>
            </w:pPr>
          </w:p>
        </w:tc>
        <w:tc>
          <w:tcPr>
            <w:tcW w:w="2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gridSpan w:val="2"/>
            <w:vMerge w:val="restart"/>
          </w:tcPr>
          <w:p>
            <w:pPr>
              <w:jc w:val="right"/>
              <w:ind w:right="640"/>
              <w:spacing w:after="0" w:line="149" w:lineRule="exact"/>
              <w:rPr>
                <w:sz w:val="20"/>
                <w:szCs w:val="20"/>
                <w:color w:val="auto"/>
              </w:rPr>
            </w:pPr>
            <w:r>
              <w:rPr>
                <w:rFonts w:ascii="Arial" w:cs="Arial" w:eastAsia="Arial" w:hAnsi="Arial"/>
                <w:sz w:val="14"/>
                <w:szCs w:val="14"/>
                <w:b w:val="1"/>
                <w:bCs w:val="1"/>
                <w:color w:val="auto"/>
              </w:rPr>
              <w:t>Gross</w:t>
            </w:r>
          </w:p>
        </w:tc>
        <w:tc>
          <w:tcPr>
            <w:tcW w:w="100" w:type="dxa"/>
            <w:vAlign w:val="bottom"/>
          </w:tcPr>
          <w:p>
            <w:pPr>
              <w:spacing w:after="0"/>
              <w:rPr>
                <w:sz w:val="3"/>
                <w:szCs w:val="3"/>
                <w:color w:val="auto"/>
              </w:rPr>
            </w:pPr>
          </w:p>
        </w:tc>
        <w:tc>
          <w:tcPr>
            <w:tcW w:w="1040" w:type="dxa"/>
            <w:vAlign w:val="bottom"/>
            <w:gridSpan w:val="3"/>
            <w:vMerge w:val="restart"/>
          </w:tcPr>
          <w:p>
            <w:pPr>
              <w:jc w:val="right"/>
              <w:ind w:right="660"/>
              <w:spacing w:after="0" w:line="149" w:lineRule="exact"/>
              <w:rPr>
                <w:sz w:val="20"/>
                <w:szCs w:val="20"/>
                <w:color w:val="auto"/>
              </w:rPr>
            </w:pPr>
            <w:r>
              <w:rPr>
                <w:rFonts w:ascii="Arial" w:cs="Arial" w:eastAsia="Arial" w:hAnsi="Arial"/>
                <w:sz w:val="14"/>
                <w:szCs w:val="14"/>
                <w:b w:val="1"/>
                <w:bCs w:val="1"/>
                <w:color w:val="auto"/>
              </w:rPr>
              <w:t>Net</w:t>
            </w:r>
          </w:p>
        </w:tc>
        <w:tc>
          <w:tcPr>
            <w:tcW w:w="6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3560" w:type="dxa"/>
            <w:vAlign w:val="bottom"/>
          </w:tcPr>
          <w:p>
            <w:pPr>
              <w:spacing w:after="0"/>
              <w:rPr>
                <w:sz w:val="7"/>
                <w:szCs w:val="7"/>
                <w:color w:val="auto"/>
              </w:rPr>
            </w:pPr>
          </w:p>
        </w:tc>
        <w:tc>
          <w:tcPr>
            <w:tcW w:w="27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60" w:type="dxa"/>
            <w:vAlign w:val="bottom"/>
          </w:tcPr>
          <w:p>
            <w:pPr>
              <w:spacing w:after="0"/>
              <w:rPr>
                <w:sz w:val="7"/>
                <w:szCs w:val="7"/>
                <w:color w:val="auto"/>
              </w:rPr>
            </w:pPr>
          </w:p>
        </w:tc>
        <w:tc>
          <w:tcPr>
            <w:tcW w:w="6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0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1040" w:type="dxa"/>
            <w:vAlign w:val="bottom"/>
            <w:gridSpan w:val="3"/>
            <w:vMerge w:val="continue"/>
          </w:tcPr>
          <w:p>
            <w:pPr>
              <w:spacing w:after="0"/>
              <w:rPr>
                <w:sz w:val="7"/>
                <w:szCs w:val="7"/>
                <w:color w:val="auto"/>
              </w:rPr>
            </w:pPr>
          </w:p>
        </w:tc>
        <w:tc>
          <w:tcPr>
            <w:tcW w:w="60" w:type="dxa"/>
            <w:vAlign w:val="bottom"/>
          </w:tcPr>
          <w:p>
            <w:pPr>
              <w:spacing w:after="0"/>
              <w:rPr>
                <w:sz w:val="7"/>
                <w:szCs w:val="7"/>
                <w:color w:val="auto"/>
              </w:rPr>
            </w:pPr>
          </w:p>
        </w:tc>
        <w:tc>
          <w:tcPr>
            <w:tcW w:w="3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20" w:type="dxa"/>
            <w:vAlign w:val="bottom"/>
          </w:tcPr>
          <w:p>
            <w:pPr>
              <w:spacing w:after="0"/>
              <w:rPr>
                <w:sz w:val="7"/>
                <w:szCs w:val="7"/>
                <w:color w:val="auto"/>
              </w:rPr>
            </w:pPr>
          </w:p>
        </w:tc>
        <w:tc>
          <w:tcPr>
            <w:tcW w:w="160" w:type="dxa"/>
            <w:vAlign w:val="bottom"/>
          </w:tcPr>
          <w:p>
            <w:pPr>
              <w:spacing w:after="0"/>
              <w:rPr>
                <w:sz w:val="7"/>
                <w:szCs w:val="7"/>
                <w:color w:val="auto"/>
              </w:rPr>
            </w:pPr>
          </w:p>
        </w:tc>
        <w:tc>
          <w:tcPr>
            <w:tcW w:w="34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1180" w:type="dxa"/>
            <w:vAlign w:val="bottom"/>
            <w:gridSpan w:val="3"/>
          </w:tcPr>
          <w:p>
            <w:pPr>
              <w:ind w:left="60"/>
              <w:spacing w:after="0"/>
              <w:rPr>
                <w:sz w:val="20"/>
                <w:szCs w:val="20"/>
                <w:color w:val="auto"/>
              </w:rPr>
            </w:pPr>
            <w:r>
              <w:rPr>
                <w:rFonts w:ascii="Arial" w:cs="Arial" w:eastAsia="Arial" w:hAnsi="Arial"/>
                <w:sz w:val="14"/>
                <w:szCs w:val="14"/>
                <w:b w:val="1"/>
                <w:bCs w:val="1"/>
                <w:color w:val="auto"/>
              </w:rPr>
              <w:t>Revenue</w:t>
            </w:r>
          </w:p>
        </w:tc>
        <w:tc>
          <w:tcPr>
            <w:tcW w:w="100" w:type="dxa"/>
            <w:vAlign w:val="bottom"/>
          </w:tcPr>
          <w:p>
            <w:pPr>
              <w:spacing w:after="0"/>
              <w:rPr>
                <w:sz w:val="14"/>
                <w:szCs w:val="14"/>
                <w:color w:val="auto"/>
              </w:rPr>
            </w:pPr>
          </w:p>
        </w:tc>
        <w:tc>
          <w:tcPr>
            <w:tcW w:w="110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w w:val="95"/>
              </w:rPr>
              <w:t>Margin</w:t>
            </w:r>
          </w:p>
        </w:tc>
        <w:tc>
          <w:tcPr>
            <w:tcW w:w="1140" w:type="dxa"/>
            <w:vAlign w:val="bottom"/>
            <w:gridSpan w:val="4"/>
          </w:tcPr>
          <w:p>
            <w:pPr>
              <w:jc w:val="right"/>
              <w:ind w:right="660"/>
              <w:spacing w:after="0"/>
              <w:rPr>
                <w:sz w:val="20"/>
                <w:szCs w:val="20"/>
                <w:color w:val="auto"/>
              </w:rPr>
            </w:pPr>
            <w:r>
              <w:rPr>
                <w:rFonts w:ascii="Arial" w:cs="Arial" w:eastAsia="Arial" w:hAnsi="Arial"/>
                <w:sz w:val="14"/>
                <w:szCs w:val="14"/>
                <w:b w:val="1"/>
                <w:bCs w:val="1"/>
                <w:color w:val="auto"/>
                <w:w w:val="93"/>
              </w:rPr>
              <w:t>Income</w:t>
            </w:r>
          </w:p>
        </w:tc>
        <w:tc>
          <w:tcPr>
            <w:tcW w:w="60" w:type="dxa"/>
            <w:vAlign w:val="bottom"/>
          </w:tcPr>
          <w:p>
            <w:pPr>
              <w:spacing w:after="0"/>
              <w:rPr>
                <w:sz w:val="14"/>
                <w:szCs w:val="14"/>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80"/>
              </w:rPr>
              <w:t>Basic</w:t>
            </w:r>
          </w:p>
        </w:tc>
        <w:tc>
          <w:tcPr>
            <w:tcW w:w="520" w:type="dxa"/>
            <w:vAlign w:val="bottom"/>
          </w:tcPr>
          <w:p>
            <w:pPr>
              <w:spacing w:after="0"/>
              <w:rPr>
                <w:sz w:val="14"/>
                <w:szCs w:val="14"/>
                <w:color w:val="auto"/>
              </w:rPr>
            </w:pPr>
          </w:p>
        </w:tc>
        <w:tc>
          <w:tcPr>
            <w:tcW w:w="60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Diluted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Quarters-2003</w:t>
            </w:r>
          </w:p>
        </w:tc>
        <w:tc>
          <w:tcPr>
            <w:tcW w:w="2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tcPr>
          <w:p>
            <w:pPr>
              <w:ind w:left="320"/>
              <w:spacing w:after="0" w:line="149" w:lineRule="exact"/>
              <w:rPr>
                <w:sz w:val="20"/>
                <w:szCs w:val="20"/>
                <w:color w:val="auto"/>
              </w:rPr>
            </w:pPr>
            <w:r>
              <w:rPr>
                <w:rFonts w:ascii="Arial" w:cs="Arial" w:eastAsia="Arial" w:hAnsi="Arial"/>
                <w:sz w:val="14"/>
                <w:szCs w:val="14"/>
                <w:color w:val="auto"/>
              </w:rPr>
              <w:t>First</w:t>
            </w:r>
          </w:p>
        </w:tc>
        <w:tc>
          <w:tcPr>
            <w:tcW w:w="282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1080" w:type="dxa"/>
            <w:vAlign w:val="bottom"/>
            <w:gridSpan w:val="2"/>
          </w:tcPr>
          <w:p>
            <w:pPr>
              <w:jc w:val="right"/>
              <w:ind w:right="620"/>
              <w:spacing w:after="0" w:line="149" w:lineRule="exact"/>
              <w:rPr>
                <w:sz w:val="20"/>
                <w:szCs w:val="20"/>
                <w:color w:val="auto"/>
              </w:rPr>
            </w:pPr>
            <w:r>
              <w:rPr>
                <w:rFonts w:ascii="Arial" w:cs="Arial" w:eastAsia="Arial" w:hAnsi="Arial"/>
                <w:sz w:val="14"/>
                <w:szCs w:val="14"/>
                <w:b w:val="1"/>
                <w:bCs w:val="1"/>
                <w:color w:val="auto"/>
              </w:rPr>
              <w:t>3,263</w:t>
            </w:r>
          </w:p>
        </w:tc>
        <w:tc>
          <w:tcPr>
            <w:tcW w:w="100" w:type="dxa"/>
            <w:vAlign w:val="bottom"/>
          </w:tcPr>
          <w:p>
            <w:pPr>
              <w:jc w:val="right"/>
              <w:spacing w:after="0"/>
              <w:rPr>
                <w:sz w:val="20"/>
                <w:szCs w:val="20"/>
                <w:color w:val="auto"/>
              </w:rPr>
            </w:pPr>
            <w:r>
              <w:rPr>
                <w:rFonts w:ascii="Arial" w:cs="Arial" w:eastAsia="Arial" w:hAnsi="Arial"/>
                <w:sz w:val="10"/>
                <w:szCs w:val="10"/>
                <w:b w:val="1"/>
                <w:bCs w:val="1"/>
                <w:color w:val="auto"/>
                <w:w w:val="71"/>
              </w:rPr>
              <w:t>$</w:t>
            </w:r>
          </w:p>
        </w:tc>
        <w:tc>
          <w:tcPr>
            <w:tcW w:w="4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662</w:t>
            </w:r>
          </w:p>
        </w:tc>
        <w:tc>
          <w:tcPr>
            <w:tcW w:w="64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0"/>
                <w:szCs w:val="10"/>
                <w:b w:val="1"/>
                <w:bCs w:val="1"/>
                <w:color w:val="auto"/>
                <w:w w:val="71"/>
              </w:rPr>
              <w:t>$</w:t>
            </w:r>
          </w:p>
        </w:tc>
        <w:tc>
          <w:tcPr>
            <w:tcW w:w="3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149</w:t>
            </w: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Arial" w:cs="Arial" w:eastAsia="Arial" w:hAnsi="Arial"/>
                <w:sz w:val="5"/>
                <w:szCs w:val="5"/>
                <w:b w:val="1"/>
                <w:bCs w:val="1"/>
                <w:color w:val="auto"/>
                <w:w w:val="70"/>
              </w:rPr>
              <w:t>$</w:t>
            </w:r>
          </w:p>
        </w:tc>
        <w:tc>
          <w:tcPr>
            <w:tcW w:w="3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0.26</w:t>
            </w:r>
          </w:p>
        </w:tc>
        <w:tc>
          <w:tcPr>
            <w:tcW w:w="100" w:type="dxa"/>
            <w:vAlign w:val="bottom"/>
          </w:tcPr>
          <w:p>
            <w:pPr>
              <w:spacing w:after="0"/>
              <w:rPr>
                <w:sz w:val="12"/>
                <w:szCs w:val="12"/>
                <w:color w:val="auto"/>
              </w:rPr>
            </w:pPr>
          </w:p>
        </w:tc>
        <w:tc>
          <w:tcPr>
            <w:tcW w:w="680" w:type="dxa"/>
            <w:vAlign w:val="bottom"/>
            <w:gridSpan w:val="2"/>
          </w:tcPr>
          <w:p>
            <w:pPr>
              <w:jc w:val="right"/>
              <w:ind w:right="12"/>
              <w:spacing w:after="0" w:line="149" w:lineRule="exact"/>
              <w:rPr>
                <w:sz w:val="20"/>
                <w:szCs w:val="20"/>
                <w:color w:val="auto"/>
              </w:rPr>
            </w:pPr>
            <w:r>
              <w:rPr>
                <w:rFonts w:ascii="Arial" w:cs="Arial" w:eastAsia="Arial" w:hAnsi="Arial"/>
                <w:sz w:val="14"/>
                <w:szCs w:val="14"/>
                <w:b w:val="1"/>
                <w:bCs w:val="1"/>
                <w:color w:val="auto"/>
              </w:rPr>
              <w:t>$</w:t>
            </w:r>
          </w:p>
        </w:tc>
        <w:tc>
          <w:tcPr>
            <w:tcW w:w="3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0.26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560" w:type="dxa"/>
            <w:vAlign w:val="bottom"/>
            <w:shd w:val="clear" w:color="auto" w:fill="CCEEFF"/>
          </w:tcPr>
          <w:p>
            <w:pPr>
              <w:ind w:left="320"/>
              <w:spacing w:after="0" w:line="176" w:lineRule="exact"/>
              <w:rPr>
                <w:sz w:val="20"/>
                <w:szCs w:val="20"/>
                <w:color w:val="auto"/>
              </w:rPr>
            </w:pPr>
            <w:r>
              <w:rPr>
                <w:rFonts w:ascii="Arial" w:cs="Arial" w:eastAsia="Arial" w:hAnsi="Arial"/>
                <w:sz w:val="13"/>
                <w:szCs w:val="13"/>
                <w:color w:val="auto"/>
              </w:rPr>
              <w:t>Second</w:t>
            </w:r>
            <w:r>
              <w:rPr>
                <w:rFonts w:ascii="Arial" w:cs="Arial" w:eastAsia="Arial" w:hAnsi="Arial"/>
                <w:sz w:val="20"/>
                <w:szCs w:val="20"/>
                <w:color w:val="auto"/>
                <w:vertAlign w:val="superscript"/>
              </w:rPr>
              <w:t>1</w:t>
            </w:r>
          </w:p>
        </w:tc>
        <w:tc>
          <w:tcPr>
            <w:tcW w:w="2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620"/>
              <w:spacing w:after="0"/>
              <w:rPr>
                <w:sz w:val="20"/>
                <w:szCs w:val="20"/>
                <w:color w:val="auto"/>
              </w:rPr>
            </w:pPr>
            <w:r>
              <w:rPr>
                <w:rFonts w:ascii="Arial" w:cs="Arial" w:eastAsia="Arial" w:hAnsi="Arial"/>
                <w:sz w:val="14"/>
                <w:szCs w:val="14"/>
                <w:b w:val="1"/>
                <w:bCs w:val="1"/>
                <w:color w:val="auto"/>
              </w:rPr>
              <w:t>3,485</w:t>
            </w: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727</w:t>
            </w: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112</w:t>
            </w:r>
          </w:p>
        </w:tc>
        <w:tc>
          <w:tcPr>
            <w:tcW w:w="6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0.19</w:t>
            </w: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0.19</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560" w:type="dxa"/>
            <w:vAlign w:val="bottom"/>
          </w:tcPr>
          <w:p>
            <w:pPr>
              <w:ind w:left="320"/>
              <w:spacing w:after="0" w:line="176" w:lineRule="exact"/>
              <w:rPr>
                <w:sz w:val="20"/>
                <w:szCs w:val="20"/>
                <w:color w:val="auto"/>
              </w:rPr>
            </w:pPr>
            <w:r>
              <w:rPr>
                <w:rFonts w:ascii="Arial" w:cs="Arial" w:eastAsia="Arial" w:hAnsi="Arial"/>
                <w:sz w:val="13"/>
                <w:szCs w:val="13"/>
                <w:color w:val="auto"/>
              </w:rPr>
              <w:t>Third</w:t>
            </w:r>
            <w:r>
              <w:rPr>
                <w:rFonts w:ascii="Arial" w:cs="Arial" w:eastAsia="Arial" w:hAnsi="Arial"/>
                <w:sz w:val="20"/>
                <w:szCs w:val="20"/>
                <w:color w:val="auto"/>
                <w:vertAlign w:val="superscript"/>
              </w:rPr>
              <w:t>2</w:t>
            </w:r>
          </w:p>
        </w:tc>
        <w:tc>
          <w:tcPr>
            <w:tcW w:w="2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3,474</w:t>
            </w:r>
          </w:p>
        </w:tc>
        <w:tc>
          <w:tcPr>
            <w:tcW w:w="10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b w:val="1"/>
                <w:bCs w:val="1"/>
                <w:color w:val="auto"/>
              </w:rPr>
              <w:t>325</w:t>
            </w: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(55)</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92"/>
              </w:rPr>
              <w:t>(0.09)</w:t>
            </w:r>
          </w:p>
        </w:tc>
        <w:tc>
          <w:tcPr>
            <w:tcW w:w="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4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98"/>
              </w:rPr>
              <w:t>(0.09)</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560" w:type="dxa"/>
            <w:vAlign w:val="bottom"/>
            <w:shd w:val="clear" w:color="auto" w:fill="CCEEFF"/>
          </w:tcPr>
          <w:p>
            <w:pPr>
              <w:ind w:left="320"/>
              <w:spacing w:after="0" w:line="176" w:lineRule="exact"/>
              <w:rPr>
                <w:sz w:val="20"/>
                <w:szCs w:val="20"/>
                <w:color w:val="auto"/>
              </w:rPr>
            </w:pPr>
            <w:r>
              <w:rPr>
                <w:rFonts w:ascii="Arial" w:cs="Arial" w:eastAsia="Arial" w:hAnsi="Arial"/>
                <w:sz w:val="13"/>
                <w:szCs w:val="13"/>
                <w:color w:val="auto"/>
              </w:rPr>
              <w:t>Fourth</w:t>
            </w:r>
            <w:r>
              <w:rPr>
                <w:rFonts w:ascii="Arial" w:cs="Arial" w:eastAsia="Arial" w:hAnsi="Arial"/>
                <w:sz w:val="20"/>
                <w:szCs w:val="20"/>
                <w:color w:val="auto"/>
                <w:vertAlign w:val="superscript"/>
              </w:rPr>
              <w:t>3</w:t>
            </w:r>
          </w:p>
        </w:tc>
        <w:tc>
          <w:tcPr>
            <w:tcW w:w="2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620"/>
              <w:spacing w:after="0"/>
              <w:rPr>
                <w:sz w:val="20"/>
                <w:szCs w:val="20"/>
                <w:color w:val="auto"/>
              </w:rPr>
            </w:pPr>
            <w:r>
              <w:rPr>
                <w:rFonts w:ascii="Arial" w:cs="Arial" w:eastAsia="Arial" w:hAnsi="Arial"/>
                <w:sz w:val="14"/>
                <w:szCs w:val="14"/>
                <w:b w:val="1"/>
                <w:bCs w:val="1"/>
                <w:color w:val="auto"/>
              </w:rPr>
              <w:t>3,671</w:t>
            </w: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759</w:t>
            </w: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177</w:t>
            </w:r>
          </w:p>
        </w:tc>
        <w:tc>
          <w:tcPr>
            <w:tcW w:w="6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0.30</w:t>
            </w: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0.30</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560" w:type="dxa"/>
            <w:vAlign w:val="bottom"/>
            <w:tcBorders>
              <w:bottom w:val="single" w:sz="8" w:color="auto"/>
            </w:tcBorders>
          </w:tcPr>
          <w:p>
            <w:pPr>
              <w:spacing w:after="0"/>
              <w:rPr>
                <w:sz w:val="9"/>
                <w:szCs w:val="9"/>
                <w:color w:val="auto"/>
              </w:rPr>
            </w:pPr>
          </w:p>
        </w:tc>
        <w:tc>
          <w:tcPr>
            <w:tcW w:w="27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560" w:type="dxa"/>
            <w:vAlign w:val="bottom"/>
          </w:tcPr>
          <w:p>
            <w:pPr>
              <w:spacing w:after="0"/>
              <w:rPr>
                <w:sz w:val="8"/>
                <w:szCs w:val="8"/>
                <w:color w:val="auto"/>
              </w:rPr>
            </w:pPr>
          </w:p>
        </w:tc>
        <w:tc>
          <w:tcPr>
            <w:tcW w:w="2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shd w:val="clear" w:color="auto" w:fill="CCEEFF"/>
          </w:tcPr>
          <w:p>
            <w:pPr>
              <w:spacing w:after="0"/>
              <w:rPr>
                <w:sz w:val="12"/>
                <w:szCs w:val="12"/>
                <w:color w:val="auto"/>
              </w:rPr>
            </w:pPr>
          </w:p>
        </w:tc>
        <w:tc>
          <w:tcPr>
            <w:tcW w:w="28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1080" w:type="dxa"/>
            <w:vAlign w:val="bottom"/>
            <w:gridSpan w:val="2"/>
            <w:shd w:val="clear" w:color="auto" w:fill="CCEEFF"/>
          </w:tcPr>
          <w:p>
            <w:pPr>
              <w:jc w:val="right"/>
              <w:ind w:right="620"/>
              <w:spacing w:after="0" w:line="149" w:lineRule="exact"/>
              <w:rPr>
                <w:sz w:val="20"/>
                <w:szCs w:val="20"/>
                <w:color w:val="auto"/>
              </w:rPr>
            </w:pPr>
            <w:r>
              <w:rPr>
                <w:rFonts w:ascii="Arial" w:cs="Arial" w:eastAsia="Arial" w:hAnsi="Arial"/>
                <w:sz w:val="14"/>
                <w:szCs w:val="14"/>
                <w:b w:val="1"/>
                <w:bCs w:val="1"/>
                <w:color w:val="auto"/>
              </w:rPr>
              <w:t>13,893</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2,473</w:t>
            </w: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383</w:t>
            </w:r>
          </w:p>
        </w:tc>
        <w:tc>
          <w:tcPr>
            <w:tcW w:w="6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5"/>
                <w:szCs w:val="5"/>
                <w:b w:val="1"/>
                <w:bCs w:val="1"/>
                <w:color w:val="auto"/>
                <w:w w:val="70"/>
              </w:rPr>
              <w:t>$</w:t>
            </w: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0.66</w:t>
            </w: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2"/>
              <w:spacing w:after="0" w:line="149" w:lineRule="exact"/>
              <w:rPr>
                <w:sz w:val="20"/>
                <w:szCs w:val="20"/>
                <w:color w:val="auto"/>
              </w:rPr>
            </w:pPr>
            <w:r>
              <w:rPr>
                <w:rFonts w:ascii="Arial" w:cs="Arial" w:eastAsia="Arial" w:hAnsi="Arial"/>
                <w:sz w:val="14"/>
                <w:szCs w:val="14"/>
                <w:b w:val="1"/>
                <w:bCs w:val="1"/>
                <w:color w:val="auto"/>
              </w:rPr>
              <w:t>$</w:t>
            </w: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0.66</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560" w:type="dxa"/>
            <w:vAlign w:val="bottom"/>
          </w:tcPr>
          <w:p>
            <w:pPr>
              <w:spacing w:after="0"/>
              <w:rPr>
                <w:sz w:val="11"/>
                <w:szCs w:val="11"/>
                <w:color w:val="auto"/>
              </w:rPr>
            </w:pPr>
          </w:p>
        </w:tc>
        <w:tc>
          <w:tcPr>
            <w:tcW w:w="27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560" w:type="dxa"/>
            <w:vAlign w:val="bottom"/>
          </w:tcPr>
          <w:p>
            <w:pPr>
              <w:spacing w:after="0"/>
              <w:rPr>
                <w:sz w:val="9"/>
                <w:szCs w:val="9"/>
                <w:color w:val="auto"/>
              </w:rPr>
            </w:pPr>
          </w:p>
        </w:tc>
        <w:tc>
          <w:tcPr>
            <w:tcW w:w="2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5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Quarters-2002</w:t>
            </w:r>
          </w:p>
        </w:tc>
        <w:tc>
          <w:tcPr>
            <w:tcW w:w="2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560" w:type="dxa"/>
            <w:vAlign w:val="bottom"/>
          </w:tcPr>
          <w:p>
            <w:pPr>
              <w:ind w:left="320"/>
              <w:spacing w:after="0" w:line="176" w:lineRule="exact"/>
              <w:rPr>
                <w:sz w:val="20"/>
                <w:szCs w:val="20"/>
                <w:color w:val="auto"/>
              </w:rPr>
            </w:pPr>
            <w:r>
              <w:rPr>
                <w:rFonts w:ascii="Arial" w:cs="Arial" w:eastAsia="Arial" w:hAnsi="Arial"/>
                <w:sz w:val="13"/>
                <w:szCs w:val="13"/>
                <w:color w:val="auto"/>
              </w:rPr>
              <w:t>First</w:t>
            </w:r>
            <w:r>
              <w:rPr>
                <w:rFonts w:ascii="Arial" w:cs="Arial" w:eastAsia="Arial" w:hAnsi="Arial"/>
                <w:sz w:val="20"/>
                <w:szCs w:val="20"/>
                <w:color w:val="auto"/>
                <w:vertAlign w:val="superscript"/>
              </w:rPr>
              <w:t>4</w:t>
            </w:r>
          </w:p>
        </w:tc>
        <w:tc>
          <w:tcPr>
            <w:tcW w:w="28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620"/>
              <w:spacing w:after="0"/>
              <w:rPr>
                <w:sz w:val="20"/>
                <w:szCs w:val="20"/>
                <w:color w:val="auto"/>
              </w:rPr>
            </w:pPr>
            <w:r>
              <w:rPr>
                <w:rFonts w:ascii="Arial" w:cs="Arial" w:eastAsia="Arial" w:hAnsi="Arial"/>
                <w:sz w:val="14"/>
                <w:szCs w:val="14"/>
                <w:color w:val="auto"/>
              </w:rPr>
              <w:t>3,167</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tcPr>
          <w:p>
            <w:pPr>
              <w:jc w:val="right"/>
              <w:spacing w:after="0"/>
              <w:rPr>
                <w:sz w:val="20"/>
                <w:szCs w:val="20"/>
                <w:color w:val="auto"/>
              </w:rPr>
            </w:pPr>
            <w:r>
              <w:rPr>
                <w:rFonts w:ascii="Arial" w:cs="Arial" w:eastAsia="Arial" w:hAnsi="Arial"/>
                <w:sz w:val="14"/>
                <w:szCs w:val="14"/>
                <w:color w:val="auto"/>
              </w:rPr>
              <w:t>660</w:t>
            </w:r>
          </w:p>
        </w:tc>
        <w:tc>
          <w:tcPr>
            <w:tcW w:w="64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380" w:type="dxa"/>
            <w:vAlign w:val="bottom"/>
          </w:tcPr>
          <w:p>
            <w:pPr>
              <w:jc w:val="right"/>
              <w:spacing w:after="0"/>
              <w:rPr>
                <w:sz w:val="20"/>
                <w:szCs w:val="20"/>
                <w:color w:val="auto"/>
              </w:rPr>
            </w:pPr>
            <w:r>
              <w:rPr>
                <w:rFonts w:ascii="Arial" w:cs="Arial" w:eastAsia="Arial" w:hAnsi="Arial"/>
                <w:sz w:val="14"/>
                <w:szCs w:val="14"/>
                <w:color w:val="auto"/>
              </w:rPr>
              <w:t>172</w:t>
            </w: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jc w:val="right"/>
              <w:spacing w:after="0"/>
              <w:rPr>
                <w:sz w:val="20"/>
                <w:szCs w:val="20"/>
                <w:color w:val="auto"/>
              </w:rPr>
            </w:pPr>
            <w:r>
              <w:rPr>
                <w:rFonts w:ascii="Arial" w:cs="Arial" w:eastAsia="Arial" w:hAnsi="Arial"/>
                <w:sz w:val="5"/>
                <w:szCs w:val="5"/>
                <w:color w:val="auto"/>
                <w:w w:val="70"/>
              </w:rPr>
              <w:t>$</w:t>
            </w:r>
          </w:p>
        </w:tc>
        <w:tc>
          <w:tcPr>
            <w:tcW w:w="320" w:type="dxa"/>
            <w:vAlign w:val="bottom"/>
          </w:tcPr>
          <w:p>
            <w:pPr>
              <w:jc w:val="right"/>
              <w:spacing w:after="0"/>
              <w:rPr>
                <w:sz w:val="20"/>
                <w:szCs w:val="20"/>
                <w:color w:val="auto"/>
              </w:rPr>
            </w:pPr>
            <w:r>
              <w:rPr>
                <w:rFonts w:ascii="Arial" w:cs="Arial" w:eastAsia="Arial" w:hAnsi="Arial"/>
                <w:sz w:val="14"/>
                <w:szCs w:val="14"/>
                <w:color w:val="auto"/>
              </w:rPr>
              <w:t>0.30</w:t>
            </w:r>
          </w:p>
        </w:tc>
        <w:tc>
          <w:tcPr>
            <w:tcW w:w="100" w:type="dxa"/>
            <w:vAlign w:val="bottom"/>
          </w:tcPr>
          <w:p>
            <w:pPr>
              <w:spacing w:after="0"/>
              <w:rPr>
                <w:sz w:val="15"/>
                <w:szCs w:val="15"/>
                <w:color w:val="auto"/>
              </w:rPr>
            </w:pPr>
          </w:p>
        </w:tc>
        <w:tc>
          <w:tcPr>
            <w:tcW w:w="680" w:type="dxa"/>
            <w:vAlign w:val="bottom"/>
            <w:gridSpan w:val="2"/>
          </w:tcPr>
          <w:p>
            <w:pPr>
              <w:jc w:val="right"/>
              <w:ind w:right="12"/>
              <w:spacing w:after="0"/>
              <w:rPr>
                <w:sz w:val="20"/>
                <w:szCs w:val="20"/>
                <w:color w:val="auto"/>
              </w:rPr>
            </w:pPr>
            <w:r>
              <w:rPr>
                <w:rFonts w:ascii="Arial" w:cs="Arial" w:eastAsia="Arial" w:hAnsi="Arial"/>
                <w:sz w:val="14"/>
                <w:szCs w:val="14"/>
                <w:color w:val="auto"/>
              </w:rPr>
              <w:t>$</w:t>
            </w:r>
          </w:p>
        </w:tc>
        <w:tc>
          <w:tcPr>
            <w:tcW w:w="340" w:type="dxa"/>
            <w:vAlign w:val="bottom"/>
          </w:tcPr>
          <w:p>
            <w:pPr>
              <w:jc w:val="right"/>
              <w:spacing w:after="0"/>
              <w:rPr>
                <w:sz w:val="20"/>
                <w:szCs w:val="20"/>
                <w:color w:val="auto"/>
              </w:rPr>
            </w:pPr>
            <w:r>
              <w:rPr>
                <w:rFonts w:ascii="Arial" w:cs="Arial" w:eastAsia="Arial" w:hAnsi="Arial"/>
                <w:sz w:val="14"/>
                <w:szCs w:val="14"/>
                <w:color w:val="auto"/>
              </w:rPr>
              <w:t>0.30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Second</w:t>
            </w:r>
          </w:p>
        </w:tc>
        <w:tc>
          <w:tcPr>
            <w:tcW w:w="2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620"/>
              <w:spacing w:after="0" w:line="149" w:lineRule="exact"/>
              <w:rPr>
                <w:sz w:val="20"/>
                <w:szCs w:val="20"/>
                <w:color w:val="auto"/>
              </w:rPr>
            </w:pPr>
            <w:r>
              <w:rPr>
                <w:rFonts w:ascii="Arial" w:cs="Arial" w:eastAsia="Arial" w:hAnsi="Arial"/>
                <w:sz w:val="14"/>
                <w:szCs w:val="14"/>
                <w:color w:val="auto"/>
              </w:rPr>
              <w:t>3,242</w:t>
            </w: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706</w:t>
            </w: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196</w:t>
            </w:r>
          </w:p>
        </w:tc>
        <w:tc>
          <w:tcPr>
            <w:tcW w:w="6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0.34</w:t>
            </w: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0.34</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tcPr>
          <w:p>
            <w:pPr>
              <w:ind w:left="320"/>
              <w:spacing w:after="0" w:line="149" w:lineRule="exact"/>
              <w:rPr>
                <w:sz w:val="20"/>
                <w:szCs w:val="20"/>
                <w:color w:val="auto"/>
              </w:rPr>
            </w:pPr>
            <w:r>
              <w:rPr>
                <w:rFonts w:ascii="Arial" w:cs="Arial" w:eastAsia="Arial" w:hAnsi="Arial"/>
                <w:sz w:val="14"/>
                <w:szCs w:val="14"/>
                <w:color w:val="auto"/>
              </w:rPr>
              <w:t>Third</w:t>
            </w:r>
          </w:p>
        </w:tc>
        <w:tc>
          <w:tcPr>
            <w:tcW w:w="2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right"/>
              <w:ind w:right="620"/>
              <w:spacing w:after="0" w:line="149" w:lineRule="exact"/>
              <w:rPr>
                <w:sz w:val="20"/>
                <w:szCs w:val="20"/>
                <w:color w:val="auto"/>
              </w:rPr>
            </w:pPr>
            <w:r>
              <w:rPr>
                <w:rFonts w:ascii="Arial" w:cs="Arial" w:eastAsia="Arial" w:hAnsi="Arial"/>
                <w:sz w:val="14"/>
                <w:szCs w:val="14"/>
                <w:color w:val="auto"/>
              </w:rPr>
              <w:t>3,358</w:t>
            </w:r>
          </w:p>
        </w:tc>
        <w:tc>
          <w:tcPr>
            <w:tcW w:w="10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681</w:t>
            </w: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173</w:t>
            </w: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jc w:val="right"/>
              <w:spacing w:after="0" w:line="149" w:lineRule="exact"/>
              <w:rPr>
                <w:sz w:val="20"/>
                <w:szCs w:val="20"/>
                <w:color w:val="auto"/>
              </w:rPr>
            </w:pPr>
            <w:r>
              <w:rPr>
                <w:rFonts w:ascii="Arial" w:cs="Arial" w:eastAsia="Arial" w:hAnsi="Arial"/>
                <w:sz w:val="14"/>
                <w:szCs w:val="14"/>
                <w:color w:val="auto"/>
              </w:rPr>
              <w:t>0.30</w:t>
            </w: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jc w:val="right"/>
              <w:spacing w:after="0" w:line="149" w:lineRule="exact"/>
              <w:rPr>
                <w:sz w:val="20"/>
                <w:szCs w:val="20"/>
                <w:color w:val="auto"/>
              </w:rPr>
            </w:pPr>
            <w:r>
              <w:rPr>
                <w:rFonts w:ascii="Arial" w:cs="Arial" w:eastAsia="Arial" w:hAnsi="Arial"/>
                <w:sz w:val="14"/>
                <w:szCs w:val="14"/>
                <w:color w:val="auto"/>
              </w:rPr>
              <w:t>0.30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560" w:type="dxa"/>
            <w:vAlign w:val="bottom"/>
            <w:shd w:val="clear" w:color="auto" w:fill="CCEEFF"/>
          </w:tcPr>
          <w:p>
            <w:pPr>
              <w:ind w:left="320"/>
              <w:spacing w:after="0" w:line="176" w:lineRule="exact"/>
              <w:rPr>
                <w:sz w:val="20"/>
                <w:szCs w:val="20"/>
                <w:color w:val="auto"/>
              </w:rPr>
            </w:pPr>
            <w:r>
              <w:rPr>
                <w:rFonts w:ascii="Arial" w:cs="Arial" w:eastAsia="Arial" w:hAnsi="Arial"/>
                <w:sz w:val="13"/>
                <w:szCs w:val="13"/>
                <w:color w:val="auto"/>
              </w:rPr>
              <w:t>Fourth</w:t>
            </w:r>
            <w:r>
              <w:rPr>
                <w:rFonts w:ascii="Arial" w:cs="Arial" w:eastAsia="Arial" w:hAnsi="Arial"/>
                <w:sz w:val="20"/>
                <w:szCs w:val="20"/>
                <w:color w:val="auto"/>
                <w:vertAlign w:val="superscript"/>
              </w:rPr>
              <w:t>5</w:t>
            </w:r>
          </w:p>
        </w:tc>
        <w:tc>
          <w:tcPr>
            <w:tcW w:w="2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620"/>
              <w:spacing w:after="0"/>
              <w:rPr>
                <w:sz w:val="20"/>
                <w:szCs w:val="20"/>
                <w:color w:val="auto"/>
              </w:rPr>
            </w:pPr>
            <w:r>
              <w:rPr>
                <w:rFonts w:ascii="Arial" w:cs="Arial" w:eastAsia="Arial" w:hAnsi="Arial"/>
                <w:sz w:val="14"/>
                <w:szCs w:val="14"/>
                <w:color w:val="auto"/>
              </w:rPr>
              <w:t>3,351</w:t>
            </w:r>
          </w:p>
        </w:tc>
        <w:tc>
          <w:tcPr>
            <w:tcW w:w="10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600"/>
              <w:spacing w:after="0"/>
              <w:rPr>
                <w:sz w:val="20"/>
                <w:szCs w:val="20"/>
                <w:color w:val="auto"/>
              </w:rPr>
            </w:pPr>
            <w:r>
              <w:rPr>
                <w:rFonts w:ascii="Arial" w:cs="Arial" w:eastAsia="Arial" w:hAnsi="Arial"/>
                <w:sz w:val="14"/>
                <w:szCs w:val="14"/>
                <w:color w:val="auto"/>
              </w:rPr>
              <w:t>(2,455)</w:t>
            </w:r>
          </w:p>
        </w:tc>
        <w:tc>
          <w:tcPr>
            <w:tcW w:w="10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600"/>
              <w:spacing w:after="0"/>
              <w:rPr>
                <w:sz w:val="20"/>
                <w:szCs w:val="20"/>
                <w:color w:val="auto"/>
              </w:rPr>
            </w:pPr>
            <w:r>
              <w:rPr>
                <w:rFonts w:ascii="Arial" w:cs="Arial" w:eastAsia="Arial" w:hAnsi="Arial"/>
                <w:sz w:val="14"/>
                <w:szCs w:val="14"/>
                <w:color w:val="auto"/>
                <w:w w:val="90"/>
              </w:rPr>
              <w:t>(2,861)</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w w:val="92"/>
              </w:rPr>
              <w:t>(4.92)</w:t>
            </w:r>
          </w:p>
        </w:tc>
        <w:tc>
          <w:tcPr>
            <w:tcW w:w="5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w w:val="98"/>
              </w:rPr>
              <w:t>(4.92)</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560" w:type="dxa"/>
            <w:vAlign w:val="bottom"/>
            <w:tcBorders>
              <w:bottom w:val="single" w:sz="8" w:color="auto"/>
            </w:tcBorders>
          </w:tcPr>
          <w:p>
            <w:pPr>
              <w:spacing w:after="0"/>
              <w:rPr>
                <w:sz w:val="9"/>
                <w:szCs w:val="9"/>
                <w:color w:val="auto"/>
              </w:rPr>
            </w:pPr>
          </w:p>
        </w:tc>
        <w:tc>
          <w:tcPr>
            <w:tcW w:w="27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560" w:type="dxa"/>
            <w:vAlign w:val="bottom"/>
          </w:tcPr>
          <w:p>
            <w:pPr>
              <w:spacing w:after="0"/>
              <w:rPr>
                <w:sz w:val="8"/>
                <w:szCs w:val="8"/>
                <w:color w:val="auto"/>
              </w:rPr>
            </w:pPr>
          </w:p>
        </w:tc>
        <w:tc>
          <w:tcPr>
            <w:tcW w:w="2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shd w:val="clear" w:color="auto" w:fill="CCEEFF"/>
          </w:tcPr>
          <w:p>
            <w:pPr>
              <w:spacing w:after="0"/>
              <w:rPr>
                <w:sz w:val="12"/>
                <w:szCs w:val="12"/>
                <w:color w:val="auto"/>
              </w:rPr>
            </w:pPr>
          </w:p>
        </w:tc>
        <w:tc>
          <w:tcPr>
            <w:tcW w:w="28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620"/>
              <w:spacing w:after="0" w:line="149" w:lineRule="exact"/>
              <w:rPr>
                <w:sz w:val="20"/>
                <w:szCs w:val="20"/>
                <w:color w:val="auto"/>
              </w:rPr>
            </w:pPr>
            <w:r>
              <w:rPr>
                <w:rFonts w:ascii="Arial" w:cs="Arial" w:eastAsia="Arial" w:hAnsi="Arial"/>
                <w:sz w:val="14"/>
                <w:szCs w:val="14"/>
                <w:color w:val="auto"/>
              </w:rPr>
              <w:t>13,118</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00" w:type="dxa"/>
            <w:vAlign w:val="bottom"/>
            <w:gridSpan w:val="2"/>
            <w:shd w:val="clear" w:color="auto" w:fill="CCEEFF"/>
          </w:tcPr>
          <w:p>
            <w:pPr>
              <w:jc w:val="right"/>
              <w:ind w:right="600"/>
              <w:spacing w:after="0" w:line="149" w:lineRule="exact"/>
              <w:rPr>
                <w:sz w:val="20"/>
                <w:szCs w:val="20"/>
                <w:color w:val="auto"/>
              </w:rPr>
            </w:pPr>
            <w:r>
              <w:rPr>
                <w:rFonts w:ascii="Arial" w:cs="Arial" w:eastAsia="Arial" w:hAnsi="Arial"/>
                <w:sz w:val="14"/>
                <w:szCs w:val="14"/>
                <w:color w:val="auto"/>
              </w:rPr>
              <w:t>(408)</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gridSpan w:val="2"/>
            <w:shd w:val="clear" w:color="auto" w:fill="CCEEFF"/>
          </w:tcPr>
          <w:p>
            <w:pPr>
              <w:jc w:val="right"/>
              <w:ind w:right="600"/>
              <w:spacing w:after="0" w:line="149" w:lineRule="exact"/>
              <w:rPr>
                <w:sz w:val="20"/>
                <w:szCs w:val="20"/>
                <w:color w:val="auto"/>
              </w:rPr>
            </w:pPr>
            <w:r>
              <w:rPr>
                <w:rFonts w:ascii="Arial" w:cs="Arial" w:eastAsia="Arial" w:hAnsi="Arial"/>
                <w:sz w:val="14"/>
                <w:szCs w:val="14"/>
                <w:color w:val="auto"/>
                <w:w w:val="90"/>
              </w:rPr>
              <w:t>(2,320)</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4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92"/>
              </w:rPr>
              <w:t>(4.01)</w:t>
            </w:r>
          </w:p>
        </w:tc>
        <w:tc>
          <w:tcPr>
            <w:tcW w:w="680" w:type="dxa"/>
            <w:vAlign w:val="bottom"/>
            <w:gridSpan w:val="2"/>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4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98"/>
              </w:rPr>
              <w:t>(4.01)</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560" w:type="dxa"/>
            <w:vAlign w:val="bottom"/>
          </w:tcPr>
          <w:p>
            <w:pPr>
              <w:spacing w:after="0"/>
              <w:rPr>
                <w:sz w:val="11"/>
                <w:szCs w:val="11"/>
                <w:color w:val="auto"/>
              </w:rPr>
            </w:pPr>
          </w:p>
        </w:tc>
        <w:tc>
          <w:tcPr>
            <w:tcW w:w="27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3999230</wp:posOffset>
            </wp:positionH>
            <wp:positionV relativeFrom="paragraph">
              <wp:posOffset>-938530</wp:posOffset>
            </wp:positionV>
            <wp:extent cx="355600" cy="29845"/>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6">
                      <a:extLst>
                        <a:ext uri="{28A0092B-C50C-407E-A947-70E740481C1C}"/>
                      </a:extLst>
                    </a:blip>
                    <a:srcRect/>
                    <a:stretch>
                      <a:fillRect/>
                    </a:stretch>
                  </pic:blipFill>
                  <pic:spPr bwMode="auto">
                    <a:xfrm>
                      <a:off x="0" y="0"/>
                      <a:ext cx="355600" cy="29845"/>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-938530</wp:posOffset>
            </wp:positionV>
            <wp:extent cx="12700" cy="29845"/>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-938530</wp:posOffset>
            </wp:positionV>
            <wp:extent cx="21590" cy="29845"/>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-938530</wp:posOffset>
            </wp:positionV>
            <wp:extent cx="38735" cy="29845"/>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6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-938530</wp:posOffset>
            </wp:positionV>
            <wp:extent cx="12700" cy="29845"/>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5586095</wp:posOffset>
            </wp:positionH>
            <wp:positionV relativeFrom="paragraph">
              <wp:posOffset>-938530</wp:posOffset>
            </wp:positionV>
            <wp:extent cx="21590" cy="29845"/>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5808980</wp:posOffset>
            </wp:positionH>
            <wp:positionV relativeFrom="paragraph">
              <wp:posOffset>-938530</wp:posOffset>
            </wp:positionV>
            <wp:extent cx="38735" cy="29845"/>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6220460</wp:posOffset>
            </wp:positionH>
            <wp:positionV relativeFrom="paragraph">
              <wp:posOffset>-938530</wp:posOffset>
            </wp:positionV>
            <wp:extent cx="12700" cy="29845"/>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6280785</wp:posOffset>
            </wp:positionH>
            <wp:positionV relativeFrom="paragraph">
              <wp:posOffset>-938530</wp:posOffset>
            </wp:positionV>
            <wp:extent cx="21590" cy="29845"/>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-938530</wp:posOffset>
            </wp:positionV>
            <wp:extent cx="38735" cy="29845"/>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6871970</wp:posOffset>
            </wp:positionH>
            <wp:positionV relativeFrom="paragraph">
              <wp:posOffset>-938530</wp:posOffset>
            </wp:positionV>
            <wp:extent cx="12700" cy="29845"/>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6932295</wp:posOffset>
            </wp:positionH>
            <wp:positionV relativeFrom="paragraph">
              <wp:posOffset>-938530</wp:posOffset>
            </wp:positionV>
            <wp:extent cx="21590" cy="29845"/>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7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-938530</wp:posOffset>
            </wp:positionV>
            <wp:extent cx="38735" cy="29845"/>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7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3999230</wp:posOffset>
            </wp:positionH>
            <wp:positionV relativeFrom="paragraph">
              <wp:posOffset>-29210</wp:posOffset>
            </wp:positionV>
            <wp:extent cx="355600" cy="29845"/>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79">
                      <a:extLst>
                        <a:ext uri="{28A0092B-C50C-407E-A947-70E740481C1C}"/>
                      </a:extLst>
                    </a:blip>
                    <a:srcRect/>
                    <a:stretch>
                      <a:fillRect/>
                    </a:stretch>
                  </pic:blipFill>
                  <pic:spPr bwMode="auto">
                    <a:xfrm>
                      <a:off x="0" y="0"/>
                      <a:ext cx="355600" cy="29845"/>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-29210</wp:posOffset>
            </wp:positionV>
            <wp:extent cx="12700" cy="29845"/>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-29210</wp:posOffset>
            </wp:positionV>
            <wp:extent cx="21590" cy="29845"/>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-29210</wp:posOffset>
            </wp:positionV>
            <wp:extent cx="38735" cy="29845"/>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-29210</wp:posOffset>
            </wp:positionV>
            <wp:extent cx="12700" cy="29845"/>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5586095</wp:posOffset>
            </wp:positionH>
            <wp:positionV relativeFrom="paragraph">
              <wp:posOffset>-29210</wp:posOffset>
            </wp:positionV>
            <wp:extent cx="21590" cy="29845"/>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5808980</wp:posOffset>
            </wp:positionH>
            <wp:positionV relativeFrom="paragraph">
              <wp:posOffset>-29210</wp:posOffset>
            </wp:positionV>
            <wp:extent cx="38735" cy="29845"/>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6220460</wp:posOffset>
            </wp:positionH>
            <wp:positionV relativeFrom="paragraph">
              <wp:posOffset>-29210</wp:posOffset>
            </wp:positionV>
            <wp:extent cx="12700" cy="29845"/>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8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6280785</wp:posOffset>
            </wp:positionH>
            <wp:positionV relativeFrom="paragraph">
              <wp:posOffset>-29210</wp:posOffset>
            </wp:positionV>
            <wp:extent cx="21590" cy="29845"/>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8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-29210</wp:posOffset>
            </wp:positionV>
            <wp:extent cx="38735" cy="29845"/>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8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6871970</wp:posOffset>
            </wp:positionH>
            <wp:positionV relativeFrom="paragraph">
              <wp:posOffset>-29210</wp:posOffset>
            </wp:positionV>
            <wp:extent cx="12700" cy="29845"/>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8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6932295</wp:posOffset>
            </wp:positionH>
            <wp:positionV relativeFrom="paragraph">
              <wp:posOffset>-29210</wp:posOffset>
            </wp:positionV>
            <wp:extent cx="21590" cy="29845"/>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-29210</wp:posOffset>
            </wp:positionV>
            <wp:extent cx="38735" cy="29845"/>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1">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141" w:lineRule="exact"/>
        <w:rPr>
          <w:sz w:val="20"/>
          <w:szCs w:val="20"/>
          <w:color w:val="auto"/>
        </w:rPr>
      </w:pPr>
    </w:p>
    <w:p>
      <w:pPr>
        <w:ind w:left="340" w:hanging="332"/>
        <w:spacing w:after="0"/>
        <w:tabs>
          <w:tab w:leader="none" w:pos="340" w:val="left"/>
        </w:tabs>
        <w:numPr>
          <w:ilvl w:val="0"/>
          <w:numId w:val="53"/>
        </w:numPr>
        <w:rPr>
          <w:rFonts w:ascii="Arial" w:cs="Arial" w:eastAsia="Arial" w:hAnsi="Arial"/>
          <w:sz w:val="14"/>
          <w:szCs w:val="14"/>
          <w:color w:val="auto"/>
        </w:rPr>
      </w:pPr>
      <w:r>
        <w:rPr>
          <w:rFonts w:ascii="Arial" w:cs="Arial" w:eastAsia="Arial" w:hAnsi="Arial"/>
          <w:sz w:val="14"/>
          <w:szCs w:val="14"/>
          <w:color w:val="auto"/>
        </w:rPr>
        <w:t>Includes debt extinguishment cost of $81 million ($0.14 per share – diluted).</w:t>
      </w:r>
    </w:p>
    <w:p>
      <w:pPr>
        <w:ind w:left="340" w:hanging="332"/>
        <w:spacing w:after="0" w:line="221" w:lineRule="auto"/>
        <w:tabs>
          <w:tab w:leader="none" w:pos="340" w:val="left"/>
        </w:tabs>
        <w:numPr>
          <w:ilvl w:val="0"/>
          <w:numId w:val="53"/>
        </w:numPr>
        <w:rPr>
          <w:rFonts w:ascii="Arial" w:cs="Arial" w:eastAsia="Arial" w:hAnsi="Arial"/>
          <w:sz w:val="14"/>
          <w:szCs w:val="14"/>
          <w:color w:val="auto"/>
        </w:rPr>
      </w:pPr>
      <w:r>
        <w:rPr>
          <w:rFonts w:ascii="Arial" w:cs="Arial" w:eastAsia="Arial" w:hAnsi="Arial"/>
          <w:sz w:val="14"/>
          <w:szCs w:val="14"/>
          <w:color w:val="auto"/>
        </w:rPr>
        <w:t>Includes a net, after-tax charge of $298 million ($0.49 per share – diluted).</w:t>
      </w:r>
    </w:p>
    <w:p>
      <w:pPr>
        <w:ind w:left="340" w:hanging="332"/>
        <w:spacing w:after="0" w:line="221" w:lineRule="auto"/>
        <w:tabs>
          <w:tab w:leader="none" w:pos="340" w:val="left"/>
        </w:tabs>
        <w:numPr>
          <w:ilvl w:val="0"/>
          <w:numId w:val="53"/>
        </w:numPr>
        <w:rPr>
          <w:rFonts w:ascii="Arial" w:cs="Arial" w:eastAsia="Arial" w:hAnsi="Arial"/>
          <w:sz w:val="14"/>
          <w:szCs w:val="14"/>
          <w:color w:val="auto"/>
        </w:rPr>
      </w:pPr>
      <w:r>
        <w:rPr>
          <w:rFonts w:ascii="Arial" w:cs="Arial" w:eastAsia="Arial" w:hAnsi="Arial"/>
          <w:sz w:val="14"/>
          <w:szCs w:val="14"/>
          <w:color w:val="auto"/>
        </w:rPr>
        <w:t>Includes a net, after-tax charge of $61 million ($0.10 per share – diluted).</w:t>
      </w:r>
    </w:p>
    <w:p>
      <w:pPr>
        <w:ind w:left="340" w:hanging="332"/>
        <w:spacing w:after="0" w:line="221" w:lineRule="auto"/>
        <w:tabs>
          <w:tab w:leader="none" w:pos="340" w:val="left"/>
        </w:tabs>
        <w:numPr>
          <w:ilvl w:val="0"/>
          <w:numId w:val="53"/>
        </w:numPr>
        <w:rPr>
          <w:rFonts w:ascii="Arial" w:cs="Arial" w:eastAsia="Arial" w:hAnsi="Arial"/>
          <w:sz w:val="14"/>
          <w:szCs w:val="14"/>
          <w:color w:val="auto"/>
        </w:rPr>
      </w:pPr>
      <w:r>
        <w:rPr>
          <w:rFonts w:ascii="Arial" w:cs="Arial" w:eastAsia="Arial" w:hAnsi="Arial"/>
          <w:sz w:val="14"/>
          <w:szCs w:val="14"/>
          <w:color w:val="auto"/>
        </w:rPr>
        <w:t>Includes an after-tax charge of $29 million ($0.05 per share – diluted).</w:t>
      </w:r>
    </w:p>
    <w:p>
      <w:pPr>
        <w:ind w:left="340" w:hanging="332"/>
        <w:spacing w:after="0" w:line="221" w:lineRule="auto"/>
        <w:tabs>
          <w:tab w:leader="none" w:pos="340" w:val="left"/>
        </w:tabs>
        <w:numPr>
          <w:ilvl w:val="0"/>
          <w:numId w:val="53"/>
        </w:numPr>
        <w:rPr>
          <w:rFonts w:ascii="Arial" w:cs="Arial" w:eastAsia="Arial" w:hAnsi="Arial"/>
          <w:sz w:val="14"/>
          <w:szCs w:val="14"/>
          <w:color w:val="auto"/>
        </w:rPr>
      </w:pPr>
      <w:r>
        <w:rPr>
          <w:rFonts w:ascii="Arial" w:cs="Arial" w:eastAsia="Arial" w:hAnsi="Arial"/>
          <w:sz w:val="14"/>
          <w:szCs w:val="14"/>
          <w:color w:val="auto"/>
        </w:rPr>
        <w:t>Includes a net, after-tax charge of $3,081 million ($5.30 per share).</w:t>
      </w:r>
    </w:p>
    <w:p>
      <w:pPr>
        <w:ind w:left="300" w:hanging="292"/>
        <w:spacing w:after="0"/>
        <w:tabs>
          <w:tab w:leader="none" w:pos="300" w:val="left"/>
        </w:tabs>
        <w:numPr>
          <w:ilvl w:val="0"/>
          <w:numId w:val="53"/>
        </w:numPr>
        <w:rPr>
          <w:rFonts w:ascii="Arial" w:cs="Arial" w:eastAsia="Arial" w:hAnsi="Arial"/>
          <w:sz w:val="14"/>
          <w:szCs w:val="14"/>
          <w:color w:val="auto"/>
        </w:rPr>
      </w:pPr>
      <w:r>
        <w:rPr>
          <w:rFonts w:ascii="Arial" w:cs="Arial" w:eastAsia="Arial" w:hAnsi="Arial"/>
          <w:sz w:val="14"/>
          <w:szCs w:val="14"/>
          <w:color w:val="auto"/>
        </w:rPr>
        <w:t>The addition of earnings per share by quarter may not equal total earnings per share for the year.</w:t>
      </w:r>
    </w:p>
    <w:p>
      <w:pPr>
        <w:spacing w:after="0" w:line="43" w:lineRule="exact"/>
        <w:rPr>
          <w:sz w:val="20"/>
          <w:szCs w:val="20"/>
          <w:color w:val="auto"/>
        </w:rPr>
      </w:pPr>
    </w:p>
    <w:p>
      <w:pPr>
        <w:ind w:left="580" w:hanging="572"/>
        <w:spacing w:after="0"/>
        <w:tabs>
          <w:tab w:leader="none" w:pos="580" w:val="left"/>
        </w:tabs>
        <w:numPr>
          <w:ilvl w:val="0"/>
          <w:numId w:val="54"/>
        </w:numPr>
        <w:rPr>
          <w:rFonts w:ascii="Arial" w:cs="Arial" w:eastAsia="Arial" w:hAnsi="Arial"/>
          <w:sz w:val="14"/>
          <w:szCs w:val="14"/>
          <w:color w:val="auto"/>
        </w:rPr>
      </w:pPr>
      <w:r>
        <w:rPr>
          <w:rFonts w:ascii="Arial" w:cs="Arial" w:eastAsia="Arial" w:hAnsi="Arial"/>
          <w:sz w:val="14"/>
          <w:szCs w:val="14"/>
          <w:color w:val="auto"/>
        </w:rPr>
        <w:t>Mark of Schlumberger</w:t>
      </w:r>
    </w:p>
    <w:p>
      <w:pPr>
        <w:spacing w:after="0" w:line="128" w:lineRule="exact"/>
        <w:rPr>
          <w:sz w:val="20"/>
          <w:szCs w:val="20"/>
          <w:color w:val="auto"/>
        </w:rPr>
      </w:pPr>
    </w:p>
    <w:p>
      <w:pPr>
        <w:ind w:right="3080"/>
        <w:spacing w:after="0" w:line="343" w:lineRule="auto"/>
        <w:rPr>
          <w:sz w:val="20"/>
          <w:szCs w:val="20"/>
          <w:color w:val="auto"/>
        </w:rPr>
      </w:pPr>
      <w:r>
        <w:rPr>
          <w:rFonts w:ascii="Arial" w:cs="Arial" w:eastAsia="Arial" w:hAnsi="Arial"/>
          <w:sz w:val="18"/>
          <w:szCs w:val="18"/>
          <w:b w:val="1"/>
          <w:bCs w:val="1"/>
          <w:color w:val="auto"/>
        </w:rPr>
        <w:t xml:space="preserve">Item 9 Changes in and Disagreements with Accountants on Accounting and Financial Disclosures </w:t>
      </w:r>
      <w:r>
        <w:rPr>
          <w:rFonts w:ascii="Arial" w:cs="Arial" w:eastAsia="Arial" w:hAnsi="Arial"/>
          <w:sz w:val="18"/>
          <w:szCs w:val="18"/>
          <w:color w:val="auto"/>
        </w:rPr>
        <w:t>NONE</w:t>
      </w:r>
    </w:p>
    <w:p>
      <w:pPr>
        <w:spacing w:after="0" w:line="43"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6"/>
          <w:szCs w:val="16"/>
          <w:b w:val="1"/>
          <w:bCs w:val="1"/>
          <w:color w:val="auto"/>
        </w:rPr>
        <w:t>Controls and Procedures</w:t>
      </w:r>
    </w:p>
    <w:p>
      <w:pPr>
        <w:spacing w:after="0" w:line="74"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At the end of the period covered by this report, an evaluation was carried out under the supervision and with the participation of Schlumberger’s management, including the Chief Executive officer (“CEO”) and Chief Financial Officer (“CFO”), of the effectiveness of the design and operation of Schlumberger’s disclosure controls and procedures pursuant to Rule 13a – 15 of the Securities Exchange Act of 1934 (the “Exchange Act”). Based on that evaluation, the CEO and CFO have concluded that Schlumberger’s disclosure controls and procedures were effective as of December 31, 2003 to ensure that information required to be disclosed by Schlumberger in reports that it files or submits under the Exchange Act is recorded, processed, summarized and reported within the time periods specified in Securities and Exchange Commission rules and forms. There has been no change in our internal controls over financial reporting that occurred during the year ended December 31, 2003 that has materially affected or is reasonably likely to materially affect, our internal controls over financial reporting.</w:t>
      </w:r>
    </w:p>
    <w:p>
      <w:pPr>
        <w:spacing w:after="0" w:line="103" w:lineRule="exact"/>
        <w:rPr>
          <w:sz w:val="20"/>
          <w:szCs w:val="20"/>
          <w:color w:val="auto"/>
        </w:rPr>
      </w:pPr>
    </w:p>
    <w:p>
      <w:pPr>
        <w:spacing w:after="0"/>
        <w:tabs>
          <w:tab w:leader="none" w:pos="10400" w:val="left"/>
        </w:tabs>
        <w:rPr>
          <w:sz w:val="20"/>
          <w:szCs w:val="20"/>
          <w:color w:val="auto"/>
        </w:rPr>
      </w:pPr>
      <w:r>
        <w:rPr>
          <w:rFonts w:ascii="Arial" w:cs="Arial" w:eastAsia="Arial" w:hAnsi="Arial"/>
          <w:sz w:val="14"/>
          <w:szCs w:val="14"/>
          <w:color w:val="auto"/>
        </w:rPr>
        <w:t>71 / SLB</w:t>
      </w:r>
      <w:r>
        <w:rPr>
          <w:sz w:val="20"/>
          <w:szCs w:val="20"/>
          <w:color w:val="auto"/>
        </w:rPr>
        <w:tab/>
      </w:r>
      <w:r>
        <w:rPr>
          <w:rFonts w:ascii="Arial" w:cs="Arial" w:eastAsia="Arial" w:hAnsi="Arial"/>
          <w:sz w:val="12"/>
          <w:szCs w:val="12"/>
          <w:color w:val="auto"/>
        </w:rPr>
        <w:t>2003 FORM 10-K</w:t>
      </w:r>
    </w:p>
    <w:p>
      <w:pPr>
        <w:sectPr>
          <w:pgSz w:w="11900" w:h="16838" w:orient="portrait"/>
          <w:cols w:equalWidth="0" w:num="1">
            <w:col w:w="11420"/>
          </w:cols>
          <w:pgMar w:left="240" w:top="459" w:right="2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4"/>
          <w:szCs w:val="14"/>
          <w:color w:val="auto"/>
        </w:rPr>
        <w:t>Part III, Item 10, 11, 12, 13, 14</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PART III</w:t>
      </w:r>
    </w:p>
    <w:p>
      <w:pPr>
        <w:spacing w:after="0" w:line="147"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Directors and Executive Officers of Schlumberger</w:t>
      </w:r>
    </w:p>
    <w:p>
      <w:pPr>
        <w:spacing w:after="0" w:line="74" w:lineRule="exact"/>
        <w:rPr>
          <w:sz w:val="20"/>
          <w:szCs w:val="20"/>
          <w:color w:val="auto"/>
        </w:rPr>
      </w:pPr>
    </w:p>
    <w:p>
      <w:pPr>
        <w:jc w:val="both"/>
        <w:ind w:right="320"/>
        <w:spacing w:after="0" w:line="259" w:lineRule="auto"/>
        <w:rPr>
          <w:sz w:val="20"/>
          <w:szCs w:val="20"/>
          <w:color w:val="auto"/>
        </w:rPr>
      </w:pPr>
      <w:r>
        <w:rPr>
          <w:rFonts w:ascii="Arial" w:cs="Arial" w:eastAsia="Arial" w:hAnsi="Arial"/>
          <w:sz w:val="18"/>
          <w:szCs w:val="18"/>
          <w:color w:val="auto"/>
        </w:rPr>
        <w:t>See Part I (on pages 8 and 9) for Item 10 information regarding Executive Officers of Schlumberger. The information with respect to the remaining portion of Item 10 is set forth in the first section under the caption, “Election of Directors”, in Schlumberger’s Proxy Statement to be filed for the April 14, 2004 Annual General Meeting, and is incorporated by reference.</w:t>
      </w:r>
    </w:p>
    <w:p>
      <w:pPr>
        <w:spacing w:after="0" w:line="116"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6"/>
          <w:szCs w:val="16"/>
          <w:b w:val="1"/>
          <w:bCs w:val="1"/>
          <w:color w:val="auto"/>
        </w:rPr>
        <w:t>Executive Compensation</w:t>
      </w:r>
    </w:p>
    <w:p>
      <w:pPr>
        <w:spacing w:after="0" w:line="74" w:lineRule="exact"/>
        <w:rPr>
          <w:sz w:val="20"/>
          <w:szCs w:val="20"/>
          <w:color w:val="auto"/>
        </w:rPr>
      </w:pPr>
    </w:p>
    <w:p>
      <w:pPr>
        <w:jc w:val="both"/>
        <w:ind w:right="140"/>
        <w:spacing w:after="0" w:line="259" w:lineRule="auto"/>
        <w:rPr>
          <w:sz w:val="20"/>
          <w:szCs w:val="20"/>
          <w:color w:val="auto"/>
        </w:rPr>
      </w:pPr>
      <w:r>
        <w:rPr>
          <w:rFonts w:ascii="Arial" w:cs="Arial" w:eastAsia="Arial" w:hAnsi="Arial"/>
          <w:sz w:val="18"/>
          <w:szCs w:val="18"/>
          <w:color w:val="auto"/>
        </w:rPr>
        <w:t>The information set forth under “Executive Compensation” (other than that set forth under the subcaptions “Corporate Performance Graph” and “Compensation Committee Report on Executive Compensation”) in Schlumberger’s Proxy Statement to be filed for the April 14, 2004 Annual General Meeting, is incorporated by reference.</w:t>
      </w:r>
    </w:p>
    <w:p>
      <w:pPr>
        <w:spacing w:after="0" w:line="116" w:lineRule="exact"/>
        <w:rPr>
          <w:sz w:val="20"/>
          <w:szCs w:val="20"/>
          <w:color w:val="auto"/>
        </w:rPr>
      </w:pPr>
    </w:p>
    <w:p>
      <w:pPr>
        <w:ind w:left="100"/>
        <w:spacing w:after="0"/>
        <w:tabs>
          <w:tab w:leader="none" w:pos="88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6"/>
          <w:szCs w:val="16"/>
          <w:b w:val="1"/>
          <w:bCs w:val="1"/>
          <w:color w:val="auto"/>
        </w:rPr>
        <w:t>Security Ownership of Certain Beneficial Owners and Management and Related Stockholder Matters</w:t>
      </w:r>
    </w:p>
    <w:p>
      <w:pPr>
        <w:spacing w:after="0" w:line="74" w:lineRule="exact"/>
        <w:rPr>
          <w:sz w:val="20"/>
          <w:szCs w:val="20"/>
          <w:color w:val="auto"/>
        </w:rPr>
      </w:pPr>
    </w:p>
    <w:p>
      <w:pPr>
        <w:ind w:right="460"/>
        <w:spacing w:after="0" w:line="332" w:lineRule="auto"/>
        <w:rPr>
          <w:sz w:val="20"/>
          <w:szCs w:val="20"/>
          <w:color w:val="auto"/>
        </w:rPr>
      </w:pPr>
      <w:r>
        <w:rPr>
          <w:rFonts w:ascii="Arial" w:cs="Arial" w:eastAsia="Arial" w:hAnsi="Arial"/>
          <w:sz w:val="16"/>
          <w:szCs w:val="16"/>
          <w:color w:val="auto"/>
        </w:rPr>
        <w:t>The information with respect to Item 12 is set forth in Schlumberger’s Proxy Statement to be filed for the April 14, 2004 Annual General Meeting under the caption, “Security Ownership of Certain Beneficial Owners and Management,” and such information is incorporated herein by reference.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Compensation Plan Information</w:t>
      </w:r>
    </w:p>
    <w:p>
      <w:pPr>
        <w:spacing w:after="0" w:line="72" w:lineRule="exact"/>
        <w:rPr>
          <w:sz w:val="20"/>
          <w:szCs w:val="20"/>
          <w:color w:val="auto"/>
        </w:rPr>
      </w:pPr>
    </w:p>
    <w:p>
      <w:pPr>
        <w:ind w:right="20"/>
        <w:spacing w:after="0" w:line="332" w:lineRule="auto"/>
        <w:rPr>
          <w:sz w:val="20"/>
          <w:szCs w:val="20"/>
          <w:color w:val="auto"/>
        </w:rPr>
      </w:pPr>
      <w:r>
        <w:rPr>
          <w:rFonts w:ascii="Arial" w:cs="Arial" w:eastAsia="Arial" w:hAnsi="Arial"/>
          <w:sz w:val="16"/>
          <w:szCs w:val="16"/>
          <w:color w:val="auto"/>
        </w:rPr>
        <w:t>The information with respect to “Equity Compensation Plan Information” is set forth in Schlumberger’s Proxy Statement to be filed for the April 14, 2004 Annual General Meeting under the caption “Equity Compensation Plan Information” and such information is incorporated herein by reference.</w:t>
      </w:r>
    </w:p>
    <w:p>
      <w:pPr>
        <w:spacing w:after="0" w:line="61"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6"/>
          <w:szCs w:val="16"/>
          <w:b w:val="1"/>
          <w:bCs w:val="1"/>
          <w:color w:val="auto"/>
        </w:rPr>
        <w:t>Certain Relationships and Related Transactions</w:t>
      </w:r>
    </w:p>
    <w:p>
      <w:pPr>
        <w:spacing w:after="0" w:line="74"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Information regarding this item may be found on page 1, the last two sentences of footnote 2, in Schlumberger’s Proxy Statement to be filed for the April 14, 2004 Annual General Meeting and is incorporated by reference.</w:t>
      </w:r>
    </w:p>
    <w:p>
      <w:pPr>
        <w:spacing w:after="0" w:line="108"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6"/>
          <w:szCs w:val="16"/>
          <w:b w:val="1"/>
          <w:bCs w:val="1"/>
          <w:color w:val="auto"/>
        </w:rPr>
        <w:t>Principal Accounting Fees and Services</w:t>
      </w:r>
    </w:p>
    <w:p>
      <w:pPr>
        <w:spacing w:after="0" w:line="74"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Information concerning the fees billed by our independent auditor and the nature of services comprising the fees for each of the two most recent fiscal years in each of the following categories: (i) audit fees, (ii) audit – related fees, (iii) tax fees and (iv) all other fees, is set forth in the Audit Committee Report segment of the Proxy Statement and is incorporated herein reference.</w:t>
      </w:r>
    </w:p>
    <w:p>
      <w:pPr>
        <w:ind w:right="160" w:firstLine="228"/>
        <w:spacing w:after="0" w:line="323" w:lineRule="auto"/>
        <w:rPr>
          <w:sz w:val="20"/>
          <w:szCs w:val="20"/>
          <w:color w:val="auto"/>
        </w:rPr>
      </w:pPr>
      <w:r>
        <w:rPr>
          <w:rFonts w:ascii="Arial" w:cs="Arial" w:eastAsia="Arial" w:hAnsi="Arial"/>
          <w:sz w:val="16"/>
          <w:szCs w:val="16"/>
          <w:color w:val="auto"/>
        </w:rPr>
        <w:t>Information concerning Schlumberger’s Audit Committee policies and procedures pertaining to pre-approval of audit and non-audit services rendered by our independent auditor is set forth in the Audit Committee segment of the Proxy Statement and is incorporated herein by reference.</w:t>
      </w:r>
    </w:p>
    <w:p>
      <w:pPr>
        <w:spacing w:after="0" w:line="77" w:lineRule="exact"/>
        <w:rPr>
          <w:sz w:val="20"/>
          <w:szCs w:val="20"/>
          <w:color w:val="auto"/>
        </w:rPr>
      </w:pPr>
    </w:p>
    <w:p>
      <w:pPr>
        <w:spacing w:after="0"/>
        <w:tabs>
          <w:tab w:leader="none" w:pos="10400" w:val="left"/>
        </w:tabs>
        <w:rPr>
          <w:sz w:val="20"/>
          <w:szCs w:val="20"/>
          <w:color w:val="auto"/>
        </w:rPr>
      </w:pPr>
      <w:r>
        <w:rPr>
          <w:rFonts w:ascii="Arial" w:cs="Arial" w:eastAsia="Arial" w:hAnsi="Arial"/>
          <w:sz w:val="14"/>
          <w:szCs w:val="14"/>
          <w:color w:val="auto"/>
        </w:rPr>
        <w:t>72 / SLB</w:t>
      </w:r>
      <w:r>
        <w:rPr>
          <w:sz w:val="20"/>
          <w:szCs w:val="20"/>
          <w:color w:val="auto"/>
        </w:rPr>
        <w:tab/>
      </w:r>
      <w:r>
        <w:rPr>
          <w:rFonts w:ascii="Arial" w:cs="Arial" w:eastAsia="Arial" w:hAnsi="Arial"/>
          <w:sz w:val="12"/>
          <w:szCs w:val="12"/>
          <w:color w:val="auto"/>
        </w:rPr>
        <w:t>2003 FORM 10-K</w:t>
      </w:r>
    </w:p>
    <w:p>
      <w:pPr>
        <w:sectPr>
          <w:pgSz w:w="11900" w:h="16838" w:orient="portrait"/>
          <w:cols w:equalWidth="0" w:num="1">
            <w:col w:w="11420"/>
          </w:cols>
          <w:pgMar w:left="240" w:top="459" w:right="2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69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4"/>
          <w:szCs w:val="14"/>
          <w:color w:val="auto"/>
        </w:rPr>
        <w:t>Part IV, Item 15</w:t>
      </w:r>
    </w:p>
    <w:p>
      <w:pPr>
        <w:spacing w:after="0" w:line="139"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PART IV</w:t>
      </w:r>
    </w:p>
    <w:p>
      <w:pPr>
        <w:spacing w:after="0" w:line="147"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6"/>
          <w:szCs w:val="16"/>
          <w:b w:val="1"/>
          <w:bCs w:val="1"/>
          <w:color w:val="auto"/>
        </w:rPr>
        <w:t>Exhibits, Financial Statement Schedules and Reports on Form 8-K</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documents are filed as part of this report:</w:t>
      </w:r>
    </w:p>
    <w:p>
      <w:pPr>
        <w:spacing w:after="0" w:line="72" w:lineRule="exact"/>
        <w:rPr>
          <w:sz w:val="20"/>
          <w:szCs w:val="20"/>
          <w:color w:val="auto"/>
        </w:rPr>
      </w:pPr>
    </w:p>
    <w:p>
      <w:pPr>
        <w:ind w:left="10180"/>
        <w:spacing w:after="0"/>
        <w:rPr>
          <w:sz w:val="20"/>
          <w:szCs w:val="20"/>
          <w:color w:val="auto"/>
        </w:rPr>
      </w:pPr>
      <w:r>
        <w:rPr>
          <w:rFonts w:ascii="Arial" w:cs="Arial" w:eastAsia="Arial" w:hAnsi="Arial"/>
          <w:sz w:val="14"/>
          <w:szCs w:val="14"/>
          <w:b w:val="1"/>
          <w:bCs w:val="1"/>
          <w:color w:val="auto"/>
        </w:rPr>
        <w:t>Page(s)</w:t>
      </w:r>
    </w:p>
    <w:p>
      <w:pPr>
        <w:spacing w:after="0" w:line="60" w:lineRule="exact"/>
        <w:rPr>
          <w:sz w:val="20"/>
          <w:szCs w:val="20"/>
          <w:color w:val="auto"/>
        </w:rPr>
      </w:pPr>
    </w:p>
    <w:p>
      <w:pPr>
        <w:ind w:left="820" w:hanging="812"/>
        <w:spacing w:after="0"/>
        <w:tabs>
          <w:tab w:leader="none" w:pos="8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Financial Statements</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20" w:type="dxa"/>
            <w:vAlign w:val="bottom"/>
          </w:tcPr>
          <w:p>
            <w:pPr>
              <w:spacing w:after="0"/>
              <w:rPr>
                <w:sz w:val="17"/>
                <w:szCs w:val="17"/>
                <w:color w:val="auto"/>
              </w:rPr>
            </w:pPr>
          </w:p>
        </w:tc>
        <w:tc>
          <w:tcPr>
            <w:tcW w:w="5640" w:type="dxa"/>
            <w:vAlign w:val="bottom"/>
            <w:tcBorders>
              <w:bottom w:val="single" w:sz="8" w:color="0000EE"/>
            </w:tcBorders>
            <w:gridSpan w:val="5"/>
          </w:tcPr>
          <w:p>
            <w:pPr>
              <w:spacing w:after="0"/>
              <w:rPr>
                <w:rFonts w:ascii="Arial" w:cs="Arial" w:eastAsia="Arial" w:hAnsi="Arial"/>
                <w:sz w:val="18"/>
                <w:szCs w:val="18"/>
                <w:color w:val="0000EE"/>
                <w:w w:val="87"/>
              </w:rPr>
            </w:pPr>
            <w:hyperlink w:anchor="page35">
              <w:r>
                <w:rPr>
                  <w:rFonts w:ascii="Arial" w:cs="Arial" w:eastAsia="Arial" w:hAnsi="Arial"/>
                  <w:sz w:val="18"/>
                  <w:szCs w:val="18"/>
                  <w:color w:val="0000EE"/>
                  <w:w w:val="87"/>
                </w:rPr>
                <w:t>Consolidated Statement of Income for the three years ended December 31, 2003</w:t>
              </w:r>
            </w:hyperlink>
          </w:p>
        </w:tc>
        <w:tc>
          <w:tcPr>
            <w:tcW w:w="3140" w:type="dxa"/>
            <w:vAlign w:val="bottom"/>
            <w:gridSpan w:val="3"/>
          </w:tcPr>
          <w:p>
            <w:pPr>
              <w:spacing w:after="0"/>
              <w:rPr>
                <w:sz w:val="17"/>
                <w:szCs w:val="17"/>
                <w:color w:val="auto"/>
              </w:rPr>
            </w:pPr>
          </w:p>
        </w:tc>
        <w:tc>
          <w:tcPr>
            <w:tcW w:w="1560" w:type="dxa"/>
            <w:vAlign w:val="bottom"/>
          </w:tcPr>
          <w:p>
            <w:pPr>
              <w:ind w:left="580"/>
              <w:spacing w:after="0"/>
              <w:rPr>
                <w:sz w:val="20"/>
                <w:szCs w:val="20"/>
                <w:color w:val="auto"/>
              </w:rPr>
            </w:pPr>
            <w:r>
              <w:rPr>
                <w:rFonts w:ascii="Arial" w:cs="Arial" w:eastAsia="Arial" w:hAnsi="Arial"/>
                <w:sz w:val="18"/>
                <w:szCs w:val="18"/>
                <w:color w:val="auto"/>
              </w:rPr>
              <w:t>35</w:t>
            </w:r>
          </w:p>
        </w:tc>
      </w:tr>
      <w:tr>
        <w:trPr>
          <w:trHeight w:val="264"/>
        </w:trPr>
        <w:tc>
          <w:tcPr>
            <w:tcW w:w="820" w:type="dxa"/>
            <w:vAlign w:val="bottom"/>
          </w:tcPr>
          <w:p>
            <w:pPr>
              <w:spacing w:after="0"/>
              <w:rPr>
                <w:sz w:val="22"/>
                <w:szCs w:val="22"/>
                <w:color w:val="auto"/>
              </w:rPr>
            </w:pPr>
          </w:p>
        </w:tc>
        <w:tc>
          <w:tcPr>
            <w:tcW w:w="4260" w:type="dxa"/>
            <w:vAlign w:val="bottom"/>
            <w:tcBorders>
              <w:bottom w:val="single" w:sz="8" w:color="0000EE"/>
            </w:tcBorders>
            <w:gridSpan w:val="4"/>
          </w:tcPr>
          <w:p>
            <w:pPr>
              <w:spacing w:after="0"/>
              <w:rPr>
                <w:rFonts w:ascii="Arial" w:cs="Arial" w:eastAsia="Arial" w:hAnsi="Arial"/>
                <w:sz w:val="18"/>
                <w:szCs w:val="18"/>
                <w:color w:val="0000EE"/>
                <w:w w:val="86"/>
              </w:rPr>
            </w:pPr>
            <w:hyperlink w:anchor="page36">
              <w:r>
                <w:rPr>
                  <w:rFonts w:ascii="Arial" w:cs="Arial" w:eastAsia="Arial" w:hAnsi="Arial"/>
                  <w:sz w:val="18"/>
                  <w:szCs w:val="18"/>
                  <w:color w:val="0000EE"/>
                  <w:w w:val="86"/>
                </w:rPr>
                <w:t>Consolidated Balance Sheet at December 31, 2003 and 2002</w:t>
              </w:r>
            </w:hyperlink>
          </w:p>
        </w:tc>
        <w:tc>
          <w:tcPr>
            <w:tcW w:w="4520" w:type="dxa"/>
            <w:vAlign w:val="bottom"/>
            <w:gridSpan w:val="4"/>
          </w:tcPr>
          <w:p>
            <w:pPr>
              <w:spacing w:after="0"/>
              <w:rPr>
                <w:sz w:val="22"/>
                <w:szCs w:val="22"/>
                <w:color w:val="auto"/>
              </w:rPr>
            </w:pPr>
          </w:p>
        </w:tc>
        <w:tc>
          <w:tcPr>
            <w:tcW w:w="1560" w:type="dxa"/>
            <w:vAlign w:val="bottom"/>
          </w:tcPr>
          <w:p>
            <w:pPr>
              <w:ind w:left="580"/>
              <w:spacing w:after="0"/>
              <w:rPr>
                <w:sz w:val="20"/>
                <w:szCs w:val="20"/>
                <w:color w:val="auto"/>
              </w:rPr>
            </w:pPr>
            <w:r>
              <w:rPr>
                <w:rFonts w:ascii="Arial" w:cs="Arial" w:eastAsia="Arial" w:hAnsi="Arial"/>
                <w:sz w:val="18"/>
                <w:szCs w:val="18"/>
                <w:color w:val="auto"/>
              </w:rPr>
              <w:t>36</w:t>
            </w:r>
          </w:p>
        </w:tc>
      </w:tr>
      <w:tr>
        <w:trPr>
          <w:trHeight w:val="264"/>
        </w:trPr>
        <w:tc>
          <w:tcPr>
            <w:tcW w:w="820" w:type="dxa"/>
            <w:vAlign w:val="bottom"/>
          </w:tcPr>
          <w:p>
            <w:pPr>
              <w:spacing w:after="0"/>
              <w:rPr>
                <w:sz w:val="22"/>
                <w:szCs w:val="22"/>
                <w:color w:val="auto"/>
              </w:rPr>
            </w:pPr>
          </w:p>
        </w:tc>
        <w:tc>
          <w:tcPr>
            <w:tcW w:w="5940" w:type="dxa"/>
            <w:vAlign w:val="bottom"/>
            <w:tcBorders>
              <w:bottom w:val="single" w:sz="8" w:color="0000EE"/>
            </w:tcBorders>
            <w:gridSpan w:val="6"/>
          </w:tcPr>
          <w:p>
            <w:pPr>
              <w:spacing w:after="0"/>
              <w:rPr>
                <w:rFonts w:ascii="Arial" w:cs="Arial" w:eastAsia="Arial" w:hAnsi="Arial"/>
                <w:sz w:val="18"/>
                <w:szCs w:val="18"/>
                <w:color w:val="0000EE"/>
                <w:w w:val="87"/>
              </w:rPr>
            </w:pPr>
            <w:hyperlink w:anchor="page37">
              <w:r>
                <w:rPr>
                  <w:rFonts w:ascii="Arial" w:cs="Arial" w:eastAsia="Arial" w:hAnsi="Arial"/>
                  <w:sz w:val="18"/>
                  <w:szCs w:val="18"/>
                  <w:color w:val="0000EE"/>
                  <w:w w:val="87"/>
                </w:rPr>
                <w:t>Consolidated Statement of Cash Flows for the three years ended December 31, 2003</w:t>
              </w:r>
            </w:hyperlink>
          </w:p>
        </w:tc>
        <w:tc>
          <w:tcPr>
            <w:tcW w:w="2840" w:type="dxa"/>
            <w:vAlign w:val="bottom"/>
            <w:gridSpan w:val="2"/>
          </w:tcPr>
          <w:p>
            <w:pPr>
              <w:spacing w:after="0"/>
              <w:rPr>
                <w:sz w:val="22"/>
                <w:szCs w:val="22"/>
                <w:color w:val="auto"/>
              </w:rPr>
            </w:pPr>
          </w:p>
        </w:tc>
        <w:tc>
          <w:tcPr>
            <w:tcW w:w="1560" w:type="dxa"/>
            <w:vAlign w:val="bottom"/>
          </w:tcPr>
          <w:p>
            <w:pPr>
              <w:ind w:left="580"/>
              <w:spacing w:after="0"/>
              <w:rPr>
                <w:sz w:val="20"/>
                <w:szCs w:val="20"/>
                <w:color w:val="auto"/>
              </w:rPr>
            </w:pPr>
            <w:r>
              <w:rPr>
                <w:rFonts w:ascii="Arial" w:cs="Arial" w:eastAsia="Arial" w:hAnsi="Arial"/>
                <w:sz w:val="18"/>
                <w:szCs w:val="18"/>
                <w:color w:val="auto"/>
              </w:rPr>
              <w:t>37</w:t>
            </w:r>
          </w:p>
        </w:tc>
      </w:tr>
      <w:tr>
        <w:trPr>
          <w:trHeight w:val="264"/>
        </w:trPr>
        <w:tc>
          <w:tcPr>
            <w:tcW w:w="820" w:type="dxa"/>
            <w:vAlign w:val="bottom"/>
          </w:tcPr>
          <w:p>
            <w:pPr>
              <w:spacing w:after="0"/>
              <w:rPr>
                <w:sz w:val="22"/>
                <w:szCs w:val="22"/>
                <w:color w:val="auto"/>
              </w:rPr>
            </w:pPr>
          </w:p>
        </w:tc>
        <w:tc>
          <w:tcPr>
            <w:tcW w:w="6600" w:type="dxa"/>
            <w:vAlign w:val="bottom"/>
            <w:tcBorders>
              <w:bottom w:val="single" w:sz="8" w:color="0000EE"/>
            </w:tcBorders>
            <w:gridSpan w:val="7"/>
          </w:tcPr>
          <w:p>
            <w:pPr>
              <w:spacing w:after="0"/>
              <w:rPr>
                <w:rFonts w:ascii="Arial" w:cs="Arial" w:eastAsia="Arial" w:hAnsi="Arial"/>
                <w:sz w:val="18"/>
                <w:szCs w:val="18"/>
                <w:color w:val="0000EE"/>
                <w:w w:val="87"/>
              </w:rPr>
            </w:pPr>
            <w:hyperlink w:anchor="page38">
              <w:r>
                <w:rPr>
                  <w:rFonts w:ascii="Arial" w:cs="Arial" w:eastAsia="Arial" w:hAnsi="Arial"/>
                  <w:sz w:val="18"/>
                  <w:szCs w:val="18"/>
                  <w:color w:val="0000EE"/>
                  <w:w w:val="87"/>
                </w:rPr>
                <w:t>Consolidated Statement of Stockholders’ Equity for the three years ended December 31, 2003</w:t>
              </w:r>
            </w:hyperlink>
          </w:p>
        </w:tc>
        <w:tc>
          <w:tcPr>
            <w:tcW w:w="2180" w:type="dxa"/>
            <w:vAlign w:val="bottom"/>
          </w:tcPr>
          <w:p>
            <w:pPr>
              <w:spacing w:after="0"/>
              <w:rPr>
                <w:sz w:val="22"/>
                <w:szCs w:val="22"/>
                <w:color w:val="auto"/>
              </w:rPr>
            </w:pPr>
          </w:p>
        </w:tc>
        <w:tc>
          <w:tcPr>
            <w:tcW w:w="1560" w:type="dxa"/>
            <w:vAlign w:val="bottom"/>
          </w:tcPr>
          <w:p>
            <w:pPr>
              <w:ind w:left="580"/>
              <w:spacing w:after="0"/>
              <w:rPr>
                <w:sz w:val="20"/>
                <w:szCs w:val="20"/>
                <w:color w:val="auto"/>
              </w:rPr>
            </w:pPr>
            <w:r>
              <w:rPr>
                <w:rFonts w:ascii="Arial" w:cs="Arial" w:eastAsia="Arial" w:hAnsi="Arial"/>
                <w:sz w:val="18"/>
                <w:szCs w:val="18"/>
                <w:color w:val="auto"/>
              </w:rPr>
              <w:t>38 and 39</w:t>
            </w:r>
          </w:p>
        </w:tc>
      </w:tr>
      <w:tr>
        <w:trPr>
          <w:trHeight w:val="264"/>
        </w:trPr>
        <w:tc>
          <w:tcPr>
            <w:tcW w:w="820" w:type="dxa"/>
            <w:vAlign w:val="bottom"/>
          </w:tcPr>
          <w:p>
            <w:pPr>
              <w:spacing w:after="0"/>
              <w:rPr>
                <w:sz w:val="22"/>
                <w:szCs w:val="22"/>
                <w:color w:val="auto"/>
              </w:rPr>
            </w:pPr>
          </w:p>
        </w:tc>
        <w:tc>
          <w:tcPr>
            <w:tcW w:w="3080" w:type="dxa"/>
            <w:vAlign w:val="bottom"/>
            <w:tcBorders>
              <w:bottom w:val="single" w:sz="8" w:color="0000EE"/>
            </w:tcBorders>
            <w:gridSpan w:val="3"/>
          </w:tcPr>
          <w:p>
            <w:pPr>
              <w:spacing w:after="0"/>
              <w:rPr>
                <w:rFonts w:ascii="Arial" w:cs="Arial" w:eastAsia="Arial" w:hAnsi="Arial"/>
                <w:sz w:val="18"/>
                <w:szCs w:val="18"/>
                <w:color w:val="0000EE"/>
                <w:w w:val="87"/>
              </w:rPr>
            </w:pPr>
            <w:hyperlink w:anchor="page40">
              <w:r>
                <w:rPr>
                  <w:rFonts w:ascii="Arial" w:cs="Arial" w:eastAsia="Arial" w:hAnsi="Arial"/>
                  <w:sz w:val="18"/>
                  <w:szCs w:val="18"/>
                  <w:color w:val="0000EE"/>
                  <w:w w:val="87"/>
                </w:rPr>
                <w:t>Notes to Consolidated Financial Statements</w:t>
              </w:r>
            </w:hyperlink>
          </w:p>
        </w:tc>
        <w:tc>
          <w:tcPr>
            <w:tcW w:w="5700" w:type="dxa"/>
            <w:vAlign w:val="bottom"/>
            <w:gridSpan w:val="5"/>
          </w:tcPr>
          <w:p>
            <w:pPr>
              <w:spacing w:after="0"/>
              <w:rPr>
                <w:sz w:val="22"/>
                <w:szCs w:val="22"/>
                <w:color w:val="auto"/>
              </w:rPr>
            </w:pPr>
          </w:p>
        </w:tc>
        <w:tc>
          <w:tcPr>
            <w:tcW w:w="1560" w:type="dxa"/>
            <w:vAlign w:val="bottom"/>
          </w:tcPr>
          <w:p>
            <w:pPr>
              <w:ind w:left="580"/>
              <w:spacing w:after="0"/>
              <w:rPr>
                <w:sz w:val="20"/>
                <w:szCs w:val="20"/>
                <w:color w:val="auto"/>
              </w:rPr>
            </w:pPr>
            <w:r>
              <w:rPr>
                <w:rFonts w:ascii="Arial" w:cs="Arial" w:eastAsia="Arial" w:hAnsi="Arial"/>
                <w:sz w:val="18"/>
                <w:szCs w:val="18"/>
                <w:color w:val="auto"/>
              </w:rPr>
              <w:t>40 to 69</w:t>
            </w:r>
          </w:p>
        </w:tc>
      </w:tr>
      <w:tr>
        <w:trPr>
          <w:trHeight w:val="264"/>
        </w:trPr>
        <w:tc>
          <w:tcPr>
            <w:tcW w:w="820" w:type="dxa"/>
            <w:vAlign w:val="bottom"/>
          </w:tcPr>
          <w:p>
            <w:pPr>
              <w:spacing w:after="0"/>
              <w:rPr>
                <w:sz w:val="22"/>
                <w:szCs w:val="22"/>
                <w:color w:val="auto"/>
              </w:rPr>
            </w:pPr>
          </w:p>
        </w:tc>
        <w:tc>
          <w:tcPr>
            <w:tcW w:w="2240" w:type="dxa"/>
            <w:vAlign w:val="bottom"/>
            <w:tcBorders>
              <w:bottom w:val="single" w:sz="8" w:color="0000EE"/>
            </w:tcBorders>
            <w:gridSpan w:val="2"/>
          </w:tcPr>
          <w:p>
            <w:pPr>
              <w:spacing w:after="0"/>
              <w:rPr>
                <w:rFonts w:ascii="Arial" w:cs="Arial" w:eastAsia="Arial" w:hAnsi="Arial"/>
                <w:sz w:val="18"/>
                <w:szCs w:val="18"/>
                <w:color w:val="0000EE"/>
                <w:w w:val="88"/>
              </w:rPr>
            </w:pPr>
            <w:hyperlink w:anchor="page70">
              <w:r>
                <w:rPr>
                  <w:rFonts w:ascii="Arial" w:cs="Arial" w:eastAsia="Arial" w:hAnsi="Arial"/>
                  <w:sz w:val="18"/>
                  <w:szCs w:val="18"/>
                  <w:color w:val="0000EE"/>
                  <w:w w:val="88"/>
                </w:rPr>
                <w:t>Report of Independent Auditors</w:t>
              </w:r>
            </w:hyperlink>
          </w:p>
        </w:tc>
        <w:tc>
          <w:tcPr>
            <w:tcW w:w="6540" w:type="dxa"/>
            <w:vAlign w:val="bottom"/>
            <w:gridSpan w:val="6"/>
          </w:tcPr>
          <w:p>
            <w:pPr>
              <w:spacing w:after="0"/>
              <w:rPr>
                <w:sz w:val="22"/>
                <w:szCs w:val="22"/>
                <w:color w:val="auto"/>
              </w:rPr>
            </w:pPr>
          </w:p>
        </w:tc>
        <w:tc>
          <w:tcPr>
            <w:tcW w:w="1560" w:type="dxa"/>
            <w:vAlign w:val="bottom"/>
          </w:tcPr>
          <w:p>
            <w:pPr>
              <w:ind w:left="580"/>
              <w:spacing w:after="0"/>
              <w:rPr>
                <w:sz w:val="20"/>
                <w:szCs w:val="20"/>
                <w:color w:val="auto"/>
              </w:rPr>
            </w:pPr>
            <w:r>
              <w:rPr>
                <w:rFonts w:ascii="Arial" w:cs="Arial" w:eastAsia="Arial" w:hAnsi="Arial"/>
                <w:sz w:val="18"/>
                <w:szCs w:val="18"/>
                <w:color w:val="auto"/>
              </w:rPr>
              <w:t>70</w:t>
            </w:r>
          </w:p>
        </w:tc>
      </w:tr>
      <w:tr>
        <w:trPr>
          <w:trHeight w:val="264"/>
        </w:trPr>
        <w:tc>
          <w:tcPr>
            <w:tcW w:w="820" w:type="dxa"/>
            <w:vAlign w:val="bottom"/>
          </w:tcPr>
          <w:p>
            <w:pPr>
              <w:spacing w:after="0"/>
              <w:rPr>
                <w:sz w:val="22"/>
                <w:szCs w:val="22"/>
                <w:color w:val="auto"/>
              </w:rPr>
            </w:pPr>
          </w:p>
        </w:tc>
        <w:tc>
          <w:tcPr>
            <w:tcW w:w="8780" w:type="dxa"/>
            <w:vAlign w:val="bottom"/>
            <w:gridSpan w:val="8"/>
          </w:tcPr>
          <w:p>
            <w:pPr>
              <w:spacing w:after="0"/>
              <w:rPr>
                <w:rFonts w:ascii="Arial" w:cs="Arial" w:eastAsia="Arial" w:hAnsi="Arial"/>
                <w:sz w:val="18"/>
                <w:szCs w:val="18"/>
                <w:color w:val="0000EE"/>
              </w:rPr>
            </w:pPr>
            <w:hyperlink w:anchor="page71">
              <w:r>
                <w:rPr>
                  <w:rFonts w:ascii="Arial" w:cs="Arial" w:eastAsia="Arial" w:hAnsi="Arial"/>
                  <w:sz w:val="18"/>
                  <w:szCs w:val="18"/>
                  <w:color w:val="0000EE"/>
                </w:rPr>
                <w:t>Quarterly Results (Unaudited)</w:t>
              </w:r>
            </w:hyperlink>
          </w:p>
        </w:tc>
        <w:tc>
          <w:tcPr>
            <w:tcW w:w="1560" w:type="dxa"/>
            <w:vAlign w:val="bottom"/>
          </w:tcPr>
          <w:p>
            <w:pPr>
              <w:ind w:left="580"/>
              <w:spacing w:after="0"/>
              <w:rPr>
                <w:sz w:val="20"/>
                <w:szCs w:val="20"/>
                <w:color w:val="auto"/>
              </w:rPr>
            </w:pPr>
            <w:r>
              <w:rPr>
                <w:rFonts w:ascii="Arial" w:cs="Arial" w:eastAsia="Arial" w:hAnsi="Arial"/>
                <w:sz w:val="18"/>
                <w:szCs w:val="18"/>
                <w:color w:val="auto"/>
              </w:rPr>
              <w:t>71</w:t>
            </w:r>
          </w:p>
        </w:tc>
      </w:tr>
      <w:tr>
        <w:trPr>
          <w:trHeight w:val="20"/>
        </w:trPr>
        <w:tc>
          <w:tcPr>
            <w:tcW w:w="820" w:type="dxa"/>
            <w:vAlign w:val="bottom"/>
          </w:tcPr>
          <w:p>
            <w:pPr>
              <w:spacing w:after="0" w:line="20" w:lineRule="exact"/>
              <w:rPr>
                <w:sz w:val="1"/>
                <w:szCs w:val="1"/>
                <w:color w:val="auto"/>
              </w:rPr>
            </w:pPr>
          </w:p>
        </w:tc>
        <w:tc>
          <w:tcPr>
            <w:tcW w:w="2120" w:type="dxa"/>
            <w:vAlign w:val="bottom"/>
            <w:shd w:val="clear" w:color="auto" w:fill="0000EE"/>
          </w:tcPr>
          <w:p>
            <w:pPr>
              <w:spacing w:after="0" w:line="20" w:lineRule="exact"/>
              <w:rPr>
                <w:sz w:val="1"/>
                <w:szCs w:val="1"/>
                <w:color w:val="auto"/>
              </w:rPr>
            </w:pPr>
          </w:p>
        </w:tc>
        <w:tc>
          <w:tcPr>
            <w:tcW w:w="6660" w:type="dxa"/>
            <w:vAlign w:val="bottom"/>
            <w:gridSpan w:val="7"/>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296"/>
        </w:trPr>
        <w:tc>
          <w:tcPr>
            <w:tcW w:w="9600" w:type="dxa"/>
            <w:vAlign w:val="bottom"/>
            <w:gridSpan w:val="9"/>
          </w:tcPr>
          <w:p>
            <w:pPr>
              <w:spacing w:after="0"/>
              <w:rPr>
                <w:sz w:val="20"/>
                <w:szCs w:val="20"/>
                <w:color w:val="auto"/>
              </w:rPr>
            </w:pPr>
            <w:r>
              <w:rPr>
                <w:rFonts w:ascii="Arial" w:cs="Arial" w:eastAsia="Arial" w:hAnsi="Arial"/>
                <w:sz w:val="18"/>
                <w:szCs w:val="18"/>
                <w:color w:val="auto"/>
              </w:rPr>
              <w:t>Financial statements of 20% – 50% owned companies accounted for under the equity method and unconsolidated</w:t>
            </w:r>
          </w:p>
        </w:tc>
        <w:tc>
          <w:tcPr>
            <w:tcW w:w="1560" w:type="dxa"/>
            <w:vAlign w:val="bottom"/>
          </w:tcPr>
          <w:p>
            <w:pPr>
              <w:spacing w:after="0"/>
              <w:rPr>
                <w:sz w:val="24"/>
                <w:szCs w:val="24"/>
                <w:color w:val="auto"/>
              </w:rPr>
            </w:pPr>
          </w:p>
        </w:tc>
      </w:tr>
      <w:tr>
        <w:trPr>
          <w:trHeight w:val="222"/>
        </w:trPr>
        <w:tc>
          <w:tcPr>
            <w:tcW w:w="9600" w:type="dxa"/>
            <w:vAlign w:val="bottom"/>
            <w:gridSpan w:val="9"/>
          </w:tcPr>
          <w:p>
            <w:pPr>
              <w:spacing w:after="0"/>
              <w:rPr>
                <w:sz w:val="20"/>
                <w:szCs w:val="20"/>
                <w:color w:val="auto"/>
              </w:rPr>
            </w:pPr>
            <w:r>
              <w:rPr>
                <w:rFonts w:ascii="Arial" w:cs="Arial" w:eastAsia="Arial" w:hAnsi="Arial"/>
                <w:sz w:val="18"/>
                <w:szCs w:val="18"/>
                <w:color w:val="auto"/>
              </w:rPr>
              <w:t>subsidiaries have been omitted because they do not meet the materiality tests for assets or income.</w:t>
            </w:r>
          </w:p>
        </w:tc>
        <w:tc>
          <w:tcPr>
            <w:tcW w:w="1560" w:type="dxa"/>
            <w:vAlign w:val="bottom"/>
          </w:tcPr>
          <w:p>
            <w:pPr>
              <w:spacing w:after="0"/>
              <w:rPr>
                <w:sz w:val="19"/>
                <w:szCs w:val="19"/>
                <w:color w:val="auto"/>
              </w:rPr>
            </w:pPr>
          </w:p>
        </w:tc>
      </w:tr>
      <w:tr>
        <w:trPr>
          <w:trHeight w:val="284"/>
        </w:trPr>
        <w:tc>
          <w:tcPr>
            <w:tcW w:w="820" w:type="dxa"/>
            <w:vAlign w:val="bottom"/>
          </w:tcPr>
          <w:p>
            <w:pPr>
              <w:spacing w:after="0"/>
              <w:rPr>
                <w:sz w:val="20"/>
                <w:szCs w:val="20"/>
                <w:color w:val="auto"/>
              </w:rPr>
            </w:pPr>
            <w:r>
              <w:rPr>
                <w:rFonts w:ascii="Arial" w:cs="Arial" w:eastAsia="Arial" w:hAnsi="Arial"/>
                <w:sz w:val="18"/>
                <w:szCs w:val="18"/>
                <w:color w:val="auto"/>
              </w:rPr>
              <w:t>(2)</w:t>
            </w:r>
          </w:p>
        </w:tc>
        <w:tc>
          <w:tcPr>
            <w:tcW w:w="8780" w:type="dxa"/>
            <w:vAlign w:val="bottom"/>
            <w:gridSpan w:val="8"/>
          </w:tcPr>
          <w:p>
            <w:pPr>
              <w:spacing w:after="0"/>
              <w:rPr>
                <w:sz w:val="20"/>
                <w:szCs w:val="20"/>
                <w:color w:val="auto"/>
              </w:rPr>
            </w:pPr>
            <w:r>
              <w:rPr>
                <w:rFonts w:ascii="Arial" w:cs="Arial" w:eastAsia="Arial" w:hAnsi="Arial"/>
                <w:sz w:val="18"/>
                <w:szCs w:val="18"/>
                <w:color w:val="auto"/>
              </w:rPr>
              <w:t>Financial Statement Schedules not required</w:t>
            </w:r>
          </w:p>
        </w:tc>
        <w:tc>
          <w:tcPr>
            <w:tcW w:w="1560" w:type="dxa"/>
            <w:vAlign w:val="bottom"/>
          </w:tcPr>
          <w:p>
            <w:pPr>
              <w:spacing w:after="0"/>
              <w:rPr>
                <w:sz w:val="24"/>
                <w:szCs w:val="24"/>
                <w:color w:val="auto"/>
              </w:rPr>
            </w:pPr>
          </w:p>
        </w:tc>
      </w:tr>
      <w:tr>
        <w:trPr>
          <w:trHeight w:val="284"/>
        </w:trPr>
        <w:tc>
          <w:tcPr>
            <w:tcW w:w="820" w:type="dxa"/>
            <w:vAlign w:val="bottom"/>
          </w:tcPr>
          <w:p>
            <w:pPr>
              <w:spacing w:after="0"/>
              <w:rPr>
                <w:sz w:val="20"/>
                <w:szCs w:val="20"/>
                <w:color w:val="auto"/>
              </w:rPr>
            </w:pPr>
            <w:r>
              <w:rPr>
                <w:rFonts w:ascii="Arial" w:cs="Arial" w:eastAsia="Arial" w:hAnsi="Arial"/>
                <w:sz w:val="18"/>
                <w:szCs w:val="18"/>
                <w:color w:val="auto"/>
              </w:rPr>
              <w:t>(3)</w:t>
            </w:r>
          </w:p>
        </w:tc>
        <w:tc>
          <w:tcPr>
            <w:tcW w:w="8780" w:type="dxa"/>
            <w:vAlign w:val="bottom"/>
            <w:gridSpan w:val="8"/>
          </w:tcPr>
          <w:p>
            <w:pPr>
              <w:spacing w:after="0"/>
              <w:rPr>
                <w:sz w:val="20"/>
                <w:szCs w:val="20"/>
                <w:color w:val="auto"/>
              </w:rPr>
            </w:pPr>
            <w:r>
              <w:rPr>
                <w:rFonts w:ascii="Arial" w:cs="Arial" w:eastAsia="Arial" w:hAnsi="Arial"/>
                <w:sz w:val="18"/>
                <w:szCs w:val="18"/>
                <w:color w:val="auto"/>
              </w:rPr>
              <w:t>The following Exhibits are filed or incorporated by reference as indicated in the Index to Exhibits:</w:t>
            </w:r>
          </w:p>
        </w:tc>
        <w:tc>
          <w:tcPr>
            <w:tcW w:w="1560" w:type="dxa"/>
            <w:vAlign w:val="bottom"/>
          </w:tcPr>
          <w:p>
            <w:pPr>
              <w:spacing w:after="0"/>
              <w:rPr>
                <w:sz w:val="24"/>
                <w:szCs w:val="24"/>
                <w:color w:val="auto"/>
              </w:rPr>
            </w:pPr>
          </w:p>
        </w:tc>
      </w:tr>
      <w:tr>
        <w:trPr>
          <w:trHeight w:val="284"/>
        </w:trPr>
        <w:tc>
          <w:tcPr>
            <w:tcW w:w="820" w:type="dxa"/>
            <w:vAlign w:val="bottom"/>
          </w:tcPr>
          <w:p>
            <w:pPr>
              <w:spacing w:after="0"/>
              <w:rPr>
                <w:sz w:val="24"/>
                <w:szCs w:val="24"/>
                <w:color w:val="auto"/>
              </w:rPr>
            </w:pPr>
          </w:p>
        </w:tc>
        <w:tc>
          <w:tcPr>
            <w:tcW w:w="8780" w:type="dxa"/>
            <w:vAlign w:val="bottom"/>
            <w:gridSpan w:val="8"/>
          </w:tcPr>
          <w:p>
            <w:pPr>
              <w:spacing w:after="0"/>
              <w:rPr>
                <w:sz w:val="20"/>
                <w:szCs w:val="20"/>
                <w:color w:val="auto"/>
              </w:rPr>
            </w:pPr>
            <w:r>
              <w:rPr>
                <w:rFonts w:ascii="Arial" w:cs="Arial" w:eastAsia="Arial" w:hAnsi="Arial"/>
                <w:sz w:val="18"/>
                <w:szCs w:val="18"/>
                <w:color w:val="auto"/>
              </w:rPr>
              <w:t>Deed of Incorporation as last amended on May 4, 2001</w:t>
            </w:r>
          </w:p>
        </w:tc>
        <w:tc>
          <w:tcPr>
            <w:tcW w:w="1560" w:type="dxa"/>
            <w:vAlign w:val="bottom"/>
          </w:tcPr>
          <w:p>
            <w:pPr>
              <w:ind w:left="580"/>
              <w:spacing w:after="0"/>
              <w:rPr>
                <w:sz w:val="20"/>
                <w:szCs w:val="20"/>
                <w:color w:val="auto"/>
              </w:rPr>
            </w:pPr>
            <w:r>
              <w:rPr>
                <w:rFonts w:ascii="Arial" w:cs="Arial" w:eastAsia="Arial" w:hAnsi="Arial"/>
                <w:sz w:val="18"/>
                <w:szCs w:val="18"/>
                <w:color w:val="auto"/>
              </w:rPr>
              <w:t>Exhibit 3(a)</w:t>
            </w:r>
          </w:p>
        </w:tc>
      </w:tr>
      <w:tr>
        <w:trPr>
          <w:trHeight w:val="284"/>
        </w:trPr>
        <w:tc>
          <w:tcPr>
            <w:tcW w:w="820" w:type="dxa"/>
            <w:vAlign w:val="bottom"/>
          </w:tcPr>
          <w:p>
            <w:pPr>
              <w:spacing w:after="0"/>
              <w:rPr>
                <w:sz w:val="24"/>
                <w:szCs w:val="24"/>
                <w:color w:val="auto"/>
              </w:rPr>
            </w:pPr>
          </w:p>
        </w:tc>
        <w:tc>
          <w:tcPr>
            <w:tcW w:w="8780" w:type="dxa"/>
            <w:vAlign w:val="bottom"/>
            <w:gridSpan w:val="8"/>
          </w:tcPr>
          <w:p>
            <w:pPr>
              <w:spacing w:after="0"/>
              <w:rPr>
                <w:sz w:val="20"/>
                <w:szCs w:val="20"/>
                <w:color w:val="auto"/>
              </w:rPr>
            </w:pPr>
            <w:r>
              <w:rPr>
                <w:rFonts w:ascii="Arial" w:cs="Arial" w:eastAsia="Arial" w:hAnsi="Arial"/>
                <w:sz w:val="18"/>
                <w:szCs w:val="18"/>
                <w:color w:val="auto"/>
              </w:rPr>
              <w:t>By-Laws as last amended on April 17, 2003</w:t>
            </w:r>
          </w:p>
        </w:tc>
        <w:tc>
          <w:tcPr>
            <w:tcW w:w="1560" w:type="dxa"/>
            <w:vAlign w:val="bottom"/>
          </w:tcPr>
          <w:p>
            <w:pPr>
              <w:ind w:left="580"/>
              <w:spacing w:after="0"/>
              <w:rPr>
                <w:sz w:val="20"/>
                <w:szCs w:val="20"/>
                <w:color w:val="auto"/>
              </w:rPr>
            </w:pPr>
            <w:r>
              <w:rPr>
                <w:rFonts w:ascii="Arial" w:cs="Arial" w:eastAsia="Arial" w:hAnsi="Arial"/>
                <w:sz w:val="18"/>
                <w:szCs w:val="18"/>
                <w:color w:val="auto"/>
              </w:rPr>
              <w:t>Exhibit 3(b)</w:t>
            </w:r>
          </w:p>
        </w:tc>
      </w:tr>
      <w:tr>
        <w:trPr>
          <w:trHeight w:val="284"/>
        </w:trPr>
        <w:tc>
          <w:tcPr>
            <w:tcW w:w="820" w:type="dxa"/>
            <w:vAlign w:val="bottom"/>
          </w:tcPr>
          <w:p>
            <w:pPr>
              <w:spacing w:after="0"/>
              <w:rPr>
                <w:sz w:val="24"/>
                <w:szCs w:val="24"/>
                <w:color w:val="auto"/>
              </w:rPr>
            </w:pPr>
          </w:p>
        </w:tc>
        <w:tc>
          <w:tcPr>
            <w:tcW w:w="8780" w:type="dxa"/>
            <w:vAlign w:val="bottom"/>
            <w:gridSpan w:val="8"/>
          </w:tcPr>
          <w:p>
            <w:pPr>
              <w:spacing w:after="0"/>
              <w:rPr>
                <w:sz w:val="20"/>
                <w:szCs w:val="20"/>
                <w:color w:val="auto"/>
              </w:rPr>
            </w:pPr>
            <w:r>
              <w:rPr>
                <w:rFonts w:ascii="Arial" w:cs="Arial" w:eastAsia="Arial" w:hAnsi="Arial"/>
                <w:sz w:val="18"/>
                <w:szCs w:val="18"/>
                <w:color w:val="auto"/>
              </w:rPr>
              <w:t>Indenture, dated as of June 9, 2003, by and between Schlumberger and Citibank N.A., as Trustee</w:t>
            </w:r>
          </w:p>
        </w:tc>
        <w:tc>
          <w:tcPr>
            <w:tcW w:w="1560" w:type="dxa"/>
            <w:vAlign w:val="bottom"/>
          </w:tcPr>
          <w:p>
            <w:pPr>
              <w:ind w:left="580"/>
              <w:spacing w:after="0"/>
              <w:rPr>
                <w:sz w:val="20"/>
                <w:szCs w:val="20"/>
                <w:color w:val="auto"/>
              </w:rPr>
            </w:pPr>
            <w:r>
              <w:rPr>
                <w:rFonts w:ascii="Arial" w:cs="Arial" w:eastAsia="Arial" w:hAnsi="Arial"/>
                <w:sz w:val="18"/>
                <w:szCs w:val="18"/>
                <w:color w:val="auto"/>
              </w:rPr>
              <w:t>Exhibit 4.3</w:t>
            </w:r>
          </w:p>
        </w:tc>
      </w:tr>
      <w:tr>
        <w:trPr>
          <w:trHeight w:val="284"/>
        </w:trPr>
        <w:tc>
          <w:tcPr>
            <w:tcW w:w="820" w:type="dxa"/>
            <w:vAlign w:val="bottom"/>
          </w:tcPr>
          <w:p>
            <w:pPr>
              <w:spacing w:after="0"/>
              <w:rPr>
                <w:sz w:val="24"/>
                <w:szCs w:val="24"/>
                <w:color w:val="auto"/>
              </w:rPr>
            </w:pPr>
          </w:p>
        </w:tc>
        <w:tc>
          <w:tcPr>
            <w:tcW w:w="8780" w:type="dxa"/>
            <w:vAlign w:val="bottom"/>
            <w:gridSpan w:val="8"/>
          </w:tcPr>
          <w:p>
            <w:pPr>
              <w:spacing w:after="0"/>
              <w:rPr>
                <w:sz w:val="20"/>
                <w:szCs w:val="20"/>
                <w:color w:val="auto"/>
              </w:rPr>
            </w:pPr>
            <w:r>
              <w:rPr>
                <w:rFonts w:ascii="Arial" w:cs="Arial" w:eastAsia="Arial" w:hAnsi="Arial"/>
                <w:sz w:val="18"/>
                <w:szCs w:val="18"/>
                <w:color w:val="auto"/>
                <w:w w:val="93"/>
              </w:rPr>
              <w:t>First Supplemental Indenture, dated as of June 9, 2003, by and between Schlumberger and Citibank, N.A., as Trustee</w:t>
            </w:r>
          </w:p>
        </w:tc>
        <w:tc>
          <w:tcPr>
            <w:tcW w:w="1560" w:type="dxa"/>
            <w:vAlign w:val="bottom"/>
          </w:tcPr>
          <w:p>
            <w:pPr>
              <w:ind w:left="580"/>
              <w:spacing w:after="0"/>
              <w:rPr>
                <w:sz w:val="20"/>
                <w:szCs w:val="20"/>
                <w:color w:val="auto"/>
              </w:rPr>
            </w:pPr>
            <w:r>
              <w:rPr>
                <w:rFonts w:ascii="Arial" w:cs="Arial" w:eastAsia="Arial" w:hAnsi="Arial"/>
                <w:sz w:val="18"/>
                <w:szCs w:val="18"/>
                <w:color w:val="auto"/>
              </w:rPr>
              <w:t>Exhibit 4.4</w:t>
            </w:r>
          </w:p>
        </w:tc>
      </w:tr>
      <w:tr>
        <w:trPr>
          <w:trHeight w:val="277"/>
        </w:trPr>
        <w:tc>
          <w:tcPr>
            <w:tcW w:w="9600" w:type="dxa"/>
            <w:vAlign w:val="bottom"/>
            <w:gridSpan w:val="9"/>
          </w:tcPr>
          <w:p>
            <w:pPr>
              <w:spacing w:after="0"/>
              <w:rPr>
                <w:sz w:val="20"/>
                <w:szCs w:val="20"/>
                <w:color w:val="auto"/>
              </w:rPr>
            </w:pPr>
            <w:r>
              <w:rPr>
                <w:rFonts w:ascii="Arial" w:cs="Arial" w:eastAsia="Arial" w:hAnsi="Arial"/>
                <w:sz w:val="18"/>
                <w:szCs w:val="18"/>
                <w:color w:val="auto"/>
              </w:rPr>
              <w:t>Schlumberger is party to a number of other long-term debt agreements that, pursuant to Regulation S-K, Item</w:t>
            </w:r>
          </w:p>
        </w:tc>
        <w:tc>
          <w:tcPr>
            <w:tcW w:w="1560" w:type="dxa"/>
            <w:vAlign w:val="bottom"/>
          </w:tcPr>
          <w:p>
            <w:pPr>
              <w:spacing w:after="0"/>
              <w:rPr>
                <w:sz w:val="24"/>
                <w:szCs w:val="24"/>
                <w:color w:val="auto"/>
              </w:rPr>
            </w:pPr>
          </w:p>
        </w:tc>
      </w:tr>
      <w:tr>
        <w:trPr>
          <w:trHeight w:val="216"/>
        </w:trPr>
        <w:tc>
          <w:tcPr>
            <w:tcW w:w="9600" w:type="dxa"/>
            <w:vAlign w:val="bottom"/>
            <w:gridSpan w:val="9"/>
          </w:tcPr>
          <w:p>
            <w:pPr>
              <w:spacing w:after="0"/>
              <w:rPr>
                <w:sz w:val="20"/>
                <w:szCs w:val="20"/>
                <w:color w:val="auto"/>
              </w:rPr>
            </w:pPr>
            <w:r>
              <w:rPr>
                <w:rFonts w:ascii="Arial" w:cs="Arial" w:eastAsia="Arial" w:hAnsi="Arial"/>
                <w:sz w:val="18"/>
                <w:szCs w:val="18"/>
                <w:color w:val="auto"/>
              </w:rPr>
              <w:t>601(b)(4)(iii), are not filed as exhibits. Schlumberger agrees to furnish copies of these agreements to the Commission</w:t>
            </w:r>
          </w:p>
        </w:tc>
        <w:tc>
          <w:tcPr>
            <w:tcW w:w="1560" w:type="dxa"/>
            <w:vAlign w:val="bottom"/>
          </w:tcPr>
          <w:p>
            <w:pPr>
              <w:spacing w:after="0"/>
              <w:rPr>
                <w:sz w:val="18"/>
                <w:szCs w:val="18"/>
                <w:color w:val="auto"/>
              </w:rPr>
            </w:pPr>
          </w:p>
        </w:tc>
      </w:tr>
      <w:tr>
        <w:trPr>
          <w:trHeight w:val="222"/>
        </w:trPr>
        <w:tc>
          <w:tcPr>
            <w:tcW w:w="9600" w:type="dxa"/>
            <w:vAlign w:val="bottom"/>
            <w:gridSpan w:val="9"/>
          </w:tcPr>
          <w:p>
            <w:pPr>
              <w:spacing w:after="0"/>
              <w:rPr>
                <w:sz w:val="20"/>
                <w:szCs w:val="20"/>
                <w:color w:val="auto"/>
              </w:rPr>
            </w:pPr>
            <w:r>
              <w:rPr>
                <w:rFonts w:ascii="Arial" w:cs="Arial" w:eastAsia="Arial" w:hAnsi="Arial"/>
                <w:sz w:val="18"/>
                <w:szCs w:val="18"/>
                <w:color w:val="auto"/>
              </w:rPr>
              <w:t>upon its request.</w:t>
            </w:r>
          </w:p>
        </w:tc>
        <w:tc>
          <w:tcPr>
            <w:tcW w:w="1560" w:type="dxa"/>
            <w:vAlign w:val="bottom"/>
          </w:tcPr>
          <w:p>
            <w:pPr>
              <w:spacing w:after="0"/>
              <w:rPr>
                <w:sz w:val="19"/>
                <w:szCs w:val="19"/>
                <w:color w:val="auto"/>
              </w:rPr>
            </w:pPr>
          </w:p>
        </w:tc>
      </w:tr>
      <w:tr>
        <w:trPr>
          <w:trHeight w:val="284"/>
        </w:trPr>
        <w:tc>
          <w:tcPr>
            <w:tcW w:w="820" w:type="dxa"/>
            <w:vAlign w:val="bottom"/>
          </w:tcPr>
          <w:p>
            <w:pPr>
              <w:spacing w:after="0"/>
              <w:rPr>
                <w:sz w:val="24"/>
                <w:szCs w:val="24"/>
                <w:color w:val="auto"/>
              </w:rPr>
            </w:pPr>
          </w:p>
        </w:tc>
        <w:tc>
          <w:tcPr>
            <w:tcW w:w="8780" w:type="dxa"/>
            <w:vAlign w:val="bottom"/>
            <w:gridSpan w:val="8"/>
          </w:tcPr>
          <w:p>
            <w:pPr>
              <w:spacing w:after="0"/>
              <w:rPr>
                <w:sz w:val="20"/>
                <w:szCs w:val="20"/>
                <w:color w:val="auto"/>
              </w:rPr>
            </w:pPr>
            <w:r>
              <w:rPr>
                <w:rFonts w:ascii="Arial" w:cs="Arial" w:eastAsia="Arial" w:hAnsi="Arial"/>
                <w:sz w:val="18"/>
                <w:szCs w:val="18"/>
                <w:color w:val="auto"/>
              </w:rPr>
              <w:t>Schlumberger 1994 Stock Option Plan* as amended on January 5, 1995</w:t>
            </w:r>
          </w:p>
        </w:tc>
        <w:tc>
          <w:tcPr>
            <w:tcW w:w="1560" w:type="dxa"/>
            <w:vAlign w:val="bottom"/>
          </w:tcPr>
          <w:p>
            <w:pPr>
              <w:ind w:left="580"/>
              <w:spacing w:after="0"/>
              <w:rPr>
                <w:sz w:val="20"/>
                <w:szCs w:val="20"/>
                <w:color w:val="auto"/>
              </w:rPr>
            </w:pPr>
            <w:r>
              <w:rPr>
                <w:rFonts w:ascii="Arial" w:cs="Arial" w:eastAsia="Arial" w:hAnsi="Arial"/>
                <w:sz w:val="18"/>
                <w:szCs w:val="18"/>
                <w:color w:val="auto"/>
                <w:w w:val="90"/>
              </w:rPr>
              <w:t>Exhibit 10 (a)</w:t>
            </w:r>
          </w:p>
        </w:tc>
      </w:tr>
      <w:tr>
        <w:trPr>
          <w:trHeight w:val="284"/>
        </w:trPr>
        <w:tc>
          <w:tcPr>
            <w:tcW w:w="820" w:type="dxa"/>
            <w:vAlign w:val="bottom"/>
          </w:tcPr>
          <w:p>
            <w:pPr>
              <w:spacing w:after="0"/>
              <w:rPr>
                <w:sz w:val="24"/>
                <w:szCs w:val="24"/>
                <w:color w:val="auto"/>
              </w:rPr>
            </w:pPr>
          </w:p>
        </w:tc>
        <w:tc>
          <w:tcPr>
            <w:tcW w:w="8780" w:type="dxa"/>
            <w:vAlign w:val="bottom"/>
            <w:gridSpan w:val="8"/>
          </w:tcPr>
          <w:p>
            <w:pPr>
              <w:spacing w:after="0"/>
              <w:rPr>
                <w:sz w:val="20"/>
                <w:szCs w:val="20"/>
                <w:color w:val="auto"/>
              </w:rPr>
            </w:pPr>
            <w:r>
              <w:rPr>
                <w:rFonts w:ascii="Arial" w:cs="Arial" w:eastAsia="Arial" w:hAnsi="Arial"/>
                <w:sz w:val="18"/>
                <w:szCs w:val="18"/>
                <w:color w:val="auto"/>
              </w:rPr>
              <w:t>Schlumberger 1994 Stock Option Plan* Second Amendment</w:t>
            </w:r>
          </w:p>
        </w:tc>
        <w:tc>
          <w:tcPr>
            <w:tcW w:w="1560" w:type="dxa"/>
            <w:vAlign w:val="bottom"/>
          </w:tcPr>
          <w:p>
            <w:pPr>
              <w:ind w:left="580"/>
              <w:spacing w:after="0"/>
              <w:rPr>
                <w:sz w:val="20"/>
                <w:szCs w:val="20"/>
                <w:color w:val="auto"/>
              </w:rPr>
            </w:pPr>
            <w:r>
              <w:rPr>
                <w:rFonts w:ascii="Arial" w:cs="Arial" w:eastAsia="Arial" w:hAnsi="Arial"/>
                <w:sz w:val="18"/>
                <w:szCs w:val="18"/>
                <w:color w:val="auto"/>
                <w:w w:val="94"/>
              </w:rPr>
              <w:t>Exhibit 10(b)</w:t>
            </w:r>
          </w:p>
        </w:tc>
      </w:tr>
      <w:tr>
        <w:trPr>
          <w:trHeight w:val="284"/>
        </w:trPr>
        <w:tc>
          <w:tcPr>
            <w:tcW w:w="820" w:type="dxa"/>
            <w:vAlign w:val="bottom"/>
          </w:tcPr>
          <w:p>
            <w:pPr>
              <w:spacing w:after="0"/>
              <w:rPr>
                <w:sz w:val="24"/>
                <w:szCs w:val="24"/>
                <w:color w:val="auto"/>
              </w:rPr>
            </w:pPr>
          </w:p>
        </w:tc>
        <w:tc>
          <w:tcPr>
            <w:tcW w:w="8780" w:type="dxa"/>
            <w:vAlign w:val="bottom"/>
            <w:gridSpan w:val="8"/>
          </w:tcPr>
          <w:p>
            <w:pPr>
              <w:spacing w:after="0"/>
              <w:rPr>
                <w:sz w:val="20"/>
                <w:szCs w:val="20"/>
                <w:color w:val="auto"/>
              </w:rPr>
            </w:pPr>
            <w:r>
              <w:rPr>
                <w:rFonts w:ascii="Arial" w:cs="Arial" w:eastAsia="Arial" w:hAnsi="Arial"/>
                <w:sz w:val="18"/>
                <w:szCs w:val="18"/>
                <w:color w:val="auto"/>
              </w:rPr>
              <w:t>Schlumberger 1994 Stock Option Plan* Third Amendment</w:t>
            </w:r>
          </w:p>
        </w:tc>
        <w:tc>
          <w:tcPr>
            <w:tcW w:w="1560" w:type="dxa"/>
            <w:vAlign w:val="bottom"/>
          </w:tcPr>
          <w:p>
            <w:pPr>
              <w:ind w:left="580"/>
              <w:spacing w:after="0"/>
              <w:rPr>
                <w:sz w:val="20"/>
                <w:szCs w:val="20"/>
                <w:color w:val="auto"/>
              </w:rPr>
            </w:pPr>
            <w:r>
              <w:rPr>
                <w:rFonts w:ascii="Arial" w:cs="Arial" w:eastAsia="Arial" w:hAnsi="Arial"/>
                <w:sz w:val="18"/>
                <w:szCs w:val="18"/>
                <w:color w:val="auto"/>
                <w:w w:val="95"/>
              </w:rPr>
              <w:t>Exhibit 10(c)</w:t>
            </w:r>
          </w:p>
        </w:tc>
      </w:tr>
      <w:tr>
        <w:trPr>
          <w:trHeight w:val="284"/>
        </w:trPr>
        <w:tc>
          <w:tcPr>
            <w:tcW w:w="820" w:type="dxa"/>
            <w:vAlign w:val="bottom"/>
          </w:tcPr>
          <w:p>
            <w:pPr>
              <w:spacing w:after="0"/>
              <w:rPr>
                <w:sz w:val="24"/>
                <w:szCs w:val="24"/>
                <w:color w:val="auto"/>
              </w:rPr>
            </w:pPr>
          </w:p>
        </w:tc>
        <w:tc>
          <w:tcPr>
            <w:tcW w:w="8780" w:type="dxa"/>
            <w:vAlign w:val="bottom"/>
            <w:gridSpan w:val="8"/>
          </w:tcPr>
          <w:p>
            <w:pPr>
              <w:spacing w:after="0"/>
              <w:rPr>
                <w:sz w:val="20"/>
                <w:szCs w:val="20"/>
                <w:color w:val="auto"/>
              </w:rPr>
            </w:pPr>
            <w:r>
              <w:rPr>
                <w:rFonts w:ascii="Arial" w:cs="Arial" w:eastAsia="Arial" w:hAnsi="Arial"/>
                <w:sz w:val="18"/>
                <w:szCs w:val="18"/>
                <w:color w:val="auto"/>
              </w:rPr>
              <w:t>Schlumberger Limited Supplementary Benefit Plan* as amended on January 1, 1995</w:t>
            </w:r>
          </w:p>
        </w:tc>
        <w:tc>
          <w:tcPr>
            <w:tcW w:w="1560" w:type="dxa"/>
            <w:vAlign w:val="bottom"/>
          </w:tcPr>
          <w:p>
            <w:pPr>
              <w:ind w:left="580"/>
              <w:spacing w:after="0"/>
              <w:rPr>
                <w:sz w:val="20"/>
                <w:szCs w:val="20"/>
                <w:color w:val="auto"/>
              </w:rPr>
            </w:pPr>
            <w:r>
              <w:rPr>
                <w:rFonts w:ascii="Arial" w:cs="Arial" w:eastAsia="Arial" w:hAnsi="Arial"/>
                <w:sz w:val="18"/>
                <w:szCs w:val="18"/>
                <w:color w:val="auto"/>
                <w:w w:val="94"/>
              </w:rPr>
              <w:t>Exhibit 10(d)</w:t>
            </w:r>
          </w:p>
        </w:tc>
      </w:tr>
      <w:tr>
        <w:trPr>
          <w:trHeight w:val="284"/>
        </w:trPr>
        <w:tc>
          <w:tcPr>
            <w:tcW w:w="820" w:type="dxa"/>
            <w:vAlign w:val="bottom"/>
          </w:tcPr>
          <w:p>
            <w:pPr>
              <w:spacing w:after="0"/>
              <w:rPr>
                <w:sz w:val="24"/>
                <w:szCs w:val="24"/>
                <w:color w:val="auto"/>
              </w:rPr>
            </w:pPr>
          </w:p>
        </w:tc>
        <w:tc>
          <w:tcPr>
            <w:tcW w:w="8780" w:type="dxa"/>
            <w:vAlign w:val="bottom"/>
            <w:gridSpan w:val="8"/>
          </w:tcPr>
          <w:p>
            <w:pPr>
              <w:spacing w:after="0"/>
              <w:rPr>
                <w:sz w:val="20"/>
                <w:szCs w:val="20"/>
                <w:color w:val="auto"/>
              </w:rPr>
            </w:pPr>
            <w:r>
              <w:rPr>
                <w:rFonts w:ascii="Arial" w:cs="Arial" w:eastAsia="Arial" w:hAnsi="Arial"/>
                <w:sz w:val="18"/>
                <w:szCs w:val="18"/>
                <w:color w:val="auto"/>
              </w:rPr>
              <w:t>Schlumberger 1989 Stock Incentive Plan* as amended</w:t>
            </w:r>
          </w:p>
        </w:tc>
        <w:tc>
          <w:tcPr>
            <w:tcW w:w="1560" w:type="dxa"/>
            <w:vAlign w:val="bottom"/>
          </w:tcPr>
          <w:p>
            <w:pPr>
              <w:ind w:left="580"/>
              <w:spacing w:after="0"/>
              <w:rPr>
                <w:sz w:val="20"/>
                <w:szCs w:val="20"/>
                <w:color w:val="auto"/>
              </w:rPr>
            </w:pPr>
            <w:r>
              <w:rPr>
                <w:rFonts w:ascii="Arial" w:cs="Arial" w:eastAsia="Arial" w:hAnsi="Arial"/>
                <w:sz w:val="18"/>
                <w:szCs w:val="18"/>
                <w:color w:val="auto"/>
                <w:w w:val="94"/>
              </w:rPr>
              <w:t>Exhibit 10(e)</w:t>
            </w:r>
          </w:p>
        </w:tc>
      </w:tr>
      <w:tr>
        <w:trPr>
          <w:trHeight w:val="284"/>
        </w:trPr>
        <w:tc>
          <w:tcPr>
            <w:tcW w:w="820" w:type="dxa"/>
            <w:vAlign w:val="bottom"/>
          </w:tcPr>
          <w:p>
            <w:pPr>
              <w:spacing w:after="0"/>
              <w:rPr>
                <w:sz w:val="24"/>
                <w:szCs w:val="24"/>
                <w:color w:val="auto"/>
              </w:rPr>
            </w:pPr>
          </w:p>
        </w:tc>
        <w:tc>
          <w:tcPr>
            <w:tcW w:w="8780" w:type="dxa"/>
            <w:vAlign w:val="bottom"/>
            <w:gridSpan w:val="8"/>
          </w:tcPr>
          <w:p>
            <w:pPr>
              <w:spacing w:after="0"/>
              <w:rPr>
                <w:sz w:val="20"/>
                <w:szCs w:val="20"/>
                <w:color w:val="auto"/>
              </w:rPr>
            </w:pPr>
            <w:r>
              <w:rPr>
                <w:rFonts w:ascii="Arial" w:cs="Arial" w:eastAsia="Arial" w:hAnsi="Arial"/>
                <w:sz w:val="18"/>
                <w:szCs w:val="18"/>
                <w:color w:val="auto"/>
              </w:rPr>
              <w:t>Schlumberger 1989 Stock Incentive Plan* Third Amendment</w:t>
            </w:r>
          </w:p>
        </w:tc>
        <w:tc>
          <w:tcPr>
            <w:tcW w:w="1560" w:type="dxa"/>
            <w:vAlign w:val="bottom"/>
          </w:tcPr>
          <w:p>
            <w:pPr>
              <w:ind w:left="580"/>
              <w:spacing w:after="0"/>
              <w:rPr>
                <w:sz w:val="20"/>
                <w:szCs w:val="20"/>
                <w:color w:val="auto"/>
              </w:rPr>
            </w:pPr>
            <w:r>
              <w:rPr>
                <w:rFonts w:ascii="Arial" w:cs="Arial" w:eastAsia="Arial" w:hAnsi="Arial"/>
                <w:sz w:val="18"/>
                <w:szCs w:val="18"/>
                <w:color w:val="auto"/>
                <w:w w:val="99"/>
              </w:rPr>
              <w:t>Exhibit 10(f)</w:t>
            </w:r>
          </w:p>
        </w:tc>
      </w:tr>
      <w:tr>
        <w:trPr>
          <w:trHeight w:val="284"/>
        </w:trPr>
        <w:tc>
          <w:tcPr>
            <w:tcW w:w="820" w:type="dxa"/>
            <w:vAlign w:val="bottom"/>
          </w:tcPr>
          <w:p>
            <w:pPr>
              <w:spacing w:after="0"/>
              <w:rPr>
                <w:sz w:val="24"/>
                <w:szCs w:val="24"/>
                <w:color w:val="auto"/>
              </w:rPr>
            </w:pPr>
          </w:p>
        </w:tc>
        <w:tc>
          <w:tcPr>
            <w:tcW w:w="8780" w:type="dxa"/>
            <w:vAlign w:val="bottom"/>
            <w:gridSpan w:val="8"/>
          </w:tcPr>
          <w:p>
            <w:pPr>
              <w:spacing w:after="0"/>
              <w:rPr>
                <w:sz w:val="20"/>
                <w:szCs w:val="20"/>
                <w:color w:val="auto"/>
              </w:rPr>
            </w:pPr>
            <w:r>
              <w:rPr>
                <w:rFonts w:ascii="Arial" w:cs="Arial" w:eastAsia="Arial" w:hAnsi="Arial"/>
                <w:sz w:val="18"/>
                <w:szCs w:val="18"/>
                <w:color w:val="auto"/>
              </w:rPr>
              <w:t>Schlumberger Restoration Savings Plan</w:t>
            </w:r>
          </w:p>
        </w:tc>
        <w:tc>
          <w:tcPr>
            <w:tcW w:w="1560" w:type="dxa"/>
            <w:vAlign w:val="bottom"/>
          </w:tcPr>
          <w:p>
            <w:pPr>
              <w:ind w:left="580"/>
              <w:spacing w:after="0"/>
              <w:rPr>
                <w:sz w:val="20"/>
                <w:szCs w:val="20"/>
                <w:color w:val="auto"/>
              </w:rPr>
            </w:pPr>
            <w:r>
              <w:rPr>
                <w:rFonts w:ascii="Arial" w:cs="Arial" w:eastAsia="Arial" w:hAnsi="Arial"/>
                <w:sz w:val="18"/>
                <w:szCs w:val="18"/>
                <w:color w:val="auto"/>
                <w:w w:val="94"/>
              </w:rPr>
              <w:t>Exhibit 10(g)</w:t>
            </w:r>
          </w:p>
        </w:tc>
      </w:tr>
      <w:tr>
        <w:trPr>
          <w:trHeight w:val="284"/>
        </w:trPr>
        <w:tc>
          <w:tcPr>
            <w:tcW w:w="820" w:type="dxa"/>
            <w:vAlign w:val="bottom"/>
          </w:tcPr>
          <w:p>
            <w:pPr>
              <w:spacing w:after="0"/>
              <w:rPr>
                <w:sz w:val="24"/>
                <w:szCs w:val="24"/>
                <w:color w:val="auto"/>
              </w:rPr>
            </w:pPr>
          </w:p>
        </w:tc>
        <w:tc>
          <w:tcPr>
            <w:tcW w:w="8780" w:type="dxa"/>
            <w:vAlign w:val="bottom"/>
            <w:gridSpan w:val="8"/>
          </w:tcPr>
          <w:p>
            <w:pPr>
              <w:spacing w:after="0"/>
              <w:rPr>
                <w:sz w:val="20"/>
                <w:szCs w:val="20"/>
                <w:color w:val="auto"/>
              </w:rPr>
            </w:pPr>
            <w:r>
              <w:rPr>
                <w:rFonts w:ascii="Arial" w:cs="Arial" w:eastAsia="Arial" w:hAnsi="Arial"/>
                <w:sz w:val="18"/>
                <w:szCs w:val="18"/>
                <w:color w:val="auto"/>
              </w:rPr>
              <w:t>Schlumberger 1998 Stock Option Plan*</w:t>
            </w:r>
          </w:p>
        </w:tc>
        <w:tc>
          <w:tcPr>
            <w:tcW w:w="1560" w:type="dxa"/>
            <w:vAlign w:val="bottom"/>
          </w:tcPr>
          <w:p>
            <w:pPr>
              <w:ind w:left="580"/>
              <w:spacing w:after="0"/>
              <w:rPr>
                <w:sz w:val="20"/>
                <w:szCs w:val="20"/>
                <w:color w:val="auto"/>
              </w:rPr>
            </w:pPr>
            <w:r>
              <w:rPr>
                <w:rFonts w:ascii="Arial" w:cs="Arial" w:eastAsia="Arial" w:hAnsi="Arial"/>
                <w:sz w:val="18"/>
                <w:szCs w:val="18"/>
                <w:color w:val="auto"/>
                <w:w w:val="94"/>
              </w:rPr>
              <w:t>Exhibit 10(h)</w:t>
            </w:r>
          </w:p>
        </w:tc>
      </w:tr>
      <w:tr>
        <w:trPr>
          <w:trHeight w:val="284"/>
        </w:trPr>
        <w:tc>
          <w:tcPr>
            <w:tcW w:w="820" w:type="dxa"/>
            <w:vAlign w:val="bottom"/>
          </w:tcPr>
          <w:p>
            <w:pPr>
              <w:spacing w:after="0"/>
              <w:rPr>
                <w:sz w:val="24"/>
                <w:szCs w:val="24"/>
                <w:color w:val="auto"/>
              </w:rPr>
            </w:pPr>
          </w:p>
        </w:tc>
        <w:tc>
          <w:tcPr>
            <w:tcW w:w="8780" w:type="dxa"/>
            <w:vAlign w:val="bottom"/>
            <w:gridSpan w:val="8"/>
          </w:tcPr>
          <w:p>
            <w:pPr>
              <w:spacing w:after="0"/>
              <w:rPr>
                <w:sz w:val="20"/>
                <w:szCs w:val="20"/>
                <w:color w:val="auto"/>
              </w:rPr>
            </w:pPr>
            <w:r>
              <w:rPr>
                <w:rFonts w:ascii="Arial" w:cs="Arial" w:eastAsia="Arial" w:hAnsi="Arial"/>
                <w:sz w:val="18"/>
                <w:szCs w:val="18"/>
                <w:color w:val="auto"/>
              </w:rPr>
              <w:t>Schlumberger 1998 Stock Option Plan* First Amendment</w:t>
            </w:r>
          </w:p>
        </w:tc>
        <w:tc>
          <w:tcPr>
            <w:tcW w:w="1560" w:type="dxa"/>
            <w:vAlign w:val="bottom"/>
          </w:tcPr>
          <w:p>
            <w:pPr>
              <w:ind w:left="580"/>
              <w:spacing w:after="0"/>
              <w:rPr>
                <w:sz w:val="20"/>
                <w:szCs w:val="20"/>
                <w:color w:val="auto"/>
              </w:rPr>
            </w:pPr>
            <w:r>
              <w:rPr>
                <w:rFonts w:ascii="Arial" w:cs="Arial" w:eastAsia="Arial" w:hAnsi="Arial"/>
                <w:sz w:val="18"/>
                <w:szCs w:val="18"/>
                <w:color w:val="auto"/>
              </w:rPr>
              <w:t>Exhibit 10(i)</w:t>
            </w:r>
          </w:p>
        </w:tc>
      </w:tr>
    </w:tbl>
    <w:p>
      <w:pPr>
        <w:spacing w:after="0" w:line="140" w:lineRule="exact"/>
        <w:rPr>
          <w:sz w:val="20"/>
          <w:szCs w:val="20"/>
          <w:color w:val="auto"/>
        </w:rPr>
      </w:pPr>
    </w:p>
    <w:p>
      <w:pPr>
        <w:ind w:left="380" w:hanging="372"/>
        <w:spacing w:after="0"/>
        <w:tabs>
          <w:tab w:leader="none" w:pos="380" w:val="left"/>
        </w:tabs>
        <w:numPr>
          <w:ilvl w:val="0"/>
          <w:numId w:val="56"/>
        </w:numPr>
        <w:rPr>
          <w:rFonts w:ascii="Arial" w:cs="Arial" w:eastAsia="Arial" w:hAnsi="Arial"/>
          <w:sz w:val="14"/>
          <w:szCs w:val="14"/>
          <w:color w:val="auto"/>
        </w:rPr>
      </w:pPr>
      <w:r>
        <w:rPr>
          <w:rFonts w:ascii="Arial" w:cs="Arial" w:eastAsia="Arial" w:hAnsi="Arial"/>
          <w:sz w:val="14"/>
          <w:szCs w:val="14"/>
          <w:color w:val="auto"/>
        </w:rPr>
        <w:t>Compensatory plan required to be filed as an exhibit.</w:t>
      </w:r>
    </w:p>
    <w:p>
      <w:pPr>
        <w:spacing w:after="0" w:line="136" w:lineRule="exact"/>
        <w:rPr>
          <w:sz w:val="20"/>
          <w:szCs w:val="20"/>
          <w:color w:val="auto"/>
        </w:rPr>
      </w:pPr>
    </w:p>
    <w:p>
      <w:pPr>
        <w:spacing w:after="0"/>
        <w:tabs>
          <w:tab w:leader="none" w:pos="10400" w:val="left"/>
        </w:tabs>
        <w:rPr>
          <w:sz w:val="20"/>
          <w:szCs w:val="20"/>
          <w:color w:val="auto"/>
        </w:rPr>
      </w:pPr>
      <w:r>
        <w:rPr>
          <w:rFonts w:ascii="Arial" w:cs="Arial" w:eastAsia="Arial" w:hAnsi="Arial"/>
          <w:sz w:val="14"/>
          <w:szCs w:val="14"/>
          <w:color w:val="auto"/>
        </w:rPr>
        <w:t>73 / SLB</w:t>
      </w:r>
      <w:r>
        <w:rPr>
          <w:sz w:val="20"/>
          <w:szCs w:val="20"/>
          <w:color w:val="auto"/>
        </w:rPr>
        <w:tab/>
      </w:r>
      <w:r>
        <w:rPr>
          <w:rFonts w:ascii="Arial" w:cs="Arial" w:eastAsia="Arial" w:hAnsi="Arial"/>
          <w:sz w:val="12"/>
          <w:szCs w:val="12"/>
          <w:color w:val="auto"/>
        </w:rPr>
        <w:t>2003 FORM 10-K</w:t>
      </w:r>
    </w:p>
    <w:p>
      <w:pPr>
        <w:sectPr>
          <w:pgSz w:w="11900" w:h="16838" w:orient="portrait"/>
          <w:cols w:equalWidth="0" w:num="1">
            <w:col w:w="11420"/>
          </w:cols>
          <w:pgMar w:left="240" w:top="459" w:right="2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69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4"/>
          <w:szCs w:val="14"/>
          <w:color w:val="auto"/>
        </w:rPr>
        <w:t>Part IV, Item 15</w:t>
      </w:r>
    </w:p>
    <w:p>
      <w:pPr>
        <w:spacing w:after="0" w:line="206" w:lineRule="exact"/>
        <w:rPr>
          <w:sz w:val="20"/>
          <w:szCs w:val="20"/>
          <w:color w:val="auto"/>
        </w:rPr>
      </w:pPr>
    </w:p>
    <w:p>
      <w:pPr>
        <w:jc w:val="both"/>
        <w:ind w:left="1040" w:right="40" w:hanging="215"/>
        <w:spacing w:after="0" w:line="259" w:lineRule="auto"/>
        <w:rPr>
          <w:sz w:val="20"/>
          <w:szCs w:val="20"/>
          <w:color w:val="auto"/>
        </w:rPr>
      </w:pPr>
      <w:r>
        <w:rPr>
          <w:rFonts w:ascii="Arial" w:cs="Arial" w:eastAsia="Arial" w:hAnsi="Arial"/>
          <w:sz w:val="18"/>
          <w:szCs w:val="18"/>
          <w:color w:val="auto"/>
        </w:rPr>
        <w:t>1997 Long-Term Incentive Plan of Camco International Inc.; Long-Term Incentive Plan of Camco International Inc. Production Operators Corp. 1992 Long-Term Incentive Plan; Camco 1996 Savings Related Share Option Scheme; Camco International Inc. Amended and Restated Stock Option Plan for Non-Employee Directors</w:t>
      </w:r>
    </w:p>
    <w:p>
      <w:pPr>
        <w:spacing w:after="0" w:line="46" w:lineRule="exact"/>
        <w:rPr>
          <w:sz w:val="20"/>
          <w:szCs w:val="20"/>
          <w:color w:val="auto"/>
        </w:rPr>
      </w:pPr>
    </w:p>
    <w:p>
      <w:pPr>
        <w:ind w:left="820"/>
        <w:spacing w:after="0"/>
        <w:rPr>
          <w:sz w:val="20"/>
          <w:szCs w:val="20"/>
          <w:color w:val="auto"/>
        </w:rPr>
      </w:pPr>
      <w:r>
        <w:rPr>
          <w:rFonts w:ascii="Arial" w:cs="Arial" w:eastAsia="Arial" w:hAnsi="Arial"/>
          <w:sz w:val="18"/>
          <w:szCs w:val="18"/>
          <w:color w:val="auto"/>
        </w:rPr>
        <w:t>Schlumberger 2001 Stock Option Plan*</w:t>
      </w:r>
    </w:p>
    <w:p>
      <w:pPr>
        <w:spacing w:after="0" w:line="77" w:lineRule="exact"/>
        <w:rPr>
          <w:sz w:val="20"/>
          <w:szCs w:val="20"/>
          <w:color w:val="auto"/>
        </w:rPr>
      </w:pPr>
    </w:p>
    <w:p>
      <w:pPr>
        <w:ind w:left="820"/>
        <w:spacing w:after="0"/>
        <w:rPr>
          <w:sz w:val="20"/>
          <w:szCs w:val="20"/>
          <w:color w:val="auto"/>
        </w:rPr>
      </w:pPr>
      <w:r>
        <w:rPr>
          <w:rFonts w:ascii="Arial" w:cs="Arial" w:eastAsia="Arial" w:hAnsi="Arial"/>
          <w:sz w:val="18"/>
          <w:szCs w:val="18"/>
          <w:color w:val="auto"/>
        </w:rPr>
        <w:t>Schlumberger Stock and Deferral Plan for Non-Employee Directors*</w:t>
      </w:r>
    </w:p>
    <w:p>
      <w:pPr>
        <w:spacing w:after="0" w:line="77" w:lineRule="exact"/>
        <w:rPr>
          <w:sz w:val="20"/>
          <w:szCs w:val="20"/>
          <w:color w:val="auto"/>
        </w:rPr>
      </w:pPr>
    </w:p>
    <w:p>
      <w:pPr>
        <w:ind w:left="820"/>
        <w:spacing w:after="0"/>
        <w:rPr>
          <w:sz w:val="20"/>
          <w:szCs w:val="20"/>
          <w:color w:val="auto"/>
        </w:rPr>
      </w:pPr>
      <w:r>
        <w:rPr>
          <w:rFonts w:ascii="Arial" w:cs="Arial" w:eastAsia="Arial" w:hAnsi="Arial"/>
          <w:sz w:val="18"/>
          <w:szCs w:val="18"/>
          <w:color w:val="auto"/>
        </w:rPr>
        <w:t>Subsidiaries</w:t>
      </w:r>
    </w:p>
    <w:p>
      <w:pPr>
        <w:spacing w:after="0" w:line="77" w:lineRule="exact"/>
        <w:rPr>
          <w:sz w:val="20"/>
          <w:szCs w:val="20"/>
          <w:color w:val="auto"/>
        </w:rPr>
      </w:pPr>
    </w:p>
    <w:p>
      <w:pPr>
        <w:ind w:left="820"/>
        <w:spacing w:after="0"/>
        <w:rPr>
          <w:sz w:val="20"/>
          <w:szCs w:val="20"/>
          <w:color w:val="auto"/>
        </w:rPr>
      </w:pPr>
      <w:r>
        <w:rPr>
          <w:rFonts w:ascii="Arial" w:cs="Arial" w:eastAsia="Arial" w:hAnsi="Arial"/>
          <w:sz w:val="18"/>
          <w:szCs w:val="18"/>
          <w:color w:val="auto"/>
        </w:rPr>
        <w:t>Consent of Independent Accountants</w:t>
      </w:r>
    </w:p>
    <w:p>
      <w:pPr>
        <w:spacing w:after="0" w:line="77" w:lineRule="exact"/>
        <w:rPr>
          <w:sz w:val="20"/>
          <w:szCs w:val="20"/>
          <w:color w:val="auto"/>
        </w:rPr>
      </w:pPr>
    </w:p>
    <w:p>
      <w:pPr>
        <w:ind w:left="820"/>
        <w:spacing w:after="0"/>
        <w:rPr>
          <w:sz w:val="20"/>
          <w:szCs w:val="20"/>
          <w:color w:val="auto"/>
        </w:rPr>
      </w:pPr>
      <w:r>
        <w:rPr>
          <w:rFonts w:ascii="Arial" w:cs="Arial" w:eastAsia="Arial" w:hAnsi="Arial"/>
          <w:sz w:val="18"/>
          <w:szCs w:val="18"/>
          <w:color w:val="auto"/>
        </w:rPr>
        <w:t>Powers of Attorney</w:t>
      </w:r>
    </w:p>
    <w:p>
      <w:pPr>
        <w:spacing w:after="0" w:line="15" w:lineRule="exact"/>
        <w:rPr>
          <w:sz w:val="20"/>
          <w:szCs w:val="20"/>
          <w:color w:val="auto"/>
        </w:rPr>
      </w:pPr>
    </w:p>
    <w:p>
      <w:pPr>
        <w:ind w:left="1680" w:right="100" w:hanging="429"/>
        <w:spacing w:after="0" w:line="261" w:lineRule="auto"/>
        <w:tabs>
          <w:tab w:leader="none" w:pos="1618" w:val="left"/>
        </w:tabs>
        <w:numPr>
          <w:ilvl w:val="0"/>
          <w:numId w:val="57"/>
        </w:numPr>
        <w:rPr>
          <w:rFonts w:ascii="Arial" w:cs="Arial" w:eastAsia="Arial" w:hAnsi="Arial"/>
          <w:sz w:val="18"/>
          <w:szCs w:val="18"/>
          <w:color w:val="auto"/>
        </w:rPr>
      </w:pPr>
      <w:r>
        <w:rPr>
          <w:rFonts w:ascii="Arial" w:cs="Arial" w:eastAsia="Arial" w:hAnsi="Arial"/>
          <w:sz w:val="18"/>
          <w:szCs w:val="18"/>
          <w:color w:val="auto"/>
        </w:rPr>
        <w:t>John Deutch, Jamie S. Gorlick, Andrew Gould, Adrian Lajous, André Lévy-Lang, Didier Primat, Nicolas Seydoux, Linda G. Stuntz, Sven Ullring – dated January 22, 2004</w:t>
      </w:r>
    </w:p>
    <w:p>
      <w:pPr>
        <w:spacing w:after="0" w:line="56" w:lineRule="exact"/>
        <w:rPr>
          <w:rFonts w:ascii="Arial" w:cs="Arial" w:eastAsia="Arial" w:hAnsi="Arial"/>
          <w:sz w:val="18"/>
          <w:szCs w:val="18"/>
          <w:color w:val="auto"/>
        </w:rPr>
      </w:pPr>
    </w:p>
    <w:p>
      <w:pPr>
        <w:ind w:left="1620" w:hanging="369"/>
        <w:spacing w:after="0"/>
        <w:tabs>
          <w:tab w:leader="none" w:pos="16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Tony Isaac – dated January 29, 2004</w:t>
      </w:r>
    </w:p>
    <w:p>
      <w:pPr>
        <w:spacing w:after="0" w:line="77" w:lineRule="exact"/>
        <w:rPr>
          <w:sz w:val="20"/>
          <w:szCs w:val="20"/>
          <w:color w:val="auto"/>
        </w:rPr>
      </w:pPr>
    </w:p>
    <w:p>
      <w:pPr>
        <w:ind w:left="1040" w:right="640" w:hanging="215"/>
        <w:spacing w:after="0" w:line="268" w:lineRule="auto"/>
        <w:rPr>
          <w:sz w:val="20"/>
          <w:szCs w:val="20"/>
          <w:color w:val="auto"/>
        </w:rPr>
      </w:pPr>
      <w:r>
        <w:rPr>
          <w:rFonts w:ascii="Arial" w:cs="Arial" w:eastAsia="Arial" w:hAnsi="Arial"/>
          <w:sz w:val="18"/>
          <w:szCs w:val="18"/>
          <w:color w:val="auto"/>
        </w:rPr>
        <w:t>Certification of Chief Executive Officer pursuant to Form of Rule 13a-14(a) as Adopted Pursuant to Section 302 of the Sarbanes-Oxley Act of 2002.</w:t>
      </w:r>
    </w:p>
    <w:p>
      <w:pPr>
        <w:spacing w:after="0" w:line="37" w:lineRule="exact"/>
        <w:rPr>
          <w:sz w:val="20"/>
          <w:szCs w:val="20"/>
          <w:color w:val="auto"/>
        </w:rPr>
      </w:pPr>
    </w:p>
    <w:p>
      <w:pPr>
        <w:ind w:left="1040" w:right="700" w:hanging="215"/>
        <w:spacing w:after="0" w:line="268" w:lineRule="auto"/>
        <w:rPr>
          <w:sz w:val="20"/>
          <w:szCs w:val="20"/>
          <w:color w:val="auto"/>
        </w:rPr>
      </w:pPr>
      <w:r>
        <w:rPr>
          <w:rFonts w:ascii="Arial" w:cs="Arial" w:eastAsia="Arial" w:hAnsi="Arial"/>
          <w:sz w:val="18"/>
          <w:szCs w:val="18"/>
          <w:color w:val="auto"/>
        </w:rPr>
        <w:t>Certification of Chief Financial Officer pursuant to Form of Rule 13a-14(a) as Adopted Pursuant to Section 302 of the Sarbanes-Oxley Act of 2002.</w:t>
      </w:r>
    </w:p>
    <w:p>
      <w:pPr>
        <w:spacing w:after="0" w:line="37" w:lineRule="exact"/>
        <w:rPr>
          <w:sz w:val="20"/>
          <w:szCs w:val="20"/>
          <w:color w:val="auto"/>
        </w:rPr>
      </w:pPr>
    </w:p>
    <w:p>
      <w:pPr>
        <w:ind w:left="1040" w:right="620" w:hanging="215"/>
        <w:spacing w:after="0" w:line="268" w:lineRule="auto"/>
        <w:rPr>
          <w:sz w:val="20"/>
          <w:szCs w:val="20"/>
          <w:color w:val="auto"/>
        </w:rPr>
      </w:pPr>
      <w:r>
        <w:rPr>
          <w:rFonts w:ascii="Arial" w:cs="Arial" w:eastAsia="Arial" w:hAnsi="Arial"/>
          <w:sz w:val="18"/>
          <w:szCs w:val="18"/>
          <w:color w:val="auto"/>
        </w:rPr>
        <w:t>Certification of Chief Executive Officer pursuant to 18 U.S.C. Section 1350, as Adopted Pursuant to Section 906 of the Sarbanes-Oxley Act of 2002</w:t>
      </w:r>
    </w:p>
    <w:p>
      <w:pPr>
        <w:spacing w:after="0" w:line="37" w:lineRule="exact"/>
        <w:rPr>
          <w:sz w:val="20"/>
          <w:szCs w:val="20"/>
          <w:color w:val="auto"/>
        </w:rPr>
      </w:pPr>
    </w:p>
    <w:p>
      <w:pPr>
        <w:ind w:left="1040" w:right="660" w:hanging="215"/>
        <w:spacing w:after="0" w:line="268" w:lineRule="auto"/>
        <w:rPr>
          <w:sz w:val="20"/>
          <w:szCs w:val="20"/>
          <w:color w:val="auto"/>
        </w:rPr>
      </w:pPr>
      <w:r>
        <w:rPr>
          <w:rFonts w:ascii="Arial" w:cs="Arial" w:eastAsia="Arial" w:hAnsi="Arial"/>
          <w:sz w:val="18"/>
          <w:szCs w:val="18"/>
          <w:color w:val="auto"/>
        </w:rPr>
        <w:t>Certification of Chief Financial Officer pursuant to 18 U.S.C. Section 1350, as Adopted Pursuant to Section 906 of the Sarbanes-Oxley Act of 2002</w:t>
      </w:r>
    </w:p>
    <w:p>
      <w:pPr>
        <w:spacing w:after="0" w:line="37" w:lineRule="exact"/>
        <w:rPr>
          <w:sz w:val="20"/>
          <w:szCs w:val="20"/>
          <w:color w:val="auto"/>
        </w:rPr>
      </w:pPr>
    </w:p>
    <w:p>
      <w:pPr>
        <w:ind w:left="820"/>
        <w:spacing w:after="0"/>
        <w:rPr>
          <w:sz w:val="20"/>
          <w:szCs w:val="20"/>
          <w:color w:val="auto"/>
        </w:rPr>
      </w:pPr>
      <w:r>
        <w:rPr>
          <w:rFonts w:ascii="Arial" w:cs="Arial" w:eastAsia="Arial" w:hAnsi="Arial"/>
          <w:sz w:val="18"/>
          <w:szCs w:val="18"/>
          <w:color w:val="auto"/>
        </w:rPr>
        <w:t>Additional Exhibit: Form S-8 Undertakings</w:t>
      </w:r>
    </w:p>
    <w:p>
      <w:pPr>
        <w:spacing w:after="0" w:line="77" w:lineRule="exact"/>
        <w:rPr>
          <w:sz w:val="20"/>
          <w:szCs w:val="20"/>
          <w:color w:val="auto"/>
        </w:rPr>
      </w:pPr>
    </w:p>
    <w:p>
      <w:pPr>
        <w:ind w:left="820" w:hanging="812"/>
        <w:spacing w:after="0"/>
        <w:tabs>
          <w:tab w:leader="none" w:pos="8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following reports were filed on Form 8-K during the last quarter of the period covered by this 10-K report:</w:t>
      </w:r>
    </w:p>
    <w:p>
      <w:pPr>
        <w:spacing w:after="0" w:line="76" w:lineRule="exact"/>
        <w:rPr>
          <w:rFonts w:ascii="Arial" w:cs="Arial" w:eastAsia="Arial" w:hAnsi="Arial"/>
          <w:sz w:val="18"/>
          <w:szCs w:val="18"/>
          <w:color w:val="auto"/>
        </w:rPr>
      </w:pPr>
    </w:p>
    <w:p>
      <w:pPr>
        <w:ind w:left="820"/>
        <w:spacing w:after="0" w:line="259" w:lineRule="auto"/>
        <w:rPr>
          <w:rFonts w:ascii="Arial" w:cs="Arial" w:eastAsia="Arial" w:hAnsi="Arial"/>
          <w:sz w:val="18"/>
          <w:szCs w:val="18"/>
          <w:color w:val="auto"/>
        </w:rPr>
      </w:pPr>
      <w:r>
        <w:rPr>
          <w:rFonts w:ascii="Arial" w:cs="Arial" w:eastAsia="Arial" w:hAnsi="Arial"/>
          <w:sz w:val="18"/>
          <w:szCs w:val="18"/>
          <w:color w:val="auto"/>
        </w:rPr>
        <w:t>Report 8-K dated September 22, 2003, filed as of October 16, 2003 to furnish pro forma financial information with respect to (i) the sale of the SchlumbergerSema businesses and (ii) the probable sale of Atos shares to reduce the Company’s ownership in Atos to 19%.</w:t>
      </w:r>
    </w:p>
    <w:p>
      <w:pPr>
        <w:spacing w:after="0" w:line="45" w:lineRule="exact"/>
        <w:rPr>
          <w:rFonts w:ascii="Arial" w:cs="Arial" w:eastAsia="Arial" w:hAnsi="Arial"/>
          <w:sz w:val="18"/>
          <w:szCs w:val="18"/>
          <w:color w:val="auto"/>
        </w:rPr>
      </w:pPr>
    </w:p>
    <w:p>
      <w:pPr>
        <w:ind w:left="820" w:right="600"/>
        <w:spacing w:after="0" w:line="268" w:lineRule="auto"/>
        <w:rPr>
          <w:rFonts w:ascii="Arial" w:cs="Arial" w:eastAsia="Arial" w:hAnsi="Arial"/>
          <w:sz w:val="18"/>
          <w:szCs w:val="18"/>
          <w:color w:val="auto"/>
        </w:rPr>
      </w:pPr>
      <w:r>
        <w:rPr>
          <w:rFonts w:ascii="Arial" w:cs="Arial" w:eastAsia="Arial" w:hAnsi="Arial"/>
          <w:sz w:val="18"/>
          <w:szCs w:val="18"/>
          <w:color w:val="auto"/>
        </w:rPr>
        <w:t>Report 8-K dated October 21, 2003, filed as of October 22, 2003 to report Schlumberger’s Third Quarter Press Release, Question and Answer document and related non-GAAP financial measures.</w:t>
      </w:r>
    </w:p>
    <w:p>
      <w:pPr>
        <w:spacing w:after="0" w:line="37" w:lineRule="exact"/>
        <w:rPr>
          <w:rFonts w:ascii="Arial" w:cs="Arial" w:eastAsia="Arial" w:hAnsi="Arial"/>
          <w:sz w:val="18"/>
          <w:szCs w:val="18"/>
          <w:color w:val="auto"/>
        </w:rPr>
      </w:pPr>
    </w:p>
    <w:p>
      <w:pPr>
        <w:ind w:left="820" w:right="940"/>
        <w:spacing w:after="0" w:line="268" w:lineRule="auto"/>
        <w:rPr>
          <w:rFonts w:ascii="Arial" w:cs="Arial" w:eastAsia="Arial" w:hAnsi="Arial"/>
          <w:sz w:val="18"/>
          <w:szCs w:val="18"/>
          <w:color w:val="auto"/>
        </w:rPr>
      </w:pPr>
      <w:r>
        <w:rPr>
          <w:rFonts w:ascii="Arial" w:cs="Arial" w:eastAsia="Arial" w:hAnsi="Arial"/>
          <w:sz w:val="18"/>
          <w:szCs w:val="18"/>
          <w:color w:val="auto"/>
        </w:rPr>
        <w:t>Report 8-K dated December 9, 2003, filed as of December 9, 2003 to report the signing of an agreement to acquire PetroAlliance Services Company Limited.</w:t>
      </w:r>
    </w:p>
    <w:p>
      <w:pPr>
        <w:spacing w:after="0" w:line="116" w:lineRule="exact"/>
        <w:rPr>
          <w:sz w:val="20"/>
          <w:szCs w:val="20"/>
          <w:color w:val="auto"/>
        </w:rPr>
      </w:pPr>
    </w:p>
    <w:p>
      <w:pPr>
        <w:ind w:right="6580" w:firstLine="8"/>
        <w:spacing w:after="0" w:line="459" w:lineRule="auto"/>
        <w:tabs>
          <w:tab w:leader="none" w:pos="365" w:val="left"/>
        </w:tabs>
        <w:numPr>
          <w:ilvl w:val="0"/>
          <w:numId w:val="59"/>
        </w:numPr>
        <w:rPr>
          <w:rFonts w:ascii="Arial" w:cs="Arial" w:eastAsia="Arial" w:hAnsi="Arial"/>
          <w:sz w:val="14"/>
          <w:szCs w:val="14"/>
          <w:color w:val="auto"/>
        </w:rPr>
      </w:pPr>
      <w:r>
        <w:rPr>
          <w:rFonts w:ascii="Arial" w:cs="Arial" w:eastAsia="Arial" w:hAnsi="Arial"/>
          <w:sz w:val="14"/>
          <w:szCs w:val="14"/>
          <w:color w:val="auto"/>
        </w:rPr>
        <w:t>Compensatory plan required to be filed as an exhibit. 74 / SLB</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340"/>
        <w:spacing w:after="0"/>
        <w:rPr>
          <w:sz w:val="20"/>
          <w:szCs w:val="20"/>
          <w:color w:val="auto"/>
        </w:rPr>
      </w:pPr>
      <w:r>
        <w:rPr>
          <w:rFonts w:ascii="Arial" w:cs="Arial" w:eastAsia="Arial" w:hAnsi="Arial"/>
          <w:sz w:val="16"/>
          <w:szCs w:val="16"/>
          <w:color w:val="auto"/>
        </w:rPr>
        <w:t>Exhibit 10(j)</w:t>
      </w:r>
    </w:p>
    <w:p>
      <w:pPr>
        <w:spacing w:after="0" w:line="200" w:lineRule="exact"/>
        <w:rPr>
          <w:sz w:val="20"/>
          <w:szCs w:val="20"/>
          <w:color w:val="auto"/>
        </w:rPr>
      </w:pPr>
    </w:p>
    <w:p>
      <w:pPr>
        <w:spacing w:after="0" w:line="332" w:lineRule="exact"/>
        <w:rPr>
          <w:sz w:val="20"/>
          <w:szCs w:val="20"/>
          <w:color w:val="auto"/>
        </w:rPr>
      </w:pPr>
    </w:p>
    <w:p>
      <w:pPr>
        <w:ind w:right="260"/>
        <w:spacing w:after="0" w:line="382" w:lineRule="auto"/>
        <w:rPr>
          <w:sz w:val="20"/>
          <w:szCs w:val="20"/>
          <w:color w:val="auto"/>
        </w:rPr>
      </w:pPr>
      <w:r>
        <w:rPr>
          <w:rFonts w:ascii="Arial" w:cs="Arial" w:eastAsia="Arial" w:hAnsi="Arial"/>
          <w:sz w:val="16"/>
          <w:szCs w:val="16"/>
          <w:color w:val="auto"/>
        </w:rPr>
        <w:t>Exhibit 10 (k) Exhibit 10 (l) Exhibit 21 Exhibit 23 Exhibit 24(a)</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color w:val="auto"/>
        </w:rPr>
        <w:t>Exhibit 24(b)</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Exhibit 31(a)</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auto"/>
        </w:rPr>
        <w:t>Exhibit 31(b)</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auto"/>
        </w:rPr>
        <w:t>Exhibit 32(a)</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auto"/>
        </w:rPr>
        <w:t>Exhibit 32(b)</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auto"/>
        </w:rPr>
        <w:t>Exhibit 99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2003 FORM 10-K</w:t>
      </w:r>
    </w:p>
    <w:p>
      <w:pPr>
        <w:sectPr>
          <w:pgSz w:w="11900" w:h="16838" w:orient="portrait"/>
          <w:cols w:equalWidth="0" w:num="2">
            <w:col w:w="9820" w:space="360"/>
            <w:col w:w="1240"/>
          </w:cols>
          <w:pgMar w:left="240" w:top="459" w:right="2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69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SIGNATURES</w:t>
      </w:r>
    </w:p>
    <w:p>
      <w:pPr>
        <w:spacing w:after="0" w:line="74" w:lineRule="exact"/>
        <w:rPr>
          <w:sz w:val="20"/>
          <w:szCs w:val="20"/>
          <w:color w:val="auto"/>
        </w:rPr>
      </w:pPr>
    </w:p>
    <w:p>
      <w:pPr>
        <w:ind w:right="220"/>
        <w:spacing w:after="0" w:line="254"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tabs>
          <w:tab w:leader="none" w:pos="6180" w:val="left"/>
        </w:tabs>
        <w:rPr>
          <w:sz w:val="20"/>
          <w:szCs w:val="20"/>
          <w:color w:val="auto"/>
        </w:rPr>
      </w:pPr>
      <w:r>
        <w:rPr>
          <w:rFonts w:ascii="Arial" w:cs="Arial" w:eastAsia="Arial" w:hAnsi="Arial"/>
          <w:sz w:val="18"/>
          <w:szCs w:val="18"/>
          <w:color w:val="auto"/>
        </w:rPr>
        <w:t>Date: March 3, 2004</w:t>
      </w:r>
      <w:r>
        <w:rPr>
          <w:sz w:val="20"/>
          <w:szCs w:val="20"/>
          <w:color w:val="auto"/>
        </w:rPr>
        <w:tab/>
      </w:r>
      <w:r>
        <w:rPr>
          <w:rFonts w:ascii="Arial" w:cs="Arial" w:eastAsia="Arial" w:hAnsi="Arial"/>
          <w:sz w:val="18"/>
          <w:szCs w:val="18"/>
          <w:color w:val="auto"/>
        </w:rPr>
        <w:t>S</w:t>
      </w:r>
      <w:r>
        <w:rPr>
          <w:rFonts w:ascii="Arial" w:cs="Arial" w:eastAsia="Arial" w:hAnsi="Arial"/>
          <w:sz w:val="14"/>
          <w:szCs w:val="14"/>
          <w:color w:val="auto"/>
        </w:rPr>
        <w:t>CHLUMBERGER</w:t>
      </w:r>
      <w:r>
        <w:rPr>
          <w:rFonts w:ascii="Arial" w:cs="Arial" w:eastAsia="Arial" w:hAnsi="Arial"/>
          <w:sz w:val="18"/>
          <w:szCs w:val="18"/>
          <w:color w:val="auto"/>
        </w:rPr>
        <w:t xml:space="preserve"> L</w:t>
      </w:r>
      <w:r>
        <w:rPr>
          <w:rFonts w:ascii="Arial" w:cs="Arial" w:eastAsia="Arial" w:hAnsi="Arial"/>
          <w:sz w:val="14"/>
          <w:szCs w:val="14"/>
          <w:color w:val="auto"/>
        </w:rPr>
        <w:t>IMITED</w:t>
      </w:r>
    </w:p>
    <w:p>
      <w:pPr>
        <w:spacing w:after="0" w:line="219" w:lineRule="exact"/>
        <w:rPr>
          <w:sz w:val="20"/>
          <w:szCs w:val="20"/>
          <w:color w:val="auto"/>
        </w:rPr>
      </w:pPr>
    </w:p>
    <w:p>
      <w:pPr>
        <w:ind w:left="6200"/>
        <w:spacing w:after="0"/>
        <w:tabs>
          <w:tab w:leader="none" w:pos="8080" w:val="left"/>
          <w:tab w:leader="none" w:pos="84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F</w:t>
      </w:r>
      <w:r>
        <w:rPr>
          <w:rFonts w:ascii="Arial" w:cs="Arial" w:eastAsia="Arial" w:hAnsi="Arial"/>
          <w:sz w:val="13"/>
          <w:szCs w:val="13"/>
          <w:color w:val="auto"/>
        </w:rPr>
        <w:t>RANK</w:t>
      </w:r>
      <w:r>
        <w:rPr>
          <w:rFonts w:ascii="Arial" w:cs="Arial" w:eastAsia="Arial" w:hAnsi="Arial"/>
          <w:sz w:val="16"/>
          <w:szCs w:val="16"/>
          <w:color w:val="auto"/>
        </w:rPr>
        <w:t xml:space="preserve"> A. S</w:t>
      </w:r>
      <w:r>
        <w:rPr>
          <w:rFonts w:ascii="Arial" w:cs="Arial" w:eastAsia="Arial" w:hAnsi="Arial"/>
          <w:sz w:val="13"/>
          <w:szCs w:val="13"/>
          <w:color w:val="auto"/>
        </w:rPr>
        <w:t>ORGIE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4284345</wp:posOffset>
            </wp:positionH>
            <wp:positionV relativeFrom="paragraph">
              <wp:posOffset>80010</wp:posOffset>
            </wp:positionV>
            <wp:extent cx="2967355" cy="8890"/>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696">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219"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Frank A. Sorgie</w:t>
      </w:r>
    </w:p>
    <w:p>
      <w:pPr>
        <w:spacing w:after="0" w:line="15"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Chief Accounting Officer</w:t>
      </w:r>
    </w:p>
    <w:p>
      <w:pPr>
        <w:spacing w:after="0" w:line="16"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ind w:left="2420"/>
        <w:spacing w:after="0"/>
        <w:tabs>
          <w:tab w:leader="none" w:pos="8640" w:val="left"/>
        </w:tabs>
        <w:rPr>
          <w:sz w:val="20"/>
          <w:szCs w:val="20"/>
          <w:color w:val="auto"/>
        </w:rPr>
      </w:pPr>
      <w:r>
        <w:rPr>
          <w:rFonts w:ascii="Arial" w:cs="Arial" w:eastAsia="Arial" w:hAnsi="Arial"/>
          <w:sz w:val="14"/>
          <w:szCs w:val="14"/>
          <w:b w:val="1"/>
          <w:bCs w:val="1"/>
          <w:color w:val="auto"/>
        </w:rPr>
        <w:t>Name</w:t>
      </w:r>
      <w:r>
        <w:rPr>
          <w:sz w:val="20"/>
          <w:szCs w:val="20"/>
          <w:color w:val="auto"/>
        </w:rPr>
        <w:tab/>
      </w:r>
      <w:r>
        <w:rPr>
          <w:rFonts w:ascii="Arial" w:cs="Arial" w:eastAsia="Arial" w:hAnsi="Arial"/>
          <w:sz w:val="14"/>
          <w:szCs w:val="14"/>
          <w:b w:val="1"/>
          <w:bCs w:val="1"/>
          <w:color w:val="auto"/>
        </w:rPr>
        <w:t>Title</w:t>
      </w:r>
    </w:p>
    <w:p>
      <w:pPr>
        <w:spacing w:after="0" w:line="49" w:lineRule="exact"/>
        <w:rPr>
          <w:sz w:val="20"/>
          <w:szCs w:val="20"/>
          <w:color w:val="auto"/>
        </w:rPr>
      </w:pPr>
    </w:p>
    <w:p>
      <w:pPr>
        <w:ind w:left="2540"/>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Director, Chairman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-60960</wp:posOffset>
            </wp:positionV>
            <wp:extent cx="3267075" cy="8890"/>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697">
                      <a:extLst>
                        <a:ext uri="{28A0092B-C50C-407E-A947-70E740481C1C}"/>
                      </a:extLst>
                    </a:blip>
                    <a:srcRect/>
                    <a:stretch>
                      <a:fillRect/>
                    </a:stretch>
                  </pic:blipFill>
                  <pic:spPr bwMode="auto">
                    <a:xfrm>
                      <a:off x="0" y="0"/>
                      <a:ext cx="3267075" cy="8890"/>
                    </a:xfrm>
                    <a:prstGeom prst="rect">
                      <a:avLst/>
                    </a:prstGeom>
                    <a:noFill/>
                  </pic:spPr>
                </pic:pic>
              </a:graphicData>
            </a:graphic>
          </wp:anchor>
        </w:drawing>
      </w:r>
    </w:p>
    <w:p>
      <w:pPr>
        <w:ind w:left="2060"/>
        <w:spacing w:after="0"/>
        <w:rPr>
          <w:sz w:val="20"/>
          <w:szCs w:val="20"/>
          <w:color w:val="auto"/>
        </w:rPr>
      </w:pPr>
      <w:r>
        <w:rPr>
          <w:rFonts w:ascii="Arial" w:cs="Arial" w:eastAsia="Arial" w:hAnsi="Arial"/>
          <w:sz w:val="18"/>
          <w:szCs w:val="18"/>
          <w:color w:val="auto"/>
        </w:rPr>
        <w:t>Andrew Gould</w:t>
      </w:r>
    </w:p>
    <w:p>
      <w:pPr>
        <w:spacing w:after="0" w:line="117" w:lineRule="exact"/>
        <w:rPr>
          <w:sz w:val="20"/>
          <w:szCs w:val="20"/>
          <w:color w:val="auto"/>
        </w:rPr>
      </w:pPr>
    </w:p>
    <w:p>
      <w:pPr>
        <w:ind w:left="1460"/>
        <w:spacing w:after="0"/>
        <w:tabs>
          <w:tab w:leader="none" w:pos="178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J</w:t>
      </w:r>
      <w:r>
        <w:rPr>
          <w:rFonts w:ascii="Arial" w:cs="Arial" w:eastAsia="Arial" w:hAnsi="Arial"/>
          <w:sz w:val="13"/>
          <w:szCs w:val="13"/>
          <w:color w:val="auto"/>
        </w:rPr>
        <w:t>EAN</w:t>
      </w:r>
      <w:r>
        <w:rPr>
          <w:rFonts w:ascii="Arial" w:cs="Arial" w:eastAsia="Arial" w:hAnsi="Arial"/>
          <w:sz w:val="16"/>
          <w:szCs w:val="16"/>
          <w:color w:val="auto"/>
        </w:rPr>
        <w:t>-M</w:t>
      </w:r>
      <w:r>
        <w:rPr>
          <w:rFonts w:ascii="Arial" w:cs="Arial" w:eastAsia="Arial" w:hAnsi="Arial"/>
          <w:sz w:val="13"/>
          <w:szCs w:val="13"/>
          <w:color w:val="auto"/>
        </w:rPr>
        <w:t>ARC</w:t>
      </w:r>
      <w:r>
        <w:rPr>
          <w:rFonts w:ascii="Arial" w:cs="Arial" w:eastAsia="Arial" w:hAnsi="Arial"/>
          <w:sz w:val="16"/>
          <w:szCs w:val="16"/>
          <w:color w:val="auto"/>
        </w:rPr>
        <w:t xml:space="preserve"> P</w:t>
      </w:r>
      <w:r>
        <w:rPr>
          <w:rFonts w:ascii="Arial" w:cs="Arial" w:eastAsia="Arial" w:hAnsi="Arial"/>
          <w:sz w:val="13"/>
          <w:szCs w:val="13"/>
          <w:color w:val="auto"/>
        </w:rPr>
        <w:t>ERRAUD</w:t>
      </w:r>
    </w:p>
    <w:p>
      <w:pPr>
        <w:spacing w:after="0" w:line="1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Executive Vice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-60960</wp:posOffset>
            </wp:positionV>
            <wp:extent cx="3267075" cy="8890"/>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698">
                      <a:extLst>
                        <a:ext uri="{28A0092B-C50C-407E-A947-70E740481C1C}"/>
                      </a:extLst>
                    </a:blip>
                    <a:srcRect/>
                    <a:stretch>
                      <a:fillRect/>
                    </a:stretch>
                  </pic:blipFill>
                  <pic:spPr bwMode="auto">
                    <a:xfrm>
                      <a:off x="0" y="0"/>
                      <a:ext cx="3267075" cy="8890"/>
                    </a:xfrm>
                    <a:prstGeom prst="rect">
                      <a:avLst/>
                    </a:prstGeom>
                    <a:noFill/>
                  </pic:spPr>
                </pic:pic>
              </a:graphicData>
            </a:graphic>
          </wp:anchor>
        </w:drawing>
      </w:r>
    </w:p>
    <w:p>
      <w:pPr>
        <w:ind w:left="1920"/>
        <w:spacing w:after="0"/>
        <w:rPr>
          <w:sz w:val="20"/>
          <w:szCs w:val="20"/>
          <w:color w:val="auto"/>
        </w:rPr>
      </w:pPr>
      <w:r>
        <w:rPr>
          <w:rFonts w:ascii="Arial" w:cs="Arial" w:eastAsia="Arial" w:hAnsi="Arial"/>
          <w:sz w:val="18"/>
          <w:szCs w:val="18"/>
          <w:color w:val="auto"/>
        </w:rPr>
        <w:t>Jean-Marc Perraud</w:t>
      </w:r>
    </w:p>
    <w:p>
      <w:pPr>
        <w:spacing w:after="0" w:line="117" w:lineRule="exact"/>
        <w:rPr>
          <w:sz w:val="20"/>
          <w:szCs w:val="20"/>
          <w:color w:val="auto"/>
        </w:rPr>
      </w:pPr>
    </w:p>
    <w:p>
      <w:pPr>
        <w:ind w:left="1600"/>
        <w:spacing w:after="0"/>
        <w:tabs>
          <w:tab w:leader="none" w:pos="194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F</w:t>
      </w:r>
      <w:r>
        <w:rPr>
          <w:rFonts w:ascii="Arial" w:cs="Arial" w:eastAsia="Arial" w:hAnsi="Arial"/>
          <w:sz w:val="13"/>
          <w:szCs w:val="13"/>
          <w:color w:val="auto"/>
        </w:rPr>
        <w:t>RANK</w:t>
      </w:r>
      <w:r>
        <w:rPr>
          <w:rFonts w:ascii="Arial" w:cs="Arial" w:eastAsia="Arial" w:hAnsi="Arial"/>
          <w:sz w:val="16"/>
          <w:szCs w:val="16"/>
          <w:color w:val="auto"/>
        </w:rPr>
        <w:t xml:space="preserve"> A. S</w:t>
      </w:r>
      <w:r>
        <w:rPr>
          <w:rFonts w:ascii="Arial" w:cs="Arial" w:eastAsia="Arial" w:hAnsi="Arial"/>
          <w:sz w:val="13"/>
          <w:szCs w:val="13"/>
          <w:color w:val="auto"/>
        </w:rPr>
        <w:t>ORGIE</w:t>
      </w:r>
    </w:p>
    <w:p>
      <w:pPr>
        <w:spacing w:after="0" w:line="1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Chief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-60960</wp:posOffset>
            </wp:positionV>
            <wp:extent cx="3267075" cy="8890"/>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699">
                      <a:extLst>
                        <a:ext uri="{28A0092B-C50C-407E-A947-70E740481C1C}"/>
                      </a:extLst>
                    </a:blip>
                    <a:srcRect/>
                    <a:stretch>
                      <a:fillRect/>
                    </a:stretch>
                  </pic:blipFill>
                  <pic:spPr bwMode="auto">
                    <a:xfrm>
                      <a:off x="0" y="0"/>
                      <a:ext cx="3267075" cy="8890"/>
                    </a:xfrm>
                    <a:prstGeom prst="rect">
                      <a:avLst/>
                    </a:prstGeom>
                    <a:noFill/>
                  </pic:spPr>
                </pic:pic>
              </a:graphicData>
            </a:graphic>
          </wp:anchor>
        </w:drawing>
      </w:r>
    </w:p>
    <w:p>
      <w:pPr>
        <w:jc w:val="center"/>
        <w:ind w:right="6260"/>
        <w:spacing w:after="0"/>
        <w:rPr>
          <w:sz w:val="20"/>
          <w:szCs w:val="20"/>
          <w:color w:val="auto"/>
        </w:rPr>
      </w:pPr>
      <w:r>
        <w:rPr>
          <w:rFonts w:ascii="Arial" w:cs="Arial" w:eastAsia="Arial" w:hAnsi="Arial"/>
          <w:sz w:val="18"/>
          <w:szCs w:val="18"/>
          <w:color w:val="auto"/>
        </w:rPr>
        <w:t>Frank A. Sorgie</w:t>
      </w:r>
    </w:p>
    <w:p>
      <w:pPr>
        <w:spacing w:after="0" w:line="117" w:lineRule="exact"/>
        <w:rPr>
          <w:sz w:val="20"/>
          <w:szCs w:val="20"/>
          <w:color w:val="auto"/>
        </w:rPr>
      </w:pPr>
    </w:p>
    <w:p>
      <w:pPr>
        <w:jc w:val="center"/>
        <w:ind w:right="6260"/>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-60960</wp:posOffset>
            </wp:positionV>
            <wp:extent cx="3267075" cy="8890"/>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00">
                      <a:extLst>
                        <a:ext uri="{28A0092B-C50C-407E-A947-70E740481C1C}"/>
                      </a:extLst>
                    </a:blip>
                    <a:srcRect/>
                    <a:stretch>
                      <a:fillRect/>
                    </a:stretch>
                  </pic:blipFill>
                  <pic:spPr bwMode="auto">
                    <a:xfrm>
                      <a:off x="0" y="0"/>
                      <a:ext cx="3267075" cy="8890"/>
                    </a:xfrm>
                    <a:prstGeom prst="rect">
                      <a:avLst/>
                    </a:prstGeom>
                    <a:noFill/>
                  </pic:spPr>
                </pic:pic>
              </a:graphicData>
            </a:graphic>
          </wp:anchor>
        </w:drawing>
      </w:r>
    </w:p>
    <w:p>
      <w:pPr>
        <w:jc w:val="center"/>
        <w:ind w:right="6260"/>
        <w:spacing w:after="0"/>
        <w:rPr>
          <w:sz w:val="20"/>
          <w:szCs w:val="20"/>
          <w:color w:val="auto"/>
        </w:rPr>
      </w:pPr>
      <w:r>
        <w:rPr>
          <w:rFonts w:ascii="Arial" w:cs="Arial" w:eastAsia="Arial" w:hAnsi="Arial"/>
          <w:sz w:val="18"/>
          <w:szCs w:val="18"/>
          <w:color w:val="auto"/>
        </w:rPr>
        <w:t>John Deutch</w:t>
      </w:r>
    </w:p>
    <w:p>
      <w:pPr>
        <w:spacing w:after="0" w:line="117" w:lineRule="exact"/>
        <w:rPr>
          <w:sz w:val="20"/>
          <w:szCs w:val="20"/>
          <w:color w:val="auto"/>
        </w:rPr>
      </w:pPr>
    </w:p>
    <w:p>
      <w:pPr>
        <w:jc w:val="center"/>
        <w:ind w:right="6260"/>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-60960</wp:posOffset>
            </wp:positionV>
            <wp:extent cx="3267075" cy="8890"/>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01">
                      <a:extLst>
                        <a:ext uri="{28A0092B-C50C-407E-A947-70E740481C1C}"/>
                      </a:extLst>
                    </a:blip>
                    <a:srcRect/>
                    <a:stretch>
                      <a:fillRect/>
                    </a:stretch>
                  </pic:blipFill>
                  <pic:spPr bwMode="auto">
                    <a:xfrm>
                      <a:off x="0" y="0"/>
                      <a:ext cx="3267075" cy="8890"/>
                    </a:xfrm>
                    <a:prstGeom prst="rect">
                      <a:avLst/>
                    </a:prstGeom>
                    <a:noFill/>
                  </pic:spPr>
                </pic:pic>
              </a:graphicData>
            </a:graphic>
          </wp:anchor>
        </w:drawing>
      </w:r>
    </w:p>
    <w:p>
      <w:pPr>
        <w:jc w:val="center"/>
        <w:ind w:right="6260"/>
        <w:spacing w:after="0"/>
        <w:rPr>
          <w:sz w:val="20"/>
          <w:szCs w:val="20"/>
          <w:color w:val="auto"/>
        </w:rPr>
      </w:pPr>
      <w:r>
        <w:rPr>
          <w:rFonts w:ascii="Arial" w:cs="Arial" w:eastAsia="Arial" w:hAnsi="Arial"/>
          <w:sz w:val="18"/>
          <w:szCs w:val="18"/>
          <w:color w:val="auto"/>
        </w:rPr>
        <w:t>Jamie S. Gorelick</w:t>
      </w:r>
    </w:p>
    <w:p>
      <w:pPr>
        <w:spacing w:after="0" w:line="117" w:lineRule="exact"/>
        <w:rPr>
          <w:sz w:val="20"/>
          <w:szCs w:val="20"/>
          <w:color w:val="auto"/>
        </w:rPr>
      </w:pPr>
    </w:p>
    <w:p>
      <w:pPr>
        <w:jc w:val="center"/>
        <w:ind w:right="6260"/>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-60960</wp:posOffset>
            </wp:positionV>
            <wp:extent cx="3267075" cy="8890"/>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02">
                      <a:extLst>
                        <a:ext uri="{28A0092B-C50C-407E-A947-70E740481C1C}"/>
                      </a:extLst>
                    </a:blip>
                    <a:srcRect/>
                    <a:stretch>
                      <a:fillRect/>
                    </a:stretch>
                  </pic:blipFill>
                  <pic:spPr bwMode="auto">
                    <a:xfrm>
                      <a:off x="0" y="0"/>
                      <a:ext cx="3267075" cy="8890"/>
                    </a:xfrm>
                    <a:prstGeom prst="rect">
                      <a:avLst/>
                    </a:prstGeom>
                    <a:noFill/>
                  </pic:spPr>
                </pic:pic>
              </a:graphicData>
            </a:graphic>
          </wp:anchor>
        </w:drawing>
      </w:r>
    </w:p>
    <w:p>
      <w:pPr>
        <w:jc w:val="center"/>
        <w:ind w:right="6260"/>
        <w:spacing w:after="0"/>
        <w:rPr>
          <w:sz w:val="20"/>
          <w:szCs w:val="20"/>
          <w:color w:val="auto"/>
        </w:rPr>
      </w:pPr>
      <w:r>
        <w:rPr>
          <w:rFonts w:ascii="Arial" w:cs="Arial" w:eastAsia="Arial" w:hAnsi="Arial"/>
          <w:sz w:val="18"/>
          <w:szCs w:val="18"/>
          <w:color w:val="auto"/>
        </w:rPr>
        <w:t>Tony Isaac</w:t>
      </w:r>
    </w:p>
    <w:p>
      <w:pPr>
        <w:spacing w:after="0" w:line="117" w:lineRule="exact"/>
        <w:rPr>
          <w:sz w:val="20"/>
          <w:szCs w:val="20"/>
          <w:color w:val="auto"/>
        </w:rPr>
      </w:pPr>
    </w:p>
    <w:p>
      <w:pPr>
        <w:jc w:val="center"/>
        <w:ind w:right="6260"/>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-60960</wp:posOffset>
            </wp:positionV>
            <wp:extent cx="3267075" cy="8890"/>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03">
                      <a:extLst>
                        <a:ext uri="{28A0092B-C50C-407E-A947-70E740481C1C}"/>
                      </a:extLst>
                    </a:blip>
                    <a:srcRect/>
                    <a:stretch>
                      <a:fillRect/>
                    </a:stretch>
                  </pic:blipFill>
                  <pic:spPr bwMode="auto">
                    <a:xfrm>
                      <a:off x="0" y="0"/>
                      <a:ext cx="3267075" cy="8890"/>
                    </a:xfrm>
                    <a:prstGeom prst="rect">
                      <a:avLst/>
                    </a:prstGeom>
                    <a:noFill/>
                  </pic:spPr>
                </pic:pic>
              </a:graphicData>
            </a:graphic>
          </wp:anchor>
        </w:drawing>
      </w:r>
    </w:p>
    <w:p>
      <w:pPr>
        <w:jc w:val="center"/>
        <w:ind w:right="6260"/>
        <w:spacing w:after="0"/>
        <w:rPr>
          <w:sz w:val="20"/>
          <w:szCs w:val="20"/>
          <w:color w:val="auto"/>
        </w:rPr>
      </w:pPr>
      <w:r>
        <w:rPr>
          <w:rFonts w:ascii="Arial" w:cs="Arial" w:eastAsia="Arial" w:hAnsi="Arial"/>
          <w:sz w:val="18"/>
          <w:szCs w:val="18"/>
          <w:color w:val="auto"/>
        </w:rPr>
        <w:t>Adrian Lajous</w:t>
      </w:r>
    </w:p>
    <w:p>
      <w:pPr>
        <w:spacing w:after="0" w:line="117" w:lineRule="exact"/>
        <w:rPr>
          <w:sz w:val="20"/>
          <w:szCs w:val="20"/>
          <w:color w:val="auto"/>
        </w:rPr>
      </w:pPr>
    </w:p>
    <w:p>
      <w:pPr>
        <w:jc w:val="center"/>
        <w:ind w:right="6260"/>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-60960</wp:posOffset>
            </wp:positionV>
            <wp:extent cx="3267075" cy="8890"/>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04">
                      <a:extLst>
                        <a:ext uri="{28A0092B-C50C-407E-A947-70E740481C1C}"/>
                      </a:extLst>
                    </a:blip>
                    <a:srcRect/>
                    <a:stretch>
                      <a:fillRect/>
                    </a:stretch>
                  </pic:blipFill>
                  <pic:spPr bwMode="auto">
                    <a:xfrm>
                      <a:off x="0" y="0"/>
                      <a:ext cx="3267075" cy="8890"/>
                    </a:xfrm>
                    <a:prstGeom prst="rect">
                      <a:avLst/>
                    </a:prstGeom>
                    <a:noFill/>
                  </pic:spPr>
                </pic:pic>
              </a:graphicData>
            </a:graphic>
          </wp:anchor>
        </w:drawing>
      </w:r>
    </w:p>
    <w:p>
      <w:pPr>
        <w:jc w:val="center"/>
        <w:ind w:right="6260"/>
        <w:spacing w:after="0"/>
        <w:rPr>
          <w:sz w:val="20"/>
          <w:szCs w:val="20"/>
          <w:color w:val="auto"/>
        </w:rPr>
      </w:pPr>
      <w:r>
        <w:rPr>
          <w:rFonts w:ascii="Arial" w:cs="Arial" w:eastAsia="Arial" w:hAnsi="Arial"/>
          <w:sz w:val="18"/>
          <w:szCs w:val="18"/>
          <w:color w:val="auto"/>
        </w:rPr>
        <w:t>André Lévy-Lang</w:t>
      </w:r>
    </w:p>
    <w:p>
      <w:pPr>
        <w:spacing w:after="0" w:line="117" w:lineRule="exact"/>
        <w:rPr>
          <w:sz w:val="20"/>
          <w:szCs w:val="20"/>
          <w:color w:val="auto"/>
        </w:rPr>
      </w:pPr>
    </w:p>
    <w:p>
      <w:pPr>
        <w:jc w:val="center"/>
        <w:ind w:right="6260"/>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-60960</wp:posOffset>
            </wp:positionV>
            <wp:extent cx="3267075" cy="8890"/>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05">
                      <a:extLst>
                        <a:ext uri="{28A0092B-C50C-407E-A947-70E740481C1C}"/>
                      </a:extLst>
                    </a:blip>
                    <a:srcRect/>
                    <a:stretch>
                      <a:fillRect/>
                    </a:stretch>
                  </pic:blipFill>
                  <pic:spPr bwMode="auto">
                    <a:xfrm>
                      <a:off x="0" y="0"/>
                      <a:ext cx="3267075" cy="8890"/>
                    </a:xfrm>
                    <a:prstGeom prst="rect">
                      <a:avLst/>
                    </a:prstGeom>
                    <a:noFill/>
                  </pic:spPr>
                </pic:pic>
              </a:graphicData>
            </a:graphic>
          </wp:anchor>
        </w:drawing>
      </w:r>
    </w:p>
    <w:p>
      <w:pPr>
        <w:jc w:val="center"/>
        <w:ind w:right="6260"/>
        <w:spacing w:after="0"/>
        <w:rPr>
          <w:sz w:val="20"/>
          <w:szCs w:val="20"/>
          <w:color w:val="auto"/>
        </w:rPr>
      </w:pPr>
      <w:r>
        <w:rPr>
          <w:rFonts w:ascii="Arial" w:cs="Arial" w:eastAsia="Arial" w:hAnsi="Arial"/>
          <w:sz w:val="18"/>
          <w:szCs w:val="18"/>
          <w:color w:val="auto"/>
        </w:rPr>
        <w:t>Didier Primat</w:t>
      </w:r>
    </w:p>
    <w:p>
      <w:pPr>
        <w:spacing w:after="0" w:line="117" w:lineRule="exact"/>
        <w:rPr>
          <w:sz w:val="20"/>
          <w:szCs w:val="20"/>
          <w:color w:val="auto"/>
        </w:rPr>
      </w:pPr>
    </w:p>
    <w:p>
      <w:pPr>
        <w:jc w:val="center"/>
        <w:ind w:right="6260"/>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-60960</wp:posOffset>
            </wp:positionV>
            <wp:extent cx="3267075" cy="8890"/>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06">
                      <a:extLst>
                        <a:ext uri="{28A0092B-C50C-407E-A947-70E740481C1C}"/>
                      </a:extLst>
                    </a:blip>
                    <a:srcRect/>
                    <a:stretch>
                      <a:fillRect/>
                    </a:stretch>
                  </pic:blipFill>
                  <pic:spPr bwMode="auto">
                    <a:xfrm>
                      <a:off x="0" y="0"/>
                      <a:ext cx="3267075" cy="8890"/>
                    </a:xfrm>
                    <a:prstGeom prst="rect">
                      <a:avLst/>
                    </a:prstGeom>
                    <a:noFill/>
                  </pic:spPr>
                </pic:pic>
              </a:graphicData>
            </a:graphic>
          </wp:anchor>
        </w:drawing>
      </w:r>
    </w:p>
    <w:p>
      <w:pPr>
        <w:jc w:val="center"/>
        <w:ind w:right="6260"/>
        <w:spacing w:after="0"/>
        <w:rPr>
          <w:sz w:val="20"/>
          <w:szCs w:val="20"/>
          <w:color w:val="auto"/>
        </w:rPr>
      </w:pPr>
      <w:r>
        <w:rPr>
          <w:rFonts w:ascii="Arial" w:cs="Arial" w:eastAsia="Arial" w:hAnsi="Arial"/>
          <w:sz w:val="18"/>
          <w:szCs w:val="18"/>
          <w:color w:val="auto"/>
        </w:rPr>
        <w:t>Nicolas Seydoux</w:t>
      </w:r>
    </w:p>
    <w:p>
      <w:pPr>
        <w:spacing w:after="0" w:line="117" w:lineRule="exact"/>
        <w:rPr>
          <w:sz w:val="20"/>
          <w:szCs w:val="20"/>
          <w:color w:val="auto"/>
        </w:rPr>
      </w:pPr>
    </w:p>
    <w:p>
      <w:pPr>
        <w:jc w:val="center"/>
        <w:ind w:right="6260"/>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-60960</wp:posOffset>
            </wp:positionV>
            <wp:extent cx="3267075" cy="8890"/>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07">
                      <a:extLst>
                        <a:ext uri="{28A0092B-C50C-407E-A947-70E740481C1C}"/>
                      </a:extLst>
                    </a:blip>
                    <a:srcRect/>
                    <a:stretch>
                      <a:fillRect/>
                    </a:stretch>
                  </pic:blipFill>
                  <pic:spPr bwMode="auto">
                    <a:xfrm>
                      <a:off x="0" y="0"/>
                      <a:ext cx="3267075" cy="8890"/>
                    </a:xfrm>
                    <a:prstGeom prst="rect">
                      <a:avLst/>
                    </a:prstGeom>
                    <a:noFill/>
                  </pic:spPr>
                </pic:pic>
              </a:graphicData>
            </a:graphic>
          </wp:anchor>
        </w:drawing>
      </w:r>
    </w:p>
    <w:p>
      <w:pPr>
        <w:jc w:val="center"/>
        <w:ind w:right="6260"/>
        <w:spacing w:after="0"/>
        <w:rPr>
          <w:sz w:val="20"/>
          <w:szCs w:val="20"/>
          <w:color w:val="auto"/>
        </w:rPr>
      </w:pPr>
      <w:r>
        <w:rPr>
          <w:rFonts w:ascii="Arial" w:cs="Arial" w:eastAsia="Arial" w:hAnsi="Arial"/>
          <w:sz w:val="18"/>
          <w:szCs w:val="18"/>
          <w:color w:val="auto"/>
        </w:rPr>
        <w:t>Linda G. Stuntz</w:t>
      </w:r>
    </w:p>
    <w:p>
      <w:pPr>
        <w:spacing w:after="0" w:line="117" w:lineRule="exact"/>
        <w:rPr>
          <w:sz w:val="20"/>
          <w:szCs w:val="20"/>
          <w:color w:val="auto"/>
        </w:rPr>
      </w:pPr>
    </w:p>
    <w:p>
      <w:pPr>
        <w:jc w:val="center"/>
        <w:ind w:right="6260"/>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-60960</wp:posOffset>
            </wp:positionV>
            <wp:extent cx="3267075" cy="8890"/>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08">
                      <a:extLst>
                        <a:ext uri="{28A0092B-C50C-407E-A947-70E740481C1C}"/>
                      </a:extLst>
                    </a:blip>
                    <a:srcRect/>
                    <a:stretch>
                      <a:fillRect/>
                    </a:stretch>
                  </pic:blipFill>
                  <pic:spPr bwMode="auto">
                    <a:xfrm>
                      <a:off x="0" y="0"/>
                      <a:ext cx="3267075" cy="8890"/>
                    </a:xfrm>
                    <a:prstGeom prst="rect">
                      <a:avLst/>
                    </a:prstGeom>
                    <a:noFill/>
                  </pic:spPr>
                </pic:pic>
              </a:graphicData>
            </a:graphic>
          </wp:anchor>
        </w:drawing>
      </w:r>
    </w:p>
    <w:p>
      <w:pPr>
        <w:jc w:val="center"/>
        <w:ind w:right="6260"/>
        <w:spacing w:after="0"/>
        <w:rPr>
          <w:sz w:val="20"/>
          <w:szCs w:val="20"/>
          <w:color w:val="auto"/>
        </w:rPr>
      </w:pPr>
      <w:r>
        <w:rPr>
          <w:rFonts w:ascii="Arial" w:cs="Arial" w:eastAsia="Arial" w:hAnsi="Arial"/>
          <w:sz w:val="18"/>
          <w:szCs w:val="18"/>
          <w:color w:val="auto"/>
        </w:rPr>
        <w:t>Sven Ullring</w:t>
      </w:r>
    </w:p>
    <w:p>
      <w:pPr>
        <w:spacing w:after="0" w:line="117" w:lineRule="exact"/>
        <w:rPr>
          <w:sz w:val="20"/>
          <w:szCs w:val="20"/>
          <w:color w:val="auto"/>
        </w:rPr>
      </w:pPr>
    </w:p>
    <w:p>
      <w:pPr>
        <w:ind w:left="1820"/>
        <w:spacing w:after="0"/>
        <w:tabs>
          <w:tab w:leader="none" w:pos="2140" w:val="left"/>
        </w:tabs>
        <w:rPr>
          <w:sz w:val="20"/>
          <w:szCs w:val="20"/>
          <w:color w:val="auto"/>
        </w:rPr>
      </w:pPr>
      <w:r>
        <w:rPr>
          <w:rFonts w:ascii="Arial" w:cs="Arial" w:eastAsia="Arial" w:hAnsi="Arial"/>
          <w:sz w:val="18"/>
          <w:szCs w:val="18"/>
          <w:color w:val="auto"/>
        </w:rPr>
        <w:t>/s/</w:t>
        <w:tab/>
        <w:t>E</w:t>
      </w:r>
      <w:r>
        <w:rPr>
          <w:rFonts w:ascii="Arial" w:cs="Arial" w:eastAsia="Arial" w:hAnsi="Arial"/>
          <w:sz w:val="14"/>
          <w:szCs w:val="14"/>
          <w:color w:val="auto"/>
        </w:rPr>
        <w:t>LLEN</w:t>
      </w:r>
      <w:r>
        <w:rPr>
          <w:rFonts w:ascii="Arial" w:cs="Arial" w:eastAsia="Arial" w:hAnsi="Arial"/>
          <w:sz w:val="18"/>
          <w:szCs w:val="18"/>
          <w:color w:val="auto"/>
        </w:rPr>
        <w:t xml:space="preserve"> S</w:t>
      </w:r>
      <w:r>
        <w:rPr>
          <w:rFonts w:ascii="Arial" w:cs="Arial" w:eastAsia="Arial" w:hAnsi="Arial"/>
          <w:sz w:val="14"/>
          <w:szCs w:val="14"/>
          <w:color w:val="auto"/>
        </w:rPr>
        <w:t>UMMER</w:t>
      </w:r>
    </w:p>
    <w:p>
      <w:pPr>
        <w:spacing w:after="0" w:line="1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March 3, 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-60960</wp:posOffset>
            </wp:positionV>
            <wp:extent cx="3267075" cy="8890"/>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09">
                      <a:extLst>
                        <a:ext uri="{28A0092B-C50C-407E-A947-70E740481C1C}"/>
                      </a:extLst>
                    </a:blip>
                    <a:srcRect/>
                    <a:stretch>
                      <a:fillRect/>
                    </a:stretch>
                  </pic:blipFill>
                  <pic:spPr bwMode="auto">
                    <a:xfrm>
                      <a:off x="0" y="0"/>
                      <a:ext cx="3267075" cy="8890"/>
                    </a:xfrm>
                    <a:prstGeom prst="rect">
                      <a:avLst/>
                    </a:prstGeom>
                    <a:noFill/>
                  </pic:spPr>
                </pic:pic>
              </a:graphicData>
            </a:graphic>
          </wp:anchor>
        </w:drawing>
      </w:r>
    </w:p>
    <w:p>
      <w:pPr>
        <w:ind w:left="1240"/>
        <w:spacing w:after="0"/>
        <w:tabs>
          <w:tab w:leader="none" w:pos="2720" w:val="left"/>
        </w:tabs>
        <w:rPr>
          <w:sz w:val="20"/>
          <w:szCs w:val="20"/>
          <w:color w:val="auto"/>
        </w:rPr>
      </w:pPr>
      <w:r>
        <w:rPr>
          <w:rFonts w:ascii="Arial" w:cs="Arial" w:eastAsia="Arial" w:hAnsi="Arial"/>
          <w:sz w:val="18"/>
          <w:szCs w:val="18"/>
          <w:color w:val="auto"/>
        </w:rPr>
        <w:t>*By Ellen Summer</w:t>
      </w:r>
      <w:r>
        <w:rPr>
          <w:sz w:val="20"/>
          <w:szCs w:val="20"/>
          <w:color w:val="auto"/>
        </w:rPr>
        <w:tab/>
      </w:r>
      <w:r>
        <w:rPr>
          <w:rFonts w:ascii="Arial" w:cs="Arial" w:eastAsia="Arial" w:hAnsi="Arial"/>
          <w:sz w:val="16"/>
          <w:szCs w:val="16"/>
          <w:color w:val="auto"/>
        </w:rPr>
        <w:t>Attorney-in-Fact</w:t>
      </w:r>
    </w:p>
    <w:p>
      <w:pPr>
        <w:sectPr>
          <w:pgSz w:w="11900" w:h="16838" w:orient="portrait"/>
          <w:cols w:equalWidth="0" w:num="1">
            <w:col w:w="11420"/>
          </w:cols>
          <w:pgMar w:left="240" w:top="459" w:right="239" w:bottom="1440" w:gutter="0" w:footer="0" w:header="0"/>
        </w:sectPr>
      </w:pPr>
    </w:p>
    <w:p>
      <w:pPr>
        <w:spacing w:after="0" w:line="155" w:lineRule="exact"/>
        <w:rPr>
          <w:sz w:val="20"/>
          <w:szCs w:val="20"/>
          <w:color w:val="auto"/>
        </w:rPr>
      </w:pPr>
    </w:p>
    <w:p>
      <w:pPr>
        <w:spacing w:after="0"/>
        <w:tabs>
          <w:tab w:leader="none" w:pos="10400" w:val="left"/>
        </w:tabs>
        <w:rPr>
          <w:sz w:val="20"/>
          <w:szCs w:val="20"/>
          <w:color w:val="auto"/>
        </w:rPr>
      </w:pPr>
      <w:r>
        <w:rPr>
          <w:rFonts w:ascii="Arial" w:cs="Arial" w:eastAsia="Arial" w:hAnsi="Arial"/>
          <w:sz w:val="14"/>
          <w:szCs w:val="14"/>
          <w:color w:val="auto"/>
        </w:rPr>
        <w:t>75 / SLB</w:t>
      </w:r>
      <w:r>
        <w:rPr>
          <w:sz w:val="20"/>
          <w:szCs w:val="20"/>
          <w:color w:val="auto"/>
        </w:rPr>
        <w:tab/>
      </w:r>
      <w:r>
        <w:rPr>
          <w:rFonts w:ascii="Arial" w:cs="Arial" w:eastAsia="Arial" w:hAnsi="Arial"/>
          <w:sz w:val="12"/>
          <w:szCs w:val="12"/>
          <w:color w:val="auto"/>
        </w:rPr>
        <w:t>2003 FORM 10-K</w:t>
      </w:r>
    </w:p>
    <w:p>
      <w:pPr>
        <w:sectPr>
          <w:pgSz w:w="11900" w:h="16838" w:orient="portrait"/>
          <w:cols w:equalWidth="0" w:num="1">
            <w:col w:w="11420"/>
          </w:cols>
          <w:pgMar w:left="240" w:top="459" w:right="239" w:bottom="1440" w:gutter="0" w:footer="0" w:header="0"/>
          <w:type w:val="continuous"/>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1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INDEX TO EXHIBITS</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9660" w:type="dxa"/>
            <w:vAlign w:val="bottom"/>
          </w:tcPr>
          <w:p>
            <w:pPr>
              <w:spacing w:after="0"/>
              <w:rPr>
                <w:sz w:val="15"/>
                <w:szCs w:val="15"/>
                <w:color w:val="auto"/>
              </w:rPr>
            </w:pPr>
          </w:p>
        </w:tc>
        <w:tc>
          <w:tcPr>
            <w:tcW w:w="1140" w:type="dxa"/>
            <w:vAlign w:val="bottom"/>
          </w:tcPr>
          <w:p>
            <w:pPr>
              <w:ind w:left="380"/>
              <w:spacing w:after="0"/>
              <w:rPr>
                <w:sz w:val="20"/>
                <w:szCs w:val="20"/>
                <w:color w:val="auto"/>
              </w:rPr>
            </w:pPr>
            <w:r>
              <w:rPr>
                <w:rFonts w:ascii="Arial" w:cs="Arial" w:eastAsia="Arial" w:hAnsi="Arial"/>
                <w:sz w:val="14"/>
                <w:szCs w:val="14"/>
                <w:b w:val="1"/>
                <w:bCs w:val="1"/>
                <w:color w:val="auto"/>
              </w:rPr>
              <w:t>Exhibit</w:t>
            </w: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255"/>
        </w:trPr>
        <w:tc>
          <w:tcPr>
            <w:tcW w:w="9660" w:type="dxa"/>
            <w:vAlign w:val="bottom"/>
          </w:tcPr>
          <w:p>
            <w:pPr>
              <w:spacing w:after="0"/>
              <w:rPr>
                <w:sz w:val="20"/>
                <w:szCs w:val="20"/>
                <w:color w:val="auto"/>
              </w:rPr>
            </w:pPr>
            <w:r>
              <w:rPr>
                <w:rFonts w:ascii="Arial" w:cs="Arial" w:eastAsia="Arial" w:hAnsi="Arial"/>
                <w:sz w:val="18"/>
                <w:szCs w:val="18"/>
                <w:color w:val="auto"/>
                <w:w w:val="92"/>
              </w:rPr>
              <w:t>Deed of Incorporation as last amended on May 4, 2001 incorporated by reference to Form 10-Q for the period ended June 30, 2001</w:t>
            </w:r>
          </w:p>
        </w:tc>
        <w:tc>
          <w:tcPr>
            <w:tcW w:w="1140" w:type="dxa"/>
            <w:vAlign w:val="bottom"/>
          </w:tcPr>
          <w:p>
            <w:pPr>
              <w:ind w:left="360"/>
              <w:spacing w:after="0"/>
              <w:rPr>
                <w:sz w:val="20"/>
                <w:szCs w:val="20"/>
                <w:color w:val="auto"/>
              </w:rPr>
            </w:pPr>
            <w:r>
              <w:rPr>
                <w:rFonts w:ascii="Arial" w:cs="Arial" w:eastAsia="Arial" w:hAnsi="Arial"/>
                <w:sz w:val="18"/>
                <w:szCs w:val="18"/>
                <w:color w:val="auto"/>
              </w:rPr>
              <w:t>3(a)</w:t>
            </w: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84"/>
        </w:trPr>
        <w:tc>
          <w:tcPr>
            <w:tcW w:w="9660" w:type="dxa"/>
            <w:vAlign w:val="bottom"/>
          </w:tcPr>
          <w:p>
            <w:pPr>
              <w:spacing w:after="0"/>
              <w:rPr>
                <w:sz w:val="20"/>
                <w:szCs w:val="20"/>
                <w:color w:val="auto"/>
              </w:rPr>
            </w:pPr>
            <w:r>
              <w:rPr>
                <w:rFonts w:ascii="Arial" w:cs="Arial" w:eastAsia="Arial" w:hAnsi="Arial"/>
                <w:sz w:val="18"/>
                <w:szCs w:val="18"/>
                <w:color w:val="auto"/>
              </w:rPr>
              <w:t>By-Laws as last amended on April 17, 2003, incorporated by reference to Exhibit 3 to Form 8-K filed April 17, 2003</w:t>
            </w:r>
          </w:p>
        </w:tc>
        <w:tc>
          <w:tcPr>
            <w:tcW w:w="1140" w:type="dxa"/>
            <w:vAlign w:val="bottom"/>
          </w:tcPr>
          <w:p>
            <w:pPr>
              <w:ind w:left="360"/>
              <w:spacing w:after="0"/>
              <w:rPr>
                <w:sz w:val="20"/>
                <w:szCs w:val="20"/>
                <w:color w:val="auto"/>
              </w:rPr>
            </w:pPr>
            <w:r>
              <w:rPr>
                <w:rFonts w:ascii="Arial" w:cs="Arial" w:eastAsia="Arial" w:hAnsi="Arial"/>
                <w:sz w:val="18"/>
                <w:szCs w:val="18"/>
                <w:color w:val="auto"/>
              </w:rPr>
              <w:t>3(b)</w:t>
            </w: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7"/>
        </w:trPr>
        <w:tc>
          <w:tcPr>
            <w:tcW w:w="9660" w:type="dxa"/>
            <w:vAlign w:val="bottom"/>
          </w:tcPr>
          <w:p>
            <w:pPr>
              <w:spacing w:after="0"/>
              <w:rPr>
                <w:sz w:val="20"/>
                <w:szCs w:val="20"/>
                <w:color w:val="auto"/>
              </w:rPr>
            </w:pPr>
            <w:r>
              <w:rPr>
                <w:rFonts w:ascii="Arial" w:cs="Arial" w:eastAsia="Arial" w:hAnsi="Arial"/>
                <w:sz w:val="18"/>
                <w:szCs w:val="18"/>
                <w:color w:val="auto"/>
                <w:w w:val="95"/>
              </w:rPr>
              <w:t>Indenture, dated as of June 9, 2003, by and between Schlumberger and Citibank N.A., as Trustee, incorporated by reference to</w:t>
            </w:r>
          </w:p>
        </w:tc>
        <w:tc>
          <w:tcPr>
            <w:tcW w:w="1140" w:type="dxa"/>
            <w:vAlign w:val="bottom"/>
          </w:tcPr>
          <w:p>
            <w:pPr>
              <w:ind w:left="360"/>
              <w:spacing w:after="0"/>
              <w:rPr>
                <w:sz w:val="20"/>
                <w:szCs w:val="20"/>
                <w:color w:val="auto"/>
              </w:rPr>
            </w:pPr>
            <w:r>
              <w:rPr>
                <w:rFonts w:ascii="Arial" w:cs="Arial" w:eastAsia="Arial" w:hAnsi="Arial"/>
                <w:sz w:val="18"/>
                <w:szCs w:val="18"/>
                <w:color w:val="auto"/>
              </w:rPr>
              <w:t>4.3</w:t>
            </w:r>
          </w:p>
        </w:tc>
        <w:tc>
          <w:tcPr>
            <w:tcW w:w="620" w:type="dxa"/>
            <w:vAlign w:val="bottom"/>
          </w:tcPr>
          <w:p>
            <w:pPr>
              <w:spacing w:after="0"/>
              <w:rPr>
                <w:sz w:val="24"/>
                <w:szCs w:val="24"/>
                <w:color w:val="auto"/>
              </w:rPr>
            </w:pPr>
          </w:p>
        </w:tc>
      </w:tr>
      <w:tr>
        <w:trPr>
          <w:trHeight w:val="222"/>
        </w:trPr>
        <w:tc>
          <w:tcPr>
            <w:tcW w:w="9660" w:type="dxa"/>
            <w:vAlign w:val="bottom"/>
          </w:tcPr>
          <w:p>
            <w:pPr>
              <w:ind w:left="220"/>
              <w:spacing w:after="0"/>
              <w:rPr>
                <w:sz w:val="20"/>
                <w:szCs w:val="20"/>
                <w:color w:val="auto"/>
              </w:rPr>
            </w:pPr>
            <w:r>
              <w:rPr>
                <w:rFonts w:ascii="Arial" w:cs="Arial" w:eastAsia="Arial" w:hAnsi="Arial"/>
                <w:sz w:val="18"/>
                <w:szCs w:val="18"/>
                <w:color w:val="auto"/>
              </w:rPr>
              <w:t>Exhibit 4.3 to Registration Statement S-3 filed on September 12, 2003</w:t>
            </w:r>
          </w:p>
        </w:tc>
        <w:tc>
          <w:tcPr>
            <w:tcW w:w="1140" w:type="dxa"/>
            <w:vAlign w:val="bottom"/>
          </w:tcPr>
          <w:p>
            <w:pPr>
              <w:spacing w:after="0"/>
              <w:rPr>
                <w:sz w:val="19"/>
                <w:szCs w:val="19"/>
                <w:color w:val="auto"/>
              </w:rPr>
            </w:pPr>
          </w:p>
        </w:tc>
        <w:tc>
          <w:tcPr>
            <w:tcW w:w="620" w:type="dxa"/>
            <w:vAlign w:val="bottom"/>
          </w:tcPr>
          <w:p>
            <w:pPr>
              <w:spacing w:after="0"/>
              <w:rPr>
                <w:sz w:val="19"/>
                <w:szCs w:val="19"/>
                <w:color w:val="auto"/>
              </w:rPr>
            </w:pPr>
          </w:p>
        </w:tc>
      </w:tr>
      <w:tr>
        <w:trPr>
          <w:trHeight w:val="277"/>
        </w:trPr>
        <w:tc>
          <w:tcPr>
            <w:tcW w:w="9660" w:type="dxa"/>
            <w:vAlign w:val="bottom"/>
          </w:tcPr>
          <w:p>
            <w:pPr>
              <w:spacing w:after="0"/>
              <w:rPr>
                <w:sz w:val="20"/>
                <w:szCs w:val="20"/>
                <w:color w:val="auto"/>
              </w:rPr>
            </w:pPr>
            <w:r>
              <w:rPr>
                <w:rFonts w:ascii="Arial" w:cs="Arial" w:eastAsia="Arial" w:hAnsi="Arial"/>
                <w:sz w:val="18"/>
                <w:szCs w:val="18"/>
                <w:color w:val="auto"/>
                <w:w w:val="91"/>
              </w:rPr>
              <w:t>First Supplemental Indenture, dated as of June 9, 2003, by and between Schlumberger and Citibank, N.A., as Trustee, incorporated</w:t>
            </w:r>
          </w:p>
        </w:tc>
        <w:tc>
          <w:tcPr>
            <w:tcW w:w="1140" w:type="dxa"/>
            <w:vAlign w:val="bottom"/>
          </w:tcPr>
          <w:p>
            <w:pPr>
              <w:ind w:left="360"/>
              <w:spacing w:after="0"/>
              <w:rPr>
                <w:sz w:val="20"/>
                <w:szCs w:val="20"/>
                <w:color w:val="auto"/>
              </w:rPr>
            </w:pPr>
            <w:r>
              <w:rPr>
                <w:rFonts w:ascii="Arial" w:cs="Arial" w:eastAsia="Arial" w:hAnsi="Arial"/>
                <w:sz w:val="18"/>
                <w:szCs w:val="18"/>
                <w:color w:val="auto"/>
              </w:rPr>
              <w:t>4.4</w:t>
            </w:r>
          </w:p>
        </w:tc>
        <w:tc>
          <w:tcPr>
            <w:tcW w:w="620" w:type="dxa"/>
            <w:vAlign w:val="bottom"/>
          </w:tcPr>
          <w:p>
            <w:pPr>
              <w:spacing w:after="0"/>
              <w:rPr>
                <w:sz w:val="24"/>
                <w:szCs w:val="24"/>
                <w:color w:val="auto"/>
              </w:rPr>
            </w:pPr>
          </w:p>
        </w:tc>
      </w:tr>
      <w:tr>
        <w:trPr>
          <w:trHeight w:val="222"/>
        </w:trPr>
        <w:tc>
          <w:tcPr>
            <w:tcW w:w="9660" w:type="dxa"/>
            <w:vAlign w:val="bottom"/>
          </w:tcPr>
          <w:p>
            <w:pPr>
              <w:ind w:left="220"/>
              <w:spacing w:after="0"/>
              <w:rPr>
                <w:sz w:val="20"/>
                <w:szCs w:val="20"/>
                <w:color w:val="auto"/>
              </w:rPr>
            </w:pPr>
            <w:r>
              <w:rPr>
                <w:rFonts w:ascii="Arial" w:cs="Arial" w:eastAsia="Arial" w:hAnsi="Arial"/>
                <w:sz w:val="18"/>
                <w:szCs w:val="18"/>
                <w:color w:val="auto"/>
              </w:rPr>
              <w:t>by reference to Exhibit 4.4 to Registration Statement S-3 filed on September 12, 2003</w:t>
            </w:r>
          </w:p>
        </w:tc>
        <w:tc>
          <w:tcPr>
            <w:tcW w:w="1140" w:type="dxa"/>
            <w:vAlign w:val="bottom"/>
          </w:tcPr>
          <w:p>
            <w:pPr>
              <w:spacing w:after="0"/>
              <w:rPr>
                <w:sz w:val="19"/>
                <w:szCs w:val="19"/>
                <w:color w:val="auto"/>
              </w:rPr>
            </w:pPr>
          </w:p>
        </w:tc>
        <w:tc>
          <w:tcPr>
            <w:tcW w:w="620" w:type="dxa"/>
            <w:vAlign w:val="bottom"/>
          </w:tcPr>
          <w:p>
            <w:pPr>
              <w:spacing w:after="0"/>
              <w:rPr>
                <w:sz w:val="19"/>
                <w:szCs w:val="19"/>
                <w:color w:val="auto"/>
              </w:rPr>
            </w:pPr>
          </w:p>
        </w:tc>
      </w:tr>
      <w:tr>
        <w:trPr>
          <w:trHeight w:val="277"/>
        </w:trPr>
        <w:tc>
          <w:tcPr>
            <w:tcW w:w="9660" w:type="dxa"/>
            <w:vAlign w:val="bottom"/>
          </w:tcPr>
          <w:p>
            <w:pPr>
              <w:spacing w:after="0"/>
              <w:rPr>
                <w:sz w:val="20"/>
                <w:szCs w:val="20"/>
                <w:color w:val="auto"/>
              </w:rPr>
            </w:pPr>
            <w:r>
              <w:rPr>
                <w:rFonts w:ascii="Arial" w:cs="Arial" w:eastAsia="Arial" w:hAnsi="Arial"/>
                <w:sz w:val="18"/>
                <w:szCs w:val="18"/>
                <w:color w:val="auto"/>
                <w:w w:val="91"/>
              </w:rPr>
              <w:t>Schlumberger 1994 Stock Option Plan, as amended on January 5, 1995, incorporated by reference to Exhibit 10(a) to Form 10-K for</w:t>
            </w:r>
          </w:p>
        </w:tc>
        <w:tc>
          <w:tcPr>
            <w:tcW w:w="1140" w:type="dxa"/>
            <w:vAlign w:val="bottom"/>
          </w:tcPr>
          <w:p>
            <w:pPr>
              <w:ind w:left="360"/>
              <w:spacing w:after="0"/>
              <w:rPr>
                <w:sz w:val="20"/>
                <w:szCs w:val="20"/>
                <w:color w:val="auto"/>
              </w:rPr>
            </w:pPr>
            <w:r>
              <w:rPr>
                <w:rFonts w:ascii="Arial" w:cs="Arial" w:eastAsia="Arial" w:hAnsi="Arial"/>
                <w:sz w:val="18"/>
                <w:szCs w:val="18"/>
                <w:color w:val="auto"/>
              </w:rPr>
              <w:t>10(a)</w:t>
            </w: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2"/>
        </w:trPr>
        <w:tc>
          <w:tcPr>
            <w:tcW w:w="9660" w:type="dxa"/>
            <w:vAlign w:val="bottom"/>
          </w:tcPr>
          <w:p>
            <w:pPr>
              <w:ind w:left="220"/>
              <w:spacing w:after="0"/>
              <w:rPr>
                <w:sz w:val="20"/>
                <w:szCs w:val="20"/>
                <w:color w:val="auto"/>
              </w:rPr>
            </w:pPr>
            <w:r>
              <w:rPr>
                <w:rFonts w:ascii="Arial" w:cs="Arial" w:eastAsia="Arial" w:hAnsi="Arial"/>
                <w:sz w:val="18"/>
                <w:szCs w:val="18"/>
                <w:color w:val="auto"/>
              </w:rPr>
              <w:t>year 1995</w:t>
            </w:r>
          </w:p>
        </w:tc>
        <w:tc>
          <w:tcPr>
            <w:tcW w:w="1140" w:type="dxa"/>
            <w:vAlign w:val="bottom"/>
          </w:tcPr>
          <w:p>
            <w:pPr>
              <w:spacing w:after="0"/>
              <w:rPr>
                <w:sz w:val="19"/>
                <w:szCs w:val="19"/>
                <w:color w:val="auto"/>
              </w:rPr>
            </w:pPr>
          </w:p>
        </w:tc>
        <w:tc>
          <w:tcPr>
            <w:tcW w:w="620" w:type="dxa"/>
            <w:vAlign w:val="bottom"/>
          </w:tcPr>
          <w:p>
            <w:pPr>
              <w:spacing w:after="0"/>
              <w:rPr>
                <w:sz w:val="19"/>
                <w:szCs w:val="19"/>
                <w:color w:val="auto"/>
              </w:rPr>
            </w:pPr>
          </w:p>
        </w:tc>
      </w:tr>
      <w:tr>
        <w:trPr>
          <w:trHeight w:val="277"/>
        </w:trPr>
        <w:tc>
          <w:tcPr>
            <w:tcW w:w="9660" w:type="dxa"/>
            <w:vAlign w:val="bottom"/>
          </w:tcPr>
          <w:p>
            <w:pPr>
              <w:spacing w:after="0"/>
              <w:rPr>
                <w:sz w:val="20"/>
                <w:szCs w:val="20"/>
                <w:color w:val="auto"/>
              </w:rPr>
            </w:pPr>
            <w:r>
              <w:rPr>
                <w:rFonts w:ascii="Arial" w:cs="Arial" w:eastAsia="Arial" w:hAnsi="Arial"/>
                <w:sz w:val="18"/>
                <w:szCs w:val="18"/>
                <w:color w:val="auto"/>
                <w:w w:val="93"/>
              </w:rPr>
              <w:t>Schlumberger 1994 Stock Option Plan – Second Amendment incorporated by reference to Exhibit 10(b) to Form 10-K for the year</w:t>
            </w:r>
          </w:p>
        </w:tc>
        <w:tc>
          <w:tcPr>
            <w:tcW w:w="1140" w:type="dxa"/>
            <w:vAlign w:val="bottom"/>
          </w:tcPr>
          <w:p>
            <w:pPr>
              <w:ind w:left="360"/>
              <w:spacing w:after="0"/>
              <w:rPr>
                <w:sz w:val="20"/>
                <w:szCs w:val="20"/>
                <w:color w:val="auto"/>
              </w:rPr>
            </w:pPr>
            <w:r>
              <w:rPr>
                <w:rFonts w:ascii="Arial" w:cs="Arial" w:eastAsia="Arial" w:hAnsi="Arial"/>
                <w:sz w:val="18"/>
                <w:szCs w:val="18"/>
                <w:color w:val="auto"/>
              </w:rPr>
              <w:t>10(b)</w:t>
            </w: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2"/>
        </w:trPr>
        <w:tc>
          <w:tcPr>
            <w:tcW w:w="9660" w:type="dxa"/>
            <w:vAlign w:val="bottom"/>
          </w:tcPr>
          <w:p>
            <w:pPr>
              <w:ind w:left="220"/>
              <w:spacing w:after="0"/>
              <w:rPr>
                <w:sz w:val="20"/>
                <w:szCs w:val="20"/>
                <w:color w:val="auto"/>
              </w:rPr>
            </w:pPr>
            <w:r>
              <w:rPr>
                <w:rFonts w:ascii="Arial" w:cs="Arial" w:eastAsia="Arial" w:hAnsi="Arial"/>
                <w:sz w:val="18"/>
                <w:szCs w:val="18"/>
                <w:color w:val="auto"/>
              </w:rPr>
              <w:t>1999</w:t>
            </w:r>
          </w:p>
        </w:tc>
        <w:tc>
          <w:tcPr>
            <w:tcW w:w="1140" w:type="dxa"/>
            <w:vAlign w:val="bottom"/>
          </w:tcPr>
          <w:p>
            <w:pPr>
              <w:spacing w:after="0"/>
              <w:rPr>
                <w:sz w:val="19"/>
                <w:szCs w:val="19"/>
                <w:color w:val="auto"/>
              </w:rPr>
            </w:pPr>
          </w:p>
        </w:tc>
        <w:tc>
          <w:tcPr>
            <w:tcW w:w="620" w:type="dxa"/>
            <w:vAlign w:val="bottom"/>
          </w:tcPr>
          <w:p>
            <w:pPr>
              <w:spacing w:after="0"/>
              <w:rPr>
                <w:sz w:val="19"/>
                <w:szCs w:val="19"/>
                <w:color w:val="auto"/>
              </w:rPr>
            </w:pPr>
          </w:p>
        </w:tc>
      </w:tr>
      <w:tr>
        <w:trPr>
          <w:trHeight w:val="277"/>
        </w:trPr>
        <w:tc>
          <w:tcPr>
            <w:tcW w:w="9660" w:type="dxa"/>
            <w:vAlign w:val="bottom"/>
          </w:tcPr>
          <w:p>
            <w:pPr>
              <w:spacing w:after="0"/>
              <w:rPr>
                <w:sz w:val="20"/>
                <w:szCs w:val="20"/>
                <w:color w:val="auto"/>
              </w:rPr>
            </w:pPr>
            <w:r>
              <w:rPr>
                <w:rFonts w:ascii="Arial" w:cs="Arial" w:eastAsia="Arial" w:hAnsi="Arial"/>
                <w:sz w:val="18"/>
                <w:szCs w:val="18"/>
                <w:color w:val="auto"/>
                <w:w w:val="95"/>
              </w:rPr>
              <w:t>Schlumberger 1994 Stock Option Plan – Third Amendment incorporated by reference to Exhibit 10(c) to Form 10-K for the year</w:t>
            </w:r>
          </w:p>
        </w:tc>
        <w:tc>
          <w:tcPr>
            <w:tcW w:w="1140" w:type="dxa"/>
            <w:vAlign w:val="bottom"/>
          </w:tcPr>
          <w:p>
            <w:pPr>
              <w:ind w:left="360"/>
              <w:spacing w:after="0"/>
              <w:rPr>
                <w:sz w:val="20"/>
                <w:szCs w:val="20"/>
                <w:color w:val="auto"/>
              </w:rPr>
            </w:pPr>
            <w:r>
              <w:rPr>
                <w:rFonts w:ascii="Arial" w:cs="Arial" w:eastAsia="Arial" w:hAnsi="Arial"/>
                <w:sz w:val="18"/>
                <w:szCs w:val="18"/>
                <w:color w:val="auto"/>
              </w:rPr>
              <w:t>10(c)</w:t>
            </w: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2"/>
        </w:trPr>
        <w:tc>
          <w:tcPr>
            <w:tcW w:w="9660" w:type="dxa"/>
            <w:vAlign w:val="bottom"/>
          </w:tcPr>
          <w:p>
            <w:pPr>
              <w:ind w:left="220"/>
              <w:spacing w:after="0"/>
              <w:rPr>
                <w:sz w:val="20"/>
                <w:szCs w:val="20"/>
                <w:color w:val="auto"/>
              </w:rPr>
            </w:pPr>
            <w:r>
              <w:rPr>
                <w:rFonts w:ascii="Arial" w:cs="Arial" w:eastAsia="Arial" w:hAnsi="Arial"/>
                <w:sz w:val="18"/>
                <w:szCs w:val="18"/>
                <w:color w:val="auto"/>
              </w:rPr>
              <w:t>1999</w:t>
            </w:r>
          </w:p>
        </w:tc>
        <w:tc>
          <w:tcPr>
            <w:tcW w:w="1140" w:type="dxa"/>
            <w:vAlign w:val="bottom"/>
          </w:tcPr>
          <w:p>
            <w:pPr>
              <w:spacing w:after="0"/>
              <w:rPr>
                <w:sz w:val="19"/>
                <w:szCs w:val="19"/>
                <w:color w:val="auto"/>
              </w:rPr>
            </w:pPr>
          </w:p>
        </w:tc>
        <w:tc>
          <w:tcPr>
            <w:tcW w:w="620" w:type="dxa"/>
            <w:vAlign w:val="bottom"/>
          </w:tcPr>
          <w:p>
            <w:pPr>
              <w:spacing w:after="0"/>
              <w:rPr>
                <w:sz w:val="19"/>
                <w:szCs w:val="19"/>
                <w:color w:val="auto"/>
              </w:rPr>
            </w:pPr>
          </w:p>
        </w:tc>
      </w:tr>
      <w:tr>
        <w:trPr>
          <w:trHeight w:val="277"/>
        </w:trPr>
        <w:tc>
          <w:tcPr>
            <w:tcW w:w="9660" w:type="dxa"/>
            <w:vAlign w:val="bottom"/>
          </w:tcPr>
          <w:p>
            <w:pPr>
              <w:spacing w:after="0"/>
              <w:rPr>
                <w:sz w:val="20"/>
                <w:szCs w:val="20"/>
                <w:color w:val="auto"/>
              </w:rPr>
            </w:pPr>
            <w:r>
              <w:rPr>
                <w:rFonts w:ascii="Arial" w:cs="Arial" w:eastAsia="Arial" w:hAnsi="Arial"/>
                <w:sz w:val="18"/>
                <w:szCs w:val="18"/>
                <w:color w:val="auto"/>
                <w:w w:val="92"/>
              </w:rPr>
              <w:t>Schlumberger Limited Supplementary Benefit Plan, as amended, on January 1, 1995, incorporated by reference to Exhibit 10(b) to</w:t>
            </w:r>
          </w:p>
        </w:tc>
        <w:tc>
          <w:tcPr>
            <w:tcW w:w="1140" w:type="dxa"/>
            <w:vAlign w:val="bottom"/>
          </w:tcPr>
          <w:p>
            <w:pPr>
              <w:ind w:left="360"/>
              <w:spacing w:after="0"/>
              <w:rPr>
                <w:sz w:val="20"/>
                <w:szCs w:val="20"/>
                <w:color w:val="auto"/>
              </w:rPr>
            </w:pPr>
            <w:r>
              <w:rPr>
                <w:rFonts w:ascii="Arial" w:cs="Arial" w:eastAsia="Arial" w:hAnsi="Arial"/>
                <w:sz w:val="18"/>
                <w:szCs w:val="18"/>
                <w:color w:val="auto"/>
              </w:rPr>
              <w:t>10(d)</w:t>
            </w: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2"/>
        </w:trPr>
        <w:tc>
          <w:tcPr>
            <w:tcW w:w="9660" w:type="dxa"/>
            <w:vAlign w:val="bottom"/>
          </w:tcPr>
          <w:p>
            <w:pPr>
              <w:ind w:left="220"/>
              <w:spacing w:after="0"/>
              <w:rPr>
                <w:sz w:val="20"/>
                <w:szCs w:val="20"/>
                <w:color w:val="auto"/>
              </w:rPr>
            </w:pPr>
            <w:r>
              <w:rPr>
                <w:rFonts w:ascii="Arial" w:cs="Arial" w:eastAsia="Arial" w:hAnsi="Arial"/>
                <w:sz w:val="18"/>
                <w:szCs w:val="18"/>
                <w:color w:val="auto"/>
              </w:rPr>
              <w:t>Form 10-K for 1996</w:t>
            </w:r>
          </w:p>
        </w:tc>
        <w:tc>
          <w:tcPr>
            <w:tcW w:w="1140" w:type="dxa"/>
            <w:vAlign w:val="bottom"/>
          </w:tcPr>
          <w:p>
            <w:pPr>
              <w:spacing w:after="0"/>
              <w:rPr>
                <w:sz w:val="19"/>
                <w:szCs w:val="19"/>
                <w:color w:val="auto"/>
              </w:rPr>
            </w:pPr>
          </w:p>
        </w:tc>
        <w:tc>
          <w:tcPr>
            <w:tcW w:w="620" w:type="dxa"/>
            <w:vAlign w:val="bottom"/>
          </w:tcPr>
          <w:p>
            <w:pPr>
              <w:spacing w:after="0"/>
              <w:rPr>
                <w:sz w:val="19"/>
                <w:szCs w:val="19"/>
                <w:color w:val="auto"/>
              </w:rPr>
            </w:pPr>
          </w:p>
        </w:tc>
      </w:tr>
      <w:tr>
        <w:trPr>
          <w:trHeight w:val="284"/>
        </w:trPr>
        <w:tc>
          <w:tcPr>
            <w:tcW w:w="9660" w:type="dxa"/>
            <w:vAlign w:val="bottom"/>
          </w:tcPr>
          <w:p>
            <w:pPr>
              <w:spacing w:after="0"/>
              <w:rPr>
                <w:sz w:val="20"/>
                <w:szCs w:val="20"/>
                <w:color w:val="auto"/>
              </w:rPr>
            </w:pPr>
            <w:r>
              <w:rPr>
                <w:rFonts w:ascii="Arial" w:cs="Arial" w:eastAsia="Arial" w:hAnsi="Arial"/>
                <w:sz w:val="18"/>
                <w:szCs w:val="18"/>
                <w:color w:val="auto"/>
                <w:w w:val="96"/>
              </w:rPr>
              <w:t>Schlumberger 1989 Stock Incentive Plan, as amended, incorporated by reference to Exhibit 10(c) to Form 10-K for year 1995</w:t>
            </w:r>
          </w:p>
        </w:tc>
        <w:tc>
          <w:tcPr>
            <w:tcW w:w="1140" w:type="dxa"/>
            <w:vAlign w:val="bottom"/>
          </w:tcPr>
          <w:p>
            <w:pPr>
              <w:ind w:left="360"/>
              <w:spacing w:after="0"/>
              <w:rPr>
                <w:sz w:val="20"/>
                <w:szCs w:val="20"/>
                <w:color w:val="auto"/>
              </w:rPr>
            </w:pPr>
            <w:r>
              <w:rPr>
                <w:rFonts w:ascii="Arial" w:cs="Arial" w:eastAsia="Arial" w:hAnsi="Arial"/>
                <w:sz w:val="18"/>
                <w:szCs w:val="18"/>
                <w:color w:val="auto"/>
              </w:rPr>
              <w:t>10(e)</w:t>
            </w: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7"/>
        </w:trPr>
        <w:tc>
          <w:tcPr>
            <w:tcW w:w="9660" w:type="dxa"/>
            <w:vAlign w:val="bottom"/>
          </w:tcPr>
          <w:p>
            <w:pPr>
              <w:spacing w:after="0"/>
              <w:rPr>
                <w:sz w:val="20"/>
                <w:szCs w:val="20"/>
                <w:color w:val="auto"/>
              </w:rPr>
            </w:pPr>
            <w:r>
              <w:rPr>
                <w:rFonts w:ascii="Arial" w:cs="Arial" w:eastAsia="Arial" w:hAnsi="Arial"/>
                <w:sz w:val="18"/>
                <w:szCs w:val="18"/>
                <w:color w:val="auto"/>
                <w:w w:val="94"/>
              </w:rPr>
              <w:t>Schlumberger 1989 Stock Incentive Plan – Third Amendment incorporated by reference to Exhibit 10(f) to Form 10-K for the year</w:t>
            </w:r>
          </w:p>
        </w:tc>
        <w:tc>
          <w:tcPr>
            <w:tcW w:w="1140" w:type="dxa"/>
            <w:vAlign w:val="bottom"/>
          </w:tcPr>
          <w:p>
            <w:pPr>
              <w:ind w:left="360"/>
              <w:spacing w:after="0"/>
              <w:rPr>
                <w:sz w:val="20"/>
                <w:szCs w:val="20"/>
                <w:color w:val="auto"/>
              </w:rPr>
            </w:pPr>
            <w:r>
              <w:rPr>
                <w:rFonts w:ascii="Arial" w:cs="Arial" w:eastAsia="Arial" w:hAnsi="Arial"/>
                <w:sz w:val="18"/>
                <w:szCs w:val="18"/>
                <w:color w:val="auto"/>
              </w:rPr>
              <w:t>10(f)</w:t>
            </w: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2"/>
        </w:trPr>
        <w:tc>
          <w:tcPr>
            <w:tcW w:w="9660" w:type="dxa"/>
            <w:vAlign w:val="bottom"/>
          </w:tcPr>
          <w:p>
            <w:pPr>
              <w:ind w:left="220"/>
              <w:spacing w:after="0"/>
              <w:rPr>
                <w:sz w:val="20"/>
                <w:szCs w:val="20"/>
                <w:color w:val="auto"/>
              </w:rPr>
            </w:pPr>
            <w:r>
              <w:rPr>
                <w:rFonts w:ascii="Arial" w:cs="Arial" w:eastAsia="Arial" w:hAnsi="Arial"/>
                <w:sz w:val="18"/>
                <w:szCs w:val="18"/>
                <w:color w:val="auto"/>
              </w:rPr>
              <w:t>1999</w:t>
            </w:r>
          </w:p>
        </w:tc>
        <w:tc>
          <w:tcPr>
            <w:tcW w:w="1140" w:type="dxa"/>
            <w:vAlign w:val="bottom"/>
          </w:tcPr>
          <w:p>
            <w:pPr>
              <w:spacing w:after="0"/>
              <w:rPr>
                <w:sz w:val="19"/>
                <w:szCs w:val="19"/>
                <w:color w:val="auto"/>
              </w:rPr>
            </w:pPr>
          </w:p>
        </w:tc>
        <w:tc>
          <w:tcPr>
            <w:tcW w:w="620" w:type="dxa"/>
            <w:vAlign w:val="bottom"/>
          </w:tcPr>
          <w:p>
            <w:pPr>
              <w:spacing w:after="0"/>
              <w:rPr>
                <w:sz w:val="19"/>
                <w:szCs w:val="19"/>
                <w:color w:val="auto"/>
              </w:rPr>
            </w:pPr>
          </w:p>
        </w:tc>
      </w:tr>
      <w:tr>
        <w:trPr>
          <w:trHeight w:val="284"/>
        </w:trPr>
        <w:tc>
          <w:tcPr>
            <w:tcW w:w="9660" w:type="dxa"/>
            <w:vAlign w:val="bottom"/>
          </w:tcPr>
          <w:p>
            <w:pPr>
              <w:spacing w:after="0"/>
              <w:rPr>
                <w:sz w:val="20"/>
                <w:szCs w:val="20"/>
                <w:color w:val="auto"/>
              </w:rPr>
            </w:pPr>
            <w:r>
              <w:rPr>
                <w:rFonts w:ascii="Arial" w:cs="Arial" w:eastAsia="Arial" w:hAnsi="Arial"/>
                <w:sz w:val="18"/>
                <w:szCs w:val="18"/>
                <w:color w:val="auto"/>
              </w:rPr>
              <w:t>Schlumberger Restoration Savings Plan, incorporated by reference to Exhibit 10(f) to Form 10-K for year 1995</w:t>
            </w:r>
          </w:p>
        </w:tc>
        <w:tc>
          <w:tcPr>
            <w:tcW w:w="1140" w:type="dxa"/>
            <w:vAlign w:val="bottom"/>
          </w:tcPr>
          <w:p>
            <w:pPr>
              <w:ind w:left="360"/>
              <w:spacing w:after="0"/>
              <w:rPr>
                <w:sz w:val="20"/>
                <w:szCs w:val="20"/>
                <w:color w:val="auto"/>
              </w:rPr>
            </w:pPr>
            <w:r>
              <w:rPr>
                <w:rFonts w:ascii="Arial" w:cs="Arial" w:eastAsia="Arial" w:hAnsi="Arial"/>
                <w:sz w:val="18"/>
                <w:szCs w:val="18"/>
                <w:color w:val="auto"/>
              </w:rPr>
              <w:t>10(g)</w:t>
            </w: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84"/>
        </w:trPr>
        <w:tc>
          <w:tcPr>
            <w:tcW w:w="9660" w:type="dxa"/>
            <w:vAlign w:val="bottom"/>
          </w:tcPr>
          <w:p>
            <w:pPr>
              <w:spacing w:after="0"/>
              <w:rPr>
                <w:sz w:val="20"/>
                <w:szCs w:val="20"/>
                <w:color w:val="auto"/>
              </w:rPr>
            </w:pPr>
            <w:r>
              <w:rPr>
                <w:rFonts w:ascii="Arial" w:cs="Arial" w:eastAsia="Arial" w:hAnsi="Arial"/>
                <w:sz w:val="18"/>
                <w:szCs w:val="18"/>
                <w:color w:val="auto"/>
              </w:rPr>
              <w:t>Schlumberger 1998 Stock Option Plan, incorporated by reference to Exhibit 10(g) to Form 10-K for year 1997</w:t>
            </w:r>
          </w:p>
        </w:tc>
        <w:tc>
          <w:tcPr>
            <w:tcW w:w="1140" w:type="dxa"/>
            <w:vAlign w:val="bottom"/>
          </w:tcPr>
          <w:p>
            <w:pPr>
              <w:ind w:left="360"/>
              <w:spacing w:after="0"/>
              <w:rPr>
                <w:sz w:val="20"/>
                <w:szCs w:val="20"/>
                <w:color w:val="auto"/>
              </w:rPr>
            </w:pPr>
            <w:r>
              <w:rPr>
                <w:rFonts w:ascii="Arial" w:cs="Arial" w:eastAsia="Arial" w:hAnsi="Arial"/>
                <w:sz w:val="18"/>
                <w:szCs w:val="18"/>
                <w:color w:val="auto"/>
              </w:rPr>
              <w:t>10(h)</w:t>
            </w: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7"/>
        </w:trPr>
        <w:tc>
          <w:tcPr>
            <w:tcW w:w="9660" w:type="dxa"/>
            <w:vAlign w:val="bottom"/>
          </w:tcPr>
          <w:p>
            <w:pPr>
              <w:spacing w:after="0"/>
              <w:rPr>
                <w:sz w:val="20"/>
                <w:szCs w:val="20"/>
                <w:color w:val="auto"/>
              </w:rPr>
            </w:pPr>
            <w:r>
              <w:rPr>
                <w:rFonts w:ascii="Arial" w:cs="Arial" w:eastAsia="Arial" w:hAnsi="Arial"/>
                <w:sz w:val="18"/>
                <w:szCs w:val="18"/>
                <w:color w:val="auto"/>
                <w:w w:val="96"/>
              </w:rPr>
              <w:t>Schlumberger 1998 Stock Option Plan – First Amendment incorporated by reference to Exhibit 10(i) to Form 10-K for the year</w:t>
            </w:r>
          </w:p>
        </w:tc>
        <w:tc>
          <w:tcPr>
            <w:tcW w:w="1140" w:type="dxa"/>
            <w:vAlign w:val="bottom"/>
          </w:tcPr>
          <w:p>
            <w:pPr>
              <w:ind w:left="360"/>
              <w:spacing w:after="0"/>
              <w:rPr>
                <w:sz w:val="20"/>
                <w:szCs w:val="20"/>
                <w:color w:val="auto"/>
              </w:rPr>
            </w:pPr>
            <w:r>
              <w:rPr>
                <w:rFonts w:ascii="Arial" w:cs="Arial" w:eastAsia="Arial" w:hAnsi="Arial"/>
                <w:sz w:val="18"/>
                <w:szCs w:val="18"/>
                <w:color w:val="auto"/>
              </w:rPr>
              <w:t>10(i)</w:t>
            </w: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2"/>
        </w:trPr>
        <w:tc>
          <w:tcPr>
            <w:tcW w:w="9660" w:type="dxa"/>
            <w:vAlign w:val="bottom"/>
          </w:tcPr>
          <w:p>
            <w:pPr>
              <w:ind w:left="220"/>
              <w:spacing w:after="0"/>
              <w:rPr>
                <w:sz w:val="20"/>
                <w:szCs w:val="20"/>
                <w:color w:val="auto"/>
              </w:rPr>
            </w:pPr>
            <w:r>
              <w:rPr>
                <w:rFonts w:ascii="Arial" w:cs="Arial" w:eastAsia="Arial" w:hAnsi="Arial"/>
                <w:sz w:val="18"/>
                <w:szCs w:val="18"/>
                <w:color w:val="auto"/>
              </w:rPr>
              <w:t>1999</w:t>
            </w:r>
          </w:p>
        </w:tc>
        <w:tc>
          <w:tcPr>
            <w:tcW w:w="1140" w:type="dxa"/>
            <w:vAlign w:val="bottom"/>
          </w:tcPr>
          <w:p>
            <w:pPr>
              <w:spacing w:after="0"/>
              <w:rPr>
                <w:sz w:val="19"/>
                <w:szCs w:val="19"/>
                <w:color w:val="auto"/>
              </w:rPr>
            </w:pPr>
          </w:p>
        </w:tc>
        <w:tc>
          <w:tcPr>
            <w:tcW w:w="620" w:type="dxa"/>
            <w:vAlign w:val="bottom"/>
          </w:tcPr>
          <w:p>
            <w:pPr>
              <w:spacing w:after="0"/>
              <w:rPr>
                <w:sz w:val="19"/>
                <w:szCs w:val="19"/>
                <w:color w:val="auto"/>
              </w:rPr>
            </w:pPr>
          </w:p>
        </w:tc>
      </w:tr>
      <w:tr>
        <w:trPr>
          <w:trHeight w:val="277"/>
        </w:trPr>
        <w:tc>
          <w:tcPr>
            <w:tcW w:w="9660" w:type="dxa"/>
            <w:vAlign w:val="bottom"/>
          </w:tcPr>
          <w:p>
            <w:pPr>
              <w:spacing w:after="0"/>
              <w:rPr>
                <w:sz w:val="20"/>
                <w:szCs w:val="20"/>
                <w:color w:val="auto"/>
              </w:rPr>
            </w:pPr>
            <w:r>
              <w:rPr>
                <w:rFonts w:ascii="Arial" w:cs="Arial" w:eastAsia="Arial" w:hAnsi="Arial"/>
                <w:sz w:val="18"/>
                <w:szCs w:val="18"/>
                <w:color w:val="auto"/>
                <w:w w:val="96"/>
              </w:rPr>
              <w:t>1997 Long-Term Incentive Plan of Camco International Inc.; Long-Term Incentive Plan of Camco International Inc.; Production</w:t>
            </w:r>
          </w:p>
        </w:tc>
        <w:tc>
          <w:tcPr>
            <w:tcW w:w="1140" w:type="dxa"/>
            <w:vAlign w:val="bottom"/>
          </w:tcPr>
          <w:p>
            <w:pPr>
              <w:ind w:left="360"/>
              <w:spacing w:after="0"/>
              <w:rPr>
                <w:sz w:val="20"/>
                <w:szCs w:val="20"/>
                <w:color w:val="auto"/>
              </w:rPr>
            </w:pPr>
            <w:r>
              <w:rPr>
                <w:rFonts w:ascii="Arial" w:cs="Arial" w:eastAsia="Arial" w:hAnsi="Arial"/>
                <w:sz w:val="18"/>
                <w:szCs w:val="18"/>
                <w:color w:val="auto"/>
              </w:rPr>
              <w:t>10(j)</w:t>
            </w: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9660" w:type="dxa"/>
            <w:vAlign w:val="bottom"/>
          </w:tcPr>
          <w:p>
            <w:pPr>
              <w:ind w:left="220"/>
              <w:spacing w:after="0"/>
              <w:rPr>
                <w:sz w:val="20"/>
                <w:szCs w:val="20"/>
                <w:color w:val="auto"/>
              </w:rPr>
            </w:pPr>
            <w:r>
              <w:rPr>
                <w:rFonts w:ascii="Arial" w:cs="Arial" w:eastAsia="Arial" w:hAnsi="Arial"/>
                <w:sz w:val="18"/>
                <w:szCs w:val="18"/>
                <w:color w:val="auto"/>
                <w:w w:val="92"/>
              </w:rPr>
              <w:t>Operators Corp. 1992 Long-Term Incentive Plan; Camco 1996 Savings Related Share Option Scheme; Camco International Inc.</w:t>
            </w:r>
          </w:p>
        </w:tc>
        <w:tc>
          <w:tcPr>
            <w:tcW w:w="114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216"/>
        </w:trPr>
        <w:tc>
          <w:tcPr>
            <w:tcW w:w="9660" w:type="dxa"/>
            <w:vAlign w:val="bottom"/>
          </w:tcPr>
          <w:p>
            <w:pPr>
              <w:ind w:left="220"/>
              <w:spacing w:after="0"/>
              <w:rPr>
                <w:sz w:val="20"/>
                <w:szCs w:val="20"/>
                <w:color w:val="auto"/>
              </w:rPr>
            </w:pPr>
            <w:r>
              <w:rPr>
                <w:rFonts w:ascii="Arial" w:cs="Arial" w:eastAsia="Arial" w:hAnsi="Arial"/>
                <w:sz w:val="18"/>
                <w:szCs w:val="18"/>
                <w:color w:val="auto"/>
                <w:w w:val="94"/>
              </w:rPr>
              <w:t>Amended and Restated Stock Option Plan for Nonemployee Directors; incorporated by reference to Exhibit 10 to Form S-8 of</w:t>
            </w:r>
          </w:p>
        </w:tc>
        <w:tc>
          <w:tcPr>
            <w:tcW w:w="114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222"/>
        </w:trPr>
        <w:tc>
          <w:tcPr>
            <w:tcW w:w="9660" w:type="dxa"/>
            <w:vAlign w:val="bottom"/>
          </w:tcPr>
          <w:p>
            <w:pPr>
              <w:ind w:left="220"/>
              <w:spacing w:after="0"/>
              <w:rPr>
                <w:sz w:val="20"/>
                <w:szCs w:val="20"/>
                <w:color w:val="auto"/>
              </w:rPr>
            </w:pPr>
            <w:r>
              <w:rPr>
                <w:rFonts w:ascii="Arial" w:cs="Arial" w:eastAsia="Arial" w:hAnsi="Arial"/>
                <w:sz w:val="18"/>
                <w:szCs w:val="18"/>
                <w:color w:val="auto"/>
              </w:rPr>
              <w:t>August 31, 1998</w:t>
            </w:r>
          </w:p>
        </w:tc>
        <w:tc>
          <w:tcPr>
            <w:tcW w:w="1140" w:type="dxa"/>
            <w:vAlign w:val="bottom"/>
          </w:tcPr>
          <w:p>
            <w:pPr>
              <w:spacing w:after="0"/>
              <w:rPr>
                <w:sz w:val="19"/>
                <w:szCs w:val="19"/>
                <w:color w:val="auto"/>
              </w:rPr>
            </w:pPr>
          </w:p>
        </w:tc>
        <w:tc>
          <w:tcPr>
            <w:tcW w:w="620" w:type="dxa"/>
            <w:vAlign w:val="bottom"/>
          </w:tcPr>
          <w:p>
            <w:pPr>
              <w:spacing w:after="0"/>
              <w:rPr>
                <w:sz w:val="19"/>
                <w:szCs w:val="19"/>
                <w:color w:val="auto"/>
              </w:rPr>
            </w:pPr>
          </w:p>
        </w:tc>
      </w:tr>
      <w:tr>
        <w:trPr>
          <w:trHeight w:val="284"/>
        </w:trPr>
        <w:tc>
          <w:tcPr>
            <w:tcW w:w="9660" w:type="dxa"/>
            <w:vAlign w:val="bottom"/>
          </w:tcPr>
          <w:p>
            <w:pPr>
              <w:spacing w:after="0"/>
              <w:rPr>
                <w:sz w:val="20"/>
                <w:szCs w:val="20"/>
                <w:color w:val="auto"/>
              </w:rPr>
            </w:pPr>
            <w:r>
              <w:rPr>
                <w:rFonts w:ascii="Arial" w:cs="Arial" w:eastAsia="Arial" w:hAnsi="Arial"/>
                <w:sz w:val="18"/>
                <w:szCs w:val="18"/>
                <w:color w:val="auto"/>
              </w:rPr>
              <w:t>Schlumberger 2001 Stock Option Plan, incorporated by reference to Form 10-Q for the period ended March 31, 2001</w:t>
            </w:r>
          </w:p>
        </w:tc>
        <w:tc>
          <w:tcPr>
            <w:tcW w:w="1140" w:type="dxa"/>
            <w:vAlign w:val="bottom"/>
          </w:tcPr>
          <w:p>
            <w:pPr>
              <w:ind w:left="360"/>
              <w:spacing w:after="0"/>
              <w:rPr>
                <w:sz w:val="20"/>
                <w:szCs w:val="20"/>
                <w:color w:val="auto"/>
              </w:rPr>
            </w:pPr>
            <w:r>
              <w:rPr>
                <w:rFonts w:ascii="Arial" w:cs="Arial" w:eastAsia="Arial" w:hAnsi="Arial"/>
                <w:sz w:val="18"/>
                <w:szCs w:val="18"/>
                <w:color w:val="auto"/>
              </w:rPr>
              <w:t>10(k)</w:t>
            </w: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7"/>
        </w:trPr>
        <w:tc>
          <w:tcPr>
            <w:tcW w:w="9660" w:type="dxa"/>
            <w:vAlign w:val="bottom"/>
          </w:tcPr>
          <w:p>
            <w:pPr>
              <w:spacing w:after="0"/>
              <w:rPr>
                <w:sz w:val="20"/>
                <w:szCs w:val="20"/>
                <w:color w:val="auto"/>
              </w:rPr>
            </w:pPr>
            <w:r>
              <w:rPr>
                <w:rFonts w:ascii="Arial" w:cs="Arial" w:eastAsia="Arial" w:hAnsi="Arial"/>
                <w:sz w:val="18"/>
                <w:szCs w:val="18"/>
                <w:color w:val="auto"/>
                <w:w w:val="93"/>
              </w:rPr>
              <w:t>Schlumberger Stock and Deferral Plan for Non-Employee Directors, incorporated by reference to Exhibit 10(l) to Form 10-K for the</w:t>
            </w:r>
          </w:p>
        </w:tc>
        <w:tc>
          <w:tcPr>
            <w:tcW w:w="1140" w:type="dxa"/>
            <w:vAlign w:val="bottom"/>
          </w:tcPr>
          <w:p>
            <w:pPr>
              <w:ind w:left="360"/>
              <w:spacing w:after="0"/>
              <w:rPr>
                <w:sz w:val="20"/>
                <w:szCs w:val="20"/>
                <w:color w:val="auto"/>
              </w:rPr>
            </w:pPr>
            <w:r>
              <w:rPr>
                <w:rFonts w:ascii="Arial" w:cs="Arial" w:eastAsia="Arial" w:hAnsi="Arial"/>
                <w:sz w:val="18"/>
                <w:szCs w:val="18"/>
                <w:color w:val="auto"/>
              </w:rPr>
              <w:t>10(l)</w:t>
            </w: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2"/>
        </w:trPr>
        <w:tc>
          <w:tcPr>
            <w:tcW w:w="9660" w:type="dxa"/>
            <w:vAlign w:val="bottom"/>
          </w:tcPr>
          <w:p>
            <w:pPr>
              <w:ind w:left="220"/>
              <w:spacing w:after="0"/>
              <w:rPr>
                <w:sz w:val="20"/>
                <w:szCs w:val="20"/>
                <w:color w:val="auto"/>
              </w:rPr>
            </w:pPr>
            <w:r>
              <w:rPr>
                <w:rFonts w:ascii="Arial" w:cs="Arial" w:eastAsia="Arial" w:hAnsi="Arial"/>
                <w:sz w:val="18"/>
                <w:szCs w:val="18"/>
                <w:color w:val="auto"/>
              </w:rPr>
              <w:t>year 2001</w:t>
            </w:r>
          </w:p>
        </w:tc>
        <w:tc>
          <w:tcPr>
            <w:tcW w:w="1140" w:type="dxa"/>
            <w:vAlign w:val="bottom"/>
          </w:tcPr>
          <w:p>
            <w:pPr>
              <w:spacing w:after="0"/>
              <w:rPr>
                <w:sz w:val="19"/>
                <w:szCs w:val="19"/>
                <w:color w:val="auto"/>
              </w:rPr>
            </w:pPr>
          </w:p>
        </w:tc>
        <w:tc>
          <w:tcPr>
            <w:tcW w:w="620" w:type="dxa"/>
            <w:vAlign w:val="bottom"/>
          </w:tcPr>
          <w:p>
            <w:pPr>
              <w:spacing w:after="0"/>
              <w:rPr>
                <w:sz w:val="19"/>
                <w:szCs w:val="19"/>
                <w:color w:val="auto"/>
              </w:rPr>
            </w:pPr>
          </w:p>
        </w:tc>
      </w:tr>
      <w:tr>
        <w:trPr>
          <w:trHeight w:val="284"/>
        </w:trPr>
        <w:tc>
          <w:tcPr>
            <w:tcW w:w="9660" w:type="dxa"/>
            <w:vAlign w:val="bottom"/>
          </w:tcPr>
          <w:p>
            <w:pPr>
              <w:spacing w:after="0"/>
              <w:rPr>
                <w:sz w:val="20"/>
                <w:szCs w:val="20"/>
                <w:color w:val="auto"/>
              </w:rPr>
            </w:pPr>
            <w:r>
              <w:rPr>
                <w:rFonts w:ascii="Arial" w:cs="Arial" w:eastAsia="Arial" w:hAnsi="Arial"/>
                <w:sz w:val="18"/>
                <w:szCs w:val="18"/>
                <w:color w:val="auto"/>
              </w:rPr>
              <w:t>Subsidiaries</w:t>
            </w:r>
          </w:p>
        </w:tc>
        <w:tc>
          <w:tcPr>
            <w:tcW w:w="1140" w:type="dxa"/>
            <w:vAlign w:val="bottom"/>
          </w:tcPr>
          <w:p>
            <w:pPr>
              <w:ind w:left="360"/>
              <w:spacing w:after="0"/>
              <w:rPr>
                <w:sz w:val="20"/>
                <w:szCs w:val="20"/>
                <w:color w:val="auto"/>
              </w:rPr>
            </w:pPr>
            <w:r>
              <w:rPr>
                <w:rFonts w:ascii="Arial" w:cs="Arial" w:eastAsia="Arial" w:hAnsi="Arial"/>
                <w:sz w:val="18"/>
                <w:szCs w:val="18"/>
                <w:color w:val="auto"/>
              </w:rPr>
              <w:t>21</w:t>
            </w:r>
          </w:p>
        </w:tc>
        <w:tc>
          <w:tcPr>
            <w:tcW w:w="62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84"/>
        </w:trPr>
        <w:tc>
          <w:tcPr>
            <w:tcW w:w="9660" w:type="dxa"/>
            <w:vAlign w:val="bottom"/>
          </w:tcPr>
          <w:p>
            <w:pPr>
              <w:spacing w:after="0"/>
              <w:rPr>
                <w:sz w:val="20"/>
                <w:szCs w:val="20"/>
                <w:color w:val="auto"/>
              </w:rPr>
            </w:pPr>
            <w:r>
              <w:rPr>
                <w:rFonts w:ascii="Arial" w:cs="Arial" w:eastAsia="Arial" w:hAnsi="Arial"/>
                <w:sz w:val="18"/>
                <w:szCs w:val="18"/>
                <w:color w:val="auto"/>
              </w:rPr>
              <w:t>Consent of Independent Accountants</w:t>
            </w:r>
          </w:p>
        </w:tc>
        <w:tc>
          <w:tcPr>
            <w:tcW w:w="1140" w:type="dxa"/>
            <w:vAlign w:val="bottom"/>
          </w:tcPr>
          <w:p>
            <w:pPr>
              <w:ind w:left="360"/>
              <w:spacing w:after="0"/>
              <w:rPr>
                <w:sz w:val="20"/>
                <w:szCs w:val="20"/>
                <w:color w:val="auto"/>
              </w:rPr>
            </w:pPr>
            <w:r>
              <w:rPr>
                <w:rFonts w:ascii="Arial" w:cs="Arial" w:eastAsia="Arial" w:hAnsi="Arial"/>
                <w:sz w:val="18"/>
                <w:szCs w:val="18"/>
                <w:color w:val="auto"/>
              </w:rPr>
              <w:t>23</w:t>
            </w:r>
          </w:p>
        </w:tc>
        <w:tc>
          <w:tcPr>
            <w:tcW w:w="62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312"/>
        </w:trPr>
        <w:tc>
          <w:tcPr>
            <w:tcW w:w="9660" w:type="dxa"/>
            <w:vAlign w:val="bottom"/>
          </w:tcPr>
          <w:p>
            <w:pPr>
              <w:spacing w:after="0"/>
              <w:rPr>
                <w:sz w:val="20"/>
                <w:szCs w:val="20"/>
                <w:color w:val="auto"/>
              </w:rPr>
            </w:pPr>
            <w:r>
              <w:rPr>
                <w:rFonts w:ascii="Arial" w:cs="Arial" w:eastAsia="Arial" w:hAnsi="Arial"/>
                <w:sz w:val="14"/>
                <w:szCs w:val="14"/>
                <w:color w:val="auto"/>
              </w:rPr>
              <w:t>76 / SLB</w:t>
            </w:r>
          </w:p>
        </w:tc>
        <w:tc>
          <w:tcPr>
            <w:tcW w:w="1760" w:type="dxa"/>
            <w:vAlign w:val="bottom"/>
            <w:gridSpan w:val="2"/>
          </w:tcPr>
          <w:p>
            <w:pPr>
              <w:jc w:val="right"/>
              <w:spacing w:after="0"/>
              <w:rPr>
                <w:sz w:val="20"/>
                <w:szCs w:val="20"/>
                <w:color w:val="auto"/>
              </w:rPr>
            </w:pPr>
            <w:r>
              <w:rPr>
                <w:rFonts w:ascii="Arial" w:cs="Arial" w:eastAsia="Arial" w:hAnsi="Arial"/>
                <w:sz w:val="14"/>
                <w:szCs w:val="14"/>
                <w:color w:val="auto"/>
              </w:rPr>
              <w:t>2003 FORM 10-K</w:t>
            </w:r>
          </w:p>
        </w:tc>
      </w:tr>
    </w:tbl>
    <w:p>
      <w:pPr>
        <w:sectPr>
          <w:pgSz w:w="11900" w:h="16838" w:orient="portrait"/>
          <w:cols w:equalWidth="0" w:num="1">
            <w:col w:w="11420"/>
          </w:cols>
          <w:pgMar w:left="240" w:top="459" w:right="2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2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1020" w:type="dxa"/>
            <w:vAlign w:val="bottom"/>
          </w:tcPr>
          <w:p>
            <w:pPr>
              <w:jc w:val="right"/>
              <w:ind w:right="217"/>
              <w:spacing w:after="0"/>
              <w:rPr>
                <w:sz w:val="20"/>
                <w:szCs w:val="20"/>
                <w:color w:val="auto"/>
              </w:rPr>
            </w:pPr>
            <w:r>
              <w:rPr>
                <w:rFonts w:ascii="Arial" w:cs="Arial" w:eastAsia="Arial" w:hAnsi="Arial"/>
                <w:sz w:val="14"/>
                <w:szCs w:val="14"/>
                <w:b w:val="1"/>
                <w:bCs w:val="1"/>
                <w:color w:val="auto"/>
              </w:rPr>
              <w:t>Exhibit</w:t>
            </w:r>
          </w:p>
        </w:tc>
        <w:tc>
          <w:tcPr>
            <w:tcW w:w="560" w:type="dxa"/>
            <w:vAlign w:val="bottom"/>
          </w:tcPr>
          <w:p>
            <w:pPr>
              <w:ind w:left="280"/>
              <w:spacing w:after="0"/>
              <w:rPr>
                <w:sz w:val="20"/>
                <w:szCs w:val="20"/>
                <w:color w:val="auto"/>
              </w:rPr>
            </w:pPr>
            <w:r>
              <w:rPr>
                <w:rFonts w:ascii="Arial" w:cs="Arial" w:eastAsia="Arial" w:hAnsi="Arial"/>
                <w:sz w:val="14"/>
                <w:szCs w:val="14"/>
                <w:b w:val="1"/>
                <w:bCs w:val="1"/>
                <w:color w:val="auto"/>
                <w:w w:val="77"/>
              </w:rPr>
              <w:t>Page</w:t>
            </w:r>
          </w:p>
        </w:tc>
      </w:tr>
      <w:tr>
        <w:trPr>
          <w:trHeight w:val="216"/>
        </w:trPr>
        <w:tc>
          <w:tcPr>
            <w:tcW w:w="5420" w:type="dxa"/>
            <w:vAlign w:val="bottom"/>
          </w:tcPr>
          <w:p>
            <w:pPr>
              <w:spacing w:after="0"/>
              <w:rPr>
                <w:sz w:val="20"/>
                <w:szCs w:val="20"/>
                <w:color w:val="auto"/>
              </w:rPr>
            </w:pPr>
            <w:r>
              <w:rPr>
                <w:rFonts w:ascii="Arial" w:cs="Arial" w:eastAsia="Arial" w:hAnsi="Arial"/>
                <w:sz w:val="18"/>
                <w:szCs w:val="18"/>
                <w:color w:val="auto"/>
              </w:rPr>
              <w:t>Powers of Attorney</w:t>
            </w:r>
          </w:p>
        </w:tc>
        <w:tc>
          <w:tcPr>
            <w:tcW w:w="4420" w:type="dxa"/>
            <w:vAlign w:val="bottom"/>
          </w:tcPr>
          <w:p>
            <w:pPr>
              <w:ind w:left="2780"/>
              <w:spacing w:after="0"/>
              <w:rPr>
                <w:sz w:val="20"/>
                <w:szCs w:val="20"/>
                <w:color w:val="auto"/>
              </w:rPr>
            </w:pPr>
            <w:r>
              <w:rPr>
                <w:rFonts w:ascii="Arial" w:cs="Arial" w:eastAsia="Arial" w:hAnsi="Arial"/>
                <w:sz w:val="18"/>
                <w:szCs w:val="18"/>
                <w:color w:val="auto"/>
              </w:rPr>
              <w:t>dated:</w:t>
            </w:r>
          </w:p>
        </w:tc>
        <w:tc>
          <w:tcPr>
            <w:tcW w:w="1020" w:type="dxa"/>
            <w:vAlign w:val="bottom"/>
          </w:tcPr>
          <w:p>
            <w:pPr>
              <w:ind w:left="280"/>
              <w:spacing w:after="0"/>
              <w:rPr>
                <w:sz w:val="20"/>
                <w:szCs w:val="20"/>
                <w:color w:val="auto"/>
              </w:rPr>
            </w:pPr>
            <w:r>
              <w:rPr>
                <w:rFonts w:ascii="Arial" w:cs="Arial" w:eastAsia="Arial" w:hAnsi="Arial"/>
                <w:sz w:val="18"/>
                <w:szCs w:val="18"/>
                <w:color w:val="auto"/>
              </w:rPr>
              <w:t>24(a)</w:t>
            </w:r>
          </w:p>
        </w:tc>
        <w:tc>
          <w:tcPr>
            <w:tcW w:w="560" w:type="dxa"/>
            <w:vAlign w:val="bottom"/>
          </w:tcPr>
          <w:p>
            <w:pPr>
              <w:ind w:left="280"/>
              <w:spacing w:after="0"/>
              <w:rPr>
                <w:sz w:val="20"/>
                <w:szCs w:val="20"/>
                <w:color w:val="auto"/>
              </w:rPr>
            </w:pPr>
            <w:r>
              <w:rPr>
                <w:rFonts w:ascii="Arial" w:cs="Arial" w:eastAsia="Arial" w:hAnsi="Arial"/>
                <w:sz w:val="18"/>
                <w:szCs w:val="18"/>
                <w:color w:val="auto"/>
              </w:rPr>
              <w:t>80</w:t>
            </w:r>
          </w:p>
        </w:tc>
      </w:tr>
      <w:tr>
        <w:trPr>
          <w:trHeight w:val="216"/>
        </w:trPr>
        <w:tc>
          <w:tcPr>
            <w:tcW w:w="5420" w:type="dxa"/>
            <w:vAlign w:val="bottom"/>
          </w:tcPr>
          <w:p>
            <w:pPr>
              <w:ind w:left="440"/>
              <w:spacing w:after="0"/>
              <w:rPr>
                <w:sz w:val="20"/>
                <w:szCs w:val="20"/>
                <w:color w:val="auto"/>
              </w:rPr>
            </w:pPr>
            <w:r>
              <w:rPr>
                <w:rFonts w:ascii="Arial" w:cs="Arial" w:eastAsia="Arial" w:hAnsi="Arial"/>
                <w:sz w:val="18"/>
                <w:szCs w:val="18"/>
                <w:color w:val="auto"/>
              </w:rPr>
              <w:t>John Deutch</w:t>
            </w:r>
          </w:p>
        </w:tc>
        <w:tc>
          <w:tcPr>
            <w:tcW w:w="4420" w:type="dxa"/>
            <w:vAlign w:val="bottom"/>
          </w:tcPr>
          <w:p>
            <w:pPr>
              <w:ind w:left="2780"/>
              <w:spacing w:after="0"/>
              <w:rPr>
                <w:sz w:val="20"/>
                <w:szCs w:val="20"/>
                <w:color w:val="auto"/>
              </w:rPr>
            </w:pPr>
            <w:r>
              <w:rPr>
                <w:rFonts w:ascii="Arial" w:cs="Arial" w:eastAsia="Arial" w:hAnsi="Arial"/>
                <w:sz w:val="18"/>
                <w:szCs w:val="18"/>
                <w:color w:val="auto"/>
              </w:rPr>
              <w:t>January 22, 2004</w:t>
            </w:r>
          </w:p>
        </w:tc>
        <w:tc>
          <w:tcPr>
            <w:tcW w:w="102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420" w:type="dxa"/>
            <w:vAlign w:val="bottom"/>
          </w:tcPr>
          <w:p>
            <w:pPr>
              <w:ind w:left="440"/>
              <w:spacing w:after="0"/>
              <w:rPr>
                <w:sz w:val="20"/>
                <w:szCs w:val="20"/>
                <w:color w:val="auto"/>
              </w:rPr>
            </w:pPr>
            <w:r>
              <w:rPr>
                <w:rFonts w:ascii="Arial" w:cs="Arial" w:eastAsia="Arial" w:hAnsi="Arial"/>
                <w:sz w:val="18"/>
                <w:szCs w:val="18"/>
                <w:color w:val="auto"/>
              </w:rPr>
              <w:t>Jamie S. Gorelick</w:t>
            </w:r>
          </w:p>
        </w:tc>
        <w:tc>
          <w:tcPr>
            <w:tcW w:w="44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420" w:type="dxa"/>
            <w:vAlign w:val="bottom"/>
          </w:tcPr>
          <w:p>
            <w:pPr>
              <w:ind w:left="440"/>
              <w:spacing w:after="0"/>
              <w:rPr>
                <w:sz w:val="20"/>
                <w:szCs w:val="20"/>
                <w:color w:val="auto"/>
              </w:rPr>
            </w:pPr>
            <w:r>
              <w:rPr>
                <w:rFonts w:ascii="Arial" w:cs="Arial" w:eastAsia="Arial" w:hAnsi="Arial"/>
                <w:sz w:val="18"/>
                <w:szCs w:val="18"/>
                <w:color w:val="auto"/>
              </w:rPr>
              <w:t>Andrew Gould</w:t>
            </w:r>
          </w:p>
        </w:tc>
        <w:tc>
          <w:tcPr>
            <w:tcW w:w="44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420" w:type="dxa"/>
            <w:vAlign w:val="bottom"/>
          </w:tcPr>
          <w:p>
            <w:pPr>
              <w:ind w:left="440"/>
              <w:spacing w:after="0"/>
              <w:rPr>
                <w:sz w:val="20"/>
                <w:szCs w:val="20"/>
                <w:color w:val="auto"/>
              </w:rPr>
            </w:pPr>
            <w:r>
              <w:rPr>
                <w:rFonts w:ascii="Arial" w:cs="Arial" w:eastAsia="Arial" w:hAnsi="Arial"/>
                <w:sz w:val="18"/>
                <w:szCs w:val="18"/>
                <w:color w:val="auto"/>
              </w:rPr>
              <w:t>Adrian Lajous</w:t>
            </w:r>
          </w:p>
        </w:tc>
        <w:tc>
          <w:tcPr>
            <w:tcW w:w="44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420" w:type="dxa"/>
            <w:vAlign w:val="bottom"/>
          </w:tcPr>
          <w:p>
            <w:pPr>
              <w:ind w:left="440"/>
              <w:spacing w:after="0"/>
              <w:rPr>
                <w:sz w:val="20"/>
                <w:szCs w:val="20"/>
                <w:color w:val="auto"/>
              </w:rPr>
            </w:pPr>
            <w:r>
              <w:rPr>
                <w:rFonts w:ascii="Arial" w:cs="Arial" w:eastAsia="Arial" w:hAnsi="Arial"/>
                <w:sz w:val="18"/>
                <w:szCs w:val="18"/>
                <w:color w:val="auto"/>
              </w:rPr>
              <w:t>André Lévy-Lang</w:t>
            </w:r>
          </w:p>
        </w:tc>
        <w:tc>
          <w:tcPr>
            <w:tcW w:w="44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420" w:type="dxa"/>
            <w:vAlign w:val="bottom"/>
          </w:tcPr>
          <w:p>
            <w:pPr>
              <w:ind w:left="440"/>
              <w:spacing w:after="0"/>
              <w:rPr>
                <w:sz w:val="20"/>
                <w:szCs w:val="20"/>
                <w:color w:val="auto"/>
              </w:rPr>
            </w:pPr>
            <w:r>
              <w:rPr>
                <w:rFonts w:ascii="Arial" w:cs="Arial" w:eastAsia="Arial" w:hAnsi="Arial"/>
                <w:sz w:val="18"/>
                <w:szCs w:val="18"/>
                <w:color w:val="auto"/>
              </w:rPr>
              <w:t>Didier Primat</w:t>
            </w:r>
          </w:p>
        </w:tc>
        <w:tc>
          <w:tcPr>
            <w:tcW w:w="44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420" w:type="dxa"/>
            <w:vAlign w:val="bottom"/>
          </w:tcPr>
          <w:p>
            <w:pPr>
              <w:ind w:left="440"/>
              <w:spacing w:after="0"/>
              <w:rPr>
                <w:sz w:val="20"/>
                <w:szCs w:val="20"/>
                <w:color w:val="auto"/>
              </w:rPr>
            </w:pPr>
            <w:r>
              <w:rPr>
                <w:rFonts w:ascii="Arial" w:cs="Arial" w:eastAsia="Arial" w:hAnsi="Arial"/>
                <w:sz w:val="18"/>
                <w:szCs w:val="18"/>
                <w:color w:val="auto"/>
              </w:rPr>
              <w:t>Nicolas Seydoux</w:t>
            </w:r>
          </w:p>
        </w:tc>
        <w:tc>
          <w:tcPr>
            <w:tcW w:w="44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420" w:type="dxa"/>
            <w:vAlign w:val="bottom"/>
          </w:tcPr>
          <w:p>
            <w:pPr>
              <w:ind w:left="440"/>
              <w:spacing w:after="0"/>
              <w:rPr>
                <w:sz w:val="20"/>
                <w:szCs w:val="20"/>
                <w:color w:val="auto"/>
              </w:rPr>
            </w:pPr>
            <w:r>
              <w:rPr>
                <w:rFonts w:ascii="Arial" w:cs="Arial" w:eastAsia="Arial" w:hAnsi="Arial"/>
                <w:sz w:val="18"/>
                <w:szCs w:val="18"/>
                <w:color w:val="auto"/>
              </w:rPr>
              <w:t>Linda G. Stuntz</w:t>
            </w:r>
          </w:p>
        </w:tc>
        <w:tc>
          <w:tcPr>
            <w:tcW w:w="44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22"/>
        </w:trPr>
        <w:tc>
          <w:tcPr>
            <w:tcW w:w="5420" w:type="dxa"/>
            <w:vAlign w:val="bottom"/>
          </w:tcPr>
          <w:p>
            <w:pPr>
              <w:ind w:left="440"/>
              <w:spacing w:after="0"/>
              <w:rPr>
                <w:sz w:val="20"/>
                <w:szCs w:val="20"/>
                <w:color w:val="auto"/>
              </w:rPr>
            </w:pPr>
            <w:r>
              <w:rPr>
                <w:rFonts w:ascii="Arial" w:cs="Arial" w:eastAsia="Arial" w:hAnsi="Arial"/>
                <w:sz w:val="18"/>
                <w:szCs w:val="18"/>
                <w:color w:val="auto"/>
              </w:rPr>
              <w:t>Sven Ullring</w:t>
            </w:r>
          </w:p>
        </w:tc>
        <w:tc>
          <w:tcPr>
            <w:tcW w:w="44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230"/>
        </w:trPr>
        <w:tc>
          <w:tcPr>
            <w:tcW w:w="5420" w:type="dxa"/>
            <w:vAlign w:val="bottom"/>
          </w:tcPr>
          <w:p>
            <w:pPr>
              <w:ind w:left="440"/>
              <w:spacing w:after="0"/>
              <w:rPr>
                <w:sz w:val="20"/>
                <w:szCs w:val="20"/>
                <w:color w:val="auto"/>
              </w:rPr>
            </w:pPr>
            <w:r>
              <w:rPr>
                <w:rFonts w:ascii="Arial" w:cs="Arial" w:eastAsia="Arial" w:hAnsi="Arial"/>
                <w:sz w:val="18"/>
                <w:szCs w:val="18"/>
                <w:color w:val="auto"/>
              </w:rPr>
              <w:t>Tony Issac</w:t>
            </w:r>
          </w:p>
        </w:tc>
        <w:tc>
          <w:tcPr>
            <w:tcW w:w="4420" w:type="dxa"/>
            <w:vAlign w:val="bottom"/>
          </w:tcPr>
          <w:p>
            <w:pPr>
              <w:ind w:left="2940"/>
              <w:spacing w:after="0"/>
              <w:rPr>
                <w:sz w:val="20"/>
                <w:szCs w:val="20"/>
                <w:color w:val="auto"/>
              </w:rPr>
            </w:pPr>
            <w:r>
              <w:rPr>
                <w:rFonts w:ascii="Arial" w:cs="Arial" w:eastAsia="Arial" w:hAnsi="Arial"/>
                <w:sz w:val="18"/>
                <w:szCs w:val="18"/>
                <w:color w:val="auto"/>
              </w:rPr>
              <w:t>January 29, 2004</w:t>
            </w:r>
          </w:p>
        </w:tc>
        <w:tc>
          <w:tcPr>
            <w:tcW w:w="1020" w:type="dxa"/>
            <w:vAlign w:val="bottom"/>
          </w:tcPr>
          <w:p>
            <w:pPr>
              <w:jc w:val="right"/>
              <w:ind w:right="217"/>
              <w:spacing w:after="0"/>
              <w:rPr>
                <w:sz w:val="20"/>
                <w:szCs w:val="20"/>
                <w:color w:val="auto"/>
              </w:rPr>
            </w:pPr>
            <w:r>
              <w:rPr>
                <w:rFonts w:ascii="Arial" w:cs="Arial" w:eastAsia="Arial" w:hAnsi="Arial"/>
                <w:sz w:val="18"/>
                <w:szCs w:val="18"/>
                <w:color w:val="auto"/>
              </w:rPr>
              <w:t>24(b)</w:t>
            </w:r>
          </w:p>
        </w:tc>
        <w:tc>
          <w:tcPr>
            <w:tcW w:w="56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581"/>
        </w:trPr>
        <w:tc>
          <w:tcPr>
            <w:tcW w:w="5420" w:type="dxa"/>
            <w:vAlign w:val="bottom"/>
          </w:tcPr>
          <w:p>
            <w:pPr>
              <w:spacing w:after="0"/>
              <w:rPr>
                <w:sz w:val="20"/>
                <w:szCs w:val="20"/>
                <w:color w:val="auto"/>
              </w:rPr>
            </w:pPr>
            <w:r>
              <w:rPr>
                <w:rFonts w:ascii="Arial" w:cs="Arial" w:eastAsia="Arial" w:hAnsi="Arial"/>
                <w:sz w:val="18"/>
                <w:szCs w:val="18"/>
                <w:color w:val="auto"/>
              </w:rPr>
              <w:t>Additional Exhibits:</w:t>
            </w:r>
          </w:p>
        </w:tc>
        <w:tc>
          <w:tcPr>
            <w:tcW w:w="44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291"/>
        </w:trPr>
        <w:tc>
          <w:tcPr>
            <w:tcW w:w="9840" w:type="dxa"/>
            <w:vAlign w:val="bottom"/>
            <w:gridSpan w:val="2"/>
          </w:tcPr>
          <w:p>
            <w:pPr>
              <w:ind w:left="440"/>
              <w:spacing w:after="0"/>
              <w:rPr>
                <w:sz w:val="20"/>
                <w:szCs w:val="20"/>
                <w:color w:val="auto"/>
              </w:rPr>
            </w:pPr>
            <w:r>
              <w:rPr>
                <w:rFonts w:ascii="Arial" w:cs="Arial" w:eastAsia="Arial" w:hAnsi="Arial"/>
                <w:sz w:val="18"/>
                <w:szCs w:val="18"/>
                <w:color w:val="auto"/>
                <w:w w:val="91"/>
              </w:rPr>
              <w:t>Certification of Chief Executive Officer pursuant to Form of Rule 13a-14(a) as Adopted Pursuant to Section 302 of the Sarbanes-</w:t>
            </w:r>
          </w:p>
        </w:tc>
        <w:tc>
          <w:tcPr>
            <w:tcW w:w="1020" w:type="dxa"/>
            <w:vAlign w:val="bottom"/>
          </w:tcPr>
          <w:p>
            <w:pPr>
              <w:ind w:left="280"/>
              <w:spacing w:after="0"/>
              <w:rPr>
                <w:sz w:val="20"/>
                <w:szCs w:val="20"/>
                <w:color w:val="auto"/>
              </w:rPr>
            </w:pPr>
            <w:r>
              <w:rPr>
                <w:rFonts w:ascii="Arial" w:cs="Arial" w:eastAsia="Arial" w:hAnsi="Arial"/>
                <w:sz w:val="18"/>
                <w:szCs w:val="18"/>
                <w:color w:val="auto"/>
              </w:rPr>
              <w:t>31(a)</w:t>
            </w:r>
          </w:p>
        </w:tc>
        <w:tc>
          <w:tcPr>
            <w:tcW w:w="560" w:type="dxa"/>
            <w:vAlign w:val="bottom"/>
          </w:tcPr>
          <w:p>
            <w:pPr>
              <w:ind w:left="280"/>
              <w:spacing w:after="0"/>
              <w:rPr>
                <w:sz w:val="20"/>
                <w:szCs w:val="20"/>
                <w:color w:val="auto"/>
              </w:rPr>
            </w:pPr>
            <w:r>
              <w:rPr>
                <w:rFonts w:ascii="Arial" w:cs="Arial" w:eastAsia="Arial" w:hAnsi="Arial"/>
                <w:sz w:val="18"/>
                <w:szCs w:val="18"/>
                <w:color w:val="auto"/>
              </w:rPr>
              <w:t>82</w:t>
            </w:r>
          </w:p>
        </w:tc>
      </w:tr>
      <w:tr>
        <w:trPr>
          <w:trHeight w:val="222"/>
        </w:trPr>
        <w:tc>
          <w:tcPr>
            <w:tcW w:w="5420" w:type="dxa"/>
            <w:vAlign w:val="bottom"/>
          </w:tcPr>
          <w:p>
            <w:pPr>
              <w:ind w:left="660"/>
              <w:spacing w:after="0"/>
              <w:rPr>
                <w:sz w:val="20"/>
                <w:szCs w:val="20"/>
                <w:color w:val="auto"/>
              </w:rPr>
            </w:pPr>
            <w:r>
              <w:rPr>
                <w:rFonts w:ascii="Arial" w:cs="Arial" w:eastAsia="Arial" w:hAnsi="Arial"/>
                <w:sz w:val="18"/>
                <w:szCs w:val="18"/>
                <w:color w:val="auto"/>
              </w:rPr>
              <w:t>Oxley Act of 2002.</w:t>
            </w:r>
          </w:p>
        </w:tc>
        <w:tc>
          <w:tcPr>
            <w:tcW w:w="44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277"/>
        </w:trPr>
        <w:tc>
          <w:tcPr>
            <w:tcW w:w="9840" w:type="dxa"/>
            <w:vAlign w:val="bottom"/>
            <w:gridSpan w:val="2"/>
          </w:tcPr>
          <w:p>
            <w:pPr>
              <w:ind w:left="440"/>
              <w:spacing w:after="0"/>
              <w:rPr>
                <w:sz w:val="20"/>
                <w:szCs w:val="20"/>
                <w:color w:val="auto"/>
              </w:rPr>
            </w:pPr>
            <w:r>
              <w:rPr>
                <w:rFonts w:ascii="Arial" w:cs="Arial" w:eastAsia="Arial" w:hAnsi="Arial"/>
                <w:sz w:val="18"/>
                <w:szCs w:val="18"/>
                <w:color w:val="auto"/>
                <w:w w:val="92"/>
              </w:rPr>
              <w:t>Certification of Chief Financial Officer pursuant to Form of Rule 13a-14(a) as Adopted Pursuant to Section 302 of the Sarbanes-</w:t>
            </w:r>
          </w:p>
        </w:tc>
        <w:tc>
          <w:tcPr>
            <w:tcW w:w="1020" w:type="dxa"/>
            <w:vAlign w:val="bottom"/>
          </w:tcPr>
          <w:p>
            <w:pPr>
              <w:ind w:left="280"/>
              <w:spacing w:after="0"/>
              <w:rPr>
                <w:sz w:val="20"/>
                <w:szCs w:val="20"/>
                <w:color w:val="auto"/>
              </w:rPr>
            </w:pPr>
            <w:r>
              <w:rPr>
                <w:rFonts w:ascii="Arial" w:cs="Arial" w:eastAsia="Arial" w:hAnsi="Arial"/>
                <w:sz w:val="18"/>
                <w:szCs w:val="18"/>
                <w:color w:val="auto"/>
              </w:rPr>
              <w:t>31(b)</w:t>
            </w:r>
          </w:p>
        </w:tc>
        <w:tc>
          <w:tcPr>
            <w:tcW w:w="560" w:type="dxa"/>
            <w:vAlign w:val="bottom"/>
          </w:tcPr>
          <w:p>
            <w:pPr>
              <w:ind w:left="280"/>
              <w:spacing w:after="0"/>
              <w:rPr>
                <w:sz w:val="20"/>
                <w:szCs w:val="20"/>
                <w:color w:val="auto"/>
              </w:rPr>
            </w:pPr>
            <w:r>
              <w:rPr>
                <w:rFonts w:ascii="Arial" w:cs="Arial" w:eastAsia="Arial" w:hAnsi="Arial"/>
                <w:sz w:val="18"/>
                <w:szCs w:val="18"/>
                <w:color w:val="auto"/>
              </w:rPr>
              <w:t>83</w:t>
            </w:r>
          </w:p>
        </w:tc>
      </w:tr>
      <w:tr>
        <w:trPr>
          <w:trHeight w:val="222"/>
        </w:trPr>
        <w:tc>
          <w:tcPr>
            <w:tcW w:w="5420" w:type="dxa"/>
            <w:vAlign w:val="bottom"/>
          </w:tcPr>
          <w:p>
            <w:pPr>
              <w:ind w:left="660"/>
              <w:spacing w:after="0"/>
              <w:rPr>
                <w:sz w:val="20"/>
                <w:szCs w:val="20"/>
                <w:color w:val="auto"/>
              </w:rPr>
            </w:pPr>
            <w:r>
              <w:rPr>
                <w:rFonts w:ascii="Arial" w:cs="Arial" w:eastAsia="Arial" w:hAnsi="Arial"/>
                <w:sz w:val="18"/>
                <w:szCs w:val="18"/>
                <w:color w:val="auto"/>
              </w:rPr>
              <w:t>Oxley Act of 2002.</w:t>
            </w:r>
          </w:p>
        </w:tc>
        <w:tc>
          <w:tcPr>
            <w:tcW w:w="44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277"/>
        </w:trPr>
        <w:tc>
          <w:tcPr>
            <w:tcW w:w="9840" w:type="dxa"/>
            <w:vAlign w:val="bottom"/>
            <w:gridSpan w:val="2"/>
          </w:tcPr>
          <w:p>
            <w:pPr>
              <w:ind w:left="440"/>
              <w:spacing w:after="0"/>
              <w:rPr>
                <w:sz w:val="20"/>
                <w:szCs w:val="20"/>
                <w:color w:val="auto"/>
              </w:rPr>
            </w:pPr>
            <w:r>
              <w:rPr>
                <w:rFonts w:ascii="Arial" w:cs="Arial" w:eastAsia="Arial" w:hAnsi="Arial"/>
                <w:sz w:val="18"/>
                <w:szCs w:val="18"/>
                <w:color w:val="auto"/>
                <w:w w:val="99"/>
              </w:rPr>
              <w:t>Certification of Chief Executive Officer pursuant to 18 U.S.C. Section 1350, as Adopted Pursuant to Section 906 of the</w:t>
            </w:r>
          </w:p>
        </w:tc>
        <w:tc>
          <w:tcPr>
            <w:tcW w:w="1020" w:type="dxa"/>
            <w:vAlign w:val="bottom"/>
          </w:tcPr>
          <w:p>
            <w:pPr>
              <w:ind w:left="280"/>
              <w:spacing w:after="0"/>
              <w:rPr>
                <w:sz w:val="20"/>
                <w:szCs w:val="20"/>
                <w:color w:val="auto"/>
              </w:rPr>
            </w:pPr>
            <w:r>
              <w:rPr>
                <w:rFonts w:ascii="Arial" w:cs="Arial" w:eastAsia="Arial" w:hAnsi="Arial"/>
                <w:sz w:val="18"/>
                <w:szCs w:val="18"/>
                <w:color w:val="auto"/>
              </w:rPr>
              <w:t>32(a)</w:t>
            </w:r>
          </w:p>
        </w:tc>
        <w:tc>
          <w:tcPr>
            <w:tcW w:w="560" w:type="dxa"/>
            <w:vAlign w:val="bottom"/>
          </w:tcPr>
          <w:p>
            <w:pPr>
              <w:ind w:left="280"/>
              <w:spacing w:after="0"/>
              <w:rPr>
                <w:sz w:val="20"/>
                <w:szCs w:val="20"/>
                <w:color w:val="auto"/>
              </w:rPr>
            </w:pPr>
            <w:r>
              <w:rPr>
                <w:rFonts w:ascii="Arial" w:cs="Arial" w:eastAsia="Arial" w:hAnsi="Arial"/>
                <w:sz w:val="18"/>
                <w:szCs w:val="18"/>
                <w:color w:val="auto"/>
              </w:rPr>
              <w:t>84</w:t>
            </w:r>
          </w:p>
        </w:tc>
      </w:tr>
      <w:tr>
        <w:trPr>
          <w:trHeight w:val="222"/>
        </w:trPr>
        <w:tc>
          <w:tcPr>
            <w:tcW w:w="5420" w:type="dxa"/>
            <w:vAlign w:val="bottom"/>
          </w:tcPr>
          <w:p>
            <w:pPr>
              <w:ind w:left="660"/>
              <w:spacing w:after="0"/>
              <w:rPr>
                <w:sz w:val="20"/>
                <w:szCs w:val="20"/>
                <w:color w:val="auto"/>
              </w:rPr>
            </w:pPr>
            <w:r>
              <w:rPr>
                <w:rFonts w:ascii="Arial" w:cs="Arial" w:eastAsia="Arial" w:hAnsi="Arial"/>
                <w:sz w:val="18"/>
                <w:szCs w:val="18"/>
                <w:color w:val="auto"/>
              </w:rPr>
              <w:t>Sarbanes-Oxley Act of 2002</w:t>
            </w:r>
          </w:p>
        </w:tc>
        <w:tc>
          <w:tcPr>
            <w:tcW w:w="44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277"/>
        </w:trPr>
        <w:tc>
          <w:tcPr>
            <w:tcW w:w="9840" w:type="dxa"/>
            <w:vAlign w:val="bottom"/>
            <w:gridSpan w:val="2"/>
          </w:tcPr>
          <w:p>
            <w:pPr>
              <w:ind w:left="440"/>
              <w:spacing w:after="0"/>
              <w:rPr>
                <w:sz w:val="20"/>
                <w:szCs w:val="20"/>
                <w:color w:val="auto"/>
              </w:rPr>
            </w:pPr>
            <w:r>
              <w:rPr>
                <w:rFonts w:ascii="Arial" w:cs="Arial" w:eastAsia="Arial" w:hAnsi="Arial"/>
                <w:sz w:val="18"/>
                <w:szCs w:val="18"/>
                <w:color w:val="auto"/>
                <w:w w:val="91"/>
              </w:rPr>
              <w:t>Certification of Chief Financial Officer pursuant to 18 U.S.C. Section 1350, as Adopted Pursuant to Section 906 of the Sarbanes-</w:t>
            </w:r>
          </w:p>
        </w:tc>
        <w:tc>
          <w:tcPr>
            <w:tcW w:w="1020" w:type="dxa"/>
            <w:vAlign w:val="bottom"/>
          </w:tcPr>
          <w:p>
            <w:pPr>
              <w:ind w:left="280"/>
              <w:spacing w:after="0"/>
              <w:rPr>
                <w:sz w:val="20"/>
                <w:szCs w:val="20"/>
                <w:color w:val="auto"/>
              </w:rPr>
            </w:pPr>
            <w:r>
              <w:rPr>
                <w:rFonts w:ascii="Arial" w:cs="Arial" w:eastAsia="Arial" w:hAnsi="Arial"/>
                <w:sz w:val="18"/>
                <w:szCs w:val="18"/>
                <w:color w:val="auto"/>
              </w:rPr>
              <w:t>32(b)</w:t>
            </w:r>
          </w:p>
        </w:tc>
        <w:tc>
          <w:tcPr>
            <w:tcW w:w="560" w:type="dxa"/>
            <w:vAlign w:val="bottom"/>
          </w:tcPr>
          <w:p>
            <w:pPr>
              <w:ind w:left="280"/>
              <w:spacing w:after="0"/>
              <w:rPr>
                <w:sz w:val="20"/>
                <w:szCs w:val="20"/>
                <w:color w:val="auto"/>
              </w:rPr>
            </w:pPr>
            <w:r>
              <w:rPr>
                <w:rFonts w:ascii="Arial" w:cs="Arial" w:eastAsia="Arial" w:hAnsi="Arial"/>
                <w:sz w:val="18"/>
                <w:szCs w:val="18"/>
                <w:color w:val="auto"/>
              </w:rPr>
              <w:t>85</w:t>
            </w:r>
          </w:p>
        </w:tc>
      </w:tr>
      <w:tr>
        <w:trPr>
          <w:trHeight w:val="222"/>
        </w:trPr>
        <w:tc>
          <w:tcPr>
            <w:tcW w:w="5420" w:type="dxa"/>
            <w:vAlign w:val="bottom"/>
          </w:tcPr>
          <w:p>
            <w:pPr>
              <w:ind w:left="660"/>
              <w:spacing w:after="0"/>
              <w:rPr>
                <w:sz w:val="20"/>
                <w:szCs w:val="20"/>
                <w:color w:val="auto"/>
              </w:rPr>
            </w:pPr>
            <w:r>
              <w:rPr>
                <w:rFonts w:ascii="Arial" w:cs="Arial" w:eastAsia="Arial" w:hAnsi="Arial"/>
                <w:sz w:val="18"/>
                <w:szCs w:val="18"/>
                <w:color w:val="auto"/>
              </w:rPr>
              <w:t>Oxley Act of 2002</w:t>
            </w:r>
          </w:p>
        </w:tc>
        <w:tc>
          <w:tcPr>
            <w:tcW w:w="44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284"/>
        </w:trPr>
        <w:tc>
          <w:tcPr>
            <w:tcW w:w="5420" w:type="dxa"/>
            <w:vAlign w:val="bottom"/>
          </w:tcPr>
          <w:p>
            <w:pPr>
              <w:ind w:left="440"/>
              <w:spacing w:after="0"/>
              <w:rPr>
                <w:sz w:val="20"/>
                <w:szCs w:val="20"/>
                <w:color w:val="auto"/>
              </w:rPr>
            </w:pPr>
            <w:r>
              <w:rPr>
                <w:rFonts w:ascii="Arial" w:cs="Arial" w:eastAsia="Arial" w:hAnsi="Arial"/>
                <w:sz w:val="18"/>
                <w:szCs w:val="18"/>
                <w:color w:val="auto"/>
              </w:rPr>
              <w:t>Form S-8 Undertakings</w:t>
            </w:r>
          </w:p>
        </w:tc>
        <w:tc>
          <w:tcPr>
            <w:tcW w:w="4420" w:type="dxa"/>
            <w:vAlign w:val="bottom"/>
          </w:tcPr>
          <w:p>
            <w:pPr>
              <w:spacing w:after="0"/>
              <w:rPr>
                <w:sz w:val="24"/>
                <w:szCs w:val="24"/>
                <w:color w:val="auto"/>
              </w:rPr>
            </w:pPr>
          </w:p>
        </w:tc>
        <w:tc>
          <w:tcPr>
            <w:tcW w:w="1020" w:type="dxa"/>
            <w:vAlign w:val="bottom"/>
          </w:tcPr>
          <w:p>
            <w:pPr>
              <w:ind w:left="280"/>
              <w:spacing w:after="0"/>
              <w:rPr>
                <w:sz w:val="20"/>
                <w:szCs w:val="20"/>
                <w:color w:val="auto"/>
              </w:rPr>
            </w:pPr>
            <w:r>
              <w:rPr>
                <w:rFonts w:ascii="Arial" w:cs="Arial" w:eastAsia="Arial" w:hAnsi="Arial"/>
                <w:sz w:val="18"/>
                <w:szCs w:val="18"/>
                <w:color w:val="auto"/>
              </w:rPr>
              <w:t>99</w:t>
            </w:r>
          </w:p>
        </w:tc>
        <w:tc>
          <w:tcPr>
            <w:tcW w:w="560" w:type="dxa"/>
            <w:vAlign w:val="bottom"/>
          </w:tcPr>
          <w:p>
            <w:pPr>
              <w:ind w:left="280"/>
              <w:spacing w:after="0"/>
              <w:rPr>
                <w:sz w:val="20"/>
                <w:szCs w:val="20"/>
                <w:color w:val="auto"/>
              </w:rPr>
            </w:pPr>
            <w:r>
              <w:rPr>
                <w:rFonts w:ascii="Arial" w:cs="Arial" w:eastAsia="Arial" w:hAnsi="Arial"/>
                <w:sz w:val="18"/>
                <w:szCs w:val="18"/>
                <w:color w:val="auto"/>
              </w:rPr>
              <w:t>86</w:t>
            </w:r>
          </w:p>
        </w:tc>
      </w:tr>
      <w:tr>
        <w:trPr>
          <w:trHeight w:val="312"/>
        </w:trPr>
        <w:tc>
          <w:tcPr>
            <w:tcW w:w="5420" w:type="dxa"/>
            <w:vAlign w:val="bottom"/>
          </w:tcPr>
          <w:p>
            <w:pPr>
              <w:spacing w:after="0"/>
              <w:rPr>
                <w:sz w:val="20"/>
                <w:szCs w:val="20"/>
                <w:color w:val="auto"/>
              </w:rPr>
            </w:pPr>
            <w:r>
              <w:rPr>
                <w:rFonts w:ascii="Arial" w:cs="Arial" w:eastAsia="Arial" w:hAnsi="Arial"/>
                <w:sz w:val="14"/>
                <w:szCs w:val="14"/>
                <w:color w:val="auto"/>
              </w:rPr>
              <w:t>77 / SLB</w:t>
            </w:r>
          </w:p>
        </w:tc>
        <w:tc>
          <w:tcPr>
            <w:tcW w:w="4420" w:type="dxa"/>
            <w:vAlign w:val="bottom"/>
          </w:tcPr>
          <w:p>
            <w:pPr>
              <w:spacing w:after="0"/>
              <w:rPr>
                <w:sz w:val="24"/>
                <w:szCs w:val="24"/>
                <w:color w:val="auto"/>
              </w:rPr>
            </w:pPr>
          </w:p>
        </w:tc>
        <w:tc>
          <w:tcPr>
            <w:tcW w:w="1580" w:type="dxa"/>
            <w:vAlign w:val="bottom"/>
            <w:gridSpan w:val="2"/>
          </w:tcPr>
          <w:p>
            <w:pPr>
              <w:jc w:val="right"/>
              <w:spacing w:after="0"/>
              <w:rPr>
                <w:sz w:val="20"/>
                <w:szCs w:val="20"/>
                <w:color w:val="auto"/>
              </w:rPr>
            </w:pPr>
            <w:r>
              <w:rPr>
                <w:rFonts w:ascii="Arial" w:cs="Arial" w:eastAsia="Arial" w:hAnsi="Arial"/>
                <w:sz w:val="14"/>
                <w:szCs w:val="14"/>
                <w:color w:val="auto"/>
              </w:rPr>
              <w:t>2003 FORM 10-K</w:t>
            </w:r>
          </w:p>
        </w:tc>
      </w:tr>
    </w:tbl>
    <w:p>
      <w:pPr>
        <w:sectPr>
          <w:pgSz w:w="11900" w:h="16838" w:orient="portrait"/>
          <w:cols w:equalWidth="0" w:num="1">
            <w:col w:w="11420"/>
          </w:cols>
          <w:pgMar w:left="240" w:top="459" w:right="239" w:bottom="1440" w:gutter="0" w:footer="0" w:header="0"/>
        </w:sectPr>
      </w:pPr>
    </w:p>
    <w:bookmarkStart w:id="77" w:name="page78"/>
    <w:bookmarkEnd w:id="77"/>
    <w:p>
      <w:pPr>
        <w:jc w:val="right"/>
        <w:spacing w:after="0"/>
        <w:rPr>
          <w:sz w:val="20"/>
          <w:szCs w:val="20"/>
          <w:color w:val="auto"/>
        </w:rPr>
      </w:pPr>
      <w:r>
        <w:rPr>
          <w:rFonts w:ascii="Arial" w:cs="Arial" w:eastAsia="Arial" w:hAnsi="Arial"/>
          <w:sz w:val="18"/>
          <w:szCs w:val="18"/>
          <w:b w:val="1"/>
          <w:bCs w:val="1"/>
          <w:color w:val="auto"/>
        </w:rPr>
        <w:t>Exhibit 21</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Subsidiaries</w:t>
      </w:r>
    </w:p>
    <w:p>
      <w:pPr>
        <w:spacing w:after="0" w:line="74" w:lineRule="exact"/>
        <w:rPr>
          <w:sz w:val="20"/>
          <w:szCs w:val="20"/>
          <w:color w:val="auto"/>
        </w:rPr>
      </w:pPr>
    </w:p>
    <w:p>
      <w:pPr>
        <w:ind w:right="20"/>
        <w:spacing w:after="0" w:line="329" w:lineRule="auto"/>
        <w:rPr>
          <w:sz w:val="20"/>
          <w:szCs w:val="20"/>
          <w:color w:val="auto"/>
        </w:rPr>
      </w:pPr>
      <w:r>
        <w:rPr>
          <w:rFonts w:ascii="Arial" w:cs="Arial" w:eastAsia="Arial" w:hAnsi="Arial"/>
          <w:sz w:val="15"/>
          <w:szCs w:val="15"/>
          <w:color w:val="auto"/>
        </w:rPr>
        <w:t>Listed below are the significant first tier subsidiaries of the Registrant, along with the total number of active subsidiaries directly or indirectly owned by each as of February 16, 2004. Certain second, third and fourth tier subsidiaries, though included in the numbers, are also shown by name. Ownership is 100% unless otherwise indicated. The business activities of the subsidiaries have been keyed as follows: (a) Oilfield Services, (b) WesternGeco, (c) General/Multiple (d) Other.</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8020" w:type="dxa"/>
            <w:vAlign w:val="bottom"/>
          </w:tcPr>
          <w:p>
            <w:pPr>
              <w:spacing w:after="0"/>
              <w:rPr>
                <w:sz w:val="15"/>
                <w:szCs w:val="15"/>
                <w:color w:val="auto"/>
              </w:rPr>
            </w:pPr>
          </w:p>
        </w:tc>
        <w:tc>
          <w:tcPr>
            <w:tcW w:w="2400" w:type="dxa"/>
            <w:vAlign w:val="bottom"/>
          </w:tcPr>
          <w:p>
            <w:pPr>
              <w:jc w:val="right"/>
              <w:ind w:right="396"/>
              <w:spacing w:after="0"/>
              <w:rPr>
                <w:sz w:val="20"/>
                <w:szCs w:val="20"/>
                <w:color w:val="auto"/>
              </w:rPr>
            </w:pPr>
            <w:r>
              <w:rPr>
                <w:rFonts w:ascii="Arial" w:cs="Arial" w:eastAsia="Arial" w:hAnsi="Arial"/>
                <w:sz w:val="14"/>
                <w:szCs w:val="14"/>
                <w:b w:val="1"/>
                <w:bCs w:val="1"/>
                <w:color w:val="auto"/>
              </w:rPr>
              <w:t>U.S.</w:t>
            </w: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Non-U.S.</w:t>
            </w:r>
          </w:p>
        </w:tc>
        <w:tc>
          <w:tcPr>
            <w:tcW w:w="0" w:type="dxa"/>
            <w:vAlign w:val="bottom"/>
          </w:tcPr>
          <w:p>
            <w:pPr>
              <w:spacing w:after="0"/>
              <w:rPr>
                <w:sz w:val="1"/>
                <w:szCs w:val="1"/>
                <w:color w:val="auto"/>
              </w:rPr>
            </w:pPr>
          </w:p>
        </w:tc>
      </w:tr>
      <w:tr>
        <w:trPr>
          <w:trHeight w:val="303"/>
        </w:trPr>
        <w:tc>
          <w:tcPr>
            <w:tcW w:w="8020" w:type="dxa"/>
            <w:vAlign w:val="bottom"/>
          </w:tcPr>
          <w:p>
            <w:pPr>
              <w:spacing w:after="0"/>
              <w:rPr>
                <w:sz w:val="20"/>
                <w:szCs w:val="20"/>
                <w:color w:val="auto"/>
              </w:rPr>
            </w:pPr>
            <w:r>
              <w:rPr>
                <w:rFonts w:ascii="Arial" w:cs="Arial" w:eastAsia="Arial" w:hAnsi="Arial"/>
                <w:sz w:val="18"/>
                <w:szCs w:val="18"/>
                <w:color w:val="auto"/>
              </w:rPr>
              <w:t>Schlumberger B.V., Netherlands (c)</w:t>
            </w:r>
          </w:p>
        </w:tc>
        <w:tc>
          <w:tcPr>
            <w:tcW w:w="24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25(a)</w:t>
            </w:r>
            <w:r>
              <w:rPr>
                <w:rFonts w:ascii="Arial" w:cs="Arial" w:eastAsia="Arial" w:hAnsi="Arial"/>
                <w:sz w:val="22"/>
                <w:szCs w:val="22"/>
                <w:color w:val="auto"/>
                <w:vertAlign w:val="superscript"/>
              </w:rPr>
              <w:t>1</w:t>
            </w:r>
          </w:p>
        </w:tc>
        <w:tc>
          <w:tcPr>
            <w:tcW w:w="0" w:type="dxa"/>
            <w:vAlign w:val="bottom"/>
          </w:tcPr>
          <w:p>
            <w:pPr>
              <w:spacing w:after="0"/>
              <w:rPr>
                <w:sz w:val="1"/>
                <w:szCs w:val="1"/>
                <w:color w:val="auto"/>
              </w:rPr>
            </w:pPr>
          </w:p>
        </w:tc>
      </w:tr>
      <w:tr>
        <w:trPr>
          <w:trHeight w:val="216"/>
        </w:trPr>
        <w:tc>
          <w:tcPr>
            <w:tcW w:w="80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000" w:type="dxa"/>
            <w:vAlign w:val="bottom"/>
          </w:tcPr>
          <w:p>
            <w:pPr>
              <w:jc w:val="right"/>
              <w:spacing w:after="0" w:line="217" w:lineRule="exact"/>
              <w:rPr>
                <w:sz w:val="20"/>
                <w:szCs w:val="20"/>
                <w:color w:val="auto"/>
              </w:rPr>
            </w:pPr>
            <w:r>
              <w:rPr>
                <w:rFonts w:ascii="Arial" w:cs="Arial" w:eastAsia="Arial" w:hAnsi="Arial"/>
                <w:sz w:val="18"/>
                <w:szCs w:val="18"/>
                <w:color w:val="auto"/>
              </w:rPr>
              <w:t>11(b)</w:t>
            </w:r>
            <w:r>
              <w:rPr>
                <w:rFonts w:ascii="Arial" w:cs="Arial" w:eastAsia="Arial" w:hAnsi="Arial"/>
                <w:sz w:val="22"/>
                <w:szCs w:val="22"/>
                <w:color w:val="auto"/>
                <w:vertAlign w:val="superscript"/>
              </w:rPr>
              <w:t>2</w:t>
            </w:r>
          </w:p>
        </w:tc>
        <w:tc>
          <w:tcPr>
            <w:tcW w:w="0" w:type="dxa"/>
            <w:vAlign w:val="bottom"/>
          </w:tcPr>
          <w:p>
            <w:pPr>
              <w:spacing w:after="0"/>
              <w:rPr>
                <w:sz w:val="1"/>
                <w:szCs w:val="1"/>
                <w:color w:val="auto"/>
              </w:rPr>
            </w:pPr>
          </w:p>
        </w:tc>
      </w:tr>
      <w:tr>
        <w:trPr>
          <w:trHeight w:val="216"/>
        </w:trPr>
        <w:tc>
          <w:tcPr>
            <w:tcW w:w="80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9(c)</w:t>
            </w:r>
          </w:p>
        </w:tc>
        <w:tc>
          <w:tcPr>
            <w:tcW w:w="0" w:type="dxa"/>
            <w:vAlign w:val="bottom"/>
          </w:tcPr>
          <w:p>
            <w:pPr>
              <w:spacing w:after="0"/>
              <w:rPr>
                <w:sz w:val="1"/>
                <w:szCs w:val="1"/>
                <w:color w:val="auto"/>
              </w:rPr>
            </w:pPr>
          </w:p>
        </w:tc>
      </w:tr>
      <w:tr>
        <w:trPr>
          <w:trHeight w:val="299"/>
        </w:trPr>
        <w:tc>
          <w:tcPr>
            <w:tcW w:w="8020" w:type="dxa"/>
            <w:vAlign w:val="bottom"/>
            <w:vMerge w:val="restart"/>
          </w:tcPr>
          <w:p>
            <w:pPr>
              <w:ind w:left="440"/>
              <w:spacing w:after="0"/>
              <w:rPr>
                <w:sz w:val="20"/>
                <w:szCs w:val="20"/>
                <w:color w:val="auto"/>
              </w:rPr>
            </w:pPr>
            <w:r>
              <w:rPr>
                <w:rFonts w:ascii="Arial" w:cs="Arial" w:eastAsia="Arial" w:hAnsi="Arial"/>
                <w:sz w:val="18"/>
                <w:szCs w:val="18"/>
                <w:color w:val="auto"/>
              </w:rPr>
              <w:t>Schlumberger Canada Limited, Ontario (c)</w:t>
            </w:r>
          </w:p>
        </w:tc>
        <w:tc>
          <w:tcPr>
            <w:tcW w:w="24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41(d)</w:t>
            </w:r>
            <w:r>
              <w:rPr>
                <w:rFonts w:ascii="Arial" w:cs="Arial" w:eastAsia="Arial" w:hAnsi="Arial"/>
                <w:sz w:val="22"/>
                <w:szCs w:val="22"/>
                <w:color w:val="auto"/>
                <w:vertAlign w:val="superscript"/>
              </w:rPr>
              <w:t>3</w:t>
            </w:r>
          </w:p>
        </w:tc>
        <w:tc>
          <w:tcPr>
            <w:tcW w:w="0" w:type="dxa"/>
            <w:vAlign w:val="bottom"/>
          </w:tcPr>
          <w:p>
            <w:pPr>
              <w:spacing w:after="0"/>
              <w:rPr>
                <w:sz w:val="1"/>
                <w:szCs w:val="1"/>
                <w:color w:val="auto"/>
              </w:rPr>
            </w:pPr>
          </w:p>
        </w:tc>
      </w:tr>
      <w:tr>
        <w:trPr>
          <w:trHeight w:val="133"/>
        </w:trPr>
        <w:tc>
          <w:tcPr>
            <w:tcW w:w="8020" w:type="dxa"/>
            <w:vAlign w:val="bottom"/>
            <w:vMerge w:val="continue"/>
          </w:tcPr>
          <w:p>
            <w:pPr>
              <w:spacing w:after="0"/>
              <w:rPr>
                <w:sz w:val="11"/>
                <w:szCs w:val="11"/>
                <w:color w:val="auto"/>
              </w:rPr>
            </w:pPr>
          </w:p>
        </w:tc>
        <w:tc>
          <w:tcPr>
            <w:tcW w:w="24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8020" w:type="dxa"/>
            <w:vAlign w:val="bottom"/>
          </w:tcPr>
          <w:p>
            <w:pPr>
              <w:ind w:left="440"/>
              <w:spacing w:after="0"/>
              <w:rPr>
                <w:sz w:val="20"/>
                <w:szCs w:val="20"/>
                <w:color w:val="auto"/>
              </w:rPr>
            </w:pPr>
            <w:r>
              <w:rPr>
                <w:rFonts w:ascii="Arial" w:cs="Arial" w:eastAsia="Arial" w:hAnsi="Arial"/>
                <w:sz w:val="18"/>
                <w:szCs w:val="18"/>
                <w:color w:val="auto"/>
              </w:rPr>
              <w:t>Schlumberger GmbH, Germany (c)</w:t>
            </w:r>
          </w:p>
        </w:tc>
        <w:tc>
          <w:tcPr>
            <w:tcW w:w="24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20" w:type="dxa"/>
            <w:vAlign w:val="bottom"/>
          </w:tcPr>
          <w:p>
            <w:pPr>
              <w:ind w:left="440"/>
              <w:spacing w:after="0"/>
              <w:rPr>
                <w:sz w:val="20"/>
                <w:szCs w:val="20"/>
                <w:color w:val="auto"/>
              </w:rPr>
            </w:pPr>
            <w:r>
              <w:rPr>
                <w:rFonts w:ascii="Arial" w:cs="Arial" w:eastAsia="Arial" w:hAnsi="Arial"/>
                <w:sz w:val="18"/>
                <w:szCs w:val="18"/>
                <w:color w:val="auto"/>
              </w:rPr>
              <w:t>Schlumberger SA, France (c)</w:t>
            </w:r>
          </w:p>
        </w:tc>
        <w:tc>
          <w:tcPr>
            <w:tcW w:w="24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20" w:type="dxa"/>
            <w:vAlign w:val="bottom"/>
          </w:tcPr>
          <w:p>
            <w:pPr>
              <w:ind w:left="1080"/>
              <w:spacing w:after="0"/>
              <w:rPr>
                <w:sz w:val="20"/>
                <w:szCs w:val="20"/>
                <w:color w:val="auto"/>
              </w:rPr>
            </w:pPr>
            <w:r>
              <w:rPr>
                <w:rFonts w:ascii="Arial" w:cs="Arial" w:eastAsia="Arial" w:hAnsi="Arial"/>
                <w:sz w:val="18"/>
                <w:szCs w:val="18"/>
                <w:color w:val="auto"/>
              </w:rPr>
              <w:t>Services Petroliers Schlumberger, France (a)</w:t>
            </w:r>
          </w:p>
        </w:tc>
        <w:tc>
          <w:tcPr>
            <w:tcW w:w="24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20" w:type="dxa"/>
            <w:vAlign w:val="bottom"/>
          </w:tcPr>
          <w:p>
            <w:pPr>
              <w:ind w:left="440"/>
              <w:spacing w:after="0"/>
              <w:rPr>
                <w:sz w:val="20"/>
                <w:szCs w:val="20"/>
                <w:color w:val="auto"/>
              </w:rPr>
            </w:pPr>
            <w:r>
              <w:rPr>
                <w:rFonts w:ascii="Arial" w:cs="Arial" w:eastAsia="Arial" w:hAnsi="Arial"/>
                <w:sz w:val="18"/>
                <w:szCs w:val="18"/>
                <w:color w:val="auto"/>
              </w:rPr>
              <w:t>*WesternGeco B.V., Netherlands (a)</w:t>
            </w:r>
          </w:p>
        </w:tc>
        <w:tc>
          <w:tcPr>
            <w:tcW w:w="24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020" w:type="dxa"/>
            <w:vAlign w:val="bottom"/>
          </w:tcPr>
          <w:p>
            <w:pPr>
              <w:ind w:left="1080"/>
              <w:spacing w:after="0"/>
              <w:rPr>
                <w:sz w:val="20"/>
                <w:szCs w:val="20"/>
                <w:color w:val="auto"/>
              </w:rPr>
            </w:pPr>
            <w:r>
              <w:rPr>
                <w:rFonts w:ascii="Arial" w:cs="Arial" w:eastAsia="Arial" w:hAnsi="Arial"/>
                <w:sz w:val="18"/>
                <w:szCs w:val="18"/>
                <w:color w:val="auto"/>
              </w:rPr>
              <w:t>WesternGeco A.S., Norway (a)</w:t>
            </w:r>
          </w:p>
        </w:tc>
        <w:tc>
          <w:tcPr>
            <w:tcW w:w="24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1"/>
        </w:trPr>
        <w:tc>
          <w:tcPr>
            <w:tcW w:w="8020" w:type="dxa"/>
            <w:vAlign w:val="bottom"/>
          </w:tcPr>
          <w:p>
            <w:pPr>
              <w:spacing w:after="0"/>
              <w:rPr>
                <w:sz w:val="20"/>
                <w:szCs w:val="20"/>
                <w:color w:val="auto"/>
              </w:rPr>
            </w:pPr>
            <w:r>
              <w:rPr>
                <w:rFonts w:ascii="Arial" w:cs="Arial" w:eastAsia="Arial" w:hAnsi="Arial"/>
                <w:sz w:val="18"/>
                <w:szCs w:val="18"/>
                <w:color w:val="auto"/>
              </w:rPr>
              <w:t>Schlumberger Offshore Services N.V. (Limited), Netherlands Antilles (a)</w:t>
            </w:r>
          </w:p>
        </w:tc>
        <w:tc>
          <w:tcPr>
            <w:tcW w:w="24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11(a)</w:t>
            </w:r>
          </w:p>
        </w:tc>
        <w:tc>
          <w:tcPr>
            <w:tcW w:w="0" w:type="dxa"/>
            <w:vAlign w:val="bottom"/>
          </w:tcPr>
          <w:p>
            <w:pPr>
              <w:spacing w:after="0"/>
              <w:rPr>
                <w:sz w:val="1"/>
                <w:szCs w:val="1"/>
                <w:color w:val="auto"/>
              </w:rPr>
            </w:pPr>
          </w:p>
        </w:tc>
      </w:tr>
      <w:tr>
        <w:trPr>
          <w:trHeight w:val="222"/>
        </w:trPr>
        <w:tc>
          <w:tcPr>
            <w:tcW w:w="8020" w:type="dxa"/>
            <w:vAlign w:val="bottom"/>
          </w:tcPr>
          <w:p>
            <w:pPr>
              <w:ind w:left="440"/>
              <w:spacing w:after="0"/>
              <w:rPr>
                <w:sz w:val="20"/>
                <w:szCs w:val="20"/>
                <w:color w:val="auto"/>
              </w:rPr>
            </w:pPr>
            <w:r>
              <w:rPr>
                <w:rFonts w:ascii="Arial" w:cs="Arial" w:eastAsia="Arial" w:hAnsi="Arial"/>
                <w:sz w:val="18"/>
                <w:szCs w:val="18"/>
                <w:color w:val="auto"/>
              </w:rPr>
              <w:t>Schlumberger Antilles N.V., Netherlands Antilles (a)</w:t>
            </w:r>
          </w:p>
        </w:tc>
        <w:tc>
          <w:tcPr>
            <w:tcW w:w="24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1"/>
        </w:trPr>
        <w:tc>
          <w:tcPr>
            <w:tcW w:w="8020" w:type="dxa"/>
            <w:vAlign w:val="bottom"/>
          </w:tcPr>
          <w:p>
            <w:pPr>
              <w:spacing w:after="0"/>
              <w:rPr>
                <w:sz w:val="20"/>
                <w:szCs w:val="20"/>
                <w:color w:val="auto"/>
              </w:rPr>
            </w:pPr>
            <w:r>
              <w:rPr>
                <w:rFonts w:ascii="Arial" w:cs="Arial" w:eastAsia="Arial" w:hAnsi="Arial"/>
                <w:sz w:val="18"/>
                <w:szCs w:val="18"/>
                <w:color w:val="auto"/>
              </w:rPr>
              <w:t>Schlumberger Overseas, S.A., Panama (c)</w:t>
            </w:r>
          </w:p>
        </w:tc>
        <w:tc>
          <w:tcPr>
            <w:tcW w:w="24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144(a)</w:t>
            </w:r>
            <w:r>
              <w:rPr>
                <w:rFonts w:ascii="Arial" w:cs="Arial" w:eastAsia="Arial" w:hAnsi="Arial"/>
                <w:sz w:val="22"/>
                <w:szCs w:val="22"/>
                <w:color w:val="auto"/>
                <w:vertAlign w:val="superscript"/>
              </w:rPr>
              <w:t>4</w:t>
            </w:r>
          </w:p>
        </w:tc>
        <w:tc>
          <w:tcPr>
            <w:tcW w:w="0" w:type="dxa"/>
            <w:vAlign w:val="bottom"/>
          </w:tcPr>
          <w:p>
            <w:pPr>
              <w:spacing w:after="0"/>
              <w:rPr>
                <w:sz w:val="1"/>
                <w:szCs w:val="1"/>
                <w:color w:val="auto"/>
              </w:rPr>
            </w:pPr>
          </w:p>
        </w:tc>
      </w:tr>
      <w:tr>
        <w:trPr>
          <w:trHeight w:val="216"/>
        </w:trPr>
        <w:tc>
          <w:tcPr>
            <w:tcW w:w="80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000" w:type="dxa"/>
            <w:vAlign w:val="bottom"/>
          </w:tcPr>
          <w:p>
            <w:pPr>
              <w:jc w:val="right"/>
              <w:spacing w:after="0" w:line="217" w:lineRule="exact"/>
              <w:rPr>
                <w:sz w:val="20"/>
                <w:szCs w:val="20"/>
                <w:color w:val="auto"/>
              </w:rPr>
            </w:pPr>
            <w:r>
              <w:rPr>
                <w:rFonts w:ascii="Arial" w:cs="Arial" w:eastAsia="Arial" w:hAnsi="Arial"/>
                <w:sz w:val="18"/>
                <w:szCs w:val="18"/>
                <w:color w:val="auto"/>
              </w:rPr>
              <w:t>26(b)</w:t>
            </w:r>
            <w:r>
              <w:rPr>
                <w:rFonts w:ascii="Arial" w:cs="Arial" w:eastAsia="Arial" w:hAnsi="Arial"/>
                <w:sz w:val="22"/>
                <w:szCs w:val="22"/>
                <w:color w:val="auto"/>
                <w:vertAlign w:val="superscript"/>
              </w:rPr>
              <w:t>5</w:t>
            </w:r>
          </w:p>
        </w:tc>
        <w:tc>
          <w:tcPr>
            <w:tcW w:w="0" w:type="dxa"/>
            <w:vAlign w:val="bottom"/>
          </w:tcPr>
          <w:p>
            <w:pPr>
              <w:spacing w:after="0"/>
              <w:rPr>
                <w:sz w:val="1"/>
                <w:szCs w:val="1"/>
                <w:color w:val="auto"/>
              </w:rPr>
            </w:pPr>
          </w:p>
        </w:tc>
      </w:tr>
      <w:tr>
        <w:trPr>
          <w:trHeight w:val="216"/>
        </w:trPr>
        <w:tc>
          <w:tcPr>
            <w:tcW w:w="80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16(c)</w:t>
            </w:r>
          </w:p>
        </w:tc>
        <w:tc>
          <w:tcPr>
            <w:tcW w:w="0" w:type="dxa"/>
            <w:vAlign w:val="bottom"/>
          </w:tcPr>
          <w:p>
            <w:pPr>
              <w:spacing w:after="0"/>
              <w:rPr>
                <w:sz w:val="1"/>
                <w:szCs w:val="1"/>
                <w:color w:val="auto"/>
              </w:rPr>
            </w:pPr>
          </w:p>
        </w:tc>
      </w:tr>
      <w:tr>
        <w:trPr>
          <w:trHeight w:val="299"/>
        </w:trPr>
        <w:tc>
          <w:tcPr>
            <w:tcW w:w="8020" w:type="dxa"/>
            <w:vAlign w:val="bottom"/>
            <w:vMerge w:val="restart"/>
          </w:tcPr>
          <w:p>
            <w:pPr>
              <w:ind w:left="660"/>
              <w:spacing w:after="0"/>
              <w:rPr>
                <w:sz w:val="20"/>
                <w:szCs w:val="20"/>
                <w:color w:val="auto"/>
              </w:rPr>
            </w:pPr>
            <w:r>
              <w:rPr>
                <w:rFonts w:ascii="Arial" w:cs="Arial" w:eastAsia="Arial" w:hAnsi="Arial"/>
                <w:sz w:val="18"/>
                <w:szCs w:val="18"/>
                <w:color w:val="auto"/>
              </w:rPr>
              <w:t>MC&amp;C Holdings Limited, BVI (c)</w:t>
            </w:r>
          </w:p>
        </w:tc>
        <w:tc>
          <w:tcPr>
            <w:tcW w:w="24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27(d)</w:t>
            </w:r>
            <w:r>
              <w:rPr>
                <w:rFonts w:ascii="Arial" w:cs="Arial" w:eastAsia="Arial" w:hAnsi="Arial"/>
                <w:sz w:val="22"/>
                <w:szCs w:val="22"/>
                <w:color w:val="auto"/>
                <w:vertAlign w:val="superscript"/>
              </w:rPr>
              <w:t>6</w:t>
            </w:r>
          </w:p>
        </w:tc>
        <w:tc>
          <w:tcPr>
            <w:tcW w:w="0" w:type="dxa"/>
            <w:vAlign w:val="bottom"/>
          </w:tcPr>
          <w:p>
            <w:pPr>
              <w:spacing w:after="0"/>
              <w:rPr>
                <w:sz w:val="1"/>
                <w:szCs w:val="1"/>
                <w:color w:val="auto"/>
              </w:rPr>
            </w:pPr>
          </w:p>
        </w:tc>
      </w:tr>
      <w:tr>
        <w:trPr>
          <w:trHeight w:val="133"/>
        </w:trPr>
        <w:tc>
          <w:tcPr>
            <w:tcW w:w="8020" w:type="dxa"/>
            <w:vAlign w:val="bottom"/>
            <w:vMerge w:val="continue"/>
          </w:tcPr>
          <w:p>
            <w:pPr>
              <w:spacing w:after="0"/>
              <w:rPr>
                <w:sz w:val="11"/>
                <w:szCs w:val="11"/>
                <w:color w:val="auto"/>
              </w:rPr>
            </w:pPr>
          </w:p>
        </w:tc>
        <w:tc>
          <w:tcPr>
            <w:tcW w:w="24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8020" w:type="dxa"/>
            <w:vAlign w:val="bottom"/>
          </w:tcPr>
          <w:p>
            <w:pPr>
              <w:ind w:left="1080"/>
              <w:spacing w:after="0"/>
              <w:rPr>
                <w:sz w:val="20"/>
                <w:szCs w:val="20"/>
                <w:color w:val="auto"/>
              </w:rPr>
            </w:pPr>
            <w:r>
              <w:rPr>
                <w:rFonts w:ascii="Arial" w:cs="Arial" w:eastAsia="Arial" w:hAnsi="Arial"/>
                <w:sz w:val="18"/>
                <w:szCs w:val="18"/>
                <w:color w:val="auto"/>
              </w:rPr>
              <w:t>Schlumberger Plc, UK (c)</w:t>
            </w:r>
          </w:p>
        </w:tc>
        <w:tc>
          <w:tcPr>
            <w:tcW w:w="24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20" w:type="dxa"/>
            <w:vAlign w:val="bottom"/>
          </w:tcPr>
          <w:p>
            <w:pPr>
              <w:ind w:left="1300"/>
              <w:spacing w:after="0"/>
              <w:rPr>
                <w:sz w:val="20"/>
                <w:szCs w:val="20"/>
                <w:color w:val="auto"/>
              </w:rPr>
            </w:pPr>
            <w:r>
              <w:rPr>
                <w:rFonts w:ascii="Arial" w:cs="Arial" w:eastAsia="Arial" w:hAnsi="Arial"/>
                <w:sz w:val="18"/>
                <w:szCs w:val="18"/>
                <w:color w:val="auto"/>
              </w:rPr>
              <w:t>Schlumberger Evaluation and Production Services (UK) Limited, UK (a)</w:t>
            </w:r>
          </w:p>
        </w:tc>
        <w:tc>
          <w:tcPr>
            <w:tcW w:w="24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20" w:type="dxa"/>
            <w:vAlign w:val="bottom"/>
          </w:tcPr>
          <w:p>
            <w:pPr>
              <w:ind w:left="1300"/>
              <w:spacing w:after="0"/>
              <w:rPr>
                <w:sz w:val="20"/>
                <w:szCs w:val="20"/>
                <w:color w:val="auto"/>
              </w:rPr>
            </w:pPr>
            <w:r>
              <w:rPr>
                <w:rFonts w:ascii="Arial" w:cs="Arial" w:eastAsia="Arial" w:hAnsi="Arial"/>
                <w:sz w:val="18"/>
                <w:szCs w:val="18"/>
                <w:color w:val="auto"/>
              </w:rPr>
              <w:t>*WesternGeco Limited, UK (a)</w:t>
            </w:r>
          </w:p>
        </w:tc>
        <w:tc>
          <w:tcPr>
            <w:tcW w:w="24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20" w:type="dxa"/>
            <w:vAlign w:val="bottom"/>
          </w:tcPr>
          <w:p>
            <w:pPr>
              <w:ind w:left="660"/>
              <w:spacing w:after="0"/>
              <w:rPr>
                <w:sz w:val="20"/>
                <w:szCs w:val="20"/>
                <w:color w:val="auto"/>
              </w:rPr>
            </w:pPr>
            <w:r>
              <w:rPr>
                <w:rFonts w:ascii="Arial" w:cs="Arial" w:eastAsia="Arial" w:hAnsi="Arial"/>
                <w:sz w:val="18"/>
                <w:szCs w:val="18"/>
                <w:color w:val="auto"/>
              </w:rPr>
              <w:t>Schlumberger Oilfield Holdings Limited, BVI (a)</w:t>
            </w:r>
          </w:p>
        </w:tc>
        <w:tc>
          <w:tcPr>
            <w:tcW w:w="24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20" w:type="dxa"/>
            <w:vAlign w:val="bottom"/>
          </w:tcPr>
          <w:p>
            <w:pPr>
              <w:ind w:left="1080"/>
              <w:spacing w:after="0"/>
              <w:rPr>
                <w:sz w:val="20"/>
                <w:szCs w:val="20"/>
                <w:color w:val="auto"/>
              </w:rPr>
            </w:pPr>
            <w:r>
              <w:rPr>
                <w:rFonts w:ascii="Arial" w:cs="Arial" w:eastAsia="Arial" w:hAnsi="Arial"/>
                <w:sz w:val="18"/>
                <w:szCs w:val="18"/>
                <w:color w:val="auto"/>
              </w:rPr>
              <w:t>Dowell Schlumberger Corporation, BVI (a)</w:t>
            </w:r>
          </w:p>
        </w:tc>
        <w:tc>
          <w:tcPr>
            <w:tcW w:w="24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20" w:type="dxa"/>
            <w:vAlign w:val="bottom"/>
          </w:tcPr>
          <w:p>
            <w:pPr>
              <w:ind w:left="1080"/>
              <w:spacing w:after="0"/>
              <w:rPr>
                <w:sz w:val="20"/>
                <w:szCs w:val="20"/>
                <w:color w:val="auto"/>
              </w:rPr>
            </w:pPr>
            <w:r>
              <w:rPr>
                <w:rFonts w:ascii="Arial" w:cs="Arial" w:eastAsia="Arial" w:hAnsi="Arial"/>
                <w:sz w:val="18"/>
                <w:szCs w:val="18"/>
                <w:color w:val="auto"/>
              </w:rPr>
              <w:t>Schlumberger Holdings Limited, BVI (a)</w:t>
            </w:r>
          </w:p>
        </w:tc>
        <w:tc>
          <w:tcPr>
            <w:tcW w:w="24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20" w:type="dxa"/>
            <w:vAlign w:val="bottom"/>
          </w:tcPr>
          <w:p>
            <w:pPr>
              <w:ind w:left="1300"/>
              <w:spacing w:after="0"/>
              <w:rPr>
                <w:sz w:val="20"/>
                <w:szCs w:val="20"/>
                <w:color w:val="auto"/>
              </w:rPr>
            </w:pPr>
            <w:r>
              <w:rPr>
                <w:rFonts w:ascii="Arial" w:cs="Arial" w:eastAsia="Arial" w:hAnsi="Arial"/>
                <w:sz w:val="18"/>
                <w:szCs w:val="18"/>
                <w:color w:val="auto"/>
              </w:rPr>
              <w:t>Schlumberger Middle East S.A., Panama (a)</w:t>
            </w:r>
          </w:p>
        </w:tc>
        <w:tc>
          <w:tcPr>
            <w:tcW w:w="24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20" w:type="dxa"/>
            <w:vAlign w:val="bottom"/>
          </w:tcPr>
          <w:p>
            <w:pPr>
              <w:ind w:left="1300"/>
              <w:spacing w:after="0"/>
              <w:rPr>
                <w:sz w:val="20"/>
                <w:szCs w:val="20"/>
                <w:color w:val="auto"/>
              </w:rPr>
            </w:pPr>
            <w:r>
              <w:rPr>
                <w:rFonts w:ascii="Arial" w:cs="Arial" w:eastAsia="Arial" w:hAnsi="Arial"/>
                <w:sz w:val="18"/>
                <w:szCs w:val="18"/>
                <w:color w:val="auto"/>
              </w:rPr>
              <w:t>Schlumberger Seaco, Inc., Panama (a)</w:t>
            </w:r>
          </w:p>
        </w:tc>
        <w:tc>
          <w:tcPr>
            <w:tcW w:w="24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20" w:type="dxa"/>
            <w:vAlign w:val="bottom"/>
          </w:tcPr>
          <w:p>
            <w:pPr>
              <w:ind w:left="1300"/>
              <w:spacing w:after="0"/>
              <w:rPr>
                <w:sz w:val="20"/>
                <w:szCs w:val="20"/>
                <w:color w:val="auto"/>
              </w:rPr>
            </w:pPr>
            <w:r>
              <w:rPr>
                <w:rFonts w:ascii="Arial" w:cs="Arial" w:eastAsia="Arial" w:hAnsi="Arial"/>
                <w:sz w:val="18"/>
                <w:szCs w:val="18"/>
                <w:color w:val="auto"/>
              </w:rPr>
              <w:t>Schlumberger Surenco, S.A., Panama (a)</w:t>
            </w:r>
          </w:p>
        </w:tc>
        <w:tc>
          <w:tcPr>
            <w:tcW w:w="24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020" w:type="dxa"/>
            <w:vAlign w:val="bottom"/>
          </w:tcPr>
          <w:p>
            <w:pPr>
              <w:ind w:left="1080"/>
              <w:spacing w:after="0"/>
              <w:rPr>
                <w:sz w:val="20"/>
                <w:szCs w:val="20"/>
                <w:color w:val="auto"/>
              </w:rPr>
            </w:pPr>
            <w:r>
              <w:rPr>
                <w:rFonts w:ascii="Arial" w:cs="Arial" w:eastAsia="Arial" w:hAnsi="Arial"/>
                <w:sz w:val="18"/>
                <w:szCs w:val="18"/>
                <w:color w:val="auto"/>
              </w:rPr>
              <w:t>*WesternGeco Seismic Holdings Limited, BVI (a)</w:t>
            </w:r>
          </w:p>
        </w:tc>
        <w:tc>
          <w:tcPr>
            <w:tcW w:w="24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1"/>
        </w:trPr>
        <w:tc>
          <w:tcPr>
            <w:tcW w:w="8020" w:type="dxa"/>
            <w:vAlign w:val="bottom"/>
          </w:tcPr>
          <w:p>
            <w:pPr>
              <w:spacing w:after="0"/>
              <w:rPr>
                <w:sz w:val="20"/>
                <w:szCs w:val="20"/>
                <w:color w:val="auto"/>
              </w:rPr>
            </w:pPr>
            <w:r>
              <w:rPr>
                <w:rFonts w:ascii="Arial" w:cs="Arial" w:eastAsia="Arial" w:hAnsi="Arial"/>
                <w:sz w:val="18"/>
                <w:szCs w:val="18"/>
                <w:color w:val="auto"/>
              </w:rPr>
              <w:t>Schlumberger Technology Corporation, Texas (c)</w:t>
            </w:r>
          </w:p>
        </w:tc>
        <w:tc>
          <w:tcPr>
            <w:tcW w:w="2400" w:type="dxa"/>
            <w:vAlign w:val="bottom"/>
          </w:tcPr>
          <w:p>
            <w:pPr>
              <w:jc w:val="right"/>
              <w:ind w:right="396"/>
              <w:spacing w:after="0"/>
              <w:rPr>
                <w:sz w:val="20"/>
                <w:szCs w:val="20"/>
                <w:color w:val="auto"/>
              </w:rPr>
            </w:pPr>
            <w:r>
              <w:rPr>
                <w:rFonts w:ascii="Arial" w:cs="Arial" w:eastAsia="Arial" w:hAnsi="Arial"/>
                <w:sz w:val="18"/>
                <w:szCs w:val="18"/>
                <w:color w:val="auto"/>
              </w:rPr>
              <w:t>5(a)</w:t>
            </w:r>
            <w:r>
              <w:rPr>
                <w:rFonts w:ascii="Arial" w:cs="Arial" w:eastAsia="Arial" w:hAnsi="Arial"/>
                <w:sz w:val="22"/>
                <w:szCs w:val="22"/>
                <w:color w:val="auto"/>
                <w:vertAlign w:val="superscript"/>
              </w:rPr>
              <w:t>7</w:t>
            </w:r>
          </w:p>
        </w:tc>
        <w:tc>
          <w:tcPr>
            <w:tcW w:w="1000" w:type="dxa"/>
            <w:vAlign w:val="bottom"/>
          </w:tcPr>
          <w:p>
            <w:pPr>
              <w:jc w:val="right"/>
              <w:spacing w:after="0"/>
              <w:rPr>
                <w:sz w:val="20"/>
                <w:szCs w:val="20"/>
                <w:color w:val="auto"/>
              </w:rPr>
            </w:pPr>
            <w:r>
              <w:rPr>
                <w:rFonts w:ascii="Arial" w:cs="Arial" w:eastAsia="Arial" w:hAnsi="Arial"/>
                <w:sz w:val="18"/>
                <w:szCs w:val="18"/>
                <w:color w:val="auto"/>
              </w:rPr>
              <w:t>1(a)</w:t>
            </w:r>
          </w:p>
        </w:tc>
        <w:tc>
          <w:tcPr>
            <w:tcW w:w="0" w:type="dxa"/>
            <w:vAlign w:val="bottom"/>
          </w:tcPr>
          <w:p>
            <w:pPr>
              <w:spacing w:after="0"/>
              <w:rPr>
                <w:sz w:val="1"/>
                <w:szCs w:val="1"/>
                <w:color w:val="auto"/>
              </w:rPr>
            </w:pPr>
          </w:p>
        </w:tc>
      </w:tr>
      <w:tr>
        <w:trPr>
          <w:trHeight w:val="216"/>
        </w:trPr>
        <w:tc>
          <w:tcPr>
            <w:tcW w:w="8020" w:type="dxa"/>
            <w:vAlign w:val="bottom"/>
          </w:tcPr>
          <w:p>
            <w:pPr>
              <w:spacing w:after="0"/>
              <w:rPr>
                <w:sz w:val="18"/>
                <w:szCs w:val="18"/>
                <w:color w:val="auto"/>
              </w:rPr>
            </w:pPr>
          </w:p>
        </w:tc>
        <w:tc>
          <w:tcPr>
            <w:tcW w:w="2400" w:type="dxa"/>
            <w:vAlign w:val="bottom"/>
          </w:tcPr>
          <w:p>
            <w:pPr>
              <w:jc w:val="right"/>
              <w:ind w:right="396"/>
              <w:spacing w:after="0" w:line="217" w:lineRule="exact"/>
              <w:rPr>
                <w:sz w:val="20"/>
                <w:szCs w:val="20"/>
                <w:color w:val="auto"/>
              </w:rPr>
            </w:pPr>
            <w:r>
              <w:rPr>
                <w:rFonts w:ascii="Arial" w:cs="Arial" w:eastAsia="Arial" w:hAnsi="Arial"/>
                <w:sz w:val="18"/>
                <w:szCs w:val="18"/>
                <w:color w:val="auto"/>
              </w:rPr>
              <w:t>3(b)</w:t>
            </w:r>
            <w:r>
              <w:rPr>
                <w:rFonts w:ascii="Arial" w:cs="Arial" w:eastAsia="Arial" w:hAnsi="Arial"/>
                <w:sz w:val="22"/>
                <w:szCs w:val="22"/>
                <w:color w:val="auto"/>
                <w:vertAlign w:val="superscript"/>
              </w:rPr>
              <w:t>8</w:t>
            </w:r>
          </w:p>
        </w:tc>
        <w:tc>
          <w:tcPr>
            <w:tcW w:w="1000" w:type="dxa"/>
            <w:vAlign w:val="bottom"/>
          </w:tcPr>
          <w:p>
            <w:pPr>
              <w:jc w:val="right"/>
              <w:spacing w:after="0"/>
              <w:rPr>
                <w:sz w:val="20"/>
                <w:szCs w:val="20"/>
                <w:color w:val="auto"/>
              </w:rPr>
            </w:pPr>
            <w:r>
              <w:rPr>
                <w:rFonts w:ascii="Arial" w:cs="Arial" w:eastAsia="Arial" w:hAnsi="Arial"/>
                <w:sz w:val="18"/>
                <w:szCs w:val="18"/>
                <w:color w:val="auto"/>
              </w:rPr>
              <w:t>1(b)</w:t>
            </w:r>
          </w:p>
        </w:tc>
        <w:tc>
          <w:tcPr>
            <w:tcW w:w="0" w:type="dxa"/>
            <w:vAlign w:val="bottom"/>
          </w:tcPr>
          <w:p>
            <w:pPr>
              <w:spacing w:after="0"/>
              <w:rPr>
                <w:sz w:val="1"/>
                <w:szCs w:val="1"/>
                <w:color w:val="auto"/>
              </w:rPr>
            </w:pPr>
          </w:p>
        </w:tc>
      </w:tr>
      <w:tr>
        <w:trPr>
          <w:trHeight w:val="216"/>
        </w:trPr>
        <w:tc>
          <w:tcPr>
            <w:tcW w:w="8020" w:type="dxa"/>
            <w:vAlign w:val="bottom"/>
          </w:tcPr>
          <w:p>
            <w:pPr>
              <w:spacing w:after="0"/>
              <w:rPr>
                <w:sz w:val="18"/>
                <w:szCs w:val="18"/>
                <w:color w:val="auto"/>
              </w:rPr>
            </w:pPr>
          </w:p>
        </w:tc>
        <w:tc>
          <w:tcPr>
            <w:tcW w:w="2400" w:type="dxa"/>
            <w:vAlign w:val="bottom"/>
          </w:tcPr>
          <w:p>
            <w:pPr>
              <w:jc w:val="right"/>
              <w:ind w:right="436"/>
              <w:spacing w:after="0"/>
              <w:rPr>
                <w:sz w:val="20"/>
                <w:szCs w:val="20"/>
                <w:color w:val="auto"/>
              </w:rPr>
            </w:pPr>
            <w:r>
              <w:rPr>
                <w:rFonts w:ascii="Arial" w:cs="Arial" w:eastAsia="Arial" w:hAnsi="Arial"/>
                <w:sz w:val="18"/>
                <w:szCs w:val="18"/>
                <w:color w:val="auto"/>
              </w:rPr>
              <w:t>4(c)</w:t>
            </w: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020" w:type="dxa"/>
            <w:vAlign w:val="bottom"/>
            <w:vMerge w:val="restart"/>
          </w:tcPr>
          <w:p>
            <w:pPr>
              <w:ind w:left="1080"/>
              <w:spacing w:after="0"/>
              <w:rPr>
                <w:sz w:val="20"/>
                <w:szCs w:val="20"/>
                <w:color w:val="auto"/>
              </w:rPr>
            </w:pPr>
            <w:r>
              <w:rPr>
                <w:rFonts w:ascii="Arial" w:cs="Arial" w:eastAsia="Arial" w:hAnsi="Arial"/>
                <w:sz w:val="18"/>
                <w:szCs w:val="18"/>
                <w:color w:val="auto"/>
              </w:rPr>
              <w:t>*WesternGeco L.L.C., Delaware (a)</w:t>
            </w:r>
          </w:p>
        </w:tc>
        <w:tc>
          <w:tcPr>
            <w:tcW w:w="2400" w:type="dxa"/>
            <w:vAlign w:val="bottom"/>
          </w:tcPr>
          <w:p>
            <w:pPr>
              <w:jc w:val="right"/>
              <w:ind w:right="436"/>
              <w:spacing w:after="0"/>
              <w:rPr>
                <w:sz w:val="20"/>
                <w:szCs w:val="20"/>
                <w:color w:val="auto"/>
              </w:rPr>
            </w:pPr>
            <w:r>
              <w:rPr>
                <w:rFonts w:ascii="Arial" w:cs="Arial" w:eastAsia="Arial" w:hAnsi="Arial"/>
                <w:sz w:val="18"/>
                <w:szCs w:val="18"/>
                <w:color w:val="auto"/>
              </w:rPr>
              <w:t>8(d)</w:t>
            </w: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020" w:type="dxa"/>
            <w:vAlign w:val="bottom"/>
            <w:vMerge w:val="continue"/>
          </w:tcPr>
          <w:p>
            <w:pPr>
              <w:spacing w:after="0"/>
              <w:rPr>
                <w:sz w:val="18"/>
                <w:szCs w:val="18"/>
                <w:color w:val="auto"/>
              </w:rPr>
            </w:pPr>
          </w:p>
        </w:tc>
        <w:tc>
          <w:tcPr>
            <w:tcW w:w="24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59" w:lineRule="exact"/>
        <w:rPr>
          <w:sz w:val="20"/>
          <w:szCs w:val="20"/>
          <w:color w:val="auto"/>
        </w:rPr>
      </w:pPr>
    </w:p>
    <w:p>
      <w:pPr>
        <w:ind w:left="540" w:hanging="532"/>
        <w:spacing w:after="0"/>
        <w:tabs>
          <w:tab w:leader="none" w:pos="540" w:val="left"/>
        </w:tabs>
        <w:numPr>
          <w:ilvl w:val="0"/>
          <w:numId w:val="60"/>
        </w:numPr>
        <w:rPr>
          <w:rFonts w:ascii="Arial" w:cs="Arial" w:eastAsia="Arial" w:hAnsi="Arial"/>
          <w:sz w:val="14"/>
          <w:szCs w:val="14"/>
          <w:color w:val="auto"/>
        </w:rPr>
      </w:pPr>
      <w:r>
        <w:rPr>
          <w:rFonts w:ascii="Arial" w:cs="Arial" w:eastAsia="Arial" w:hAnsi="Arial"/>
          <w:sz w:val="14"/>
          <w:szCs w:val="14"/>
          <w:color w:val="auto"/>
        </w:rPr>
        <w:t>70% owned by Registrant</w:t>
      </w:r>
    </w:p>
    <w:p>
      <w:pPr>
        <w:spacing w:after="0" w:line="55" w:lineRule="exact"/>
        <w:rPr>
          <w:sz w:val="20"/>
          <w:szCs w:val="20"/>
          <w:color w:val="auto"/>
        </w:rPr>
      </w:pPr>
    </w:p>
    <w:p>
      <w:pPr>
        <w:ind w:left="340" w:hanging="332"/>
        <w:spacing w:after="0"/>
        <w:tabs>
          <w:tab w:leader="none" w:pos="340" w:val="left"/>
        </w:tabs>
        <w:numPr>
          <w:ilvl w:val="0"/>
          <w:numId w:val="61"/>
        </w:numPr>
        <w:rPr>
          <w:rFonts w:ascii="Arial" w:cs="Arial" w:eastAsia="Arial" w:hAnsi="Arial"/>
          <w:sz w:val="14"/>
          <w:szCs w:val="14"/>
          <w:color w:val="auto"/>
        </w:rPr>
      </w:pPr>
      <w:r>
        <w:rPr>
          <w:rFonts w:ascii="Arial" w:cs="Arial" w:eastAsia="Arial" w:hAnsi="Arial"/>
          <w:sz w:val="14"/>
          <w:szCs w:val="14"/>
          <w:color w:val="auto"/>
        </w:rPr>
        <w:t>Includes one majority-owned subsidiary and one 50%-owned subsidiary.</w:t>
      </w:r>
    </w:p>
    <w:p>
      <w:pPr>
        <w:ind w:left="300" w:hanging="292"/>
        <w:spacing w:after="0" w:line="221" w:lineRule="auto"/>
        <w:tabs>
          <w:tab w:leader="none" w:pos="300" w:val="left"/>
        </w:tabs>
        <w:numPr>
          <w:ilvl w:val="0"/>
          <w:numId w:val="62"/>
        </w:numPr>
        <w:rPr>
          <w:rFonts w:ascii="Arial" w:cs="Arial" w:eastAsia="Arial" w:hAnsi="Arial"/>
          <w:sz w:val="14"/>
          <w:szCs w:val="14"/>
          <w:color w:val="auto"/>
        </w:rPr>
      </w:pPr>
      <w:r>
        <w:rPr>
          <w:rFonts w:ascii="Arial" w:cs="Arial" w:eastAsia="Arial" w:hAnsi="Arial"/>
          <w:sz w:val="14"/>
          <w:szCs w:val="14"/>
          <w:color w:val="auto"/>
        </w:rPr>
        <w:t>Includes two majority-owned subsidiaries, one of which is named, and one 50%-owned subsidiary.</w:t>
      </w:r>
    </w:p>
    <w:p>
      <w:pPr>
        <w:spacing w:after="0"/>
        <w:rPr>
          <w:rFonts w:ascii="Arial" w:cs="Arial" w:eastAsia="Arial" w:hAnsi="Arial"/>
          <w:sz w:val="14"/>
          <w:szCs w:val="14"/>
          <w:color w:val="auto"/>
        </w:rPr>
      </w:pPr>
      <w:r>
        <w:rPr>
          <w:rFonts w:ascii="Arial" w:cs="Arial" w:eastAsia="Arial" w:hAnsi="Arial"/>
          <w:sz w:val="14"/>
          <w:szCs w:val="14"/>
          <w:color w:val="auto"/>
        </w:rPr>
        <w:t>3</w:t>
      </w:r>
      <w:r>
        <w:rPr>
          <w:rFonts w:ascii="Arial" w:cs="Arial" w:eastAsia="Arial" w:hAnsi="Arial"/>
          <w:sz w:val="12"/>
          <w:szCs w:val="12"/>
          <w:color w:val="auto"/>
        </w:rPr>
        <w:t>Includes one majority-owned subsidiary.</w:t>
      </w:r>
    </w:p>
    <w:p>
      <w:pPr>
        <w:spacing w:after="0"/>
        <w:rPr>
          <w:rFonts w:ascii="Arial" w:cs="Arial" w:eastAsia="Arial" w:hAnsi="Arial"/>
          <w:sz w:val="14"/>
          <w:szCs w:val="14"/>
          <w:color w:val="auto"/>
        </w:rPr>
      </w:pPr>
      <w:r>
        <w:rPr>
          <w:rFonts w:ascii="Arial" w:cs="Arial" w:eastAsia="Arial" w:hAnsi="Arial"/>
          <w:sz w:val="14"/>
          <w:szCs w:val="14"/>
          <w:color w:val="auto"/>
        </w:rPr>
        <w:t>4</w:t>
      </w:r>
      <w:r>
        <w:rPr>
          <w:rFonts w:ascii="Arial" w:cs="Arial" w:eastAsia="Arial" w:hAnsi="Arial"/>
          <w:sz w:val="12"/>
          <w:szCs w:val="12"/>
          <w:color w:val="auto"/>
        </w:rPr>
        <w:t>Includes eight majority-owned subsidiaries and three 50%-owned subsidiaries.</w:t>
      </w:r>
    </w:p>
    <w:p>
      <w:pPr>
        <w:spacing w:after="0"/>
        <w:rPr>
          <w:rFonts w:ascii="Arial" w:cs="Arial" w:eastAsia="Arial" w:hAnsi="Arial"/>
          <w:sz w:val="14"/>
          <w:szCs w:val="14"/>
          <w:color w:val="auto"/>
        </w:rPr>
      </w:pPr>
      <w:r>
        <w:rPr>
          <w:rFonts w:ascii="Arial" w:cs="Arial" w:eastAsia="Arial" w:hAnsi="Arial"/>
          <w:sz w:val="14"/>
          <w:szCs w:val="14"/>
          <w:color w:val="auto"/>
        </w:rPr>
        <w:t>5</w:t>
      </w:r>
      <w:r>
        <w:rPr>
          <w:rFonts w:ascii="Arial" w:cs="Arial" w:eastAsia="Arial" w:hAnsi="Arial"/>
          <w:sz w:val="12"/>
          <w:szCs w:val="12"/>
          <w:color w:val="auto"/>
        </w:rPr>
        <w:t>Includes five majority-owned subsidiaries, two of which are named.</w:t>
      </w:r>
    </w:p>
    <w:p>
      <w:pPr>
        <w:spacing w:after="0"/>
        <w:rPr>
          <w:rFonts w:ascii="Arial" w:cs="Arial" w:eastAsia="Arial" w:hAnsi="Arial"/>
          <w:sz w:val="14"/>
          <w:szCs w:val="14"/>
          <w:color w:val="auto"/>
        </w:rPr>
      </w:pPr>
      <w:r>
        <w:rPr>
          <w:rFonts w:ascii="Arial" w:cs="Arial" w:eastAsia="Arial" w:hAnsi="Arial"/>
          <w:sz w:val="14"/>
          <w:szCs w:val="14"/>
          <w:color w:val="auto"/>
        </w:rPr>
        <w:t>6</w:t>
      </w:r>
      <w:r>
        <w:rPr>
          <w:rFonts w:ascii="Arial" w:cs="Arial" w:eastAsia="Arial" w:hAnsi="Arial"/>
          <w:sz w:val="12"/>
          <w:szCs w:val="12"/>
          <w:color w:val="auto"/>
        </w:rPr>
        <w:t>Includes four majority-owned subsidiaries.</w:t>
      </w:r>
    </w:p>
    <w:p>
      <w:pPr>
        <w:spacing w:after="0"/>
        <w:rPr>
          <w:rFonts w:ascii="Arial" w:cs="Arial" w:eastAsia="Arial" w:hAnsi="Arial"/>
          <w:sz w:val="14"/>
          <w:szCs w:val="14"/>
          <w:color w:val="auto"/>
        </w:rPr>
      </w:pPr>
      <w:r>
        <w:rPr>
          <w:rFonts w:ascii="Arial" w:cs="Arial" w:eastAsia="Arial" w:hAnsi="Arial"/>
          <w:sz w:val="14"/>
          <w:szCs w:val="14"/>
          <w:color w:val="auto"/>
        </w:rPr>
        <w:t>7</w:t>
      </w:r>
      <w:r>
        <w:rPr>
          <w:rFonts w:ascii="Arial" w:cs="Arial" w:eastAsia="Arial" w:hAnsi="Arial"/>
          <w:sz w:val="12"/>
          <w:szCs w:val="12"/>
          <w:color w:val="auto"/>
        </w:rPr>
        <w:t>Includes one majority-owned subsidiary and one 50%-owned subsidiary.</w:t>
      </w:r>
    </w:p>
    <w:p>
      <w:pPr>
        <w:spacing w:after="0"/>
        <w:rPr>
          <w:rFonts w:ascii="Arial" w:cs="Arial" w:eastAsia="Arial" w:hAnsi="Arial"/>
          <w:sz w:val="14"/>
          <w:szCs w:val="14"/>
          <w:color w:val="auto"/>
        </w:rPr>
      </w:pPr>
      <w:r>
        <w:rPr>
          <w:rFonts w:ascii="Arial" w:cs="Arial" w:eastAsia="Arial" w:hAnsi="Arial"/>
          <w:sz w:val="14"/>
          <w:szCs w:val="14"/>
          <w:color w:val="auto"/>
        </w:rPr>
        <w:t>8</w:t>
      </w:r>
      <w:r>
        <w:rPr>
          <w:rFonts w:ascii="Arial" w:cs="Arial" w:eastAsia="Arial" w:hAnsi="Arial"/>
          <w:sz w:val="12"/>
          <w:szCs w:val="12"/>
          <w:color w:val="auto"/>
        </w:rPr>
        <w:t>Includes two majority-owned subsidiaries, one of which is named.</w:t>
      </w:r>
    </w:p>
    <w:p>
      <w:pPr>
        <w:spacing w:after="0" w:line="124" w:lineRule="exact"/>
        <w:rPr>
          <w:sz w:val="20"/>
          <w:szCs w:val="20"/>
          <w:color w:val="auto"/>
        </w:rPr>
      </w:pPr>
    </w:p>
    <w:p>
      <w:pPr>
        <w:spacing w:after="0"/>
        <w:rPr>
          <w:sz w:val="20"/>
          <w:szCs w:val="20"/>
          <w:color w:val="auto"/>
        </w:rPr>
      </w:pPr>
      <w:r>
        <w:rPr>
          <w:rFonts w:ascii="Arial" w:cs="Arial" w:eastAsia="Arial" w:hAnsi="Arial"/>
          <w:sz w:val="14"/>
          <w:szCs w:val="14"/>
          <w:color w:val="auto"/>
        </w:rPr>
        <w:t>78 / SLB</w:t>
      </w:r>
    </w:p>
    <w:p>
      <w:pPr>
        <w:sectPr>
          <w:pgSz w:w="11900" w:h="16838" w:orient="portrait"/>
          <w:cols w:equalWidth="0" w:num="1">
            <w:col w:w="11420"/>
          </w:cols>
          <w:pgMar w:left="240" w:top="269" w:right="239" w:bottom="1440" w:gutter="0" w:footer="0" w:header="0"/>
        </w:sectPr>
      </w:pPr>
    </w:p>
    <w:bookmarkStart w:id="78" w:name="page79"/>
    <w:bookmarkEnd w:id="78"/>
    <w:p>
      <w:pPr>
        <w:jc w:val="right"/>
        <w:spacing w:after="0"/>
        <w:rPr>
          <w:sz w:val="20"/>
          <w:szCs w:val="20"/>
          <w:color w:val="auto"/>
        </w:rPr>
      </w:pPr>
      <w:r>
        <w:rPr>
          <w:rFonts w:ascii="Arial" w:cs="Arial" w:eastAsia="Arial" w:hAnsi="Arial"/>
          <w:sz w:val="18"/>
          <w:szCs w:val="18"/>
          <w:b w:val="1"/>
          <w:bCs w:val="1"/>
          <w:color w:val="auto"/>
        </w:rPr>
        <w:t>Exhibit 23</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Consent of Independent Accountants</w:t>
      </w:r>
    </w:p>
    <w:p>
      <w:pPr>
        <w:spacing w:after="0" w:line="155" w:lineRule="exact"/>
        <w:rPr>
          <w:sz w:val="20"/>
          <w:szCs w:val="20"/>
          <w:color w:val="auto"/>
        </w:rPr>
      </w:pPr>
    </w:p>
    <w:p>
      <w:pPr>
        <w:ind w:right="140"/>
        <w:spacing w:after="0" w:line="306" w:lineRule="auto"/>
        <w:rPr>
          <w:sz w:val="20"/>
          <w:szCs w:val="20"/>
          <w:color w:val="auto"/>
        </w:rPr>
      </w:pPr>
      <w:r>
        <w:rPr>
          <w:rFonts w:ascii="Arial" w:cs="Arial" w:eastAsia="Arial" w:hAnsi="Arial"/>
          <w:sz w:val="16"/>
          <w:szCs w:val="16"/>
          <w:color w:val="auto"/>
        </w:rPr>
        <w:t>We hereby consent to the incorporation by reference in the Registration Statements on Forms S-8 (Nos. 33-35606; 33-47592; 33-86424; 333-40227; 333-62545; 333-36366; 333-36364; 333-67330; 333-104225), on Form S-3 (No. 333-108730) and on Form S-4 (No. 333-97899) of Schlumberger Limited, of our report dated February 25, 2004 relating to the consolidated financial statements, which appears in this Annual Report on Form 10-K.</w:t>
      </w:r>
    </w:p>
    <w:p>
      <w:pPr>
        <w:spacing w:after="0" w:line="93"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P</w:t>
      </w:r>
      <w:r>
        <w:rPr>
          <w:rFonts w:ascii="Arial" w:cs="Arial" w:eastAsia="Arial" w:hAnsi="Arial"/>
          <w:sz w:val="13"/>
          <w:szCs w:val="13"/>
          <w:color w:val="auto"/>
        </w:rPr>
        <w:t>RICEWATERHOUSE</w:t>
      </w:r>
      <w:r>
        <w:rPr>
          <w:rFonts w:ascii="Arial" w:cs="Arial" w:eastAsia="Arial" w:hAnsi="Arial"/>
          <w:sz w:val="16"/>
          <w:szCs w:val="16"/>
          <w:color w:val="auto"/>
        </w:rPr>
        <w:t>C</w:t>
      </w:r>
      <w:r>
        <w:rPr>
          <w:rFonts w:ascii="Arial" w:cs="Arial" w:eastAsia="Arial" w:hAnsi="Arial"/>
          <w:sz w:val="13"/>
          <w:szCs w:val="13"/>
          <w:color w:val="auto"/>
        </w:rPr>
        <w:t>OOPERS</w:t>
      </w:r>
      <w:r>
        <w:rPr>
          <w:rFonts w:ascii="Arial" w:cs="Arial" w:eastAsia="Arial" w:hAnsi="Arial"/>
          <w:sz w:val="16"/>
          <w:szCs w:val="16"/>
          <w:color w:val="auto"/>
        </w:rPr>
        <w:t xml:space="preserve">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2898775" cy="8890"/>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1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PricewaterhouseCoopers LLP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3, 2004</w:t>
      </w:r>
    </w:p>
    <w:p>
      <w:pPr>
        <w:spacing w:after="0" w:line="162" w:lineRule="exact"/>
        <w:rPr>
          <w:sz w:val="20"/>
          <w:szCs w:val="20"/>
          <w:color w:val="auto"/>
        </w:rPr>
      </w:pPr>
    </w:p>
    <w:p>
      <w:pPr>
        <w:spacing w:after="0"/>
        <w:rPr>
          <w:sz w:val="20"/>
          <w:szCs w:val="20"/>
          <w:color w:val="auto"/>
        </w:rPr>
      </w:pPr>
      <w:r>
        <w:rPr>
          <w:rFonts w:ascii="Arial" w:cs="Arial" w:eastAsia="Arial" w:hAnsi="Arial"/>
          <w:sz w:val="14"/>
          <w:szCs w:val="14"/>
          <w:color w:val="auto"/>
        </w:rPr>
        <w:t>79 / SLB</w:t>
      </w:r>
    </w:p>
    <w:p>
      <w:pPr>
        <w:sectPr>
          <w:pgSz w:w="11900" w:h="16838" w:orient="portrait"/>
          <w:cols w:equalWidth="0" w:num="1">
            <w:col w:w="11420"/>
          </w:cols>
          <w:pgMar w:left="240" w:top="269" w:right="239" w:bottom="1440" w:gutter="0" w:footer="0" w:header="0"/>
        </w:sectPr>
      </w:pPr>
    </w:p>
    <w:bookmarkStart w:id="79" w:name="page80"/>
    <w:bookmarkEnd w:id="79"/>
    <w:p>
      <w:pPr>
        <w:jc w:val="right"/>
        <w:spacing w:after="0"/>
        <w:rPr>
          <w:sz w:val="20"/>
          <w:szCs w:val="20"/>
          <w:color w:val="auto"/>
        </w:rPr>
      </w:pPr>
      <w:r>
        <w:rPr>
          <w:rFonts w:ascii="Arial" w:cs="Arial" w:eastAsia="Arial" w:hAnsi="Arial"/>
          <w:sz w:val="18"/>
          <w:szCs w:val="18"/>
          <w:b w:val="1"/>
          <w:bCs w:val="1"/>
          <w:color w:val="auto"/>
        </w:rPr>
        <w:t>Exhibit 24(a)</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Power of Attorney</w:t>
      </w:r>
    </w:p>
    <w:p>
      <w:pPr>
        <w:spacing w:after="0" w:line="155" w:lineRule="exact"/>
        <w:rPr>
          <w:sz w:val="20"/>
          <w:szCs w:val="20"/>
          <w:color w:val="auto"/>
        </w:rPr>
      </w:pPr>
    </w:p>
    <w:p>
      <w:pPr>
        <w:spacing w:after="0" w:line="314" w:lineRule="auto"/>
        <w:rPr>
          <w:sz w:val="20"/>
          <w:szCs w:val="20"/>
          <w:color w:val="auto"/>
        </w:rPr>
      </w:pPr>
      <w:r>
        <w:rPr>
          <w:rFonts w:ascii="Arial" w:cs="Arial" w:eastAsia="Arial" w:hAnsi="Arial"/>
          <w:sz w:val="15"/>
          <w:szCs w:val="15"/>
          <w:color w:val="auto"/>
        </w:rPr>
        <w:t>Each of the undersigned, in the capacity or capacities set forth below his or her signature as a member of the Board of Directors and/or an officer of Schlumberger Limited (“the Corporation”), a Netherlands Antilles corporation, hereby appoints Jean-Marc Perraud, Frank Sorgie and Ellen Summer, and each of them, the attorney or attorneys of the undersigned, with full power of substitution and revocation, for and in the name, place and stead of the undersigned to execute and file with the Securities and Exchange Commission the Form 10-K Annual Report under the Securities Exchange Act of 1934 for the year ending 2003, and any amendment or amendments to any such Form 10-K Annual Report, and any agreements, consents or waivers relative thereto, and to take any and all such other action for and in the name and place and stead of the undersigned as may be necessary or desirable in connection with any such Form 10-K Annual Report.</w:t>
      </w:r>
    </w:p>
    <w:p>
      <w:pPr>
        <w:sectPr>
          <w:pgSz w:w="11900" w:h="16838" w:orient="portrait"/>
          <w:cols w:equalWidth="0" w:num="1">
            <w:col w:w="11420"/>
          </w:cols>
          <w:pgMar w:left="240" w:top="269" w:right="239" w:bottom="1440" w:gutter="0" w:footer="0" w:header="0"/>
        </w:sectPr>
      </w:pPr>
    </w:p>
    <w:p>
      <w:pPr>
        <w:spacing w:after="0" w:line="226" w:lineRule="exact"/>
        <w:rPr>
          <w:sz w:val="20"/>
          <w:szCs w:val="20"/>
          <w:color w:val="auto"/>
        </w:rPr>
      </w:pPr>
    </w:p>
    <w:p>
      <w:pPr>
        <w:jc w:val="center"/>
        <w:ind w:right="1840"/>
        <w:spacing w:after="0"/>
        <w:rPr>
          <w:sz w:val="20"/>
          <w:szCs w:val="20"/>
          <w:color w:val="auto"/>
        </w:rPr>
      </w:pPr>
      <w:r>
        <w:rPr>
          <w:rFonts w:ascii="Arial" w:cs="Arial" w:eastAsia="Arial" w:hAnsi="Arial"/>
          <w:sz w:val="18"/>
          <w:szCs w:val="18"/>
          <w:color w:val="auto"/>
        </w:rPr>
        <w: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3627755" cy="8890"/>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13">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219" w:lineRule="exact"/>
        <w:rPr>
          <w:sz w:val="20"/>
          <w:szCs w:val="20"/>
          <w:color w:val="auto"/>
        </w:rPr>
      </w:pPr>
    </w:p>
    <w:p>
      <w:pPr>
        <w:jc w:val="center"/>
        <w:ind w:right="1840"/>
        <w:spacing w:after="0"/>
        <w:rPr>
          <w:sz w:val="20"/>
          <w:szCs w:val="20"/>
          <w:color w:val="auto"/>
        </w:rPr>
      </w:pPr>
      <w:r>
        <w:rPr>
          <w:rFonts w:ascii="Arial" w:cs="Arial" w:eastAsia="Arial" w:hAnsi="Arial"/>
          <w:sz w:val="18"/>
          <w:szCs w:val="18"/>
          <w:color w:val="auto"/>
        </w:rPr>
        <w:t>John Deutch</w:t>
      </w:r>
    </w:p>
    <w:p>
      <w:pPr>
        <w:spacing w:after="0" w:line="15" w:lineRule="exact"/>
        <w:rPr>
          <w:sz w:val="20"/>
          <w:szCs w:val="20"/>
          <w:color w:val="auto"/>
        </w:rPr>
      </w:pPr>
    </w:p>
    <w:p>
      <w:pPr>
        <w:jc w:val="center"/>
        <w:ind w:right="1840"/>
        <w:spacing w:after="0"/>
        <w:rPr>
          <w:sz w:val="20"/>
          <w:szCs w:val="20"/>
          <w:color w:val="auto"/>
        </w:rPr>
      </w:pPr>
      <w:r>
        <w:rPr>
          <w:rFonts w:ascii="Arial" w:cs="Arial" w:eastAsia="Arial" w:hAnsi="Arial"/>
          <w:sz w:val="18"/>
          <w:szCs w:val="18"/>
          <w:color w:val="auto"/>
        </w:rPr>
        <w:t>Director</w:t>
      </w:r>
    </w:p>
    <w:p>
      <w:pPr>
        <w:spacing w:after="0" w:line="232" w:lineRule="exact"/>
        <w:rPr>
          <w:sz w:val="20"/>
          <w:szCs w:val="20"/>
          <w:color w:val="auto"/>
        </w:rPr>
      </w:pPr>
    </w:p>
    <w:p>
      <w:pPr>
        <w:jc w:val="center"/>
        <w:ind w:right="1840"/>
        <w:spacing w:after="0"/>
        <w:rPr>
          <w:sz w:val="20"/>
          <w:szCs w:val="20"/>
          <w:color w:val="auto"/>
        </w:rPr>
      </w:pPr>
      <w:r>
        <w:rPr>
          <w:rFonts w:ascii="Arial" w:cs="Arial" w:eastAsia="Arial" w:hAnsi="Arial"/>
          <w:sz w:val="18"/>
          <w:szCs w:val="18"/>
          <w:color w:val="auto"/>
        </w:rPr>
        <w: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3627755" cy="8890"/>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14">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219" w:lineRule="exact"/>
        <w:rPr>
          <w:sz w:val="20"/>
          <w:szCs w:val="20"/>
          <w:color w:val="auto"/>
        </w:rPr>
      </w:pPr>
    </w:p>
    <w:p>
      <w:pPr>
        <w:jc w:val="center"/>
        <w:ind w:right="1840"/>
        <w:spacing w:after="0"/>
        <w:rPr>
          <w:sz w:val="20"/>
          <w:szCs w:val="20"/>
          <w:color w:val="auto"/>
        </w:rPr>
      </w:pPr>
      <w:r>
        <w:rPr>
          <w:rFonts w:ascii="Arial" w:cs="Arial" w:eastAsia="Arial" w:hAnsi="Arial"/>
          <w:sz w:val="18"/>
          <w:szCs w:val="18"/>
          <w:color w:val="auto"/>
        </w:rPr>
        <w:t>Jamie S. Gorelick</w:t>
      </w:r>
    </w:p>
    <w:p>
      <w:pPr>
        <w:spacing w:after="0" w:line="15" w:lineRule="exact"/>
        <w:rPr>
          <w:sz w:val="20"/>
          <w:szCs w:val="20"/>
          <w:color w:val="auto"/>
        </w:rPr>
      </w:pPr>
    </w:p>
    <w:p>
      <w:pPr>
        <w:jc w:val="center"/>
        <w:ind w:right="1840"/>
        <w:spacing w:after="0"/>
        <w:rPr>
          <w:sz w:val="20"/>
          <w:szCs w:val="20"/>
          <w:color w:val="auto"/>
        </w:rPr>
      </w:pPr>
      <w:r>
        <w:rPr>
          <w:rFonts w:ascii="Arial" w:cs="Arial" w:eastAsia="Arial" w:hAnsi="Arial"/>
          <w:sz w:val="18"/>
          <w:szCs w:val="18"/>
          <w:color w:val="auto"/>
        </w:rPr>
        <w:t>Director</w:t>
      </w:r>
    </w:p>
    <w:p>
      <w:pPr>
        <w:spacing w:after="0" w:line="232" w:lineRule="exact"/>
        <w:rPr>
          <w:sz w:val="20"/>
          <w:szCs w:val="20"/>
          <w:color w:val="auto"/>
        </w:rPr>
      </w:pPr>
    </w:p>
    <w:p>
      <w:pPr>
        <w:jc w:val="center"/>
        <w:ind w:right="1840"/>
        <w:spacing w:after="0"/>
        <w:rPr>
          <w:sz w:val="20"/>
          <w:szCs w:val="20"/>
          <w:color w:val="auto"/>
        </w:rPr>
      </w:pPr>
      <w:r>
        <w:rPr>
          <w:rFonts w:ascii="Arial" w:cs="Arial" w:eastAsia="Arial" w:hAnsi="Arial"/>
          <w:sz w:val="18"/>
          <w:szCs w:val="18"/>
          <w:color w:val="auto"/>
        </w:rPr>
        <w: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3627755" cy="8890"/>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15">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219" w:lineRule="exact"/>
        <w:rPr>
          <w:sz w:val="20"/>
          <w:szCs w:val="20"/>
          <w:color w:val="auto"/>
        </w:rPr>
      </w:pPr>
    </w:p>
    <w:p>
      <w:pPr>
        <w:jc w:val="center"/>
        <w:ind w:right="1840"/>
        <w:spacing w:after="0"/>
        <w:rPr>
          <w:sz w:val="20"/>
          <w:szCs w:val="20"/>
          <w:color w:val="auto"/>
        </w:rPr>
      </w:pPr>
      <w:r>
        <w:rPr>
          <w:rFonts w:ascii="Arial" w:cs="Arial" w:eastAsia="Arial" w:hAnsi="Arial"/>
          <w:sz w:val="18"/>
          <w:szCs w:val="18"/>
          <w:color w:val="auto"/>
        </w:rPr>
        <w:t>Andrew Gould</w:t>
      </w:r>
    </w:p>
    <w:p>
      <w:pPr>
        <w:spacing w:after="0" w:line="15" w:lineRule="exact"/>
        <w:rPr>
          <w:sz w:val="20"/>
          <w:szCs w:val="20"/>
          <w:color w:val="auto"/>
        </w:rPr>
      </w:pPr>
    </w:p>
    <w:p>
      <w:pPr>
        <w:jc w:val="center"/>
        <w:ind w:right="1840"/>
        <w:spacing w:after="0"/>
        <w:rPr>
          <w:sz w:val="20"/>
          <w:szCs w:val="20"/>
          <w:color w:val="auto"/>
        </w:rPr>
      </w:pPr>
      <w:r>
        <w:rPr>
          <w:rFonts w:ascii="Arial" w:cs="Arial" w:eastAsia="Arial" w:hAnsi="Arial"/>
          <w:sz w:val="18"/>
          <w:szCs w:val="18"/>
          <w:color w:val="auto"/>
        </w:rPr>
        <w:t>Director</w:t>
      </w:r>
    </w:p>
    <w:p>
      <w:pPr>
        <w:spacing w:after="0" w:line="9" w:lineRule="exact"/>
        <w:rPr>
          <w:sz w:val="20"/>
          <w:szCs w:val="20"/>
          <w:color w:val="auto"/>
        </w:rPr>
      </w:pPr>
    </w:p>
    <w:p>
      <w:pPr>
        <w:jc w:val="center"/>
        <w:ind w:right="1840"/>
        <w:spacing w:after="0"/>
        <w:rPr>
          <w:sz w:val="20"/>
          <w:szCs w:val="20"/>
          <w:color w:val="auto"/>
        </w:rPr>
      </w:pPr>
      <w:r>
        <w:rPr>
          <w:rFonts w:ascii="Arial" w:cs="Arial" w:eastAsia="Arial" w:hAnsi="Arial"/>
          <w:sz w:val="16"/>
          <w:szCs w:val="16"/>
          <w:color w:val="auto"/>
        </w:rPr>
        <w:t>Chairman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236220</wp:posOffset>
            </wp:positionV>
            <wp:extent cx="3627755" cy="8890"/>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16">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200" w:lineRule="exact"/>
        <w:rPr>
          <w:sz w:val="20"/>
          <w:szCs w:val="20"/>
          <w:color w:val="auto"/>
        </w:rPr>
      </w:pPr>
    </w:p>
    <w:p>
      <w:pPr>
        <w:spacing w:after="0" w:line="265" w:lineRule="exact"/>
        <w:rPr>
          <w:sz w:val="20"/>
          <w:szCs w:val="20"/>
          <w:color w:val="auto"/>
        </w:rPr>
      </w:pPr>
    </w:p>
    <w:p>
      <w:pPr>
        <w:jc w:val="center"/>
        <w:ind w:right="1840"/>
        <w:spacing w:after="0"/>
        <w:rPr>
          <w:sz w:val="20"/>
          <w:szCs w:val="20"/>
          <w:color w:val="auto"/>
        </w:rPr>
      </w:pPr>
      <w:r>
        <w:rPr>
          <w:rFonts w:ascii="Arial" w:cs="Arial" w:eastAsia="Arial" w:hAnsi="Arial"/>
          <w:sz w:val="18"/>
          <w:szCs w:val="18"/>
          <w:color w:val="auto"/>
        </w:rPr>
        <w:t>Tony Isaac</w:t>
      </w:r>
    </w:p>
    <w:p>
      <w:pPr>
        <w:spacing w:after="0" w:line="15" w:lineRule="exact"/>
        <w:rPr>
          <w:sz w:val="20"/>
          <w:szCs w:val="20"/>
          <w:color w:val="auto"/>
        </w:rPr>
      </w:pPr>
    </w:p>
    <w:p>
      <w:pPr>
        <w:jc w:val="center"/>
        <w:ind w:right="184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48" w:lineRule="exact"/>
        <w:rPr>
          <w:sz w:val="20"/>
          <w:szCs w:val="20"/>
          <w:color w:val="auto"/>
        </w:rPr>
      </w:pPr>
    </w:p>
    <w:p>
      <w:pPr>
        <w:jc w:val="center"/>
        <w:ind w:right="1840"/>
        <w:spacing w:after="0"/>
        <w:rPr>
          <w:sz w:val="20"/>
          <w:szCs w:val="20"/>
          <w:color w:val="auto"/>
        </w:rPr>
      </w:pPr>
      <w:r>
        <w:rPr>
          <w:rFonts w:ascii="Arial" w:cs="Arial" w:eastAsia="Arial" w:hAnsi="Arial"/>
          <w:sz w:val="18"/>
          <w:szCs w:val="18"/>
          <w:color w:val="auto"/>
        </w:rPr>
        <w: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3627755" cy="8890"/>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17">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219" w:lineRule="exact"/>
        <w:rPr>
          <w:sz w:val="20"/>
          <w:szCs w:val="20"/>
          <w:color w:val="auto"/>
        </w:rPr>
      </w:pPr>
    </w:p>
    <w:p>
      <w:pPr>
        <w:jc w:val="center"/>
        <w:ind w:right="1840"/>
        <w:spacing w:after="0"/>
        <w:rPr>
          <w:sz w:val="20"/>
          <w:szCs w:val="20"/>
          <w:color w:val="auto"/>
        </w:rPr>
      </w:pPr>
      <w:r>
        <w:rPr>
          <w:rFonts w:ascii="Arial" w:cs="Arial" w:eastAsia="Arial" w:hAnsi="Arial"/>
          <w:sz w:val="18"/>
          <w:szCs w:val="18"/>
          <w:color w:val="auto"/>
        </w:rPr>
        <w:t>Adrian Lajous</w:t>
      </w:r>
    </w:p>
    <w:p>
      <w:pPr>
        <w:spacing w:after="0" w:line="15" w:lineRule="exact"/>
        <w:rPr>
          <w:sz w:val="20"/>
          <w:szCs w:val="20"/>
          <w:color w:val="auto"/>
        </w:rPr>
      </w:pPr>
    </w:p>
    <w:p>
      <w:pPr>
        <w:jc w:val="center"/>
        <w:ind w:right="1840"/>
        <w:spacing w:after="0"/>
        <w:rPr>
          <w:sz w:val="20"/>
          <w:szCs w:val="20"/>
          <w:color w:val="auto"/>
        </w:rPr>
      </w:pPr>
      <w:r>
        <w:rPr>
          <w:rFonts w:ascii="Arial" w:cs="Arial" w:eastAsia="Arial" w:hAnsi="Arial"/>
          <w:sz w:val="18"/>
          <w:szCs w:val="18"/>
          <w:color w:val="auto"/>
        </w:rPr>
        <w:t>Director</w:t>
      </w:r>
    </w:p>
    <w:p>
      <w:pPr>
        <w:spacing w:after="0" w:line="165"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January 22, 2004</w:t>
      </w:r>
    </w:p>
    <w:p>
      <w:pPr>
        <w:spacing w:after="0" w:line="155" w:lineRule="exact"/>
        <w:rPr>
          <w:sz w:val="20"/>
          <w:szCs w:val="20"/>
          <w:color w:val="auto"/>
        </w:rPr>
      </w:pPr>
    </w:p>
    <w:p>
      <w:pPr>
        <w:spacing w:after="0"/>
        <w:rPr>
          <w:sz w:val="20"/>
          <w:szCs w:val="20"/>
          <w:color w:val="auto"/>
        </w:rPr>
      </w:pPr>
      <w:r>
        <w:rPr>
          <w:rFonts w:ascii="Arial" w:cs="Arial" w:eastAsia="Arial" w:hAnsi="Arial"/>
          <w:sz w:val="14"/>
          <w:szCs w:val="14"/>
          <w:color w:val="auto"/>
        </w:rPr>
        <w:t>80 / SLB</w:t>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jc w:val="center"/>
        <w:ind w:right="1880"/>
        <w:spacing w:after="0"/>
        <w:rPr>
          <w:sz w:val="20"/>
          <w:szCs w:val="20"/>
          <w:color w:val="auto"/>
        </w:rPr>
      </w:pPr>
      <w:r>
        <w:rPr>
          <w:rFonts w:ascii="Arial" w:cs="Arial" w:eastAsia="Arial" w:hAnsi="Arial"/>
          <w:sz w:val="18"/>
          <w:szCs w:val="18"/>
          <w:color w:val="auto"/>
        </w:rPr>
        <w: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-1024255</wp:posOffset>
            </wp:positionH>
            <wp:positionV relativeFrom="paragraph">
              <wp:posOffset>80010</wp:posOffset>
            </wp:positionV>
            <wp:extent cx="2855595" cy="8890"/>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18">
                      <a:extLst>
                        <a:ext uri="{28A0092B-C50C-407E-A947-70E740481C1C}"/>
                      </a:extLst>
                    </a:blip>
                    <a:srcRect/>
                    <a:stretch>
                      <a:fillRect/>
                    </a:stretch>
                  </pic:blipFill>
                  <pic:spPr bwMode="auto">
                    <a:xfrm>
                      <a:off x="0" y="0"/>
                      <a:ext cx="2855595" cy="8890"/>
                    </a:xfrm>
                    <a:prstGeom prst="rect">
                      <a:avLst/>
                    </a:prstGeom>
                    <a:noFill/>
                  </pic:spPr>
                </pic:pic>
              </a:graphicData>
            </a:graphic>
          </wp:anchor>
        </w:drawing>
      </w:r>
    </w:p>
    <w:p>
      <w:pPr>
        <w:spacing w:after="0" w:line="219" w:lineRule="exact"/>
        <w:rPr>
          <w:sz w:val="20"/>
          <w:szCs w:val="20"/>
          <w:color w:val="auto"/>
        </w:rPr>
      </w:pPr>
    </w:p>
    <w:p>
      <w:pPr>
        <w:jc w:val="center"/>
        <w:ind w:right="1880"/>
        <w:spacing w:after="0"/>
        <w:rPr>
          <w:sz w:val="20"/>
          <w:szCs w:val="20"/>
          <w:color w:val="auto"/>
        </w:rPr>
      </w:pPr>
      <w:r>
        <w:rPr>
          <w:rFonts w:ascii="Arial" w:cs="Arial" w:eastAsia="Arial" w:hAnsi="Arial"/>
          <w:sz w:val="16"/>
          <w:szCs w:val="16"/>
          <w:color w:val="auto"/>
        </w:rPr>
        <w:t>André Lévy-Lang</w:t>
      </w:r>
    </w:p>
    <w:p>
      <w:pPr>
        <w:spacing w:after="0" w:line="38" w:lineRule="exact"/>
        <w:rPr>
          <w:sz w:val="20"/>
          <w:szCs w:val="20"/>
          <w:color w:val="auto"/>
        </w:rPr>
      </w:pPr>
    </w:p>
    <w:p>
      <w:pPr>
        <w:jc w:val="center"/>
        <w:ind w:right="1880"/>
        <w:spacing w:after="0"/>
        <w:rPr>
          <w:sz w:val="20"/>
          <w:szCs w:val="20"/>
          <w:color w:val="auto"/>
        </w:rPr>
      </w:pPr>
      <w:r>
        <w:rPr>
          <w:rFonts w:ascii="Arial" w:cs="Arial" w:eastAsia="Arial" w:hAnsi="Arial"/>
          <w:sz w:val="18"/>
          <w:szCs w:val="18"/>
          <w:color w:val="auto"/>
        </w:rPr>
        <w:t>Director</w:t>
      </w:r>
    </w:p>
    <w:p>
      <w:pPr>
        <w:spacing w:after="0" w:line="232" w:lineRule="exact"/>
        <w:rPr>
          <w:sz w:val="20"/>
          <w:szCs w:val="20"/>
          <w:color w:val="auto"/>
        </w:rPr>
      </w:pPr>
    </w:p>
    <w:p>
      <w:pPr>
        <w:jc w:val="center"/>
        <w:ind w:right="1880"/>
        <w:spacing w:after="0"/>
        <w:rPr>
          <w:sz w:val="20"/>
          <w:szCs w:val="20"/>
          <w:color w:val="auto"/>
        </w:rPr>
      </w:pPr>
      <w:r>
        <w:rPr>
          <w:rFonts w:ascii="Arial" w:cs="Arial" w:eastAsia="Arial" w:hAnsi="Arial"/>
          <w:sz w:val="18"/>
          <w:szCs w:val="18"/>
          <w:color w:val="auto"/>
        </w:rPr>
        <w: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-1024255</wp:posOffset>
            </wp:positionH>
            <wp:positionV relativeFrom="paragraph">
              <wp:posOffset>80010</wp:posOffset>
            </wp:positionV>
            <wp:extent cx="2855595" cy="8890"/>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19">
                      <a:extLst>
                        <a:ext uri="{28A0092B-C50C-407E-A947-70E740481C1C}"/>
                      </a:extLst>
                    </a:blip>
                    <a:srcRect/>
                    <a:stretch>
                      <a:fillRect/>
                    </a:stretch>
                  </pic:blipFill>
                  <pic:spPr bwMode="auto">
                    <a:xfrm>
                      <a:off x="0" y="0"/>
                      <a:ext cx="2855595" cy="8890"/>
                    </a:xfrm>
                    <a:prstGeom prst="rect">
                      <a:avLst/>
                    </a:prstGeom>
                    <a:noFill/>
                  </pic:spPr>
                </pic:pic>
              </a:graphicData>
            </a:graphic>
          </wp:anchor>
        </w:drawing>
      </w:r>
    </w:p>
    <w:p>
      <w:pPr>
        <w:spacing w:after="0" w:line="219" w:lineRule="exact"/>
        <w:rPr>
          <w:sz w:val="20"/>
          <w:szCs w:val="20"/>
          <w:color w:val="auto"/>
        </w:rPr>
      </w:pPr>
    </w:p>
    <w:p>
      <w:pPr>
        <w:jc w:val="center"/>
        <w:ind w:right="1880"/>
        <w:spacing w:after="0"/>
        <w:rPr>
          <w:sz w:val="20"/>
          <w:szCs w:val="20"/>
          <w:color w:val="auto"/>
        </w:rPr>
      </w:pPr>
      <w:r>
        <w:rPr>
          <w:rFonts w:ascii="Arial" w:cs="Arial" w:eastAsia="Arial" w:hAnsi="Arial"/>
          <w:sz w:val="18"/>
          <w:szCs w:val="18"/>
          <w:color w:val="auto"/>
        </w:rPr>
        <w:t>Didier Primat</w:t>
      </w:r>
    </w:p>
    <w:p>
      <w:pPr>
        <w:spacing w:after="0" w:line="15" w:lineRule="exact"/>
        <w:rPr>
          <w:sz w:val="20"/>
          <w:szCs w:val="20"/>
          <w:color w:val="auto"/>
        </w:rPr>
      </w:pPr>
    </w:p>
    <w:p>
      <w:pPr>
        <w:jc w:val="center"/>
        <w:ind w:right="1880"/>
        <w:spacing w:after="0"/>
        <w:rPr>
          <w:sz w:val="20"/>
          <w:szCs w:val="20"/>
          <w:color w:val="auto"/>
        </w:rPr>
      </w:pPr>
      <w:r>
        <w:rPr>
          <w:rFonts w:ascii="Arial" w:cs="Arial" w:eastAsia="Arial" w:hAnsi="Arial"/>
          <w:sz w:val="18"/>
          <w:szCs w:val="18"/>
          <w:color w:val="auto"/>
        </w:rPr>
        <w:t>Director</w:t>
      </w:r>
    </w:p>
    <w:p>
      <w:pPr>
        <w:spacing w:after="0" w:line="232" w:lineRule="exact"/>
        <w:rPr>
          <w:sz w:val="20"/>
          <w:szCs w:val="20"/>
          <w:color w:val="auto"/>
        </w:rPr>
      </w:pPr>
    </w:p>
    <w:p>
      <w:pPr>
        <w:jc w:val="center"/>
        <w:ind w:right="1880"/>
        <w:spacing w:after="0"/>
        <w:rPr>
          <w:sz w:val="20"/>
          <w:szCs w:val="20"/>
          <w:color w:val="auto"/>
        </w:rPr>
      </w:pPr>
      <w:r>
        <w:rPr>
          <w:rFonts w:ascii="Arial" w:cs="Arial" w:eastAsia="Arial" w:hAnsi="Arial"/>
          <w:sz w:val="18"/>
          <w:szCs w:val="18"/>
          <w:color w:val="auto"/>
        </w:rPr>
        <w: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-1024255</wp:posOffset>
            </wp:positionH>
            <wp:positionV relativeFrom="paragraph">
              <wp:posOffset>80010</wp:posOffset>
            </wp:positionV>
            <wp:extent cx="2855595" cy="8890"/>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20">
                      <a:extLst>
                        <a:ext uri="{28A0092B-C50C-407E-A947-70E740481C1C}"/>
                      </a:extLst>
                    </a:blip>
                    <a:srcRect/>
                    <a:stretch>
                      <a:fillRect/>
                    </a:stretch>
                  </pic:blipFill>
                  <pic:spPr bwMode="auto">
                    <a:xfrm>
                      <a:off x="0" y="0"/>
                      <a:ext cx="2855595" cy="8890"/>
                    </a:xfrm>
                    <a:prstGeom prst="rect">
                      <a:avLst/>
                    </a:prstGeom>
                    <a:noFill/>
                  </pic:spPr>
                </pic:pic>
              </a:graphicData>
            </a:graphic>
          </wp:anchor>
        </w:drawing>
      </w:r>
    </w:p>
    <w:p>
      <w:pPr>
        <w:spacing w:after="0" w:line="219" w:lineRule="exact"/>
        <w:rPr>
          <w:sz w:val="20"/>
          <w:szCs w:val="20"/>
          <w:color w:val="auto"/>
        </w:rPr>
      </w:pPr>
    </w:p>
    <w:p>
      <w:pPr>
        <w:jc w:val="center"/>
        <w:ind w:right="1880"/>
        <w:spacing w:after="0"/>
        <w:rPr>
          <w:sz w:val="20"/>
          <w:szCs w:val="20"/>
          <w:color w:val="auto"/>
        </w:rPr>
      </w:pPr>
      <w:r>
        <w:rPr>
          <w:rFonts w:ascii="Arial" w:cs="Arial" w:eastAsia="Arial" w:hAnsi="Arial"/>
          <w:sz w:val="16"/>
          <w:szCs w:val="16"/>
          <w:color w:val="auto"/>
        </w:rPr>
        <w:t>Nicolas Seydoux</w:t>
      </w:r>
    </w:p>
    <w:p>
      <w:pPr>
        <w:spacing w:after="0" w:line="38" w:lineRule="exact"/>
        <w:rPr>
          <w:sz w:val="20"/>
          <w:szCs w:val="20"/>
          <w:color w:val="auto"/>
        </w:rPr>
      </w:pPr>
    </w:p>
    <w:p>
      <w:pPr>
        <w:jc w:val="center"/>
        <w:ind w:right="188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48" w:lineRule="exact"/>
        <w:rPr>
          <w:sz w:val="20"/>
          <w:szCs w:val="20"/>
          <w:color w:val="auto"/>
        </w:rPr>
      </w:pPr>
    </w:p>
    <w:p>
      <w:pPr>
        <w:jc w:val="center"/>
        <w:ind w:right="1880"/>
        <w:spacing w:after="0"/>
        <w:rPr>
          <w:sz w:val="20"/>
          <w:szCs w:val="20"/>
          <w:color w:val="auto"/>
        </w:rPr>
      </w:pPr>
      <w:r>
        <w:rPr>
          <w:rFonts w:ascii="Arial" w:cs="Arial" w:eastAsia="Arial" w:hAnsi="Arial"/>
          <w:sz w:val="18"/>
          <w:szCs w:val="18"/>
          <w:color w:val="auto"/>
        </w:rPr>
        <w: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-1024255</wp:posOffset>
            </wp:positionH>
            <wp:positionV relativeFrom="paragraph">
              <wp:posOffset>80010</wp:posOffset>
            </wp:positionV>
            <wp:extent cx="2855595" cy="8890"/>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21">
                      <a:extLst>
                        <a:ext uri="{28A0092B-C50C-407E-A947-70E740481C1C}"/>
                      </a:extLst>
                    </a:blip>
                    <a:srcRect/>
                    <a:stretch>
                      <a:fillRect/>
                    </a:stretch>
                  </pic:blipFill>
                  <pic:spPr bwMode="auto">
                    <a:xfrm>
                      <a:off x="0" y="0"/>
                      <a:ext cx="2855595" cy="8890"/>
                    </a:xfrm>
                    <a:prstGeom prst="rect">
                      <a:avLst/>
                    </a:prstGeom>
                    <a:noFill/>
                  </pic:spPr>
                </pic:pic>
              </a:graphicData>
            </a:graphic>
          </wp:anchor>
        </w:drawing>
      </w:r>
    </w:p>
    <w:p>
      <w:pPr>
        <w:spacing w:after="0" w:line="219" w:lineRule="exact"/>
        <w:rPr>
          <w:sz w:val="20"/>
          <w:szCs w:val="20"/>
          <w:color w:val="auto"/>
        </w:rPr>
      </w:pPr>
    </w:p>
    <w:p>
      <w:pPr>
        <w:jc w:val="center"/>
        <w:ind w:right="1880"/>
        <w:spacing w:after="0"/>
        <w:rPr>
          <w:sz w:val="20"/>
          <w:szCs w:val="20"/>
          <w:color w:val="auto"/>
        </w:rPr>
      </w:pPr>
      <w:r>
        <w:rPr>
          <w:rFonts w:ascii="Arial" w:cs="Arial" w:eastAsia="Arial" w:hAnsi="Arial"/>
          <w:sz w:val="18"/>
          <w:szCs w:val="18"/>
          <w:color w:val="auto"/>
        </w:rPr>
        <w:t>Linda G. Stuntz</w:t>
      </w:r>
    </w:p>
    <w:p>
      <w:pPr>
        <w:spacing w:after="0" w:line="15" w:lineRule="exact"/>
        <w:rPr>
          <w:sz w:val="20"/>
          <w:szCs w:val="20"/>
          <w:color w:val="auto"/>
        </w:rPr>
      </w:pPr>
    </w:p>
    <w:p>
      <w:pPr>
        <w:jc w:val="center"/>
        <w:ind w:right="1880"/>
        <w:spacing w:after="0"/>
        <w:rPr>
          <w:sz w:val="20"/>
          <w:szCs w:val="20"/>
          <w:color w:val="auto"/>
        </w:rPr>
      </w:pPr>
      <w:r>
        <w:rPr>
          <w:rFonts w:ascii="Arial" w:cs="Arial" w:eastAsia="Arial" w:hAnsi="Arial"/>
          <w:sz w:val="18"/>
          <w:szCs w:val="18"/>
          <w:color w:val="auto"/>
        </w:rPr>
        <w:t>Director</w:t>
      </w:r>
    </w:p>
    <w:p>
      <w:pPr>
        <w:spacing w:after="0" w:line="232" w:lineRule="exact"/>
        <w:rPr>
          <w:sz w:val="20"/>
          <w:szCs w:val="20"/>
          <w:color w:val="auto"/>
        </w:rPr>
      </w:pPr>
    </w:p>
    <w:p>
      <w:pPr>
        <w:jc w:val="center"/>
        <w:ind w:right="1880"/>
        <w:spacing w:after="0"/>
        <w:rPr>
          <w:sz w:val="20"/>
          <w:szCs w:val="20"/>
          <w:color w:val="auto"/>
        </w:rPr>
      </w:pPr>
      <w:r>
        <w:rPr>
          <w:rFonts w:ascii="Arial" w:cs="Arial" w:eastAsia="Arial" w:hAnsi="Arial"/>
          <w:sz w:val="18"/>
          <w:szCs w:val="18"/>
          <w:color w:val="auto"/>
        </w:rPr>
        <w: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-1024255</wp:posOffset>
            </wp:positionH>
            <wp:positionV relativeFrom="paragraph">
              <wp:posOffset>80010</wp:posOffset>
            </wp:positionV>
            <wp:extent cx="2855595" cy="8890"/>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22">
                      <a:extLst>
                        <a:ext uri="{28A0092B-C50C-407E-A947-70E740481C1C}"/>
                      </a:extLst>
                    </a:blip>
                    <a:srcRect/>
                    <a:stretch>
                      <a:fillRect/>
                    </a:stretch>
                  </pic:blipFill>
                  <pic:spPr bwMode="auto">
                    <a:xfrm>
                      <a:off x="0" y="0"/>
                      <a:ext cx="2855595" cy="8890"/>
                    </a:xfrm>
                    <a:prstGeom prst="rect">
                      <a:avLst/>
                    </a:prstGeom>
                    <a:noFill/>
                  </pic:spPr>
                </pic:pic>
              </a:graphicData>
            </a:graphic>
          </wp:anchor>
        </w:drawing>
      </w:r>
    </w:p>
    <w:p>
      <w:pPr>
        <w:spacing w:after="0" w:line="219" w:lineRule="exact"/>
        <w:rPr>
          <w:sz w:val="20"/>
          <w:szCs w:val="20"/>
          <w:color w:val="auto"/>
        </w:rPr>
      </w:pPr>
    </w:p>
    <w:p>
      <w:pPr>
        <w:jc w:val="center"/>
        <w:ind w:right="1880"/>
        <w:spacing w:after="0"/>
        <w:rPr>
          <w:sz w:val="20"/>
          <w:szCs w:val="20"/>
          <w:color w:val="auto"/>
        </w:rPr>
      </w:pPr>
      <w:r>
        <w:rPr>
          <w:rFonts w:ascii="Arial" w:cs="Arial" w:eastAsia="Arial" w:hAnsi="Arial"/>
          <w:sz w:val="18"/>
          <w:szCs w:val="18"/>
          <w:color w:val="auto"/>
        </w:rPr>
        <w:t>Sven Ullring</w:t>
      </w:r>
    </w:p>
    <w:p>
      <w:pPr>
        <w:spacing w:after="0" w:line="15" w:lineRule="exact"/>
        <w:rPr>
          <w:sz w:val="20"/>
          <w:szCs w:val="20"/>
          <w:color w:val="auto"/>
        </w:rPr>
      </w:pPr>
    </w:p>
    <w:p>
      <w:pPr>
        <w:jc w:val="center"/>
        <w:ind w:right="1880"/>
        <w:spacing w:after="0"/>
        <w:rPr>
          <w:sz w:val="20"/>
          <w:szCs w:val="20"/>
          <w:color w:val="auto"/>
        </w:rPr>
      </w:pPr>
      <w:r>
        <w:rPr>
          <w:rFonts w:ascii="Arial" w:cs="Arial" w:eastAsia="Arial" w:hAnsi="Arial"/>
          <w:sz w:val="18"/>
          <w:szCs w:val="18"/>
          <w:color w:val="auto"/>
        </w:rPr>
        <w:t>Director</w:t>
      </w:r>
    </w:p>
    <w:p>
      <w:pPr>
        <w:sectPr>
          <w:pgSz w:w="11900" w:h="16838" w:orient="portrait"/>
          <w:cols w:equalWidth="0" w:num="2">
            <w:col w:w="7560" w:space="720"/>
            <w:col w:w="3140"/>
          </w:cols>
          <w:pgMar w:left="240" w:top="269" w:right="239" w:bottom="1440" w:gutter="0" w:footer="0" w:header="0"/>
          <w:type w:val="continuous"/>
        </w:sectPr>
      </w:pPr>
    </w:p>
    <w:bookmarkStart w:id="80" w:name="page81"/>
    <w:bookmarkEnd w:id="80"/>
    <w:p>
      <w:pPr>
        <w:jc w:val="right"/>
        <w:spacing w:after="0"/>
        <w:rPr>
          <w:sz w:val="20"/>
          <w:szCs w:val="20"/>
          <w:color w:val="auto"/>
        </w:rPr>
      </w:pPr>
      <w:r>
        <w:rPr>
          <w:rFonts w:ascii="Arial" w:cs="Arial" w:eastAsia="Arial" w:hAnsi="Arial"/>
          <w:sz w:val="18"/>
          <w:szCs w:val="18"/>
          <w:b w:val="1"/>
          <w:bCs w:val="1"/>
          <w:color w:val="auto"/>
        </w:rPr>
        <w:t>Exhibit 24(b)</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Power of Attorney</w:t>
      </w:r>
    </w:p>
    <w:p>
      <w:pPr>
        <w:spacing w:after="0" w:line="155" w:lineRule="exact"/>
        <w:rPr>
          <w:sz w:val="20"/>
          <w:szCs w:val="20"/>
          <w:color w:val="auto"/>
        </w:rPr>
      </w:pPr>
    </w:p>
    <w:p>
      <w:pPr>
        <w:spacing w:after="0" w:line="314" w:lineRule="auto"/>
        <w:rPr>
          <w:sz w:val="20"/>
          <w:szCs w:val="20"/>
          <w:color w:val="auto"/>
        </w:rPr>
      </w:pPr>
      <w:r>
        <w:rPr>
          <w:rFonts w:ascii="Arial" w:cs="Arial" w:eastAsia="Arial" w:hAnsi="Arial"/>
          <w:sz w:val="15"/>
          <w:szCs w:val="15"/>
          <w:color w:val="auto"/>
        </w:rPr>
        <w:t>Each of the undersigned, in the capacity or capacities set forth below his or her signature as a member of the Board of Directors and/or an officer of Schlumberger Limited (“the Corporation”), a Netherlands Antilles corporation, hereby appoints Jean-Marc Perraud, Frank Sorgie and Ellen Summer, and each of them, the attorney or attorneys of the undersigned, with full power of substitution and revocation, for and in the name, place and stead of the undersigned to execute and file with the Securities and Exchange Commission the Form 10-K Annual Report under the Securities Exchange Act of 1934 for the year ending 2003, and any amendment or amendments to any such Form 10-K Annual Report, and any agreements, consents or waivers relative thereto, and to take any and all such other action for and in the name and place and stead of the undersigned as may be necessary or desirable in connection with any such Form 10-K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217805</wp:posOffset>
            </wp:positionV>
            <wp:extent cx="7083425" cy="8890"/>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23">
                      <a:extLst>
                        <a:ext uri="{28A0092B-C50C-407E-A947-70E740481C1C}"/>
                      </a:extLst>
                    </a:blip>
                    <a:srcRect/>
                    <a:stretch>
                      <a:fillRect/>
                    </a:stretch>
                  </pic:blipFill>
                  <pic:spPr bwMode="auto">
                    <a:xfrm>
                      <a:off x="0" y="0"/>
                      <a:ext cx="7083425" cy="8890"/>
                    </a:xfrm>
                    <a:prstGeom prst="rect">
                      <a:avLst/>
                    </a:prstGeom>
                    <a:noFill/>
                  </pic:spPr>
                </pic:pic>
              </a:graphicData>
            </a:graphic>
          </wp:anchor>
        </w:drawing>
      </w:r>
    </w:p>
    <w:p>
      <w:pPr>
        <w:sectPr>
          <w:pgSz w:w="11900" w:h="16838" w:orient="portrait"/>
          <w:cols w:equalWidth="0" w:num="1">
            <w:col w:w="11420"/>
          </w:cols>
          <w:pgMar w:left="240" w:top="269" w:right="239" w:bottom="1440" w:gutter="0" w:footer="0" w:header="0"/>
        </w:sectPr>
      </w:pPr>
    </w:p>
    <w:p>
      <w:pPr>
        <w:spacing w:after="0" w:line="200" w:lineRule="exact"/>
        <w:rPr>
          <w:sz w:val="20"/>
          <w:szCs w:val="20"/>
          <w:color w:val="auto"/>
        </w:rPr>
      </w:pPr>
    </w:p>
    <w:p>
      <w:pPr>
        <w:spacing w:after="0" w:line="256" w:lineRule="exact"/>
        <w:rPr>
          <w:sz w:val="20"/>
          <w:szCs w:val="20"/>
          <w:color w:val="auto"/>
        </w:rPr>
      </w:pPr>
    </w:p>
    <w:p>
      <w:pPr>
        <w:jc w:val="center"/>
        <w:ind w:right="1840"/>
        <w:spacing w:after="0"/>
        <w:rPr>
          <w:sz w:val="20"/>
          <w:szCs w:val="20"/>
          <w:color w:val="auto"/>
        </w:rPr>
      </w:pPr>
      <w:r>
        <w:rPr>
          <w:rFonts w:ascii="Arial" w:cs="Arial" w:eastAsia="Arial" w:hAnsi="Arial"/>
          <w:sz w:val="18"/>
          <w:szCs w:val="18"/>
          <w:color w:val="auto"/>
        </w:rPr>
        <w:t>John Deutch</w:t>
      </w:r>
    </w:p>
    <w:p>
      <w:pPr>
        <w:spacing w:after="0" w:line="15" w:lineRule="exact"/>
        <w:rPr>
          <w:sz w:val="20"/>
          <w:szCs w:val="20"/>
          <w:color w:val="auto"/>
        </w:rPr>
      </w:pPr>
    </w:p>
    <w:p>
      <w:pPr>
        <w:jc w:val="center"/>
        <w:ind w:right="1840"/>
        <w:spacing w:after="0"/>
        <w:rPr>
          <w:sz w:val="20"/>
          <w:szCs w:val="20"/>
          <w:color w:val="auto"/>
        </w:rPr>
      </w:pP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221615</wp:posOffset>
            </wp:positionV>
            <wp:extent cx="3627755" cy="8890"/>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24">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jc w:val="center"/>
        <w:ind w:right="1840"/>
        <w:spacing w:after="0"/>
        <w:rPr>
          <w:sz w:val="20"/>
          <w:szCs w:val="20"/>
          <w:color w:val="auto"/>
        </w:rPr>
      </w:pPr>
      <w:r>
        <w:rPr>
          <w:rFonts w:ascii="Arial" w:cs="Arial" w:eastAsia="Arial" w:hAnsi="Arial"/>
          <w:sz w:val="18"/>
          <w:szCs w:val="18"/>
          <w:color w:val="auto"/>
        </w:rPr>
        <w:t>Jamie S. Gorelick</w:t>
      </w:r>
    </w:p>
    <w:p>
      <w:pPr>
        <w:spacing w:after="0" w:line="15" w:lineRule="exact"/>
        <w:rPr>
          <w:sz w:val="20"/>
          <w:szCs w:val="20"/>
          <w:color w:val="auto"/>
        </w:rPr>
      </w:pPr>
    </w:p>
    <w:p>
      <w:pPr>
        <w:jc w:val="center"/>
        <w:ind w:right="1840"/>
        <w:spacing w:after="0"/>
        <w:rPr>
          <w:sz w:val="20"/>
          <w:szCs w:val="20"/>
          <w:color w:val="auto"/>
        </w:rPr>
      </w:pP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221615</wp:posOffset>
            </wp:positionV>
            <wp:extent cx="3627755" cy="8890"/>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25">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jc w:val="center"/>
        <w:ind w:right="1840"/>
        <w:spacing w:after="0"/>
        <w:rPr>
          <w:sz w:val="20"/>
          <w:szCs w:val="20"/>
          <w:color w:val="auto"/>
        </w:rPr>
      </w:pPr>
      <w:r>
        <w:rPr>
          <w:rFonts w:ascii="Arial" w:cs="Arial" w:eastAsia="Arial" w:hAnsi="Arial"/>
          <w:sz w:val="18"/>
          <w:szCs w:val="18"/>
          <w:color w:val="auto"/>
        </w:rPr>
        <w:t>Andrew Gould</w:t>
      </w:r>
    </w:p>
    <w:p>
      <w:pPr>
        <w:spacing w:after="0" w:line="15" w:lineRule="exact"/>
        <w:rPr>
          <w:sz w:val="20"/>
          <w:szCs w:val="20"/>
          <w:color w:val="auto"/>
        </w:rPr>
      </w:pPr>
    </w:p>
    <w:p>
      <w:pPr>
        <w:jc w:val="center"/>
        <w:ind w:right="1840"/>
        <w:spacing w:after="0"/>
        <w:rPr>
          <w:sz w:val="20"/>
          <w:szCs w:val="20"/>
          <w:color w:val="auto"/>
        </w:rPr>
      </w:pPr>
      <w:r>
        <w:rPr>
          <w:rFonts w:ascii="Arial" w:cs="Arial" w:eastAsia="Arial" w:hAnsi="Arial"/>
          <w:sz w:val="18"/>
          <w:szCs w:val="18"/>
          <w:color w:val="auto"/>
        </w:rPr>
        <w:t>Director</w:t>
      </w:r>
    </w:p>
    <w:p>
      <w:pPr>
        <w:spacing w:after="0" w:line="9" w:lineRule="exact"/>
        <w:rPr>
          <w:sz w:val="20"/>
          <w:szCs w:val="20"/>
          <w:color w:val="auto"/>
        </w:rPr>
      </w:pPr>
    </w:p>
    <w:p>
      <w:pPr>
        <w:jc w:val="center"/>
        <w:ind w:right="1840"/>
        <w:spacing w:after="0"/>
        <w:rPr>
          <w:sz w:val="20"/>
          <w:szCs w:val="20"/>
          <w:color w:val="auto"/>
        </w:rPr>
      </w:pPr>
      <w:r>
        <w:rPr>
          <w:rFonts w:ascii="Arial" w:cs="Arial" w:eastAsia="Arial" w:hAnsi="Arial"/>
          <w:sz w:val="16"/>
          <w:szCs w:val="16"/>
          <w:color w:val="auto"/>
        </w:rPr>
        <w:t>Chairman and Chief Executive Officer</w:t>
      </w:r>
    </w:p>
    <w:p>
      <w:pPr>
        <w:spacing w:after="0" w:line="255" w:lineRule="exact"/>
        <w:rPr>
          <w:sz w:val="20"/>
          <w:szCs w:val="20"/>
          <w:color w:val="auto"/>
        </w:rPr>
      </w:pPr>
    </w:p>
    <w:p>
      <w:pPr>
        <w:jc w:val="center"/>
        <w:ind w:right="1840"/>
        <w:spacing w:after="0"/>
        <w:rPr>
          <w:sz w:val="20"/>
          <w:szCs w:val="20"/>
          <w:color w:val="auto"/>
        </w:rPr>
      </w:pPr>
      <w:r>
        <w:rPr>
          <w:rFonts w:ascii="Arial" w:cs="Arial" w:eastAsia="Arial" w:hAnsi="Arial"/>
          <w:sz w:val="18"/>
          <w:szCs w:val="18"/>
          <w:color w:val="auto"/>
        </w:rPr>
        <w: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3627755" cy="8890"/>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26">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219" w:lineRule="exact"/>
        <w:rPr>
          <w:sz w:val="20"/>
          <w:szCs w:val="20"/>
          <w:color w:val="auto"/>
        </w:rPr>
      </w:pPr>
    </w:p>
    <w:p>
      <w:pPr>
        <w:jc w:val="center"/>
        <w:ind w:right="1840"/>
        <w:spacing w:after="0"/>
        <w:rPr>
          <w:sz w:val="20"/>
          <w:szCs w:val="20"/>
          <w:color w:val="auto"/>
        </w:rPr>
      </w:pPr>
      <w:r>
        <w:rPr>
          <w:rFonts w:ascii="Arial" w:cs="Arial" w:eastAsia="Arial" w:hAnsi="Arial"/>
          <w:sz w:val="18"/>
          <w:szCs w:val="18"/>
          <w:color w:val="auto"/>
        </w:rPr>
        <w:t>Tony Isaac</w:t>
      </w:r>
    </w:p>
    <w:p>
      <w:pPr>
        <w:spacing w:after="0" w:line="15" w:lineRule="exact"/>
        <w:rPr>
          <w:sz w:val="20"/>
          <w:szCs w:val="20"/>
          <w:color w:val="auto"/>
        </w:rPr>
      </w:pPr>
    </w:p>
    <w:p>
      <w:pPr>
        <w:jc w:val="center"/>
        <w:ind w:right="1840"/>
        <w:spacing w:after="0"/>
        <w:rPr>
          <w:sz w:val="20"/>
          <w:szCs w:val="20"/>
          <w:color w:val="auto"/>
        </w:rPr>
      </w:pP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221615</wp:posOffset>
            </wp:positionV>
            <wp:extent cx="3627755" cy="8890"/>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27">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jc w:val="center"/>
        <w:ind w:right="1840"/>
        <w:spacing w:after="0"/>
        <w:rPr>
          <w:sz w:val="20"/>
          <w:szCs w:val="20"/>
          <w:color w:val="auto"/>
        </w:rPr>
      </w:pPr>
      <w:r>
        <w:rPr>
          <w:rFonts w:ascii="Arial" w:cs="Arial" w:eastAsia="Arial" w:hAnsi="Arial"/>
          <w:sz w:val="18"/>
          <w:szCs w:val="18"/>
          <w:color w:val="auto"/>
        </w:rPr>
        <w:t>Adrian Lajous</w:t>
      </w:r>
    </w:p>
    <w:p>
      <w:pPr>
        <w:spacing w:after="0" w:line="15" w:lineRule="exact"/>
        <w:rPr>
          <w:sz w:val="20"/>
          <w:szCs w:val="20"/>
          <w:color w:val="auto"/>
        </w:rPr>
      </w:pPr>
    </w:p>
    <w:p>
      <w:pPr>
        <w:jc w:val="center"/>
        <w:ind w:right="1840"/>
        <w:spacing w:after="0"/>
        <w:rPr>
          <w:sz w:val="20"/>
          <w:szCs w:val="20"/>
          <w:color w:val="auto"/>
        </w:rPr>
      </w:pPr>
      <w:r>
        <w:rPr>
          <w:rFonts w:ascii="Arial" w:cs="Arial" w:eastAsia="Arial" w:hAnsi="Arial"/>
          <w:sz w:val="18"/>
          <w:szCs w:val="18"/>
          <w:color w:val="auto"/>
        </w:rPr>
        <w:t>Director</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Date: January 29, 2004</w:t>
      </w:r>
    </w:p>
    <w:p>
      <w:pPr>
        <w:spacing w:after="0" w:line="155" w:lineRule="exact"/>
        <w:rPr>
          <w:sz w:val="20"/>
          <w:szCs w:val="20"/>
          <w:color w:val="auto"/>
        </w:rPr>
      </w:pPr>
    </w:p>
    <w:p>
      <w:pPr>
        <w:spacing w:after="0"/>
        <w:rPr>
          <w:sz w:val="20"/>
          <w:szCs w:val="20"/>
          <w:color w:val="auto"/>
        </w:rPr>
      </w:pPr>
      <w:r>
        <w:rPr>
          <w:rFonts w:ascii="Arial" w:cs="Arial" w:eastAsia="Arial" w:hAnsi="Arial"/>
          <w:sz w:val="14"/>
          <w:szCs w:val="14"/>
          <w:color w:val="auto"/>
        </w:rPr>
        <w:t>81 / SLB</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6" w:lineRule="exact"/>
        <w:rPr>
          <w:sz w:val="20"/>
          <w:szCs w:val="20"/>
          <w:color w:val="auto"/>
        </w:rPr>
      </w:pPr>
    </w:p>
    <w:p>
      <w:pPr>
        <w:jc w:val="center"/>
        <w:ind w:right="1880"/>
        <w:spacing w:after="0"/>
        <w:rPr>
          <w:sz w:val="20"/>
          <w:szCs w:val="20"/>
          <w:color w:val="auto"/>
        </w:rPr>
      </w:pPr>
      <w:r>
        <w:rPr>
          <w:rFonts w:ascii="Arial" w:cs="Arial" w:eastAsia="Arial" w:hAnsi="Arial"/>
          <w:sz w:val="16"/>
          <w:szCs w:val="16"/>
          <w:color w:val="auto"/>
        </w:rPr>
        <w:t>André Lévy-Lang</w:t>
      </w:r>
    </w:p>
    <w:p>
      <w:pPr>
        <w:spacing w:after="0" w:line="38" w:lineRule="exact"/>
        <w:rPr>
          <w:sz w:val="20"/>
          <w:szCs w:val="20"/>
          <w:color w:val="auto"/>
        </w:rPr>
      </w:pPr>
    </w:p>
    <w:p>
      <w:pPr>
        <w:jc w:val="center"/>
        <w:ind w:right="1880"/>
        <w:spacing w:after="0"/>
        <w:rPr>
          <w:sz w:val="20"/>
          <w:szCs w:val="20"/>
          <w:color w:val="auto"/>
        </w:rPr>
      </w:pP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-1024255</wp:posOffset>
            </wp:positionH>
            <wp:positionV relativeFrom="paragraph">
              <wp:posOffset>221615</wp:posOffset>
            </wp:positionV>
            <wp:extent cx="2855595" cy="8890"/>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28">
                      <a:extLst>
                        <a:ext uri="{28A0092B-C50C-407E-A947-70E740481C1C}"/>
                      </a:extLst>
                    </a:blip>
                    <a:srcRect/>
                    <a:stretch>
                      <a:fillRect/>
                    </a:stretch>
                  </pic:blipFill>
                  <pic:spPr bwMode="auto">
                    <a:xfrm>
                      <a:off x="0" y="0"/>
                      <a:ext cx="2855595" cy="88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jc w:val="center"/>
        <w:ind w:right="1880"/>
        <w:spacing w:after="0"/>
        <w:rPr>
          <w:sz w:val="20"/>
          <w:szCs w:val="20"/>
          <w:color w:val="auto"/>
        </w:rPr>
      </w:pPr>
      <w:r>
        <w:rPr>
          <w:rFonts w:ascii="Arial" w:cs="Arial" w:eastAsia="Arial" w:hAnsi="Arial"/>
          <w:sz w:val="18"/>
          <w:szCs w:val="18"/>
          <w:color w:val="auto"/>
        </w:rPr>
        <w:t>Didier Primat</w:t>
      </w:r>
    </w:p>
    <w:p>
      <w:pPr>
        <w:spacing w:after="0" w:line="15" w:lineRule="exact"/>
        <w:rPr>
          <w:sz w:val="20"/>
          <w:szCs w:val="20"/>
          <w:color w:val="auto"/>
        </w:rPr>
      </w:pPr>
    </w:p>
    <w:p>
      <w:pPr>
        <w:jc w:val="center"/>
        <w:ind w:right="1880"/>
        <w:spacing w:after="0"/>
        <w:rPr>
          <w:sz w:val="20"/>
          <w:szCs w:val="20"/>
          <w:color w:val="auto"/>
        </w:rPr>
      </w:pP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-1024255</wp:posOffset>
            </wp:positionH>
            <wp:positionV relativeFrom="paragraph">
              <wp:posOffset>221615</wp:posOffset>
            </wp:positionV>
            <wp:extent cx="2855595" cy="8890"/>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29">
                      <a:extLst>
                        <a:ext uri="{28A0092B-C50C-407E-A947-70E740481C1C}"/>
                      </a:extLst>
                    </a:blip>
                    <a:srcRect/>
                    <a:stretch>
                      <a:fillRect/>
                    </a:stretch>
                  </pic:blipFill>
                  <pic:spPr bwMode="auto">
                    <a:xfrm>
                      <a:off x="0" y="0"/>
                      <a:ext cx="2855595" cy="88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jc w:val="center"/>
        <w:ind w:right="1880"/>
        <w:spacing w:after="0"/>
        <w:rPr>
          <w:sz w:val="20"/>
          <w:szCs w:val="20"/>
          <w:color w:val="auto"/>
        </w:rPr>
      </w:pPr>
      <w:r>
        <w:rPr>
          <w:rFonts w:ascii="Arial" w:cs="Arial" w:eastAsia="Arial" w:hAnsi="Arial"/>
          <w:sz w:val="16"/>
          <w:szCs w:val="16"/>
          <w:color w:val="auto"/>
        </w:rPr>
        <w:t>Nicolas Seydoux</w:t>
      </w:r>
    </w:p>
    <w:p>
      <w:pPr>
        <w:spacing w:after="0" w:line="38" w:lineRule="exact"/>
        <w:rPr>
          <w:sz w:val="20"/>
          <w:szCs w:val="20"/>
          <w:color w:val="auto"/>
        </w:rPr>
      </w:pPr>
    </w:p>
    <w:p>
      <w:pPr>
        <w:jc w:val="center"/>
        <w:ind w:right="1880"/>
        <w:spacing w:after="0"/>
        <w:rPr>
          <w:sz w:val="20"/>
          <w:szCs w:val="20"/>
          <w:color w:val="auto"/>
        </w:rPr>
      </w:pP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-1024255</wp:posOffset>
            </wp:positionH>
            <wp:positionV relativeFrom="paragraph">
              <wp:posOffset>358775</wp:posOffset>
            </wp:positionV>
            <wp:extent cx="2855595" cy="8890"/>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30">
                      <a:extLst>
                        <a:ext uri="{28A0092B-C50C-407E-A947-70E740481C1C}"/>
                      </a:extLst>
                    </a:blip>
                    <a:srcRect/>
                    <a:stretch>
                      <a:fillRect/>
                    </a:stretch>
                  </pic:blipFill>
                  <pic:spPr bwMode="auto">
                    <a:xfrm>
                      <a:off x="0" y="0"/>
                      <a:ext cx="28555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880"/>
        <w:spacing w:after="0"/>
        <w:rPr>
          <w:sz w:val="20"/>
          <w:szCs w:val="20"/>
          <w:color w:val="auto"/>
        </w:rPr>
      </w:pPr>
      <w:r>
        <w:rPr>
          <w:rFonts w:ascii="Arial" w:cs="Arial" w:eastAsia="Arial" w:hAnsi="Arial"/>
          <w:sz w:val="18"/>
          <w:szCs w:val="18"/>
          <w:color w:val="auto"/>
        </w:rPr>
        <w:t>Linda G. Stuntz</w:t>
      </w:r>
    </w:p>
    <w:p>
      <w:pPr>
        <w:spacing w:after="0" w:line="15" w:lineRule="exact"/>
        <w:rPr>
          <w:sz w:val="20"/>
          <w:szCs w:val="20"/>
          <w:color w:val="auto"/>
        </w:rPr>
      </w:pPr>
    </w:p>
    <w:p>
      <w:pPr>
        <w:jc w:val="center"/>
        <w:ind w:right="1880"/>
        <w:spacing w:after="0"/>
        <w:rPr>
          <w:sz w:val="20"/>
          <w:szCs w:val="20"/>
          <w:color w:val="auto"/>
        </w:rPr>
      </w:pP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-1024255</wp:posOffset>
            </wp:positionH>
            <wp:positionV relativeFrom="paragraph">
              <wp:posOffset>358775</wp:posOffset>
            </wp:positionV>
            <wp:extent cx="2855595" cy="8890"/>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31">
                      <a:extLst>
                        <a:ext uri="{28A0092B-C50C-407E-A947-70E740481C1C}"/>
                      </a:extLst>
                    </a:blip>
                    <a:srcRect/>
                    <a:stretch>
                      <a:fillRect/>
                    </a:stretch>
                  </pic:blipFill>
                  <pic:spPr bwMode="auto">
                    <a:xfrm>
                      <a:off x="0" y="0"/>
                      <a:ext cx="28555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880"/>
        <w:spacing w:after="0"/>
        <w:rPr>
          <w:sz w:val="20"/>
          <w:szCs w:val="20"/>
          <w:color w:val="auto"/>
        </w:rPr>
      </w:pPr>
      <w:r>
        <w:rPr>
          <w:rFonts w:ascii="Arial" w:cs="Arial" w:eastAsia="Arial" w:hAnsi="Arial"/>
          <w:sz w:val="18"/>
          <w:szCs w:val="18"/>
          <w:color w:val="auto"/>
        </w:rPr>
        <w:t>Sven Ullring</w:t>
      </w:r>
    </w:p>
    <w:p>
      <w:pPr>
        <w:spacing w:after="0" w:line="15" w:lineRule="exact"/>
        <w:rPr>
          <w:sz w:val="20"/>
          <w:szCs w:val="20"/>
          <w:color w:val="auto"/>
        </w:rPr>
      </w:pPr>
    </w:p>
    <w:p>
      <w:pPr>
        <w:jc w:val="center"/>
        <w:ind w:right="1880"/>
        <w:spacing w:after="0"/>
        <w:rPr>
          <w:sz w:val="20"/>
          <w:szCs w:val="20"/>
          <w:color w:val="auto"/>
        </w:rPr>
      </w:pPr>
      <w:r>
        <w:rPr>
          <w:rFonts w:ascii="Arial" w:cs="Arial" w:eastAsia="Arial" w:hAnsi="Arial"/>
          <w:sz w:val="18"/>
          <w:szCs w:val="18"/>
          <w:color w:val="auto"/>
        </w:rPr>
        <w:t>Director</w:t>
      </w:r>
    </w:p>
    <w:p>
      <w:pPr>
        <w:sectPr>
          <w:pgSz w:w="11900" w:h="16838" w:orient="portrait"/>
          <w:cols w:equalWidth="0" w:num="2">
            <w:col w:w="7560" w:space="720"/>
            <w:col w:w="3140"/>
          </w:cols>
          <w:pgMar w:left="240" w:top="269" w:right="239" w:bottom="1440" w:gutter="0" w:footer="0" w:header="0"/>
          <w:type w:val="continuous"/>
        </w:sectPr>
      </w:pPr>
    </w:p>
    <w:bookmarkStart w:id="81" w:name="page82"/>
    <w:bookmarkEnd w:id="81"/>
    <w:p>
      <w:pPr>
        <w:jc w:val="right"/>
        <w:spacing w:after="0"/>
        <w:rPr>
          <w:sz w:val="20"/>
          <w:szCs w:val="20"/>
          <w:color w:val="auto"/>
        </w:rPr>
      </w:pPr>
      <w:r>
        <w:rPr>
          <w:rFonts w:ascii="Arial" w:cs="Arial" w:eastAsia="Arial" w:hAnsi="Arial"/>
          <w:sz w:val="18"/>
          <w:szCs w:val="18"/>
          <w:b w:val="1"/>
          <w:bCs w:val="1"/>
          <w:color w:val="auto"/>
        </w:rPr>
        <w:t>Exhibit 31(a)</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I, Andrew Gould, certify that:</w:t>
      </w:r>
    </w:p>
    <w:p>
      <w:pPr>
        <w:spacing w:after="0" w:line="77" w:lineRule="exact"/>
        <w:rPr>
          <w:sz w:val="20"/>
          <w:szCs w:val="20"/>
          <w:color w:val="auto"/>
        </w:rPr>
      </w:pPr>
    </w:p>
    <w:p>
      <w:pPr>
        <w:ind w:left="420" w:hanging="184"/>
        <w:spacing w:after="0"/>
        <w:tabs>
          <w:tab w:leader="none" w:pos="4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Schlumberger Limited;</w:t>
      </w:r>
    </w:p>
    <w:p>
      <w:pPr>
        <w:spacing w:after="0" w:line="157" w:lineRule="exact"/>
        <w:rPr>
          <w:rFonts w:ascii="Arial" w:cs="Arial" w:eastAsia="Arial" w:hAnsi="Arial"/>
          <w:sz w:val="18"/>
          <w:szCs w:val="18"/>
          <w:color w:val="auto"/>
        </w:rPr>
      </w:pPr>
    </w:p>
    <w:p>
      <w:pPr>
        <w:ind w:firstLine="236"/>
        <w:spacing w:after="0" w:line="332" w:lineRule="auto"/>
        <w:tabs>
          <w:tab w:leader="none" w:pos="404" w:val="left"/>
        </w:tabs>
        <w:numPr>
          <w:ilvl w:val="0"/>
          <w:numId w:val="6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1" w:lineRule="exact"/>
        <w:rPr>
          <w:rFonts w:ascii="Arial" w:cs="Arial" w:eastAsia="Arial" w:hAnsi="Arial"/>
          <w:sz w:val="16"/>
          <w:szCs w:val="16"/>
          <w:color w:val="auto"/>
        </w:rPr>
      </w:pPr>
    </w:p>
    <w:p>
      <w:pPr>
        <w:ind w:right="100" w:firstLine="236"/>
        <w:spacing w:after="0" w:line="268" w:lineRule="auto"/>
        <w:tabs>
          <w:tab w:leader="none" w:pos="404" w:val="left"/>
        </w:tabs>
        <w:numPr>
          <w:ilvl w:val="0"/>
          <w:numId w:val="6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8" w:lineRule="exact"/>
        <w:rPr>
          <w:rFonts w:ascii="Arial" w:cs="Arial" w:eastAsia="Arial" w:hAnsi="Arial"/>
          <w:sz w:val="18"/>
          <w:szCs w:val="18"/>
          <w:color w:val="auto"/>
        </w:rPr>
      </w:pPr>
    </w:p>
    <w:p>
      <w:pPr>
        <w:ind w:right="240" w:firstLine="236"/>
        <w:spacing w:after="0" w:line="268" w:lineRule="auto"/>
        <w:tabs>
          <w:tab w:leader="none" w:pos="404"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37"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6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5" w:lineRule="exact"/>
        <w:rPr>
          <w:rFonts w:ascii="Arial" w:cs="Arial" w:eastAsia="Arial" w:hAnsi="Arial"/>
          <w:sz w:val="18"/>
          <w:szCs w:val="18"/>
          <w:color w:val="auto"/>
        </w:rPr>
      </w:pPr>
    </w:p>
    <w:p>
      <w:pPr>
        <w:ind w:left="900" w:right="100" w:hanging="446"/>
        <w:spacing w:after="0" w:line="325" w:lineRule="auto"/>
        <w:tabs>
          <w:tab w:leader="none" w:pos="900" w:val="left"/>
        </w:tabs>
        <w:numPr>
          <w:ilvl w:val="1"/>
          <w:numId w:val="6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6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6" w:lineRule="exact"/>
        <w:rPr>
          <w:rFonts w:ascii="Arial" w:cs="Arial" w:eastAsia="Arial" w:hAnsi="Arial"/>
          <w:sz w:val="18"/>
          <w:szCs w:val="18"/>
          <w:color w:val="auto"/>
        </w:rPr>
      </w:pPr>
    </w:p>
    <w:p>
      <w:pPr>
        <w:ind w:right="680" w:firstLine="236"/>
        <w:spacing w:after="0" w:line="325" w:lineRule="auto"/>
        <w:tabs>
          <w:tab w:leader="none" w:pos="404" w:val="left"/>
        </w:tabs>
        <w:numPr>
          <w:ilvl w:val="0"/>
          <w:numId w:val="63"/>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fulfilling the equivalent functions);</w:t>
      </w:r>
    </w:p>
    <w:p>
      <w:pPr>
        <w:spacing w:after="0" w:line="1"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6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7"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6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8" w:lineRule="exact"/>
        <w:rPr>
          <w:sz w:val="20"/>
          <w:szCs w:val="20"/>
          <w:color w:val="auto"/>
        </w:rPr>
      </w:pPr>
    </w:p>
    <w:p>
      <w:pPr>
        <w:spacing w:after="0"/>
        <w:tabs>
          <w:tab w:leader="none" w:pos="5800" w:val="left"/>
          <w:tab w:leader="none" w:pos="6140" w:val="left"/>
        </w:tabs>
        <w:rPr>
          <w:sz w:val="20"/>
          <w:szCs w:val="20"/>
          <w:color w:val="auto"/>
        </w:rPr>
      </w:pPr>
      <w:r>
        <w:rPr>
          <w:rFonts w:ascii="Arial" w:cs="Arial" w:eastAsia="Arial" w:hAnsi="Arial"/>
          <w:sz w:val="18"/>
          <w:szCs w:val="18"/>
          <w:color w:val="auto"/>
        </w:rPr>
        <w:t>Date: March 3, 2004</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Andrew Gould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80010</wp:posOffset>
            </wp:positionV>
            <wp:extent cx="2435225" cy="8890"/>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32">
                      <a:extLst>
                        <a:ext uri="{28A0092B-C50C-407E-A947-70E740481C1C}"/>
                      </a:extLst>
                    </a:blip>
                    <a:srcRect/>
                    <a:stretch>
                      <a:fillRect/>
                    </a:stretch>
                  </pic:blipFill>
                  <pic:spPr bwMode="auto">
                    <a:xfrm>
                      <a:off x="0" y="0"/>
                      <a:ext cx="2435225" cy="8890"/>
                    </a:xfrm>
                    <a:prstGeom prst="rect">
                      <a:avLst/>
                    </a:prstGeom>
                    <a:noFill/>
                  </pic:spPr>
                </pic:pic>
              </a:graphicData>
            </a:graphic>
          </wp:anchor>
        </w:drawing>
      </w:r>
    </w:p>
    <w:p>
      <w:pPr>
        <w:spacing w:after="0" w:line="219"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Andrew Gould</w:t>
      </w:r>
    </w:p>
    <w:p>
      <w:pPr>
        <w:spacing w:after="0" w:line="15"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Chairman and Chief Executive Officer</w:t>
      </w:r>
    </w:p>
    <w:p>
      <w:pPr>
        <w:spacing w:after="0" w:line="162" w:lineRule="exact"/>
        <w:rPr>
          <w:sz w:val="20"/>
          <w:szCs w:val="20"/>
          <w:color w:val="auto"/>
        </w:rPr>
      </w:pPr>
    </w:p>
    <w:p>
      <w:pPr>
        <w:spacing w:after="0"/>
        <w:rPr>
          <w:sz w:val="20"/>
          <w:szCs w:val="20"/>
          <w:color w:val="auto"/>
        </w:rPr>
      </w:pPr>
      <w:r>
        <w:rPr>
          <w:rFonts w:ascii="Arial" w:cs="Arial" w:eastAsia="Arial" w:hAnsi="Arial"/>
          <w:sz w:val="14"/>
          <w:szCs w:val="14"/>
          <w:color w:val="auto"/>
        </w:rPr>
        <w:t>82 / SLB</w:t>
      </w:r>
    </w:p>
    <w:p>
      <w:pPr>
        <w:sectPr>
          <w:pgSz w:w="11900" w:h="16838" w:orient="portrait"/>
          <w:cols w:equalWidth="0" w:num="1">
            <w:col w:w="11420"/>
          </w:cols>
          <w:pgMar w:left="240" w:top="269" w:right="239" w:bottom="1440" w:gutter="0" w:footer="0" w:header="0"/>
        </w:sectPr>
      </w:pPr>
    </w:p>
    <w:bookmarkStart w:id="82" w:name="page83"/>
    <w:bookmarkEnd w:id="82"/>
    <w:p>
      <w:pPr>
        <w:jc w:val="right"/>
        <w:spacing w:after="0"/>
        <w:rPr>
          <w:sz w:val="20"/>
          <w:szCs w:val="20"/>
          <w:color w:val="auto"/>
        </w:rPr>
      </w:pPr>
      <w:r>
        <w:rPr>
          <w:rFonts w:ascii="Arial" w:cs="Arial" w:eastAsia="Arial" w:hAnsi="Arial"/>
          <w:sz w:val="18"/>
          <w:szCs w:val="18"/>
          <w:b w:val="1"/>
          <w:bCs w:val="1"/>
          <w:color w:val="auto"/>
        </w:rPr>
        <w:t>Exhibit 31(b)</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I, Jean-Marc Perraud, certify that:</w:t>
      </w:r>
    </w:p>
    <w:p>
      <w:pPr>
        <w:spacing w:after="0" w:line="77" w:lineRule="exact"/>
        <w:rPr>
          <w:sz w:val="20"/>
          <w:szCs w:val="20"/>
          <w:color w:val="auto"/>
        </w:rPr>
      </w:pPr>
    </w:p>
    <w:p>
      <w:pPr>
        <w:ind w:left="420" w:hanging="184"/>
        <w:spacing w:after="0"/>
        <w:tabs>
          <w:tab w:leader="none" w:pos="420" w:val="left"/>
        </w:tabs>
        <w:numPr>
          <w:ilvl w:val="0"/>
          <w:numId w:val="64"/>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Schlumberger Limited;</w:t>
      </w:r>
    </w:p>
    <w:p>
      <w:pPr>
        <w:spacing w:after="0" w:line="157" w:lineRule="exact"/>
        <w:rPr>
          <w:rFonts w:ascii="Arial" w:cs="Arial" w:eastAsia="Arial" w:hAnsi="Arial"/>
          <w:sz w:val="18"/>
          <w:szCs w:val="18"/>
          <w:color w:val="auto"/>
        </w:rPr>
      </w:pPr>
    </w:p>
    <w:p>
      <w:pPr>
        <w:ind w:firstLine="236"/>
        <w:spacing w:after="0" w:line="332" w:lineRule="auto"/>
        <w:tabs>
          <w:tab w:leader="none" w:pos="404" w:val="left"/>
        </w:tabs>
        <w:numPr>
          <w:ilvl w:val="0"/>
          <w:numId w:val="6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1" w:lineRule="exact"/>
        <w:rPr>
          <w:rFonts w:ascii="Arial" w:cs="Arial" w:eastAsia="Arial" w:hAnsi="Arial"/>
          <w:sz w:val="16"/>
          <w:szCs w:val="16"/>
          <w:color w:val="auto"/>
        </w:rPr>
      </w:pPr>
    </w:p>
    <w:p>
      <w:pPr>
        <w:ind w:right="100" w:firstLine="236"/>
        <w:spacing w:after="0" w:line="268" w:lineRule="auto"/>
        <w:tabs>
          <w:tab w:leader="none" w:pos="404" w:val="left"/>
        </w:tabs>
        <w:numPr>
          <w:ilvl w:val="0"/>
          <w:numId w:val="6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8" w:lineRule="exact"/>
        <w:rPr>
          <w:rFonts w:ascii="Arial" w:cs="Arial" w:eastAsia="Arial" w:hAnsi="Arial"/>
          <w:sz w:val="18"/>
          <w:szCs w:val="18"/>
          <w:color w:val="auto"/>
        </w:rPr>
      </w:pPr>
    </w:p>
    <w:p>
      <w:pPr>
        <w:ind w:right="240" w:firstLine="236"/>
        <w:spacing w:after="0" w:line="268" w:lineRule="auto"/>
        <w:tabs>
          <w:tab w:leader="none" w:pos="404"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37"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6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5" w:lineRule="exact"/>
        <w:rPr>
          <w:rFonts w:ascii="Arial" w:cs="Arial" w:eastAsia="Arial" w:hAnsi="Arial"/>
          <w:sz w:val="18"/>
          <w:szCs w:val="18"/>
          <w:color w:val="auto"/>
        </w:rPr>
      </w:pPr>
    </w:p>
    <w:p>
      <w:pPr>
        <w:ind w:left="900" w:right="100" w:hanging="446"/>
        <w:spacing w:after="0" w:line="325" w:lineRule="auto"/>
        <w:tabs>
          <w:tab w:leader="none" w:pos="900" w:val="left"/>
        </w:tabs>
        <w:numPr>
          <w:ilvl w:val="1"/>
          <w:numId w:val="6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6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6" w:lineRule="exact"/>
        <w:rPr>
          <w:rFonts w:ascii="Arial" w:cs="Arial" w:eastAsia="Arial" w:hAnsi="Arial"/>
          <w:sz w:val="18"/>
          <w:szCs w:val="18"/>
          <w:color w:val="auto"/>
        </w:rPr>
      </w:pPr>
    </w:p>
    <w:p>
      <w:pPr>
        <w:ind w:right="680" w:firstLine="236"/>
        <w:spacing w:after="0" w:line="325" w:lineRule="auto"/>
        <w:tabs>
          <w:tab w:leader="none" w:pos="404" w:val="left"/>
        </w:tabs>
        <w:numPr>
          <w:ilvl w:val="0"/>
          <w:numId w:val="64"/>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fulfilling the equivalent functions);</w:t>
      </w:r>
    </w:p>
    <w:p>
      <w:pPr>
        <w:spacing w:after="0" w:line="1"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6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7"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6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8" w:lineRule="exact"/>
        <w:rPr>
          <w:sz w:val="20"/>
          <w:szCs w:val="20"/>
          <w:color w:val="auto"/>
        </w:rPr>
      </w:pPr>
    </w:p>
    <w:p>
      <w:pPr>
        <w:spacing w:after="0"/>
        <w:tabs>
          <w:tab w:leader="none" w:pos="5800" w:val="left"/>
          <w:tab w:leader="none" w:pos="6160" w:val="left"/>
        </w:tabs>
        <w:rPr>
          <w:sz w:val="20"/>
          <w:szCs w:val="20"/>
          <w:color w:val="auto"/>
        </w:rPr>
      </w:pPr>
      <w:r>
        <w:rPr>
          <w:rFonts w:ascii="Arial" w:cs="Arial" w:eastAsia="Arial" w:hAnsi="Arial"/>
          <w:sz w:val="18"/>
          <w:szCs w:val="18"/>
          <w:color w:val="auto"/>
        </w:rPr>
        <w:t>Date: March 3, 2004</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5"/>
          <w:szCs w:val="15"/>
          <w:color w:val="auto"/>
        </w:rPr>
        <w:t>Jean-Marc Perraud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80010</wp:posOffset>
            </wp:positionV>
            <wp:extent cx="2435225" cy="8890"/>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33">
                      <a:extLst>
                        <a:ext uri="{28A0092B-C50C-407E-A947-70E740481C1C}"/>
                      </a:extLst>
                    </a:blip>
                    <a:srcRect/>
                    <a:stretch>
                      <a:fillRect/>
                    </a:stretch>
                  </pic:blipFill>
                  <pic:spPr bwMode="auto">
                    <a:xfrm>
                      <a:off x="0" y="0"/>
                      <a:ext cx="2435225" cy="8890"/>
                    </a:xfrm>
                    <a:prstGeom prst="rect">
                      <a:avLst/>
                    </a:prstGeom>
                    <a:noFill/>
                  </pic:spPr>
                </pic:pic>
              </a:graphicData>
            </a:graphic>
          </wp:anchor>
        </w:drawing>
      </w:r>
    </w:p>
    <w:p>
      <w:pPr>
        <w:spacing w:after="0" w:line="219"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Jean-Marc Perraud</w:t>
      </w:r>
    </w:p>
    <w:p>
      <w:pPr>
        <w:spacing w:after="0" w:line="15"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Executive Vice President and Chief Financial Officer</w:t>
      </w:r>
    </w:p>
    <w:p>
      <w:pPr>
        <w:spacing w:after="0" w:line="162" w:lineRule="exact"/>
        <w:rPr>
          <w:sz w:val="20"/>
          <w:szCs w:val="20"/>
          <w:color w:val="auto"/>
        </w:rPr>
      </w:pPr>
    </w:p>
    <w:p>
      <w:pPr>
        <w:spacing w:after="0"/>
        <w:rPr>
          <w:sz w:val="20"/>
          <w:szCs w:val="20"/>
          <w:color w:val="auto"/>
        </w:rPr>
      </w:pPr>
      <w:r>
        <w:rPr>
          <w:rFonts w:ascii="Arial" w:cs="Arial" w:eastAsia="Arial" w:hAnsi="Arial"/>
          <w:sz w:val="14"/>
          <w:szCs w:val="14"/>
          <w:color w:val="auto"/>
        </w:rPr>
        <w:t>83 / SLB</w:t>
      </w:r>
    </w:p>
    <w:p>
      <w:pPr>
        <w:sectPr>
          <w:pgSz w:w="11900" w:h="16838" w:orient="portrait"/>
          <w:cols w:equalWidth="0" w:num="1">
            <w:col w:w="11420"/>
          </w:cols>
          <w:pgMar w:left="240" w:top="269" w:right="239" w:bottom="1440" w:gutter="0" w:footer="0" w:header="0"/>
        </w:sectPr>
      </w:pPr>
    </w:p>
    <w:bookmarkStart w:id="83" w:name="page84"/>
    <w:bookmarkEnd w:id="83"/>
    <w:p>
      <w:pPr>
        <w:jc w:val="right"/>
        <w:spacing w:after="0"/>
        <w:rPr>
          <w:sz w:val="20"/>
          <w:szCs w:val="20"/>
          <w:color w:val="auto"/>
        </w:rPr>
      </w:pPr>
      <w:r>
        <w:rPr>
          <w:rFonts w:ascii="Arial" w:cs="Arial" w:eastAsia="Arial" w:hAnsi="Arial"/>
          <w:sz w:val="18"/>
          <w:szCs w:val="18"/>
          <w:b w:val="1"/>
          <w:bCs w:val="1"/>
          <w:color w:val="auto"/>
        </w:rPr>
        <w:t>Exhibit 32(a)</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PURSUANT TO</w:t>
      </w:r>
    </w:p>
    <w:p>
      <w:pPr>
        <w:spacing w:after="0" w:line="234" w:lineRule="auto"/>
        <w:rPr>
          <w:sz w:val="20"/>
          <w:szCs w:val="20"/>
          <w:color w:val="auto"/>
        </w:rPr>
      </w:pPr>
      <w:r>
        <w:rPr>
          <w:rFonts w:ascii="Arial" w:cs="Arial" w:eastAsia="Arial" w:hAnsi="Arial"/>
          <w:sz w:val="18"/>
          <w:szCs w:val="18"/>
          <w:b w:val="1"/>
          <w:bCs w:val="1"/>
          <w:color w:val="auto"/>
        </w:rPr>
        <w:t>18 U.S.C. SECTION 1350</w:t>
      </w:r>
    </w:p>
    <w:p>
      <w:pPr>
        <w:spacing w:after="0" w:line="235" w:lineRule="auto"/>
        <w:rPr>
          <w:sz w:val="20"/>
          <w:szCs w:val="20"/>
          <w:color w:val="auto"/>
        </w:rPr>
      </w:pPr>
      <w:r>
        <w:rPr>
          <w:rFonts w:ascii="Arial" w:cs="Arial" w:eastAsia="Arial" w:hAnsi="Arial"/>
          <w:sz w:val="18"/>
          <w:szCs w:val="18"/>
          <w:b w:val="1"/>
          <w:bCs w:val="1"/>
          <w:color w:val="auto"/>
        </w:rPr>
        <w:t>AS ADOPTED PURSUANT TO</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33" w:lineRule="exact"/>
        <w:rPr>
          <w:sz w:val="20"/>
          <w:szCs w:val="20"/>
          <w:color w:val="auto"/>
        </w:rPr>
      </w:pPr>
    </w:p>
    <w:p>
      <w:pPr>
        <w:jc w:val="both"/>
        <w:ind w:right="120"/>
        <w:spacing w:after="0" w:line="306" w:lineRule="auto"/>
        <w:rPr>
          <w:sz w:val="20"/>
          <w:szCs w:val="20"/>
          <w:color w:val="auto"/>
        </w:rPr>
      </w:pPr>
      <w:r>
        <w:rPr>
          <w:rFonts w:ascii="Arial" w:cs="Arial" w:eastAsia="Arial" w:hAnsi="Arial"/>
          <w:sz w:val="16"/>
          <w:szCs w:val="16"/>
          <w:color w:val="auto"/>
        </w:rPr>
        <w:t>In connection with the Annual Report of Schlumberger N.V. (Schlumberger Limited) (the “Company”) on Form 10-K for the year ended December 31, 2003 as filed with the Securities and Exchange Commission on the date hereof (the “Report”), I, Andrew Gould, Chairman and Chief Executive Officer of the Company, certify, pursuant to 18 U.S.C. § 1350, as adopted pursuant to § 906 of the Sarbanes-Oxley Act of 2002, that:</w:t>
      </w:r>
    </w:p>
    <w:p>
      <w:pPr>
        <w:spacing w:after="0" w:line="1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(1) The Report fully complies with the requirements of section 13(a) or 15(d) of the Securities Exchange Act of 1934;</w:t>
      </w:r>
    </w:p>
    <w:p>
      <w:pPr>
        <w:spacing w:after="0" w:line="7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and</w:t>
      </w:r>
    </w:p>
    <w:p>
      <w:pPr>
        <w:spacing w:after="0" w:line="77" w:lineRule="exact"/>
        <w:rPr>
          <w:sz w:val="20"/>
          <w:szCs w:val="20"/>
          <w:color w:val="auto"/>
        </w:rPr>
      </w:pPr>
    </w:p>
    <w:p>
      <w:pPr>
        <w:ind w:left="580"/>
        <w:spacing w:after="0"/>
        <w:rPr>
          <w:sz w:val="20"/>
          <w:szCs w:val="20"/>
          <w:color w:val="auto"/>
        </w:rPr>
      </w:pPr>
      <w:r>
        <w:rPr>
          <w:rFonts w:ascii="Arial" w:cs="Arial" w:eastAsia="Arial" w:hAnsi="Arial"/>
          <w:sz w:val="16"/>
          <w:szCs w:val="16"/>
          <w:color w:val="auto"/>
        </w:rPr>
        <w:t>(2) The information contained in the Report fairly presents, in all material respects, the financial condition and result of operations of the Company.</w:t>
      </w:r>
    </w:p>
    <w:p>
      <w:pPr>
        <w:spacing w:after="0" w:line="181" w:lineRule="exact"/>
        <w:rPr>
          <w:sz w:val="20"/>
          <w:szCs w:val="20"/>
          <w:color w:val="auto"/>
        </w:rPr>
      </w:pPr>
    </w:p>
    <w:p>
      <w:pPr>
        <w:spacing w:after="0"/>
        <w:tabs>
          <w:tab w:leader="none" w:pos="5800" w:val="left"/>
          <w:tab w:leader="none" w:pos="6140" w:val="left"/>
        </w:tabs>
        <w:rPr>
          <w:sz w:val="20"/>
          <w:szCs w:val="20"/>
          <w:color w:val="auto"/>
        </w:rPr>
      </w:pPr>
      <w:r>
        <w:rPr>
          <w:rFonts w:ascii="Arial" w:cs="Arial" w:eastAsia="Arial" w:hAnsi="Arial"/>
          <w:sz w:val="18"/>
          <w:szCs w:val="18"/>
          <w:color w:val="auto"/>
        </w:rPr>
        <w:t>Date: March 3, 2004</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Andrew Gould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80010</wp:posOffset>
            </wp:positionV>
            <wp:extent cx="2435225" cy="8890"/>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34">
                      <a:extLst>
                        <a:ext uri="{28A0092B-C50C-407E-A947-70E740481C1C}"/>
                      </a:extLst>
                    </a:blip>
                    <a:srcRect/>
                    <a:stretch>
                      <a:fillRect/>
                    </a:stretch>
                  </pic:blipFill>
                  <pic:spPr bwMode="auto">
                    <a:xfrm>
                      <a:off x="0" y="0"/>
                      <a:ext cx="2435225" cy="8890"/>
                    </a:xfrm>
                    <a:prstGeom prst="rect">
                      <a:avLst/>
                    </a:prstGeom>
                    <a:noFill/>
                  </pic:spPr>
                </pic:pic>
              </a:graphicData>
            </a:graphic>
          </wp:anchor>
        </w:drawing>
      </w:r>
    </w:p>
    <w:p>
      <w:pPr>
        <w:spacing w:after="0" w:line="219"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Andrew Gould</w:t>
      </w:r>
    </w:p>
    <w:p>
      <w:pPr>
        <w:spacing w:after="0" w:line="15"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Chairman and Chief Executive Officer</w:t>
      </w:r>
    </w:p>
    <w:p>
      <w:pPr>
        <w:spacing w:after="0" w:line="165" w:lineRule="exact"/>
        <w:rPr>
          <w:sz w:val="20"/>
          <w:szCs w:val="20"/>
          <w:color w:val="auto"/>
        </w:rPr>
      </w:pPr>
    </w:p>
    <w:p>
      <w:pPr>
        <w:jc w:val="both"/>
        <w:ind w:right="120" w:firstLine="228"/>
        <w:spacing w:after="0" w:line="268" w:lineRule="auto"/>
        <w:rPr>
          <w:sz w:val="20"/>
          <w:szCs w:val="20"/>
          <w:color w:val="auto"/>
        </w:rPr>
      </w:pPr>
      <w:r>
        <w:rPr>
          <w:rFonts w:ascii="Arial" w:cs="Arial" w:eastAsia="Arial" w:hAnsi="Arial"/>
          <w:sz w:val="18"/>
          <w:szCs w:val="18"/>
          <w:color w:val="auto"/>
        </w:rPr>
        <w:t>A signed original of this written statement required by section 906 has been provided to Schlumberger Limited and will be retained by Schlumberger Limited and furnished to the Securities and Exchange Commission or its staff upon request.</w:t>
      </w:r>
    </w:p>
    <w:p>
      <w:pPr>
        <w:spacing w:after="0" w:line="37" w:lineRule="exact"/>
        <w:rPr>
          <w:sz w:val="20"/>
          <w:szCs w:val="20"/>
          <w:color w:val="auto"/>
        </w:rPr>
      </w:pPr>
    </w:p>
    <w:p>
      <w:pPr>
        <w:ind w:right="540" w:firstLine="228"/>
        <w:spacing w:after="0" w:line="268" w:lineRule="auto"/>
        <w:rPr>
          <w:sz w:val="20"/>
          <w:szCs w:val="20"/>
          <w:color w:val="auto"/>
        </w:rPr>
      </w:pPr>
      <w:r>
        <w:rPr>
          <w:rFonts w:ascii="Arial" w:cs="Arial" w:eastAsia="Arial" w:hAnsi="Arial"/>
          <w:sz w:val="18"/>
          <w:szCs w:val="18"/>
          <w:color w:val="auto"/>
        </w:rPr>
        <w:t>This certification accompanies the report pursuant to Section 906 of the Sarbanes-Oxley Act of 2002 and shall not be deemed filed by the Company for purposes of Section 18 of the Exchange Act of 1934, as amended.</w:t>
      </w:r>
    </w:p>
    <w:p>
      <w:pPr>
        <w:spacing w:after="0" w:line="116" w:lineRule="exact"/>
        <w:rPr>
          <w:sz w:val="20"/>
          <w:szCs w:val="20"/>
          <w:color w:val="auto"/>
        </w:rPr>
      </w:pPr>
    </w:p>
    <w:p>
      <w:pPr>
        <w:spacing w:after="0"/>
        <w:rPr>
          <w:sz w:val="20"/>
          <w:szCs w:val="20"/>
          <w:color w:val="auto"/>
        </w:rPr>
      </w:pPr>
      <w:r>
        <w:rPr>
          <w:rFonts w:ascii="Arial" w:cs="Arial" w:eastAsia="Arial" w:hAnsi="Arial"/>
          <w:sz w:val="14"/>
          <w:szCs w:val="14"/>
          <w:color w:val="auto"/>
        </w:rPr>
        <w:t>84 / SLB</w:t>
      </w:r>
    </w:p>
    <w:p>
      <w:pPr>
        <w:sectPr>
          <w:pgSz w:w="11900" w:h="16838" w:orient="portrait"/>
          <w:cols w:equalWidth="0" w:num="1">
            <w:col w:w="11420"/>
          </w:cols>
          <w:pgMar w:left="240" w:top="269" w:right="239" w:bottom="1440" w:gutter="0" w:footer="0" w:header="0"/>
        </w:sectPr>
      </w:pPr>
    </w:p>
    <w:bookmarkStart w:id="84" w:name="page85"/>
    <w:bookmarkEnd w:id="84"/>
    <w:p>
      <w:pPr>
        <w:jc w:val="right"/>
        <w:spacing w:after="0"/>
        <w:rPr>
          <w:sz w:val="20"/>
          <w:szCs w:val="20"/>
          <w:color w:val="auto"/>
        </w:rPr>
      </w:pPr>
      <w:r>
        <w:rPr>
          <w:rFonts w:ascii="Arial" w:cs="Arial" w:eastAsia="Arial" w:hAnsi="Arial"/>
          <w:sz w:val="18"/>
          <w:szCs w:val="18"/>
          <w:b w:val="1"/>
          <w:bCs w:val="1"/>
          <w:color w:val="auto"/>
        </w:rPr>
        <w:t>Exhibit 32(b)</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PURSUANT TO</w:t>
      </w:r>
    </w:p>
    <w:p>
      <w:pPr>
        <w:spacing w:after="0" w:line="234" w:lineRule="auto"/>
        <w:rPr>
          <w:sz w:val="20"/>
          <w:szCs w:val="20"/>
          <w:color w:val="auto"/>
        </w:rPr>
      </w:pPr>
      <w:r>
        <w:rPr>
          <w:rFonts w:ascii="Arial" w:cs="Arial" w:eastAsia="Arial" w:hAnsi="Arial"/>
          <w:sz w:val="18"/>
          <w:szCs w:val="18"/>
          <w:b w:val="1"/>
          <w:bCs w:val="1"/>
          <w:color w:val="auto"/>
        </w:rPr>
        <w:t>18 U.S.C. SECTION 1350</w:t>
      </w:r>
    </w:p>
    <w:p>
      <w:pPr>
        <w:spacing w:after="0" w:line="235" w:lineRule="auto"/>
        <w:rPr>
          <w:sz w:val="20"/>
          <w:szCs w:val="20"/>
          <w:color w:val="auto"/>
        </w:rPr>
      </w:pPr>
      <w:r>
        <w:rPr>
          <w:rFonts w:ascii="Arial" w:cs="Arial" w:eastAsia="Arial" w:hAnsi="Arial"/>
          <w:sz w:val="18"/>
          <w:szCs w:val="18"/>
          <w:b w:val="1"/>
          <w:bCs w:val="1"/>
          <w:color w:val="auto"/>
        </w:rPr>
        <w:t>AS ADOPTED PURSUANT TO</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33"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In connection with the Annual Report of Schlumberger N.V. (Schlumberger Limited) (the “Company”) on Form 10-K for the year ended December 31, 2003 as filed with the Securities and Exchange Commission on the date hereof (the “Report”), I, Jean-Marc Perraud, Executive Vice President and Chief Financial Officer of the Company, certify, pursuant to 18 U.S.C. § 1350, as adopted pursuant to § 906 of the Sarbanes-Oxley Act of 2002, that:</w:t>
      </w:r>
    </w:p>
    <w:p>
      <w:pPr>
        <w:spacing w:after="0" w:line="1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(1) The Report fully complies with the requirements of section 13(a) or 15(d) of the Securities Exchange Act of 1934;</w:t>
      </w:r>
    </w:p>
    <w:p>
      <w:pPr>
        <w:spacing w:after="0" w:line="7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and</w:t>
      </w:r>
    </w:p>
    <w:p>
      <w:pPr>
        <w:spacing w:after="0" w:line="77" w:lineRule="exact"/>
        <w:rPr>
          <w:sz w:val="20"/>
          <w:szCs w:val="20"/>
          <w:color w:val="auto"/>
        </w:rPr>
      </w:pPr>
    </w:p>
    <w:p>
      <w:pPr>
        <w:ind w:left="580"/>
        <w:spacing w:after="0"/>
        <w:rPr>
          <w:sz w:val="20"/>
          <w:szCs w:val="20"/>
          <w:color w:val="auto"/>
        </w:rPr>
      </w:pPr>
      <w:r>
        <w:rPr>
          <w:rFonts w:ascii="Arial" w:cs="Arial" w:eastAsia="Arial" w:hAnsi="Arial"/>
          <w:sz w:val="16"/>
          <w:szCs w:val="16"/>
          <w:color w:val="auto"/>
        </w:rPr>
        <w:t>(2) The information contained in the Report fairly presents, in all material respects, the financial condition and result of operations of the Company.</w:t>
      </w:r>
    </w:p>
    <w:p>
      <w:pPr>
        <w:spacing w:after="0" w:line="181" w:lineRule="exact"/>
        <w:rPr>
          <w:sz w:val="20"/>
          <w:szCs w:val="20"/>
          <w:color w:val="auto"/>
        </w:rPr>
      </w:pPr>
    </w:p>
    <w:p>
      <w:pPr>
        <w:spacing w:after="0"/>
        <w:tabs>
          <w:tab w:leader="none" w:pos="5800" w:val="left"/>
          <w:tab w:leader="none" w:pos="6160" w:val="left"/>
        </w:tabs>
        <w:rPr>
          <w:sz w:val="20"/>
          <w:szCs w:val="20"/>
          <w:color w:val="auto"/>
        </w:rPr>
      </w:pPr>
      <w:r>
        <w:rPr>
          <w:rFonts w:ascii="Arial" w:cs="Arial" w:eastAsia="Arial" w:hAnsi="Arial"/>
          <w:sz w:val="18"/>
          <w:szCs w:val="18"/>
          <w:color w:val="auto"/>
        </w:rPr>
        <w:t>Date: March 3, 2004</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5"/>
          <w:szCs w:val="15"/>
          <w:color w:val="auto"/>
        </w:rPr>
        <w:t>Jean-Marc Perraud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80010</wp:posOffset>
            </wp:positionV>
            <wp:extent cx="2435225" cy="8890"/>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35">
                      <a:extLst>
                        <a:ext uri="{28A0092B-C50C-407E-A947-70E740481C1C}"/>
                      </a:extLst>
                    </a:blip>
                    <a:srcRect/>
                    <a:stretch>
                      <a:fillRect/>
                    </a:stretch>
                  </pic:blipFill>
                  <pic:spPr bwMode="auto">
                    <a:xfrm>
                      <a:off x="0" y="0"/>
                      <a:ext cx="2435225" cy="8890"/>
                    </a:xfrm>
                    <a:prstGeom prst="rect">
                      <a:avLst/>
                    </a:prstGeom>
                    <a:noFill/>
                  </pic:spPr>
                </pic:pic>
              </a:graphicData>
            </a:graphic>
          </wp:anchor>
        </w:drawing>
      </w:r>
    </w:p>
    <w:p>
      <w:pPr>
        <w:spacing w:after="0" w:line="219"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Jean-Marc Perraud</w:t>
      </w:r>
    </w:p>
    <w:p>
      <w:pPr>
        <w:spacing w:after="0" w:line="15"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Executive Vice President and Chief Financial Officer</w:t>
      </w:r>
    </w:p>
    <w:p>
      <w:pPr>
        <w:spacing w:after="0" w:line="165" w:lineRule="exact"/>
        <w:rPr>
          <w:sz w:val="20"/>
          <w:szCs w:val="20"/>
          <w:color w:val="auto"/>
        </w:rPr>
      </w:pPr>
    </w:p>
    <w:p>
      <w:pPr>
        <w:ind w:right="120" w:firstLine="228"/>
        <w:spacing w:after="0" w:line="268" w:lineRule="auto"/>
        <w:rPr>
          <w:sz w:val="20"/>
          <w:szCs w:val="20"/>
          <w:color w:val="auto"/>
        </w:rPr>
      </w:pPr>
      <w:r>
        <w:rPr>
          <w:rFonts w:ascii="Arial" w:cs="Arial" w:eastAsia="Arial" w:hAnsi="Arial"/>
          <w:sz w:val="18"/>
          <w:szCs w:val="18"/>
          <w:color w:val="auto"/>
        </w:rPr>
        <w:t>A signed original of this written statement required by section 906 has been provided to Schlumberger Limited and will be retained by Schlumberger Limited and furnished to the Securities and Exchange Commission or its staff upon request.</w:t>
      </w:r>
    </w:p>
    <w:p>
      <w:pPr>
        <w:spacing w:after="0" w:line="118" w:lineRule="exact"/>
        <w:rPr>
          <w:sz w:val="20"/>
          <w:szCs w:val="20"/>
          <w:color w:val="auto"/>
        </w:rPr>
      </w:pPr>
    </w:p>
    <w:p>
      <w:pPr>
        <w:ind w:right="540" w:firstLine="228"/>
        <w:spacing w:after="0" w:line="268" w:lineRule="auto"/>
        <w:rPr>
          <w:sz w:val="20"/>
          <w:szCs w:val="20"/>
          <w:color w:val="auto"/>
        </w:rPr>
      </w:pPr>
      <w:r>
        <w:rPr>
          <w:rFonts w:ascii="Arial" w:cs="Arial" w:eastAsia="Arial" w:hAnsi="Arial"/>
          <w:sz w:val="18"/>
          <w:szCs w:val="18"/>
          <w:color w:val="auto"/>
        </w:rPr>
        <w:t>This certification accompanies the report pursuant to Section 906 of the Sarbanes-Oxley Act of 2002 and shall not be deemed filed by the Company for purposes of Section 18 of the Exchange Act of 1934, as amended.</w:t>
      </w:r>
    </w:p>
    <w:p>
      <w:pPr>
        <w:spacing w:after="0" w:line="116" w:lineRule="exact"/>
        <w:rPr>
          <w:sz w:val="20"/>
          <w:szCs w:val="20"/>
          <w:color w:val="auto"/>
        </w:rPr>
      </w:pPr>
    </w:p>
    <w:p>
      <w:pPr>
        <w:spacing w:after="0"/>
        <w:rPr>
          <w:sz w:val="20"/>
          <w:szCs w:val="20"/>
          <w:color w:val="auto"/>
        </w:rPr>
      </w:pPr>
      <w:r>
        <w:rPr>
          <w:rFonts w:ascii="Arial" w:cs="Arial" w:eastAsia="Arial" w:hAnsi="Arial"/>
          <w:sz w:val="14"/>
          <w:szCs w:val="14"/>
          <w:color w:val="auto"/>
        </w:rPr>
        <w:t>85 / SLB</w:t>
      </w:r>
    </w:p>
    <w:p>
      <w:pPr>
        <w:sectPr>
          <w:pgSz w:w="11900" w:h="16838" w:orient="portrait"/>
          <w:cols w:equalWidth="0" w:num="1">
            <w:col w:w="11420"/>
          </w:cols>
          <w:pgMar w:left="240" w:top="337" w:right="239" w:bottom="1440" w:gutter="0" w:footer="0" w:header="0"/>
        </w:sectPr>
      </w:pPr>
    </w:p>
    <w:bookmarkStart w:id="85" w:name="page86"/>
    <w:bookmarkEnd w:id="85"/>
    <w:p>
      <w:pPr>
        <w:ind w:left="10600"/>
        <w:spacing w:after="0"/>
        <w:rPr>
          <w:sz w:val="20"/>
          <w:szCs w:val="20"/>
          <w:color w:val="auto"/>
        </w:rPr>
      </w:pPr>
      <w:r>
        <w:rPr>
          <w:rFonts w:ascii="Arial" w:cs="Arial" w:eastAsia="Arial" w:hAnsi="Arial"/>
          <w:sz w:val="16"/>
          <w:szCs w:val="16"/>
          <w:b w:val="1"/>
          <w:bCs w:val="1"/>
          <w:color w:val="auto"/>
        </w:rPr>
        <w:t>Exhibit 99</w:t>
      </w:r>
    </w:p>
    <w:p>
      <w:pPr>
        <w:spacing w:after="0" w:line="178" w:lineRule="exact"/>
        <w:rPr>
          <w:sz w:val="20"/>
          <w:szCs w:val="20"/>
          <w:color w:val="auto"/>
        </w:rPr>
      </w:pPr>
    </w:p>
    <w:p>
      <w:pPr>
        <w:ind w:right="120"/>
        <w:spacing w:after="0" w:line="306" w:lineRule="auto"/>
        <w:rPr>
          <w:sz w:val="20"/>
          <w:szCs w:val="20"/>
          <w:color w:val="auto"/>
        </w:rPr>
      </w:pPr>
      <w:r>
        <w:rPr>
          <w:rFonts w:ascii="Arial" w:cs="Arial" w:eastAsia="Arial" w:hAnsi="Arial"/>
          <w:sz w:val="16"/>
          <w:szCs w:val="16"/>
          <w:color w:val="auto"/>
        </w:rPr>
        <w:t>For the purposes of complying with the amendments to the rules governing Form S-8 (effective July 13, 1990) under the Securities Act of 1933, the undersigned registrant hereby undertakes as follows, which undertaking shall be incorporated by reference into Registrant’s Registration Statements on Form S-8 Nos. 33-35606; 33-47592; 33-86424; 333-40227; 333-62545; 333-36366; 333-36364, 333-67330 and 333-104225.</w:t>
      </w:r>
    </w:p>
    <w:p>
      <w:pPr>
        <w:spacing w:after="0" w:line="93" w:lineRule="exact"/>
        <w:rPr>
          <w:sz w:val="20"/>
          <w:szCs w:val="20"/>
          <w:color w:val="auto"/>
        </w:rPr>
      </w:pPr>
    </w:p>
    <w:p>
      <w:pPr>
        <w:ind w:right="200"/>
        <w:spacing w:after="0" w:line="312" w:lineRule="auto"/>
        <w:rPr>
          <w:sz w:val="20"/>
          <w:szCs w:val="20"/>
          <w:color w:val="auto"/>
        </w:rPr>
      </w:pPr>
      <w:r>
        <w:rPr>
          <w:rFonts w:ascii="Arial" w:cs="Arial" w:eastAsia="Arial" w:hAnsi="Arial"/>
          <w:sz w:val="15"/>
          <w:szCs w:val="15"/>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of 1933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86 / SLB</w:t>
      </w:r>
    </w:p>
    <w:sectPr>
      <w:pgSz w:w="11900" w:h="16838" w:orient="portrait"/>
      <w:cols w:equalWidth="0" w:num="1">
        <w:col w:w="11420"/>
      </w:cols>
      <w:pgMar w:left="240" w:top="269"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2221A70"/>
    <w:multiLevelType w:val="hybridMultilevel"/>
    <w:lvl w:ilvl="0">
      <w:lvlJc w:val="left"/>
      <w:lvlText w:val="☒"/>
      <w:numFmt w:val="bullet"/>
      <w:start w:val="1"/>
    </w:lvl>
  </w:abstractNum>
  <w:abstractNum w:abstractNumId="1">
    <w:nsid w:val="4516DDE9"/>
    <w:multiLevelType w:val="hybridMultilevel"/>
    <w:lvl w:ilvl="0">
      <w:lvlJc w:val="left"/>
      <w:lvlText w:val="☐"/>
      <w:numFmt w:val="bullet"/>
      <w:start w:val="1"/>
    </w:lvl>
  </w:abstractNum>
  <w:abstractNum w:abstractNumId="2">
    <w:nsid w:val="3006C83E"/>
    <w:multiLevelType w:val="hybridMultilevel"/>
    <w:lvl w:ilvl="0">
      <w:lvlJc w:val="left"/>
      <w:lvlText w:val="%1."/>
      <w:numFmt w:val="upperLetter"/>
      <w:start w:val="11"/>
    </w:lvl>
  </w:abstractNum>
  <w:abstractNum w:abstractNumId="3">
    <w:nsid w:val="614FD4A1"/>
    <w:multiLevelType w:val="hybridMultilevel"/>
    <w:lvl w:ilvl="0">
      <w:lvlJc w:val="left"/>
      <w:lvlText w:val="·"/>
      <w:numFmt w:val="bullet"/>
      <w:start w:val="1"/>
    </w:lvl>
  </w:abstractNum>
  <w:abstractNum w:abstractNumId="4">
    <w:nsid w:val="419AC241"/>
    <w:multiLevelType w:val="hybridMultilevel"/>
    <w:lvl w:ilvl="0">
      <w:lvlJc w:val="left"/>
      <w:lvlText w:val="·"/>
      <w:numFmt w:val="bullet"/>
      <w:start w:val="1"/>
    </w:lvl>
  </w:abstractNum>
  <w:abstractNum w:abstractNumId="5">
    <w:nsid w:val="5577F8E1"/>
    <w:multiLevelType w:val="hybridMultilevel"/>
    <w:lvl w:ilvl="0">
      <w:lvlJc w:val="left"/>
      <w:lvlText w:val="·"/>
      <w:numFmt w:val="bullet"/>
      <w:start w:val="1"/>
    </w:lvl>
  </w:abstractNum>
  <w:abstractNum w:abstractNumId="6">
    <w:nsid w:val="440BADFC"/>
    <w:multiLevelType w:val="hybridMultilevel"/>
    <w:lvl w:ilvl="0">
      <w:lvlJc w:val="left"/>
      <w:lvlText w:val="·"/>
      <w:numFmt w:val="bullet"/>
      <w:start w:val="1"/>
    </w:lvl>
  </w:abstractNum>
  <w:abstractNum w:abstractNumId="7">
    <w:nsid w:val="5072367"/>
    <w:multiLevelType w:val="hybridMultilevel"/>
    <w:lvl w:ilvl="0">
      <w:lvlJc w:val="left"/>
      <w:lvlText w:val="·"/>
      <w:numFmt w:val="bullet"/>
      <w:start w:val="1"/>
    </w:lvl>
  </w:abstractNum>
  <w:abstractNum w:abstractNumId="8">
    <w:nsid w:val="3804823E"/>
    <w:multiLevelType w:val="hybridMultilevel"/>
    <w:lvl w:ilvl="0">
      <w:lvlJc w:val="left"/>
      <w:lvlText w:val="%1."/>
      <w:numFmt w:val="decimal"/>
      <w:start w:val="1"/>
    </w:lvl>
  </w:abstractNum>
  <w:abstractNum w:abstractNumId="9">
    <w:nsid w:val="77465F01"/>
    <w:multiLevelType w:val="hybridMultilevel"/>
    <w:lvl w:ilvl="0">
      <w:lvlJc w:val="left"/>
      <w:lvlText w:val="1"/>
      <w:numFmt w:val="bullet"/>
      <w:start w:val="1"/>
    </w:lvl>
  </w:abstractNum>
  <w:abstractNum w:abstractNumId="10">
    <w:nsid w:val="7724C67E"/>
    <w:multiLevelType w:val="hybridMultilevel"/>
    <w:lvl w:ilvl="0">
      <w:lvlJc w:val="left"/>
      <w:lvlText w:val="2"/>
      <w:numFmt w:val="bullet"/>
      <w:start w:val="1"/>
    </w:lvl>
  </w:abstractNum>
  <w:abstractNum w:abstractNumId="11">
    <w:nsid w:val="5C482A97"/>
    <w:multiLevelType w:val="hybridMultilevel"/>
    <w:lvl w:ilvl="0">
      <w:lvlJc w:val="left"/>
      <w:lvlText w:val="3"/>
      <w:numFmt w:val="bullet"/>
      <w:start w:val="1"/>
    </w:lvl>
  </w:abstractNum>
  <w:abstractNum w:abstractNumId="12">
    <w:nsid w:val="2463B9EA"/>
    <w:multiLevelType w:val="hybridMultilevel"/>
    <w:lvl w:ilvl="0">
      <w:lvlJc w:val="left"/>
      <w:lvlText w:val="4"/>
      <w:numFmt w:val="bullet"/>
      <w:start w:val="1"/>
    </w:lvl>
  </w:abstractNum>
  <w:abstractNum w:abstractNumId="13">
    <w:nsid w:val="5E884ADC"/>
    <w:multiLevelType w:val="hybridMultilevel"/>
    <w:lvl w:ilvl="0">
      <w:lvlJc w:val="left"/>
      <w:lvlText w:val="%1."/>
      <w:numFmt w:val="decimal"/>
      <w:start w:val="1"/>
    </w:lvl>
  </w:abstractNum>
  <w:abstractNum w:abstractNumId="14">
    <w:nsid w:val="51EAD36B"/>
    <w:multiLevelType w:val="hybridMultilevel"/>
    <w:lvl w:ilvl="0">
      <w:lvlJc w:val="left"/>
      <w:lvlText w:val="·"/>
      <w:numFmt w:val="bullet"/>
      <w:start w:val="1"/>
    </w:lvl>
  </w:abstractNum>
  <w:abstractNum w:abstractNumId="15">
    <w:nsid w:val="2D517796"/>
    <w:multiLevelType w:val="hybridMultilevel"/>
    <w:lvl w:ilvl="0">
      <w:lvlJc w:val="left"/>
      <w:lvlText w:val="·"/>
      <w:numFmt w:val="bullet"/>
      <w:start w:val="1"/>
    </w:lvl>
  </w:abstractNum>
  <w:abstractNum w:abstractNumId="16">
    <w:nsid w:val="580BD78F"/>
    <w:multiLevelType w:val="hybridMultilevel"/>
    <w:lvl w:ilvl="0">
      <w:lvlJc w:val="left"/>
      <w:lvlText w:val="·"/>
      <w:numFmt w:val="bullet"/>
      <w:start w:val="1"/>
    </w:lvl>
  </w:abstractNum>
  <w:abstractNum w:abstractNumId="17">
    <w:nsid w:val="153EA438"/>
    <w:multiLevelType w:val="hybridMultilevel"/>
    <w:lvl w:ilvl="0">
      <w:lvlJc w:val="left"/>
      <w:lvlText w:val="·"/>
      <w:numFmt w:val="bullet"/>
      <w:start w:val="1"/>
    </w:lvl>
  </w:abstractNum>
  <w:abstractNum w:abstractNumId="18">
    <w:nsid w:val="3855585C"/>
    <w:multiLevelType w:val="hybridMultilevel"/>
    <w:lvl w:ilvl="0">
      <w:lvlJc w:val="left"/>
      <w:lvlText w:val="·"/>
      <w:numFmt w:val="bullet"/>
      <w:start w:val="1"/>
    </w:lvl>
  </w:abstractNum>
  <w:abstractNum w:abstractNumId="19">
    <w:nsid w:val="70A64E2A"/>
    <w:multiLevelType w:val="hybridMultilevel"/>
    <w:lvl w:ilvl="0">
      <w:lvlJc w:val="left"/>
      <w:lvlText w:val="·"/>
      <w:numFmt w:val="bullet"/>
      <w:start w:val="1"/>
    </w:lvl>
  </w:abstractNum>
  <w:abstractNum w:abstractNumId="20">
    <w:nsid w:val="6A2342EC"/>
    <w:multiLevelType w:val="hybridMultilevel"/>
    <w:lvl w:ilvl="0">
      <w:lvlJc w:val="left"/>
      <w:lvlText w:val="%1."/>
      <w:numFmt w:val="decimal"/>
      <w:start w:val="1"/>
    </w:lvl>
  </w:abstractNum>
  <w:abstractNum w:abstractNumId="21">
    <w:nsid w:val="2A487CB0"/>
    <w:multiLevelType w:val="hybridMultilevel"/>
    <w:lvl w:ilvl="0">
      <w:lvlJc w:val="left"/>
      <w:lvlText w:val="%1."/>
      <w:numFmt w:val="decimal"/>
      <w:start w:val="2"/>
    </w:lvl>
  </w:abstractNum>
  <w:abstractNum w:abstractNumId="22">
    <w:nsid w:val="1D4ED43B"/>
    <w:multiLevelType w:val="hybridMultilevel"/>
    <w:lvl w:ilvl="0">
      <w:lvlJc w:val="left"/>
      <w:lvlText w:val="%1."/>
      <w:numFmt w:val="decimal"/>
      <w:start w:val="3"/>
    </w:lvl>
  </w:abstractNum>
  <w:abstractNum w:abstractNumId="23">
    <w:nsid w:val="725A06FB"/>
    <w:multiLevelType w:val="hybridMultilevel"/>
    <w:lvl w:ilvl="0">
      <w:lvlJc w:val="left"/>
      <w:lvlText w:val="%1."/>
      <w:numFmt w:val="decimal"/>
      <w:start w:val="4"/>
    </w:lvl>
  </w:abstractNum>
  <w:abstractNum w:abstractNumId="24">
    <w:nsid w:val="2CD89A32"/>
    <w:multiLevelType w:val="hybridMultilevel"/>
    <w:lvl w:ilvl="0">
      <w:lvlJc w:val="left"/>
      <w:lvlText w:val="%1."/>
      <w:numFmt w:val="decimal"/>
      <w:start w:val="1"/>
    </w:lvl>
  </w:abstractNum>
  <w:abstractNum w:abstractNumId="25">
    <w:nsid w:val="57E4CCAF"/>
    <w:multiLevelType w:val="hybridMultilevel"/>
    <w:lvl w:ilvl="0">
      <w:lvlJc w:val="left"/>
      <w:lvlText w:val="·"/>
      <w:numFmt w:val="bullet"/>
      <w:start w:val="1"/>
    </w:lvl>
  </w:abstractNum>
  <w:abstractNum w:abstractNumId="26">
    <w:nsid w:val="7A6D8D3C"/>
    <w:multiLevelType w:val="hybridMultilevel"/>
    <w:lvl w:ilvl="0">
      <w:lvlJc w:val="left"/>
      <w:lvlText w:val="·"/>
      <w:numFmt w:val="bullet"/>
      <w:start w:val="1"/>
    </w:lvl>
  </w:abstractNum>
  <w:abstractNum w:abstractNumId="27">
    <w:nsid w:val="4B588F54"/>
    <w:multiLevelType w:val="hybridMultilevel"/>
    <w:lvl w:ilvl="0">
      <w:lvlJc w:val="left"/>
      <w:lvlText w:val="%1)"/>
      <w:numFmt w:val="upperLetter"/>
      <w:start w:val="35"/>
    </w:lvl>
  </w:abstractNum>
  <w:abstractNum w:abstractNumId="28">
    <w:nsid w:val="542289EC"/>
    <w:multiLevelType w:val="hybridMultilevel"/>
    <w:lvl w:ilvl="0">
      <w:lvlJc w:val="left"/>
      <w:lvlText w:val="%1."/>
      <w:numFmt w:val="decimal"/>
      <w:start w:val="5"/>
    </w:lvl>
  </w:abstractNum>
  <w:abstractNum w:abstractNumId="29">
    <w:nsid w:val="6DE91B18"/>
    <w:multiLevelType w:val="hybridMultilevel"/>
    <w:lvl w:ilvl="0">
      <w:lvlJc w:val="left"/>
      <w:lvlText w:val="·"/>
      <w:numFmt w:val="bullet"/>
      <w:start w:val="1"/>
    </w:lvl>
  </w:abstractNum>
  <w:abstractNum w:abstractNumId="30">
    <w:nsid w:val="38437FDB"/>
    <w:multiLevelType w:val="hybridMultilevel"/>
    <w:lvl w:ilvl="0">
      <w:lvlJc w:val="left"/>
      <w:lvlText w:val="·"/>
      <w:numFmt w:val="bullet"/>
      <w:start w:val="1"/>
    </w:lvl>
  </w:abstractNum>
  <w:abstractNum w:abstractNumId="31">
    <w:nsid w:val="7644A45C"/>
    <w:multiLevelType w:val="hybridMultilevel"/>
    <w:lvl w:ilvl="0">
      <w:lvlJc w:val="left"/>
      <w:lvlText w:val="·"/>
      <w:numFmt w:val="bullet"/>
      <w:start w:val="1"/>
    </w:lvl>
  </w:abstractNum>
  <w:abstractNum w:abstractNumId="32">
    <w:nsid w:val="32FFF902"/>
    <w:multiLevelType w:val="hybridMultilevel"/>
    <w:lvl w:ilvl="0">
      <w:lvlJc w:val="left"/>
      <w:lvlText w:val="%1."/>
      <w:numFmt w:val="decimal"/>
      <w:start w:val="6"/>
    </w:lvl>
  </w:abstractNum>
  <w:abstractNum w:abstractNumId="33">
    <w:nsid w:val="684A481A"/>
    <w:multiLevelType w:val="hybridMultilevel"/>
    <w:lvl w:ilvl="0">
      <w:lvlJc w:val="left"/>
      <w:lvlText w:val="%1."/>
      <w:numFmt w:val="decimal"/>
      <w:start w:val="7"/>
    </w:lvl>
  </w:abstractNum>
  <w:abstractNum w:abstractNumId="34">
    <w:nsid w:val="579478FE"/>
    <w:multiLevelType w:val="hybridMultilevel"/>
    <w:lvl w:ilvl="0">
      <w:lvlJc w:val="left"/>
      <w:lvlText w:val="%1."/>
      <w:numFmt w:val="decimal"/>
      <w:start w:val="8"/>
    </w:lvl>
  </w:abstractNum>
  <w:abstractNum w:abstractNumId="35">
    <w:nsid w:val="749ABB43"/>
    <w:multiLevelType w:val="hybridMultilevel"/>
    <w:lvl w:ilvl="0">
      <w:lvlJc w:val="left"/>
      <w:lvlText w:val="%1."/>
      <w:numFmt w:val="decimal"/>
      <w:start w:val="9"/>
    </w:lvl>
  </w:abstractNum>
  <w:abstractNum w:abstractNumId="36">
    <w:nsid w:val="3DC240FB"/>
    <w:multiLevelType w:val="hybridMultilevel"/>
    <w:lvl w:ilvl="0">
      <w:lvlJc w:val="left"/>
      <w:lvlText w:val="%1."/>
      <w:numFmt w:val="decimal"/>
      <w:start w:val="10"/>
    </w:lvl>
  </w:abstractNum>
  <w:abstractNum w:abstractNumId="37">
    <w:nsid w:val="1BA026FA"/>
    <w:multiLevelType w:val="hybridMultilevel"/>
    <w:lvl w:ilvl="0">
      <w:lvlJc w:val="left"/>
      <w:lvlText w:val="%1."/>
      <w:numFmt w:val="decimal"/>
      <w:start w:val="11"/>
    </w:lvl>
  </w:abstractNum>
  <w:abstractNum w:abstractNumId="38">
    <w:nsid w:val="79A1DEAA"/>
    <w:multiLevelType w:val="hybridMultilevel"/>
    <w:lvl w:ilvl="0">
      <w:lvlJc w:val="left"/>
      <w:lvlText w:val="%1."/>
      <w:numFmt w:val="decimal"/>
      <w:start w:val="12"/>
    </w:lvl>
  </w:abstractNum>
  <w:abstractNum w:abstractNumId="39">
    <w:nsid w:val="75C6C33A"/>
    <w:multiLevelType w:val="hybridMultilevel"/>
    <w:lvl w:ilvl="0">
      <w:lvlJc w:val="left"/>
      <w:lvlText w:val="%1."/>
      <w:numFmt w:val="decimal"/>
      <w:start w:val="14"/>
    </w:lvl>
  </w:abstractNum>
  <w:abstractNum w:abstractNumId="40">
    <w:nsid w:val="12E685FB"/>
    <w:multiLevelType w:val="hybridMultilevel"/>
    <w:lvl w:ilvl="0">
      <w:lvlJc w:val="left"/>
      <w:lvlText w:val="%1."/>
      <w:numFmt w:val="decimal"/>
      <w:start w:val="1"/>
    </w:lvl>
  </w:abstractNum>
  <w:abstractNum w:abstractNumId="41">
    <w:nsid w:val="70C6A529"/>
    <w:multiLevelType w:val="hybridMultilevel"/>
    <w:lvl w:ilvl="0">
      <w:lvlJc w:val="left"/>
      <w:lvlText w:val="%1."/>
      <w:numFmt w:val="decimal"/>
      <w:start w:val="16"/>
    </w:lvl>
  </w:abstractNum>
  <w:abstractNum w:abstractNumId="42">
    <w:nsid w:val="520EEDD1"/>
    <w:multiLevelType w:val="hybridMultilevel"/>
    <w:lvl w:ilvl="0">
      <w:lvlJc w:val="left"/>
      <w:lvlText w:val="%1."/>
      <w:numFmt w:val="decimal"/>
      <w:start w:val="17"/>
    </w:lvl>
  </w:abstractNum>
  <w:abstractNum w:abstractNumId="43">
    <w:nsid w:val="374A3FE6"/>
    <w:multiLevelType w:val="hybridMultilevel"/>
    <w:lvl w:ilvl="0">
      <w:lvlJc w:val="left"/>
      <w:lvlText w:val="%1."/>
      <w:numFmt w:val="decimal"/>
      <w:start w:val="18"/>
    </w:lvl>
  </w:abstractNum>
  <w:abstractNum w:abstractNumId="44">
    <w:nsid w:val="4F4EF005"/>
    <w:multiLevelType w:val="hybridMultilevel"/>
    <w:lvl w:ilvl="0">
      <w:lvlJc w:val="left"/>
      <w:lvlText w:val="%1."/>
      <w:numFmt w:val="decimal"/>
      <w:start w:val="19"/>
    </w:lvl>
  </w:abstractNum>
  <w:abstractNum w:abstractNumId="45">
    <w:nsid w:val="23F9C13C"/>
    <w:multiLevelType w:val="hybridMultilevel"/>
    <w:lvl w:ilvl="0">
      <w:lvlJc w:val="left"/>
      <w:lvlText w:val="%1."/>
      <w:numFmt w:val="decimal"/>
      <w:start w:val="20"/>
    </w:lvl>
  </w:abstractNum>
  <w:abstractNum w:abstractNumId="46">
    <w:nsid w:val="649BB77C"/>
    <w:multiLevelType w:val="hybridMultilevel"/>
    <w:lvl w:ilvl="0">
      <w:lvlJc w:val="left"/>
      <w:lvlText w:val="%1."/>
      <w:numFmt w:val="decimal"/>
      <w:start w:val="21"/>
    </w:lvl>
  </w:abstractNum>
  <w:abstractNum w:abstractNumId="47">
    <w:nsid w:val="275AC794"/>
    <w:multiLevelType w:val="hybridMultilevel"/>
    <w:lvl w:ilvl="0">
      <w:lvlJc w:val="left"/>
      <w:lvlText w:val="%1."/>
      <w:numFmt w:val="decimal"/>
      <w:start w:val="22"/>
    </w:lvl>
  </w:abstractNum>
  <w:abstractNum w:abstractNumId="48">
    <w:nsid w:val="39386575"/>
    <w:multiLevelType w:val="hybridMultilevel"/>
    <w:lvl w:ilvl="0">
      <w:lvlJc w:val="left"/>
      <w:lvlText w:val="%1."/>
      <w:numFmt w:val="decimal"/>
      <w:start w:val="23"/>
    </w:lvl>
  </w:abstractNum>
  <w:abstractNum w:abstractNumId="49">
    <w:nsid w:val="1CF10FD8"/>
    <w:multiLevelType w:val="hybridMultilevel"/>
    <w:lvl w:ilvl="0">
      <w:lvlJc w:val="left"/>
      <w:lvlText w:val="%1."/>
      <w:numFmt w:val="decimal"/>
      <w:start w:val="24"/>
    </w:lvl>
  </w:abstractNum>
  <w:abstractNum w:abstractNumId="50">
    <w:nsid w:val="180115BE"/>
    <w:multiLevelType w:val="hybridMultilevel"/>
    <w:lvl w:ilvl="0">
      <w:lvlJc w:val="left"/>
      <w:lvlText w:val="%1."/>
      <w:numFmt w:val="decimal"/>
      <w:start w:val="25"/>
    </w:lvl>
  </w:abstractNum>
  <w:abstractNum w:abstractNumId="51">
    <w:nsid w:val="235BA861"/>
    <w:multiLevelType w:val="hybridMultilevel"/>
    <w:lvl w:ilvl="0">
      <w:lvlJc w:val="left"/>
      <w:lvlText w:val="%1."/>
      <w:numFmt w:val="decimal"/>
      <w:start w:val="1"/>
    </w:lvl>
  </w:abstractNum>
  <w:abstractNum w:abstractNumId="52">
    <w:nsid w:val="47398C89"/>
    <w:multiLevelType w:val="hybridMultilevel"/>
    <w:lvl w:ilvl="0">
      <w:lvlJc w:val="left"/>
      <w:lvlText w:val="%1."/>
      <w:numFmt w:val="decimal"/>
      <w:start w:val="1"/>
    </w:lvl>
  </w:abstractNum>
  <w:abstractNum w:abstractNumId="53">
    <w:nsid w:val="354FE9F9"/>
    <w:multiLevelType w:val="hybridMultilevel"/>
    <w:lvl w:ilvl="0">
      <w:lvlJc w:val="left"/>
      <w:lvlText w:val="*"/>
      <w:numFmt w:val="bullet"/>
      <w:start w:val="1"/>
    </w:lvl>
  </w:abstractNum>
  <w:abstractNum w:abstractNumId="54">
    <w:nsid w:val="15B5AF5C"/>
    <w:multiLevelType w:val="hybridMultilevel"/>
    <w:lvl w:ilvl="0">
      <w:lvlJc w:val="left"/>
      <w:lvlText w:val="(%1)"/>
      <w:numFmt w:val="decimal"/>
      <w:start w:val="1"/>
    </w:lvl>
  </w:abstractNum>
  <w:abstractNum w:abstractNumId="55">
    <w:nsid w:val="741226BB"/>
    <w:multiLevelType w:val="hybridMultilevel"/>
    <w:lvl w:ilvl="0">
      <w:lvlJc w:val="left"/>
      <w:lvlText w:val="*"/>
      <w:numFmt w:val="bullet"/>
      <w:start w:val="1"/>
    </w:lvl>
  </w:abstractNum>
  <w:abstractNum w:abstractNumId="56">
    <w:nsid w:val="D34B6A8"/>
    <w:multiLevelType w:val="hybridMultilevel"/>
    <w:lvl w:ilvl="0">
      <w:lvlJc w:val="left"/>
      <w:lvlText w:val="(%1)"/>
      <w:numFmt w:val="lowerLetter"/>
      <w:start w:val="1"/>
    </w:lvl>
  </w:abstractNum>
  <w:abstractNum w:abstractNumId="57">
    <w:nsid w:val="10233C99"/>
    <w:multiLevelType w:val="hybridMultilevel"/>
    <w:lvl w:ilvl="0">
      <w:lvlJc w:val="left"/>
      <w:lvlText w:val="(%1)"/>
      <w:numFmt w:val="decimal"/>
      <w:start w:val="4"/>
    </w:lvl>
  </w:abstractNum>
  <w:abstractNum w:abstractNumId="58">
    <w:nsid w:val="3F6AB60F"/>
    <w:multiLevelType w:val="hybridMultilevel"/>
    <w:lvl w:ilvl="0">
      <w:lvlJc w:val="left"/>
      <w:lvlText w:val="*"/>
      <w:numFmt w:val="bullet"/>
      <w:start w:val="1"/>
    </w:lvl>
  </w:abstractNum>
  <w:abstractNum w:abstractNumId="59">
    <w:nsid w:val="61574095"/>
    <w:multiLevelType w:val="hybridMultilevel"/>
    <w:lvl w:ilvl="0">
      <w:lvlJc w:val="left"/>
      <w:lvlText w:val="*"/>
      <w:numFmt w:val="bullet"/>
      <w:start w:val="1"/>
    </w:lvl>
  </w:abstractNum>
  <w:abstractNum w:abstractNumId="60">
    <w:nsid w:val="7E0C57B1"/>
    <w:multiLevelType w:val="hybridMultilevel"/>
    <w:lvl w:ilvl="0">
      <w:lvlJc w:val="left"/>
      <w:lvlText w:val="1"/>
      <w:numFmt w:val="bullet"/>
      <w:start w:val="1"/>
    </w:lvl>
  </w:abstractNum>
  <w:abstractNum w:abstractNumId="61">
    <w:nsid w:val="77AE35EB"/>
    <w:multiLevelType w:val="hybridMultilevel"/>
    <w:lvl w:ilvl="0">
      <w:lvlJc w:val="left"/>
      <w:lvlText w:val="2"/>
      <w:numFmt w:val="bullet"/>
      <w:start w:val="1"/>
    </w:lvl>
  </w:abstractNum>
  <w:abstractNum w:abstractNumId="62">
    <w:nsid w:val="579BE4F1"/>
    <w:multiLevelType w:val="hybridMultilevel"/>
    <w:lvl w:ilvl="0">
      <w:lvlJc w:val="left"/>
      <w:lvlText w:val="%1."/>
      <w:numFmt w:val="decimal"/>
      <w:start w:val="1"/>
    </w:lvl>
    <w:lvl w:ilvl="1">
      <w:lvlJc w:val="left"/>
      <w:lvlText w:val="%2)"/>
      <w:numFmt w:val="lowerLetter"/>
      <w:start w:val="1"/>
    </w:lvl>
  </w:abstractNum>
  <w:abstractNum w:abstractNumId="63">
    <w:nsid w:val="310C50B3"/>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png"/><Relationship Id="rId645" Type="http://schemas.openxmlformats.org/officeDocument/2006/relationships/image" Target="media/image638.png"/><Relationship Id="rId646" Type="http://schemas.openxmlformats.org/officeDocument/2006/relationships/image" Target="media/image639.png"/><Relationship Id="rId647" Type="http://schemas.openxmlformats.org/officeDocument/2006/relationships/image" Target="media/image640.png"/><Relationship Id="rId648" Type="http://schemas.openxmlformats.org/officeDocument/2006/relationships/image" Target="media/image641.png"/><Relationship Id="rId649" Type="http://schemas.openxmlformats.org/officeDocument/2006/relationships/image" Target="media/image642.png"/><Relationship Id="rId650" Type="http://schemas.openxmlformats.org/officeDocument/2006/relationships/image" Target="media/image643.png"/><Relationship Id="rId651" Type="http://schemas.openxmlformats.org/officeDocument/2006/relationships/image" Target="media/image644.png"/><Relationship Id="rId652" Type="http://schemas.openxmlformats.org/officeDocument/2006/relationships/image" Target="media/image645.png"/><Relationship Id="rId653" Type="http://schemas.openxmlformats.org/officeDocument/2006/relationships/image" Target="media/image646.png"/><Relationship Id="rId654" Type="http://schemas.openxmlformats.org/officeDocument/2006/relationships/image" Target="media/image647.png"/><Relationship Id="rId655" Type="http://schemas.openxmlformats.org/officeDocument/2006/relationships/image" Target="media/image648.png"/><Relationship Id="rId656" Type="http://schemas.openxmlformats.org/officeDocument/2006/relationships/image" Target="media/image649.png"/><Relationship Id="rId657" Type="http://schemas.openxmlformats.org/officeDocument/2006/relationships/image" Target="media/image650.png"/><Relationship Id="rId658" Type="http://schemas.openxmlformats.org/officeDocument/2006/relationships/image" Target="media/image651.png"/><Relationship Id="rId659" Type="http://schemas.openxmlformats.org/officeDocument/2006/relationships/image" Target="media/image652.png"/><Relationship Id="rId660" Type="http://schemas.openxmlformats.org/officeDocument/2006/relationships/image" Target="media/image653.png"/><Relationship Id="rId661" Type="http://schemas.openxmlformats.org/officeDocument/2006/relationships/image" Target="media/image654.png"/><Relationship Id="rId662" Type="http://schemas.openxmlformats.org/officeDocument/2006/relationships/image" Target="media/image655.png"/><Relationship Id="rId663" Type="http://schemas.openxmlformats.org/officeDocument/2006/relationships/image" Target="media/image656.png"/><Relationship Id="rId664" Type="http://schemas.openxmlformats.org/officeDocument/2006/relationships/image" Target="media/image657.png"/><Relationship Id="rId665" Type="http://schemas.openxmlformats.org/officeDocument/2006/relationships/image" Target="media/image658.png"/><Relationship Id="rId666" Type="http://schemas.openxmlformats.org/officeDocument/2006/relationships/image" Target="media/image659.png"/><Relationship Id="rId667" Type="http://schemas.openxmlformats.org/officeDocument/2006/relationships/image" Target="media/image660.png"/><Relationship Id="rId668" Type="http://schemas.openxmlformats.org/officeDocument/2006/relationships/image" Target="media/image661.png"/><Relationship Id="rId669" Type="http://schemas.openxmlformats.org/officeDocument/2006/relationships/image" Target="media/image662.png"/><Relationship Id="rId670" Type="http://schemas.openxmlformats.org/officeDocument/2006/relationships/image" Target="media/image663.png"/><Relationship Id="rId671" Type="http://schemas.openxmlformats.org/officeDocument/2006/relationships/image" Target="media/image664.png"/><Relationship Id="rId672" Type="http://schemas.openxmlformats.org/officeDocument/2006/relationships/image" Target="media/image665.png"/><Relationship Id="rId673" Type="http://schemas.openxmlformats.org/officeDocument/2006/relationships/image" Target="media/image666.png"/><Relationship Id="rId674" Type="http://schemas.openxmlformats.org/officeDocument/2006/relationships/image" Target="media/image667.png"/><Relationship Id="rId675" Type="http://schemas.openxmlformats.org/officeDocument/2006/relationships/image" Target="media/image668.png"/><Relationship Id="rId676" Type="http://schemas.openxmlformats.org/officeDocument/2006/relationships/image" Target="media/image669.png"/><Relationship Id="rId677" Type="http://schemas.openxmlformats.org/officeDocument/2006/relationships/image" Target="media/image670.png"/><Relationship Id="rId678" Type="http://schemas.openxmlformats.org/officeDocument/2006/relationships/image" Target="media/image671.png"/><Relationship Id="rId679" Type="http://schemas.openxmlformats.org/officeDocument/2006/relationships/image" Target="media/image672.png"/><Relationship Id="rId680" Type="http://schemas.openxmlformats.org/officeDocument/2006/relationships/image" Target="media/image673.png"/><Relationship Id="rId681" Type="http://schemas.openxmlformats.org/officeDocument/2006/relationships/image" Target="media/image674.png"/><Relationship Id="rId682" Type="http://schemas.openxmlformats.org/officeDocument/2006/relationships/image" Target="media/image675.png"/><Relationship Id="rId683" Type="http://schemas.openxmlformats.org/officeDocument/2006/relationships/image" Target="media/image676.png"/><Relationship Id="rId684" Type="http://schemas.openxmlformats.org/officeDocument/2006/relationships/image" Target="media/image677.png"/><Relationship Id="rId685" Type="http://schemas.openxmlformats.org/officeDocument/2006/relationships/image" Target="media/image678.png"/><Relationship Id="rId686" Type="http://schemas.openxmlformats.org/officeDocument/2006/relationships/image" Target="media/image679.png"/><Relationship Id="rId687" Type="http://schemas.openxmlformats.org/officeDocument/2006/relationships/image" Target="media/image680.png"/><Relationship Id="rId688" Type="http://schemas.openxmlformats.org/officeDocument/2006/relationships/image" Target="media/image681.png"/><Relationship Id="rId689" Type="http://schemas.openxmlformats.org/officeDocument/2006/relationships/image" Target="media/image682.png"/><Relationship Id="rId690" Type="http://schemas.openxmlformats.org/officeDocument/2006/relationships/image" Target="media/image683.png"/><Relationship Id="rId691" Type="http://schemas.openxmlformats.org/officeDocument/2006/relationships/image" Target="media/image684.png"/><Relationship Id="rId692" Type="http://schemas.openxmlformats.org/officeDocument/2006/relationships/image" Target="media/image685.png"/><Relationship Id="rId693" Type="http://schemas.openxmlformats.org/officeDocument/2006/relationships/image" Target="media/image686.png"/><Relationship Id="rId694" Type="http://schemas.openxmlformats.org/officeDocument/2006/relationships/image" Target="media/image687.png"/><Relationship Id="rId695" Type="http://schemas.openxmlformats.org/officeDocument/2006/relationships/image" Target="media/image688.png"/><Relationship Id="rId696" Type="http://schemas.openxmlformats.org/officeDocument/2006/relationships/image" Target="media/image689.png"/><Relationship Id="rId697" Type="http://schemas.openxmlformats.org/officeDocument/2006/relationships/image" Target="media/image690.png"/><Relationship Id="rId698" Type="http://schemas.openxmlformats.org/officeDocument/2006/relationships/image" Target="media/image691.png"/><Relationship Id="rId699" Type="http://schemas.openxmlformats.org/officeDocument/2006/relationships/image" Target="media/image692.png"/><Relationship Id="rId700" Type="http://schemas.openxmlformats.org/officeDocument/2006/relationships/image" Target="media/image693.png"/><Relationship Id="rId701" Type="http://schemas.openxmlformats.org/officeDocument/2006/relationships/image" Target="media/image694.png"/><Relationship Id="rId702" Type="http://schemas.openxmlformats.org/officeDocument/2006/relationships/image" Target="media/image695.png"/><Relationship Id="rId703" Type="http://schemas.openxmlformats.org/officeDocument/2006/relationships/image" Target="media/image696.png"/><Relationship Id="rId704" Type="http://schemas.openxmlformats.org/officeDocument/2006/relationships/image" Target="media/image697.png"/><Relationship Id="rId705" Type="http://schemas.openxmlformats.org/officeDocument/2006/relationships/image" Target="media/image698.png"/><Relationship Id="rId706" Type="http://schemas.openxmlformats.org/officeDocument/2006/relationships/image" Target="media/image699.png"/><Relationship Id="rId707" Type="http://schemas.openxmlformats.org/officeDocument/2006/relationships/image" Target="media/image700.png"/><Relationship Id="rId708" Type="http://schemas.openxmlformats.org/officeDocument/2006/relationships/image" Target="media/image701.png"/><Relationship Id="rId709" Type="http://schemas.openxmlformats.org/officeDocument/2006/relationships/image" Target="media/image702.png"/><Relationship Id="rId710" Type="http://schemas.openxmlformats.org/officeDocument/2006/relationships/image" Target="media/image703.png"/><Relationship Id="rId711" Type="http://schemas.openxmlformats.org/officeDocument/2006/relationships/image" Target="media/image704.png"/><Relationship Id="rId712" Type="http://schemas.openxmlformats.org/officeDocument/2006/relationships/image" Target="media/image705.png"/><Relationship Id="rId713" Type="http://schemas.openxmlformats.org/officeDocument/2006/relationships/image" Target="media/image706.png"/><Relationship Id="rId714" Type="http://schemas.openxmlformats.org/officeDocument/2006/relationships/image" Target="media/image707.png"/><Relationship Id="rId715" Type="http://schemas.openxmlformats.org/officeDocument/2006/relationships/image" Target="media/image708.png"/><Relationship Id="rId716" Type="http://schemas.openxmlformats.org/officeDocument/2006/relationships/image" Target="media/image709.png"/><Relationship Id="rId717" Type="http://schemas.openxmlformats.org/officeDocument/2006/relationships/image" Target="media/image710.png"/><Relationship Id="rId718" Type="http://schemas.openxmlformats.org/officeDocument/2006/relationships/image" Target="media/image711.png"/><Relationship Id="rId719" Type="http://schemas.openxmlformats.org/officeDocument/2006/relationships/image" Target="media/image712.png"/><Relationship Id="rId720" Type="http://schemas.openxmlformats.org/officeDocument/2006/relationships/image" Target="media/image713.png"/><Relationship Id="rId721" Type="http://schemas.openxmlformats.org/officeDocument/2006/relationships/image" Target="media/image714.png"/><Relationship Id="rId722" Type="http://schemas.openxmlformats.org/officeDocument/2006/relationships/image" Target="media/image715.png"/><Relationship Id="rId723" Type="http://schemas.openxmlformats.org/officeDocument/2006/relationships/image" Target="media/image716.png"/><Relationship Id="rId724" Type="http://schemas.openxmlformats.org/officeDocument/2006/relationships/image" Target="media/image717.png"/><Relationship Id="rId725" Type="http://schemas.openxmlformats.org/officeDocument/2006/relationships/image" Target="media/image718.png"/><Relationship Id="rId726" Type="http://schemas.openxmlformats.org/officeDocument/2006/relationships/image" Target="media/image719.png"/><Relationship Id="rId727" Type="http://schemas.openxmlformats.org/officeDocument/2006/relationships/image" Target="media/image720.png"/><Relationship Id="rId728" Type="http://schemas.openxmlformats.org/officeDocument/2006/relationships/image" Target="media/image721.png"/><Relationship Id="rId729" Type="http://schemas.openxmlformats.org/officeDocument/2006/relationships/image" Target="media/image722.png"/><Relationship Id="rId730" Type="http://schemas.openxmlformats.org/officeDocument/2006/relationships/image" Target="media/image723.png"/><Relationship Id="rId731" Type="http://schemas.openxmlformats.org/officeDocument/2006/relationships/image" Target="media/image724.png"/><Relationship Id="rId732" Type="http://schemas.openxmlformats.org/officeDocument/2006/relationships/image" Target="media/image725.png"/><Relationship Id="rId733" Type="http://schemas.openxmlformats.org/officeDocument/2006/relationships/image" Target="media/image726.png"/><Relationship Id="rId734" Type="http://schemas.openxmlformats.org/officeDocument/2006/relationships/image" Target="media/image727.png"/><Relationship Id="rId735" Type="http://schemas.openxmlformats.org/officeDocument/2006/relationships/image" Target="media/image72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2019-12-12T10:31:40Z</dcterms:created>
  <dcterms:modified xsi:type="dcterms:W3CDTF">2019-12-12T10:31:40Z</dcterms:modified>
</cp:coreProperties>
</file>