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44"/>
        <w:spacing w:after="0"/>
        <w:rPr>
          <w:sz w:val="20"/>
          <w:szCs w:val="20"/>
          <w:color w:val="auto"/>
        </w:rPr>
      </w:pPr>
      <w:r>
        <w:rPr>
          <w:rFonts w:ascii="Times New Roman" w:cs="Times New Roman" w:eastAsia="Times New Roman" w:hAnsi="Times New Roman"/>
          <w:sz w:val="18"/>
          <w:szCs w:val="18"/>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52-0684746</w:t>
      </w:r>
    </w:p>
    <w:p>
      <w:pPr>
        <w:spacing w:after="0" w:line="23" w:lineRule="exact"/>
        <w:rPr>
          <w:sz w:val="24"/>
          <w:szCs w:val="24"/>
          <w:color w:val="auto"/>
        </w:rPr>
      </w:pPr>
    </w:p>
    <w:p>
      <w:pPr>
        <w:sectPr>
          <w:pgSz w:w="11900" w:h="16838" w:orient="portrait"/>
          <w:cols w:equalWidth="0" w:num="3">
            <w:col w:w="4644" w:space="720"/>
            <w:col w:w="274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5599 San Felipe, Houston, Texas , U.S.A . 77056</w:t>
      </w:r>
    </w:p>
    <w:p>
      <w:pPr>
        <w:spacing w:after="0" w:line="14" w:lineRule="exact"/>
        <w:rPr>
          <w:sz w:val="24"/>
          <w:szCs w:val="24"/>
          <w:color w:val="auto"/>
        </w:rPr>
      </w:pPr>
    </w:p>
    <w:p>
      <w:pPr>
        <w:ind w:left="3224"/>
        <w:spacing w:after="0"/>
        <w:rPr>
          <w:sz w:val="20"/>
          <w:szCs w:val="20"/>
          <w:color w:val="auto"/>
        </w:rPr>
      </w:pPr>
      <w:r>
        <w:rPr>
          <w:rFonts w:ascii="Times New Roman" w:cs="Times New Roman" w:eastAsia="Times New Roman" w:hAnsi="Times New Roman"/>
          <w:sz w:val="18"/>
          <w:szCs w:val="18"/>
          <w:b w:val="1"/>
          <w:bCs w:val="1"/>
          <w:color w:val="auto"/>
        </w:rPr>
        <w:t>62 Buckingham Gate, London, United Kingdom SW1E 6AJ</w:t>
      </w:r>
    </w:p>
    <w:p>
      <w:pPr>
        <w:spacing w:after="0" w:line="31" w:lineRule="exact"/>
        <w:rPr>
          <w:sz w:val="24"/>
          <w:szCs w:val="24"/>
          <w:color w:val="auto"/>
        </w:rPr>
      </w:pPr>
    </w:p>
    <w:p>
      <w:pPr>
        <w:ind w:left="3484"/>
        <w:spacing w:after="0"/>
        <w:rPr>
          <w:sz w:val="20"/>
          <w:szCs w:val="20"/>
          <w:color w:val="auto"/>
        </w:rPr>
      </w:pPr>
      <w:r>
        <w:rPr>
          <w:rFonts w:ascii="Times New Roman" w:cs="Times New Roman" w:eastAsia="Times New Roman" w:hAnsi="Times New Roman"/>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024"/>
          </w:cols>
          <w:pgMar w:left="436" w:top="362" w:right="439" w:bottom="1440" w:gutter="0" w:footer="0" w:header="0"/>
          <w:type w:val="continuous"/>
        </w:sectPr>
      </w:pP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2022 Annual General Meeting of Stockholders (the “Annual Meeting”) of Schlumberger Limited (Schlumberger N.V.), a Curaçao corporation (“Schlumberger”), was held on April 6, 2022. All director nominees were elected and all other proposals were passed at the Annual Meeting. The results are summarized below, with detailed voting results following.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Annual Meeting, the stockholders of Schlumberger:</w:t>
      </w:r>
    </w:p>
    <w:p>
      <w:pPr>
        <w:spacing w:after="0" w:line="13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1—elected all eleven director nominees;</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2—approved, on an advisory basis, Schlumberger’s executive compensation, with approximately 95.4% of the votes cast voting for this proposal;</w:t>
      </w:r>
    </w:p>
    <w:p>
      <w:pPr>
        <w:spacing w:after="0" w:line="67" w:lineRule="exact"/>
        <w:rPr>
          <w:rFonts w:ascii="Times New Roman" w:cs="Times New Roman" w:eastAsia="Times New Roman" w:hAnsi="Times New Roman"/>
          <w:sz w:val="18"/>
          <w:szCs w:val="18"/>
          <w:color w:val="auto"/>
        </w:rPr>
      </w:pPr>
    </w:p>
    <w:p>
      <w:pPr>
        <w:ind w:left="960" w:right="4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3—approved Schlumberger’s consolidated balance sheet at December 31, 2021, its consolidated statement of income for the year ended December 31, 2021, and the declarations of dividends by Schlumberger’s Board of Directors in 2021 as reflected in its 2021 Annual Report to Stockholders, with approximately 99.8% of the votes cast voting for this proposal; and</w:t>
      </w:r>
    </w:p>
    <w:p>
      <w:pPr>
        <w:spacing w:after="0" w:line="81" w:lineRule="exact"/>
        <w:rPr>
          <w:rFonts w:ascii="Times New Roman" w:cs="Times New Roman" w:eastAsia="Times New Roman" w:hAnsi="Times New Roman"/>
          <w:sz w:val="18"/>
          <w:szCs w:val="18"/>
          <w:color w:val="auto"/>
        </w:rPr>
      </w:pPr>
    </w:p>
    <w:p>
      <w:pPr>
        <w:ind w:left="960" w:right="9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4—ratified the appointment of PricewaterhouseCoopers LLP as the independent auditors of Schlumberger for 2022, with approximately 92.2% of the votes cast voting for this proposal.</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proposals are described in detail in Schlumberger’s definitive proxy statement for the Annual Meeting, which was filed with the SEC on February 24, 2022 (the “Definitive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1—Election of Directors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director nominees were elected at the Annual Meeting.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68"/>
        </w:trPr>
        <w:tc>
          <w:tcPr>
            <w:tcW w:w="4300" w:type="dxa"/>
            <w:vAlign w:val="bottom"/>
          </w:tcPr>
          <w:p>
            <w:pPr>
              <w:spacing w:after="0"/>
              <w:rPr>
                <w:sz w:val="14"/>
                <w:szCs w:val="14"/>
                <w:color w:val="auto"/>
              </w:rPr>
            </w:pPr>
          </w:p>
        </w:tc>
        <w:tc>
          <w:tcPr>
            <w:tcW w:w="35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For</w:t>
            </w: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Peter Coleman</w:t>
            </w:r>
          </w:p>
        </w:tc>
        <w:tc>
          <w:tcPr>
            <w:tcW w:w="3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1,023,958,669</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15,710,618</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893,387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126,765,868</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Patrick de La Chevardière</w:t>
            </w:r>
          </w:p>
        </w:tc>
        <w:tc>
          <w:tcPr>
            <w:tcW w:w="3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1,026,701,223</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12,958,244</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903,207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126,765,868</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Miguel M. Galuccio</w:t>
            </w:r>
          </w:p>
        </w:tc>
        <w:tc>
          <w:tcPr>
            <w:tcW w:w="3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947,050,322</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92,554,185</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958,167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126,765,868</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Olivier Le Peuch</w:t>
            </w:r>
          </w:p>
        </w:tc>
        <w:tc>
          <w:tcPr>
            <w:tcW w:w="3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1,031,635,923</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8,105,186</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821,565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126,765,868</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Samuel Leupold</w:t>
            </w:r>
          </w:p>
        </w:tc>
        <w:tc>
          <w:tcPr>
            <w:tcW w:w="3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1,031,279,391</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8,372,911</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910,372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126,765,868</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Tatiana Mitrova</w:t>
            </w:r>
          </w:p>
        </w:tc>
        <w:tc>
          <w:tcPr>
            <w:tcW w:w="3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908,757,382</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130,133,568</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1,671,725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126,765,868</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Maria Moræus Hanssen</w:t>
            </w:r>
          </w:p>
        </w:tc>
        <w:tc>
          <w:tcPr>
            <w:tcW w:w="3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1,013,384,994</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24,714,445</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2,463,235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126,765,868</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Vanitha Narayanan</w:t>
            </w:r>
          </w:p>
        </w:tc>
        <w:tc>
          <w:tcPr>
            <w:tcW w:w="3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1,028,500,553</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11,140,903</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921,218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126,765,868</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Mark Papa</w:t>
            </w:r>
          </w:p>
        </w:tc>
        <w:tc>
          <w:tcPr>
            <w:tcW w:w="3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974,223,696</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63,847,116</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2,491,862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126,765,868</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Jeff Sheets</w:t>
            </w:r>
          </w:p>
        </w:tc>
        <w:tc>
          <w:tcPr>
            <w:tcW w:w="3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1,010,286,595</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29,359,951</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916,128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126,765,868</w:t>
            </w: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Ulrich Spiesshofer</w:t>
            </w:r>
          </w:p>
        </w:tc>
        <w:tc>
          <w:tcPr>
            <w:tcW w:w="3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1,028,562,437</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11,082,678</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917,560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126,765,868</w:t>
            </w:r>
          </w:p>
        </w:tc>
      </w:tr>
    </w:tbl>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2—Advisory Approval of Executive Compensation</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advisory resolution to approve Schlumberger’s executive compensation, as described in the Definitive Proxy Statement, was approved with approximately 95.4% of the votes cast at the Annual Meeting voting for the proposal.</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340" w:type="dxa"/>
            <w:vAlign w:val="bottom"/>
          </w:tcPr>
          <w:p>
            <w:pPr>
              <w:spacing w:after="0"/>
              <w:rPr>
                <w:sz w:val="16"/>
                <w:szCs w:val="16"/>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700" w:type="dxa"/>
            <w:vAlign w:val="bottom"/>
          </w:tcPr>
          <w:p>
            <w:pPr>
              <w:spacing w:after="0"/>
              <w:rPr>
                <w:sz w:val="16"/>
                <w:szCs w:val="16"/>
                <w:color w:val="auto"/>
              </w:rPr>
            </w:pPr>
          </w:p>
        </w:tc>
        <w:tc>
          <w:tcPr>
            <w:tcW w:w="3240" w:type="dxa"/>
            <w:vAlign w:val="bottom"/>
            <w:gridSpan w:val="2"/>
          </w:tcPr>
          <w:p>
            <w:pPr>
              <w:jc w:val="center"/>
              <w:ind w:right="23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140" w:type="dxa"/>
            <w:vAlign w:val="bottom"/>
            <w:gridSpan w:val="2"/>
          </w:tcPr>
          <w:p>
            <w:pPr>
              <w:jc w:val="center"/>
              <w:ind w:right="23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1"/>
        </w:trPr>
        <w:tc>
          <w:tcPr>
            <w:tcW w:w="3280" w:type="dxa"/>
            <w:vAlign w:val="bottom"/>
            <w:gridSpan w:val="3"/>
          </w:tcPr>
          <w:p>
            <w:pPr>
              <w:jc w:val="right"/>
              <w:ind w:right="2380"/>
              <w:spacing w:after="0"/>
              <w:rPr>
                <w:sz w:val="20"/>
                <w:szCs w:val="20"/>
                <w:color w:val="auto"/>
              </w:rPr>
            </w:pPr>
            <w:r>
              <w:rPr>
                <w:rFonts w:ascii="Times New Roman" w:cs="Times New Roman" w:eastAsia="Times New Roman" w:hAnsi="Times New Roman"/>
                <w:sz w:val="18"/>
                <w:szCs w:val="18"/>
                <w:color w:val="auto"/>
                <w:w w:val="97"/>
              </w:rPr>
              <w:t>989,884,609</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47,705,536</w:t>
            </w:r>
          </w:p>
        </w:tc>
        <w:tc>
          <w:tcPr>
            <w:tcW w:w="2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2,972,529</w:t>
            </w:r>
          </w:p>
        </w:tc>
        <w:tc>
          <w:tcPr>
            <w:tcW w:w="2300" w:type="dxa"/>
            <w:vAlign w:val="bottom"/>
          </w:tcPr>
          <w:p>
            <w:pPr>
              <w:spacing w:after="0"/>
              <w:rPr>
                <w:sz w:val="19"/>
                <w:szCs w:val="19"/>
                <w:color w:val="auto"/>
              </w:rPr>
            </w:pPr>
          </w:p>
        </w:tc>
        <w:tc>
          <w:tcPr>
            <w:tcW w:w="1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rPr>
              <w:t>126,765,868</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3—Financial Statements and Dividends</w:t>
      </w:r>
    </w:p>
    <w:p>
      <w:pPr>
        <w:spacing w:after="0" w:line="121"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The proposal to approve Schlumberger’s consolidated balance sheet at December 31, 2021, its consolidated statement of income for the year ended December 31, 2021, and the declarations of dividends by Schlumberger’s Board of Directors in 2021 as reflected in its 2021 Annual Report to Stockholders, as described in the Definitive Proxy Statement, was approved with approximately 99.8% of the votes cast at the Annual Meeting voting for the proposal.</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 w:type="dxa"/>
            <w:vAlign w:val="bottom"/>
          </w:tcPr>
          <w:p>
            <w:pPr>
              <w:spacing w:after="0"/>
              <w:rPr>
                <w:sz w:val="16"/>
                <w:szCs w:val="16"/>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860" w:type="dxa"/>
            <w:vAlign w:val="bottom"/>
          </w:tcPr>
          <w:p>
            <w:pPr>
              <w:spacing w:after="0"/>
              <w:rPr>
                <w:sz w:val="16"/>
                <w:szCs w:val="16"/>
                <w:color w:val="auto"/>
              </w:rPr>
            </w:pPr>
          </w:p>
        </w:tc>
        <w:tc>
          <w:tcPr>
            <w:tcW w:w="3200" w:type="dxa"/>
            <w:vAlign w:val="bottom"/>
            <w:gridSpan w:val="2"/>
          </w:tcPr>
          <w:p>
            <w:pPr>
              <w:jc w:val="center"/>
              <w:ind w:right="24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220" w:type="dxa"/>
            <w:vAlign w:val="bottom"/>
            <w:gridSpan w:val="2"/>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1"/>
        </w:trPr>
        <w:tc>
          <w:tcPr>
            <w:tcW w:w="3500" w:type="dxa"/>
            <w:vAlign w:val="bottom"/>
            <w:gridSpan w:val="3"/>
          </w:tcPr>
          <w:p>
            <w:pPr>
              <w:jc w:val="right"/>
              <w:ind w:right="2460"/>
              <w:spacing w:after="0"/>
              <w:rPr>
                <w:sz w:val="20"/>
                <w:szCs w:val="20"/>
                <w:color w:val="auto"/>
              </w:rPr>
            </w:pPr>
            <w:r>
              <w:rPr>
                <w:rFonts w:ascii="Times New Roman" w:cs="Times New Roman" w:eastAsia="Times New Roman" w:hAnsi="Times New Roman"/>
                <w:sz w:val="18"/>
                <w:szCs w:val="18"/>
                <w:color w:val="auto"/>
                <w:w w:val="98"/>
              </w:rPr>
              <w:t>1,161,159,914</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1,913,640</w:t>
            </w:r>
          </w:p>
        </w:tc>
        <w:tc>
          <w:tcPr>
            <w:tcW w:w="24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4,254,988</w:t>
            </w:r>
          </w:p>
        </w:tc>
        <w:tc>
          <w:tcPr>
            <w:tcW w:w="248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4—Independent Registered Public Accounting Firm</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proposal to ratify the appointment of PricewaterhouseCoopers LLP as the independent auditors of Schlumberger for 2022, as described in the Definitive Proxy Statement, was approved with approximately 92.2% of the votes cast at the Annual Meeting voting for the proposal.</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 w:type="dxa"/>
            <w:vAlign w:val="bottom"/>
          </w:tcPr>
          <w:p>
            <w:pPr>
              <w:spacing w:after="0"/>
              <w:rPr>
                <w:sz w:val="16"/>
                <w:szCs w:val="16"/>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840" w:type="dxa"/>
            <w:vAlign w:val="bottom"/>
          </w:tcPr>
          <w:p>
            <w:pPr>
              <w:spacing w:after="0"/>
              <w:rPr>
                <w:sz w:val="16"/>
                <w:szCs w:val="16"/>
                <w:color w:val="auto"/>
              </w:rPr>
            </w:pPr>
          </w:p>
        </w:tc>
        <w:tc>
          <w:tcPr>
            <w:tcW w:w="3260" w:type="dxa"/>
            <w:vAlign w:val="bottom"/>
            <w:gridSpan w:val="2"/>
          </w:tcPr>
          <w:p>
            <w:pPr>
              <w:jc w:val="center"/>
              <w:ind w:right="24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180" w:type="dxa"/>
            <w:vAlign w:val="bottom"/>
            <w:gridSpan w:val="2"/>
          </w:tcPr>
          <w:p>
            <w:pPr>
              <w:jc w:val="center"/>
              <w:ind w:right="24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1"/>
        </w:trPr>
        <w:tc>
          <w:tcPr>
            <w:tcW w:w="3480" w:type="dxa"/>
            <w:vAlign w:val="bottom"/>
            <w:gridSpan w:val="3"/>
          </w:tcPr>
          <w:p>
            <w:pPr>
              <w:jc w:val="right"/>
              <w:ind w:right="2440"/>
              <w:spacing w:after="0"/>
              <w:rPr>
                <w:sz w:val="20"/>
                <w:szCs w:val="20"/>
                <w:color w:val="auto"/>
              </w:rPr>
            </w:pPr>
            <w:r>
              <w:rPr>
                <w:rFonts w:ascii="Times New Roman" w:cs="Times New Roman" w:eastAsia="Times New Roman" w:hAnsi="Times New Roman"/>
                <w:sz w:val="18"/>
                <w:szCs w:val="18"/>
                <w:color w:val="auto"/>
                <w:w w:val="98"/>
              </w:rPr>
              <w:t>1,074,685,937</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91,483,227</w:t>
            </w:r>
          </w:p>
        </w:tc>
        <w:tc>
          <w:tcPr>
            <w:tcW w:w="24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1,159,378</w:t>
            </w:r>
          </w:p>
        </w:tc>
        <w:tc>
          <w:tcPr>
            <w:tcW w:w="246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ectPr>
          <w:pgSz w:w="11900" w:h="16838" w:orient="portrait"/>
          <w:cols w:equalWidth="0" w:num="1">
            <w:col w:w="11020"/>
          </w:cols>
          <w:pgMar w:left="440" w:top="293" w:right="4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Dianne B. Ralston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Legal Officer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6, 2022</w:t>
      </w:r>
    </w:p>
    <w:sectPr>
      <w:pgSz w:w="11900" w:h="16838" w:orient="portrait"/>
      <w:cols w:equalWidth="0" w:num="1">
        <w:col w:w="10780"/>
      </w:cols>
      <w:pgMar w:left="440" w:top="293"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2022-04-06T13:41:56Z</dcterms:created>
  <dcterms:modified xsi:type="dcterms:W3CDTF">2022-04-06T13:41:56Z</dcterms:modified>
</cp:coreProperties>
</file>