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 Peuch Olivier</w:t>
        </w:r>
      </w:hyperlink>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80"/>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SCHLUMBERGER LIMITED/NV</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0"/>
        </w:trPr>
        <w:tc>
          <w:tcPr>
            <w:tcW w:w="200" w:type="dxa"/>
            <w:vAlign w:val="bottom"/>
            <w:tcBorders>
              <w:bottom w:val="single" w:sz="8" w:color="2C2C2C"/>
            </w:tcBorders>
          </w:tcPr>
          <w:p>
            <w:pPr>
              <w:spacing w:after="0"/>
              <w:rPr>
                <w:sz w:val="8"/>
                <w:szCs w:val="8"/>
                <w:color w:val="auto"/>
              </w:rPr>
            </w:pPr>
          </w:p>
        </w:tc>
        <w:tc>
          <w:tcPr>
            <w:tcW w:w="36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0"/>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200" w:type="dxa"/>
            <w:vAlign w:val="bottom"/>
            <w:vMerge w:val="continue"/>
          </w:tcPr>
          <w:p>
            <w:pPr>
              <w:spacing w:after="0"/>
              <w:rPr>
                <w:sz w:val="11"/>
                <w:szCs w:val="11"/>
                <w:color w:val="auto"/>
              </w:rPr>
            </w:pPr>
          </w:p>
        </w:tc>
        <w:tc>
          <w:tcPr>
            <w:tcW w:w="36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tcPr>
          <w:p>
            <w:pPr>
              <w:ind w:left="100"/>
              <w:spacing w:after="0" w:line="137"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09/14/2020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66"/>
        </w:trPr>
        <w:tc>
          <w:tcPr>
            <w:tcW w:w="200" w:type="dxa"/>
            <w:vAlign w:val="bottom"/>
          </w:tcPr>
          <w:p>
            <w:pPr>
              <w:spacing w:after="0"/>
              <w:rPr>
                <w:sz w:val="5"/>
                <w:szCs w:val="5"/>
                <w:color w:val="auto"/>
              </w:rPr>
            </w:pPr>
          </w:p>
        </w:tc>
        <w:tc>
          <w:tcPr>
            <w:tcW w:w="3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0" w:type="dxa"/>
            <w:vAlign w:val="bottom"/>
            <w:tcBorders>
              <w:bottom w:val="single" w:sz="8" w:color="2C2C2C"/>
            </w:tcBorders>
          </w:tcPr>
          <w:p>
            <w:pPr>
              <w:spacing w:after="0"/>
              <w:rPr>
                <w:sz w:val="18"/>
                <w:szCs w:val="18"/>
                <w:color w:val="auto"/>
              </w:rPr>
            </w:pPr>
          </w:p>
        </w:tc>
        <w:tc>
          <w:tcPr>
            <w:tcW w:w="36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133985</wp:posOffset>
            </wp:positionV>
            <wp:extent cx="6964045" cy="1260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260475"/>
                    </a:xfrm>
                    <a:prstGeom prst="rect">
                      <a:avLst/>
                    </a:prstGeom>
                    <a:noFill/>
                  </pic:spPr>
                </pic:pic>
              </a:graphicData>
            </a:graphic>
          </wp:anchor>
        </w:drawing>
      </w:r>
    </w:p>
    <w:p>
      <w:pPr>
        <w:spacing w:after="0" w:line="27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380"/>
              <w:spacing w:after="0" w:line="129"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09/14/2020</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25,000</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17.954</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191,770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260" w:type="dxa"/>
            <w:vAlign w:val="bottom"/>
            <w:gridSpan w:val="10"/>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74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$17.945 to $17.96. The price reported above reflects the weighted average purchase price. The reporting person hereby undertakes to provide upon request to the SEC staff, the issuer or security holder of the issuer full information regarding the number of shares and prices at which the transaction was effected.</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Saul R. Laureles, Attorney- </w:t>
      </w:r>
      <w:r>
        <w:rPr>
          <w:rFonts w:ascii="Times New Roman" w:cs="Times New Roman" w:eastAsia="Times New Roman" w:hAnsi="Times New Roman"/>
          <w:sz w:val="33"/>
          <w:szCs w:val="33"/>
          <w:color w:val="0000FF"/>
          <w:vertAlign w:val="subscript"/>
        </w:rPr>
        <w:t>09/15/2020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9"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497824"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2020-09-15T13:34:49Z</dcterms:created>
  <dcterms:modified xsi:type="dcterms:W3CDTF">2020-09-15T13:34:49Z</dcterms:modified>
</cp:coreProperties>
</file>