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700" w:hanging="341"/>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700" w:hanging="341"/>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700" w:hanging="341"/>
        <w:spacing w:after="0" w:line="277" w:lineRule="auto"/>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700" w:hanging="341"/>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700" w:hanging="341"/>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right="500" w:hanging="352"/>
        <w:spacing w:after="0" w:line="308" w:lineRule="auto"/>
        <w:tabs>
          <w:tab w:leader="none" w:pos="3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700" w:hanging="341"/>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700" w:hanging="341"/>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700" w:hanging="341"/>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700" w:hanging="341"/>
        <w:spacing w:after="0"/>
        <w:tabs>
          <w:tab w:leader="none" w:pos="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-3234690</wp:posOffset>
            </wp:positionV>
            <wp:extent cx="68091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-2900045</wp:posOffset>
            </wp:positionV>
            <wp:extent cx="68091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-2428875</wp:posOffset>
            </wp:positionV>
            <wp:extent cx="6809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-2094230</wp:posOffset>
            </wp:positionV>
            <wp:extent cx="6809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-1759585</wp:posOffset>
            </wp:positionV>
            <wp:extent cx="6809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-807720</wp:posOffset>
            </wp:positionV>
            <wp:extent cx="6809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-473075</wp:posOffset>
            </wp:positionV>
            <wp:extent cx="68091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-139065</wp:posOffset>
            </wp:positionV>
            <wp:extent cx="6809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194945</wp:posOffset>
            </wp:positionV>
            <wp:extent cx="6809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Shareholder Meeting to Be Held on April 8,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SCHLUMBERGER LIMITED</w:t>
            </w:r>
          </w:p>
        </w:tc>
        <w:tc>
          <w:tcPr>
            <w:tcW w:w="20" w:type="dxa"/>
            <w:vAlign w:val="bottom"/>
            <w:tcBorders>
              <w:top w:val="single" w:sz="8" w:color="auto"/>
            </w:tcBorders>
            <w:shd w:val="clear" w:color="auto" w:fill="000000"/>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520" w:type="dxa"/>
            <w:vAlign w:val="bottom"/>
            <w:tcBorders>
              <w:top w:val="single" w:sz="8" w:color="auto"/>
              <w:right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Meeting Information</w:t>
            </w:r>
          </w:p>
        </w:tc>
        <w:tc>
          <w:tcPr>
            <w:tcW w:w="0" w:type="dxa"/>
            <w:vAlign w:val="bottom"/>
          </w:tcPr>
          <w:p>
            <w:pPr>
              <w:spacing w:after="0"/>
              <w:rPr>
                <w:sz w:val="1"/>
                <w:szCs w:val="1"/>
                <w:color w:val="auto"/>
              </w:rPr>
            </w:pPr>
          </w:p>
        </w:tc>
      </w:tr>
      <w:tr>
        <w:trPr>
          <w:trHeight w:val="164"/>
        </w:trPr>
        <w:tc>
          <w:tcPr>
            <w:tcW w:w="5160" w:type="dxa"/>
            <w:vAlign w:val="bottom"/>
            <w:vMerge w:val="continue"/>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9"/>
              </w:rPr>
              <w:t>(SCHLUMBERGER N.V.)</w:t>
            </w:r>
          </w:p>
        </w:tc>
        <w:tc>
          <w:tcPr>
            <w:tcW w:w="20" w:type="dxa"/>
            <w:vAlign w:val="bottom"/>
            <w:shd w:val="clear" w:color="auto" w:fill="000000"/>
          </w:tcPr>
          <w:p>
            <w:pPr>
              <w:spacing w:after="0"/>
              <w:rPr>
                <w:sz w:val="20"/>
                <w:szCs w:val="20"/>
                <w:color w:val="auto"/>
              </w:rPr>
            </w:pPr>
          </w:p>
        </w:tc>
        <w:tc>
          <w:tcPr>
            <w:tcW w:w="1320" w:type="dxa"/>
            <w:vAlign w:val="bottom"/>
          </w:tcPr>
          <w:p>
            <w:pPr>
              <w:ind w:left="200"/>
              <w:spacing w:after="0"/>
              <w:rPr>
                <w:sz w:val="20"/>
                <w:szCs w:val="20"/>
                <w:color w:val="auto"/>
              </w:rPr>
            </w:pPr>
            <w:r>
              <w:rPr>
                <w:rFonts w:ascii="Arial" w:cs="Arial" w:eastAsia="Arial" w:hAnsi="Arial"/>
                <w:sz w:val="18"/>
                <w:szCs w:val="18"/>
                <w:b w:val="1"/>
                <w:bCs w:val="1"/>
                <w:color w:val="auto"/>
                <w:w w:val="90"/>
              </w:rPr>
              <w:t>Meeting Type:</w:t>
            </w:r>
          </w:p>
        </w:tc>
        <w:tc>
          <w:tcPr>
            <w:tcW w:w="420" w:type="dxa"/>
            <w:vAlign w:val="bottom"/>
          </w:tcPr>
          <w:p>
            <w:pPr>
              <w:spacing w:after="0"/>
              <w:rPr>
                <w:sz w:val="20"/>
                <w:szCs w:val="20"/>
                <w:color w:val="auto"/>
              </w:rPr>
            </w:pPr>
          </w:p>
        </w:tc>
        <w:tc>
          <w:tcPr>
            <w:tcW w:w="452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Annual Meeting</w:t>
            </w:r>
          </w:p>
        </w:tc>
        <w:tc>
          <w:tcPr>
            <w:tcW w:w="0" w:type="dxa"/>
            <w:vAlign w:val="bottom"/>
          </w:tcPr>
          <w:p>
            <w:pPr>
              <w:spacing w:after="0"/>
              <w:rPr>
                <w:sz w:val="1"/>
                <w:szCs w:val="1"/>
                <w:color w:val="auto"/>
              </w:rPr>
            </w:pPr>
          </w:p>
        </w:tc>
      </w:tr>
      <w:tr>
        <w:trPr>
          <w:trHeight w:val="311"/>
        </w:trPr>
        <w:tc>
          <w:tcPr>
            <w:tcW w:w="5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74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For holders as of:</w:t>
            </w:r>
          </w:p>
        </w:tc>
        <w:tc>
          <w:tcPr>
            <w:tcW w:w="452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February 11, 2015</w:t>
            </w:r>
          </w:p>
        </w:tc>
        <w:tc>
          <w:tcPr>
            <w:tcW w:w="0" w:type="dxa"/>
            <w:vAlign w:val="bottom"/>
          </w:tcPr>
          <w:p>
            <w:pPr>
              <w:spacing w:after="0"/>
              <w:rPr>
                <w:sz w:val="1"/>
                <w:szCs w:val="1"/>
                <w:color w:val="auto"/>
              </w:rPr>
            </w:pPr>
          </w:p>
        </w:tc>
      </w:tr>
      <w:tr>
        <w:trPr>
          <w:trHeight w:val="311"/>
        </w:trPr>
        <w:tc>
          <w:tcPr>
            <w:tcW w:w="5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74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April 8, 2015</w:t>
            </w:r>
          </w:p>
        </w:tc>
        <w:tc>
          <w:tcPr>
            <w:tcW w:w="4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10:00 AM</w:t>
            </w:r>
          </w:p>
        </w:tc>
        <w:tc>
          <w:tcPr>
            <w:tcW w:w="0" w:type="dxa"/>
            <w:vAlign w:val="bottom"/>
          </w:tcPr>
          <w:p>
            <w:pPr>
              <w:spacing w:after="0"/>
              <w:rPr>
                <w:sz w:val="1"/>
                <w:szCs w:val="1"/>
                <w:color w:val="auto"/>
              </w:rPr>
            </w:pPr>
          </w:p>
        </w:tc>
      </w:tr>
      <w:tr>
        <w:trPr>
          <w:trHeight w:val="283"/>
        </w:trPr>
        <w:tc>
          <w:tcPr>
            <w:tcW w:w="5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320" w:type="dxa"/>
            <w:vAlign w:val="bottom"/>
          </w:tcPr>
          <w:p>
            <w:pPr>
              <w:ind w:left="200"/>
              <w:spacing w:after="0"/>
              <w:rPr>
                <w:sz w:val="20"/>
                <w:szCs w:val="20"/>
                <w:color w:val="auto"/>
              </w:rPr>
            </w:pPr>
            <w:r>
              <w:rPr>
                <w:rFonts w:ascii="Arial" w:cs="Arial" w:eastAsia="Arial" w:hAnsi="Arial"/>
                <w:sz w:val="18"/>
                <w:szCs w:val="18"/>
                <w:b w:val="1"/>
                <w:bCs w:val="1"/>
                <w:color w:val="auto"/>
              </w:rPr>
              <w:t>Location:</w:t>
            </w:r>
          </w:p>
        </w:tc>
        <w:tc>
          <w:tcPr>
            <w:tcW w:w="49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Avila Beach Hotel</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320" w:type="dxa"/>
            <w:vAlign w:val="bottom"/>
          </w:tcPr>
          <w:p>
            <w:pPr>
              <w:spacing w:after="0"/>
              <w:rPr>
                <w:sz w:val="18"/>
                <w:szCs w:val="18"/>
                <w:color w:val="auto"/>
              </w:rPr>
            </w:pPr>
          </w:p>
        </w:tc>
        <w:tc>
          <w:tcPr>
            <w:tcW w:w="49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Penstraat 130</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320" w:type="dxa"/>
            <w:vAlign w:val="bottom"/>
          </w:tcPr>
          <w:p>
            <w:pPr>
              <w:spacing w:after="0"/>
              <w:rPr>
                <w:sz w:val="20"/>
                <w:szCs w:val="20"/>
                <w:color w:val="auto"/>
              </w:rPr>
            </w:pPr>
          </w:p>
        </w:tc>
        <w:tc>
          <w:tcPr>
            <w:tcW w:w="494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rPr>
              <w:t>Willemstad, Curacao</w:t>
            </w: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2340" w:type="dxa"/>
            <w:vAlign w:val="bottom"/>
            <w:tcBorders>
              <w:bottom w:val="single" w:sz="8" w:color="auto"/>
            </w:tcBorders>
            <w:gridSpan w:val="3"/>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1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6260" w:type="dxa"/>
            <w:vAlign w:val="bottom"/>
            <w:gridSpan w:val="5"/>
          </w:tcPr>
          <w:p>
            <w:pPr>
              <w:ind w:left="200"/>
              <w:spacing w:after="0"/>
              <w:rPr>
                <w:sz w:val="20"/>
                <w:szCs w:val="20"/>
                <w:color w:val="auto"/>
              </w:rPr>
            </w:pPr>
            <w:r>
              <w:rPr>
                <w:rFonts w:ascii="Arial" w:cs="Arial" w:eastAsia="Arial" w:hAnsi="Arial"/>
                <w:sz w:val="18"/>
                <w:szCs w:val="18"/>
                <w:color w:val="auto"/>
                <w:w w:val="95"/>
              </w:rPr>
              <w:t>You are receiving this communication because you hold shares in the company</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320" w:type="dxa"/>
            <w:vAlign w:val="bottom"/>
          </w:tcPr>
          <w:p>
            <w:pPr>
              <w:ind w:left="200"/>
              <w:spacing w:after="0"/>
              <w:rPr>
                <w:sz w:val="20"/>
                <w:szCs w:val="20"/>
                <w:color w:val="auto"/>
              </w:rPr>
            </w:pPr>
            <w:r>
              <w:rPr>
                <w:rFonts w:ascii="Arial" w:cs="Arial" w:eastAsia="Arial" w:hAnsi="Arial"/>
                <w:sz w:val="18"/>
                <w:szCs w:val="18"/>
                <w:color w:val="auto"/>
                <w:w w:val="96"/>
              </w:rPr>
              <w:t>named above.</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160" w:type="dxa"/>
            <w:vAlign w:val="bottom"/>
            <w:vMerge w:val="restart"/>
          </w:tcPr>
          <w:p>
            <w:pPr>
              <w:spacing w:after="0"/>
              <w:rPr>
                <w:sz w:val="20"/>
                <w:szCs w:val="20"/>
                <w:color w:val="auto"/>
              </w:rPr>
            </w:pPr>
            <w:r>
              <w:rPr>
                <w:rFonts w:ascii="Arial" w:cs="Arial" w:eastAsia="Arial" w:hAnsi="Arial"/>
                <w:sz w:val="18"/>
                <w:szCs w:val="18"/>
                <w:i w:val="1"/>
                <w:iCs w:val="1"/>
                <w:color w:val="auto"/>
              </w:rPr>
              <w:t>SCHLUMBERGER LIMITED (SCHLUMBERGER N.V.)</w:t>
            </w:r>
          </w:p>
        </w:tc>
        <w:tc>
          <w:tcPr>
            <w:tcW w:w="20" w:type="dxa"/>
            <w:vAlign w:val="bottom"/>
            <w:shd w:val="clear" w:color="auto" w:fill="000000"/>
          </w:tcPr>
          <w:p>
            <w:pPr>
              <w:spacing w:after="0"/>
              <w:rPr>
                <w:sz w:val="22"/>
                <w:szCs w:val="22"/>
                <w:color w:val="auto"/>
              </w:rPr>
            </w:pPr>
          </w:p>
        </w:tc>
        <w:tc>
          <w:tcPr>
            <w:tcW w:w="6260" w:type="dxa"/>
            <w:vAlign w:val="bottom"/>
            <w:gridSpan w:val="5"/>
            <w:vMerge w:val="restart"/>
          </w:tcPr>
          <w:p>
            <w:pPr>
              <w:ind w:left="200"/>
              <w:spacing w:after="0"/>
              <w:rPr>
                <w:sz w:val="20"/>
                <w:szCs w:val="20"/>
                <w:color w:val="auto"/>
              </w:rPr>
            </w:pPr>
            <w:r>
              <w:rPr>
                <w:rFonts w:ascii="Arial" w:cs="Arial" w:eastAsia="Arial" w:hAnsi="Arial"/>
                <w:sz w:val="18"/>
                <w:szCs w:val="18"/>
                <w:color w:val="auto"/>
              </w:rPr>
              <w:t>This is not a ballot. You cannot use this notice to vote these shares. This</w:t>
            </w:r>
          </w:p>
        </w:tc>
        <w:tc>
          <w:tcPr>
            <w:tcW w:w="0" w:type="dxa"/>
            <w:vAlign w:val="bottom"/>
          </w:tcPr>
          <w:p>
            <w:pPr>
              <w:spacing w:after="0"/>
              <w:rPr>
                <w:sz w:val="1"/>
                <w:szCs w:val="1"/>
                <w:color w:val="auto"/>
              </w:rPr>
            </w:pPr>
          </w:p>
        </w:tc>
      </w:tr>
      <w:tr>
        <w:trPr>
          <w:trHeight w:val="202"/>
        </w:trPr>
        <w:tc>
          <w:tcPr>
            <w:tcW w:w="51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2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5599 SAN FELIPE, 17TH FLOOR</w:t>
            </w:r>
          </w:p>
        </w:tc>
        <w:tc>
          <w:tcPr>
            <w:tcW w:w="20" w:type="dxa"/>
            <w:vAlign w:val="bottom"/>
          </w:tcPr>
          <w:p>
            <w:pPr>
              <w:spacing w:after="0"/>
              <w:rPr>
                <w:sz w:val="18"/>
                <w:szCs w:val="18"/>
                <w:color w:val="auto"/>
              </w:rPr>
            </w:pPr>
          </w:p>
        </w:tc>
        <w:tc>
          <w:tcPr>
            <w:tcW w:w="6260" w:type="dxa"/>
            <w:vAlign w:val="bottom"/>
            <w:gridSpan w:val="5"/>
          </w:tcPr>
          <w:p>
            <w:pPr>
              <w:ind w:left="200"/>
              <w:spacing w:after="0"/>
              <w:rPr>
                <w:sz w:val="20"/>
                <w:szCs w:val="20"/>
                <w:color w:val="auto"/>
              </w:rPr>
            </w:pPr>
            <w:r>
              <w:rPr>
                <w:rFonts w:ascii="Arial" w:cs="Arial" w:eastAsia="Arial" w:hAnsi="Arial"/>
                <w:sz w:val="18"/>
                <w:szCs w:val="18"/>
                <w:color w:val="auto"/>
                <w:w w:val="94"/>
              </w:rPr>
              <w:t>communication presents only an overview of the more complete proxy materials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i w:val="1"/>
                <w:iCs w:val="1"/>
                <w:color w:val="auto"/>
              </w:rPr>
              <w:t>HOUSTON, TX 77056</w:t>
            </w:r>
          </w:p>
        </w:tc>
        <w:tc>
          <w:tcPr>
            <w:tcW w:w="20" w:type="dxa"/>
            <w:vAlign w:val="bottom"/>
          </w:tcPr>
          <w:p>
            <w:pPr>
              <w:spacing w:after="0"/>
              <w:rPr>
                <w:sz w:val="18"/>
                <w:szCs w:val="18"/>
                <w:color w:val="auto"/>
              </w:rPr>
            </w:pPr>
          </w:p>
        </w:tc>
        <w:tc>
          <w:tcPr>
            <w:tcW w:w="6260" w:type="dxa"/>
            <w:vAlign w:val="bottom"/>
            <w:gridSpan w:val="5"/>
          </w:tcPr>
          <w:p>
            <w:pPr>
              <w:ind w:left="200"/>
              <w:spacing w:after="0"/>
              <w:rPr>
                <w:sz w:val="20"/>
                <w:szCs w:val="20"/>
                <w:color w:val="auto"/>
              </w:rPr>
            </w:pPr>
            <w:r>
              <w:rPr>
                <w:rFonts w:ascii="Arial" w:cs="Arial" w:eastAsia="Arial" w:hAnsi="Arial"/>
                <w:sz w:val="18"/>
                <w:szCs w:val="18"/>
                <w:color w:val="auto"/>
                <w:w w:val="93"/>
              </w:rPr>
              <w:t>that are available to you on the Internet. You may view the proxy materials online</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60" w:type="dxa"/>
            <w:vAlign w:val="bottom"/>
            <w:gridSpan w:val="5"/>
          </w:tcPr>
          <w:p>
            <w:pPr>
              <w:ind w:left="200"/>
              <w:spacing w:after="0"/>
              <w:rPr>
                <w:sz w:val="20"/>
                <w:szCs w:val="20"/>
                <w:color w:val="auto"/>
              </w:rPr>
            </w:pPr>
            <w:r>
              <w:rPr>
                <w:rFonts w:ascii="Arial" w:cs="Arial" w:eastAsia="Arial" w:hAnsi="Arial"/>
                <w:sz w:val="18"/>
                <w:szCs w:val="18"/>
                <w:color w:val="auto"/>
                <w:w w:val="88"/>
              </w:rPr>
              <w:t xml:space="preserve">at </w:t>
            </w:r>
            <w:r>
              <w:rPr>
                <w:rFonts w:ascii="Arial" w:cs="Arial" w:eastAsia="Arial" w:hAnsi="Arial"/>
                <w:sz w:val="18"/>
                <w:szCs w:val="18"/>
                <w:i w:val="1"/>
                <w:iCs w:val="1"/>
                <w:color w:val="auto"/>
                <w:w w:val="88"/>
              </w:rPr>
              <w:t>www.proxyvote.com,</w:t>
            </w:r>
            <w:r>
              <w:rPr>
                <w:rFonts w:ascii="Arial" w:cs="Arial" w:eastAsia="Arial" w:hAnsi="Arial"/>
                <w:sz w:val="18"/>
                <w:szCs w:val="18"/>
                <w:color w:val="auto"/>
                <w:w w:val="88"/>
              </w:rPr>
              <w:t xml:space="preserve"> scan the QR Barcode on the reverse side, or easily request a</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60" w:type="dxa"/>
            <w:vAlign w:val="bottom"/>
            <w:gridSpan w:val="5"/>
          </w:tcPr>
          <w:p>
            <w:pPr>
              <w:ind w:left="200"/>
              <w:spacing w:after="0"/>
              <w:rPr>
                <w:sz w:val="20"/>
                <w:szCs w:val="20"/>
                <w:color w:val="auto"/>
              </w:rPr>
            </w:pPr>
            <w:r>
              <w:rPr>
                <w:rFonts w:ascii="Arial" w:cs="Arial" w:eastAsia="Arial" w:hAnsi="Arial"/>
                <w:sz w:val="18"/>
                <w:szCs w:val="18"/>
                <w:color w:val="auto"/>
              </w:rPr>
              <w:t>paper copy (see reverse side).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380" w:right="120"/>
        <w:spacing w:after="0" w:line="277"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142875</wp:posOffset>
            </wp:positionV>
            <wp:extent cx="3978910"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78910" cy="334645"/>
                    </a:xfrm>
                    <a:prstGeom prst="rect">
                      <a:avLst/>
                    </a:prstGeom>
                    <a:noFill/>
                  </pic:spPr>
                </pic:pic>
              </a:graphicData>
            </a:graphic>
          </wp:anchor>
        </w:drawing>
      </w:r>
    </w:p>
    <w:p>
      <w:pPr>
        <w:spacing w:after="0" w:line="227"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FFFFFF"/>
        </w:rPr>
        <w:t>See the reverse side of this notice to obtain proxy materials and voting</w:t>
      </w:r>
    </w:p>
    <w:p>
      <w:pPr>
        <w:spacing w:after="0" w:line="3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FFFFFF"/>
        </w:rPr>
        <w:t>instructions.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M82534-P59254-Z64729</w:t>
      </w:r>
    </w:p>
    <w:p>
      <w:pPr>
        <w:sectPr>
          <w:pgSz w:w="11900" w:h="16838" w:orient="portrait"/>
          <w:cols w:equalWidth="0" w:num="1">
            <w:col w:w="11440"/>
          </w:cols>
          <w:pgMar w:left="240" w:top="270" w:right="219" w:bottom="1440" w:gutter="0" w:footer="0" w:header="0"/>
        </w:sectPr>
      </w:pPr>
    </w:p>
    <w:bookmarkStart w:id="2" w:name="page3"/>
    <w:bookmarkEnd w:id="2"/>
    <w:p>
      <w:pPr>
        <w:ind w:left="2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121" w:lineRule="exact"/>
        <w:rPr>
          <w:sz w:val="20"/>
          <w:szCs w:val="20"/>
          <w:color w:val="auto"/>
        </w:rPr>
      </w:pPr>
    </w:p>
    <w:p>
      <w:pPr>
        <w:ind w:left="209"/>
        <w:spacing w:after="0"/>
        <w:rPr>
          <w:sz w:val="20"/>
          <w:szCs w:val="20"/>
          <w:color w:val="auto"/>
        </w:rPr>
      </w:pPr>
      <w:r>
        <w:rPr>
          <w:rFonts w:ascii="Arial" w:cs="Arial" w:eastAsia="Arial" w:hAnsi="Arial"/>
          <w:sz w:val="18"/>
          <w:szCs w:val="18"/>
          <w:i w:val="1"/>
          <w:iCs w:val="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169545</wp:posOffset>
            </wp:positionV>
            <wp:extent cx="7195185" cy="2847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5185" cy="2847340"/>
                    </a:xfrm>
                    <a:prstGeom prst="rect">
                      <a:avLst/>
                    </a:prstGeom>
                    <a:noFill/>
                  </pic:spPr>
                </pic:pic>
              </a:graphicData>
            </a:graphic>
          </wp:anchor>
        </w:drawing>
      </w:r>
    </w:p>
    <w:p>
      <w:pPr>
        <w:spacing w:after="0" w:line="32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48" w:lineRule="exact"/>
        <w:rPr>
          <w:sz w:val="20"/>
          <w:szCs w:val="20"/>
          <w:color w:val="auto"/>
        </w:rPr>
      </w:pPr>
    </w:p>
    <w:p>
      <w:pPr>
        <w:ind w:left="9"/>
        <w:spacing w:after="0"/>
        <w:tabs>
          <w:tab w:leader="none" w:pos="3329"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12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How to View Online:</w:t>
      </w:r>
    </w:p>
    <w:p>
      <w:pPr>
        <w:sectPr>
          <w:pgSz w:w="11900" w:h="16838" w:orient="portrait"/>
          <w:cols w:equalWidth="0" w:num="1">
            <w:col w:w="11009"/>
          </w:cols>
          <w:pgMar w:left="451" w:top="270" w:right="439" w:bottom="1440" w:gutter="0" w:footer="0" w:header="0"/>
        </w:sectPr>
      </w:pPr>
    </w:p>
    <w:p>
      <w:pPr>
        <w:spacing w:after="0" w:line="162" w:lineRule="exact"/>
        <w:rPr>
          <w:sz w:val="20"/>
          <w:szCs w:val="20"/>
          <w:color w:val="auto"/>
        </w:rPr>
      </w:pPr>
    </w:p>
    <w:p>
      <w:pPr>
        <w:ind w:left="9" w:right="1660"/>
        <w:spacing w:after="0" w:line="277"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rFonts w:ascii="Arial" w:cs="Arial" w:eastAsia="Arial" w:hAnsi="Arial"/>
          <w:sz w:val="18"/>
          <w:szCs w:val="18"/>
          <w:i w:val="1"/>
          <w:iCs w:val="1"/>
          <w:color w:val="auto"/>
        </w:rPr>
        <w:t>www.proxyvote.com</w:t>
      </w:r>
      <w:r>
        <w:rPr>
          <w:rFonts w:ascii="Arial" w:cs="Arial" w:eastAsia="Arial" w:hAnsi="Arial"/>
          <w:sz w:val="18"/>
          <w:szCs w:val="18"/>
          <w:color w:val="auto"/>
        </w:rPr>
        <w:t>, or scan the QR Barcode below.</w:t>
      </w:r>
    </w:p>
    <w:p>
      <w:pPr>
        <w:spacing w:after="0" w:line="7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(located on the following page) and visit:</w:t>
      </w:r>
    </w:p>
    <w:p>
      <w:pPr>
        <w:spacing w:after="0" w:line="707" w:lineRule="exact"/>
        <w:rPr>
          <w:sz w:val="20"/>
          <w:szCs w:val="20"/>
          <w:color w:val="auto"/>
        </w:rPr>
      </w:pPr>
    </w:p>
    <w:p>
      <w:pPr>
        <w:sectPr>
          <w:pgSz w:w="11900" w:h="16838" w:orient="portrait"/>
          <w:cols w:equalWidth="0" w:num="2">
            <w:col w:w="6529" w:space="720"/>
            <w:col w:w="3760"/>
          </w:cols>
          <w:pgMar w:left="451" w:top="270" w:right="439" w:bottom="1440" w:gutter="0" w:footer="0" w:header="0"/>
          <w:type w:val="continuous"/>
        </w:sectPr>
      </w:pPr>
    </w:p>
    <w:p>
      <w:pPr>
        <w:ind w:left="9" w:right="60"/>
        <w:spacing w:after="0" w:line="27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76" w:lineRule="exact"/>
        <w:rPr>
          <w:sz w:val="20"/>
          <w:szCs w:val="20"/>
          <w:color w:val="auto"/>
        </w:rPr>
      </w:pPr>
    </w:p>
    <w:tbl>
      <w:tblPr>
        <w:tblLayout w:type="fixed"/>
        <w:tblInd w:w="1089" w:type="dxa"/>
        <w:tblCellMar>
          <w:top w:w="0" w:type="dxa"/>
          <w:left w:w="0" w:type="dxa"/>
          <w:bottom w:w="0" w:type="dxa"/>
          <w:right w:w="0" w:type="dxa"/>
        </w:tblCellMar>
      </w:tblP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4"/>
              </w:rPr>
              <w:t>1)</w:t>
            </w:r>
          </w:p>
        </w:tc>
        <w:tc>
          <w:tcPr>
            <w:tcW w:w="154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400" w:type="dxa"/>
            <w:vAlign w:val="bottom"/>
          </w:tcPr>
          <w:p>
            <w:pPr>
              <w:ind w:left="200"/>
              <w:spacing w:after="0"/>
              <w:rPr>
                <w:sz w:val="20"/>
                <w:szCs w:val="20"/>
                <w:color w:val="auto"/>
              </w:rPr>
            </w:pPr>
            <w:r>
              <w:rPr>
                <w:rFonts w:ascii="Arial" w:cs="Arial" w:eastAsia="Arial" w:hAnsi="Arial"/>
                <w:sz w:val="18"/>
                <w:szCs w:val="18"/>
                <w:color w:val="auto"/>
              </w:rPr>
              <w:t>www.proxyvote.com</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540" w:type="dxa"/>
            <w:vAlign w:val="bottom"/>
          </w:tcPr>
          <w:p>
            <w:pPr>
              <w:ind w:left="2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400" w:type="dxa"/>
            <w:vAlign w:val="bottom"/>
          </w:tcPr>
          <w:p>
            <w:pPr>
              <w:ind w:left="220"/>
              <w:spacing w:after="0"/>
              <w:rPr>
                <w:sz w:val="20"/>
                <w:szCs w:val="20"/>
                <w:color w:val="auto"/>
              </w:rPr>
            </w:pPr>
            <w:r>
              <w:rPr>
                <w:rFonts w:ascii="Arial" w:cs="Arial" w:eastAsia="Arial" w:hAnsi="Arial"/>
                <w:sz w:val="18"/>
                <w:szCs w:val="18"/>
                <w:color w:val="auto"/>
              </w:rPr>
              <w:t>1-800-579-1639</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4"/>
              </w:rPr>
              <w:t>3)</w:t>
            </w:r>
          </w:p>
        </w:tc>
        <w:tc>
          <w:tcPr>
            <w:tcW w:w="154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400" w:type="dxa"/>
            <w:vAlign w:val="bottom"/>
          </w:tcPr>
          <w:p>
            <w:pPr>
              <w:ind w:left="240"/>
              <w:spacing w:after="0"/>
              <w:rPr>
                <w:sz w:val="20"/>
                <w:szCs w:val="20"/>
                <w:color w:val="auto"/>
              </w:rPr>
            </w:pPr>
            <w:r>
              <w:rPr>
                <w:rFonts w:ascii="Arial" w:cs="Arial" w:eastAsia="Arial" w:hAnsi="Arial"/>
                <w:sz w:val="18"/>
                <w:szCs w:val="18"/>
                <w:color w:val="auto"/>
                <w:w w:val="89"/>
              </w:rPr>
              <w:t>sendmaterial@proxyvote.com</w:t>
            </w:r>
          </w:p>
        </w:tc>
      </w:tr>
    </w:tbl>
    <w:p>
      <w:pPr>
        <w:spacing w:after="0" w:line="107" w:lineRule="exact"/>
        <w:rPr>
          <w:sz w:val="20"/>
          <w:szCs w:val="20"/>
          <w:color w:val="auto"/>
        </w:rPr>
      </w:pPr>
    </w:p>
    <w:p>
      <w:pPr>
        <w:ind w:left="169" w:right="1620" w:hanging="169"/>
        <w:spacing w:after="0" w:line="283" w:lineRule="auto"/>
        <w:tabs>
          <w:tab w:leader="none" w:pos="17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requesting materials by e-mail, please send a blank e-mail with the information that is printed in the box marked by the arrow </w:t>
      </w:r>
      <w:r>
        <w:rPr>
          <w:rFonts w:ascii="Arial" w:cs="Arial" w:eastAsia="Arial" w:hAnsi="Arial"/>
          <w:sz w:val="1"/>
          <w:szCs w:val="1"/>
          <w:color w:val="auto"/>
        </w:rPr>
        <w:drawing>
          <wp:inline distT="0" distB="0" distL="0" distR="0">
            <wp:extent cx="1329055" cy="12001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9055" cy="12001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72" w:lineRule="exact"/>
        <w:rPr>
          <w:sz w:val="20"/>
          <w:szCs w:val="20"/>
          <w:color w:val="auto"/>
        </w:rPr>
      </w:pPr>
    </w:p>
    <w:p>
      <w:pPr>
        <w:ind w:left="9"/>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8"/>
          <w:szCs w:val="18"/>
          <w:color w:val="auto"/>
        </w:rPr>
        <w:t>Please make the request as instructed above on or before March 25, 2015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4373880</wp:posOffset>
            </wp:positionH>
            <wp:positionV relativeFrom="paragraph">
              <wp:posOffset>254635</wp:posOffset>
            </wp:positionV>
            <wp:extent cx="1869440" cy="488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69440" cy="4889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9"/>
        <w:spacing w:after="0"/>
        <w:rPr>
          <w:sz w:val="20"/>
          <w:szCs w:val="20"/>
          <w:color w:val="auto"/>
        </w:rPr>
      </w:pPr>
      <w:r>
        <w:rPr>
          <w:rFonts w:ascii="Arial" w:cs="Arial" w:eastAsia="Arial" w:hAnsi="Arial"/>
          <w:sz w:val="18"/>
          <w:szCs w:val="18"/>
          <w:b w:val="1"/>
          <w:bCs w:val="1"/>
          <w:color w:val="auto"/>
        </w:rPr>
        <w:t>How To Vote</w:t>
      </w:r>
    </w:p>
    <w:p>
      <w:pPr>
        <w:spacing w:after="0" w:line="135" w:lineRule="exact"/>
        <w:rPr>
          <w:sz w:val="20"/>
          <w:szCs w:val="20"/>
          <w:color w:val="auto"/>
        </w:rPr>
      </w:pPr>
    </w:p>
    <w:p>
      <w:pPr>
        <w:ind w:left="229"/>
        <w:spacing w:after="0"/>
        <w:rPr>
          <w:sz w:val="20"/>
          <w:szCs w:val="20"/>
          <w:color w:val="auto"/>
        </w:rPr>
      </w:pPr>
      <w:r>
        <w:rPr>
          <w:rFonts w:ascii="Arial" w:cs="Arial" w:eastAsia="Arial" w:hAnsi="Arial"/>
          <w:sz w:val="18"/>
          <w:szCs w:val="18"/>
          <w:i w:val="1"/>
          <w:iCs w:val="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177800</wp:posOffset>
            </wp:positionV>
            <wp:extent cx="7195185" cy="1123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5185" cy="1123315"/>
                    </a:xfrm>
                    <a:prstGeom prst="rect">
                      <a:avLst/>
                    </a:prstGeom>
                    <a:noFill/>
                  </pic:spPr>
                </pic:pic>
              </a:graphicData>
            </a:graphic>
          </wp:anchor>
        </w:drawing>
      </w:r>
    </w:p>
    <w:p>
      <w:pPr>
        <w:spacing w:after="0" w:line="336" w:lineRule="exact"/>
        <w:rPr>
          <w:sz w:val="20"/>
          <w:szCs w:val="20"/>
          <w:color w:val="auto"/>
        </w:rPr>
      </w:pPr>
    </w:p>
    <w:p>
      <w:pPr>
        <w:jc w:val="both"/>
        <w:ind w:left="9" w:right="20"/>
        <w:spacing w:after="0" w:line="266"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 issued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entity holding the meeting. Please check the meeting materials for any special requirements for meeting attendance. At the meeting, you will need to request a ballot to vote these shares.</w:t>
      </w:r>
    </w:p>
    <w:p>
      <w:pPr>
        <w:spacing w:after="0" w:line="82"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b w:val="1"/>
          <w:bCs w:val="1"/>
          <w:color w:val="auto"/>
        </w:rPr>
        <w:t xml:space="preserve"> </w:t>
      </w:r>
      <w:r>
        <w:rPr>
          <w:rFonts w:ascii="Arial" w:cs="Arial" w:eastAsia="Arial" w:hAnsi="Arial"/>
          <w:sz w:val="16"/>
          <w:szCs w:val="16"/>
          <w:color w:val="auto"/>
        </w:rPr>
        <w:t>or from a smart phone, scan the QR Barcode above. Have the information that is printed in the box marked</w:t>
      </w:r>
    </w:p>
    <w:p>
      <w:pPr>
        <w:spacing w:after="0" w:line="50" w:lineRule="exact"/>
        <w:rPr>
          <w:sz w:val="20"/>
          <w:szCs w:val="20"/>
          <w:color w:val="auto"/>
        </w:rPr>
      </w:pPr>
    </w:p>
    <w:p>
      <w:pPr>
        <w:ind w:left="9"/>
        <w:spacing w:after="0"/>
        <w:rPr>
          <w:sz w:val="20"/>
          <w:szCs w:val="20"/>
          <w:color w:val="auto"/>
        </w:rPr>
      </w:pPr>
      <w:r>
        <w:rPr>
          <w:rFonts w:ascii="Arial" w:cs="Arial" w:eastAsia="Arial" w:hAnsi="Arial"/>
          <w:sz w:val="18"/>
          <w:szCs w:val="18"/>
          <w:color w:val="auto"/>
        </w:rPr>
        <w:t xml:space="preserve">by the arrow  </w:t>
      </w:r>
      <w:r>
        <w:rPr>
          <w:sz w:val="1"/>
          <w:szCs w:val="1"/>
          <w:color w:val="auto"/>
        </w:rPr>
        <w:drawing>
          <wp:inline distT="0" distB="0" distL="0" distR="0">
            <wp:extent cx="1329055" cy="1200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9055" cy="12001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11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337" w:lineRule="exact"/>
        <w:rPr>
          <w:sz w:val="20"/>
          <w:szCs w:val="20"/>
          <w:color w:val="auto"/>
        </w:rPr>
      </w:pPr>
    </w:p>
    <w:p>
      <w:pPr>
        <w:ind w:left="29"/>
        <w:spacing w:after="0"/>
        <w:rPr>
          <w:sz w:val="20"/>
          <w:szCs w:val="20"/>
          <w:color w:val="auto"/>
        </w:rPr>
      </w:pPr>
      <w:r>
        <w:rPr>
          <w:rFonts w:ascii="Arial" w:cs="Arial" w:eastAsia="Arial" w:hAnsi="Arial"/>
          <w:sz w:val="18"/>
          <w:szCs w:val="18"/>
          <w:color w:val="auto"/>
        </w:rPr>
        <w:t>M82535-P59254-Z64729</w:t>
      </w:r>
    </w:p>
    <w:p>
      <w:pPr>
        <w:sectPr>
          <w:pgSz w:w="11900" w:h="16838" w:orient="portrait"/>
          <w:cols w:equalWidth="0" w:num="1">
            <w:col w:w="11009"/>
          </w:cols>
          <w:pgMar w:left="451" w:top="270" w:right="439" w:bottom="1440" w:gutter="0" w:footer="0" w:header="0"/>
          <w:type w:val="continuous"/>
        </w:sectPr>
      </w:pPr>
    </w:p>
    <w:bookmarkStart w:id="3" w:name="page4"/>
    <w:bookmarkEnd w:id="3"/>
    <w:p>
      <w:pPr>
        <w:ind w:left="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144081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171450"/>
                    </a:xfrm>
                    <a:prstGeom prst="rect">
                      <a:avLst/>
                    </a:prstGeom>
                    <a:noFill/>
                  </pic:spPr>
                </pic:pic>
              </a:graphicData>
            </a:graphic>
          </wp:anchor>
        </w:drawing>
        <w:t>Voting Items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you vote FOR the following:</w:t>
      </w:r>
    </w:p>
    <w:p>
      <w:pPr>
        <w:spacing w:after="0" w:line="158" w:lineRule="exact"/>
        <w:rPr>
          <w:sz w:val="20"/>
          <w:szCs w:val="20"/>
          <w:color w:val="auto"/>
        </w:rPr>
      </w:pPr>
    </w:p>
    <w:p>
      <w:pPr>
        <w:ind w:left="340" w:hanging="3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1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2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1a.   Peter L.S. Currie</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1b.   K. Vaman Kamath</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1c.   V. Maureen Kempston Darkes</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1d.   Paal Kibsgaard</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1e.   Nikolay Kudryavtsev</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1f.   Michael E. Marks</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1g.   Indra K. Nooyi</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1h.   Lubna S. Olayan</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1i.   Leo Rafael Reif</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1j.   Tore I. Sandvold</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1k.   Henri Seydoux</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M82536-P59254-Z64729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Board of Directors recommends you vote FOR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-1282700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1" w:lineRule="exact"/>
        <w:rPr>
          <w:sz w:val="20"/>
          <w:szCs w:val="20"/>
          <w:color w:val="auto"/>
        </w:rPr>
      </w:pPr>
    </w:p>
    <w:p>
      <w:pPr>
        <w:ind w:left="360" w:right="720" w:hanging="360"/>
        <w:spacing w:after="0" w:line="277"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on an advisory basis, the Company’s executive compensation.</w:t>
      </w:r>
    </w:p>
    <w:p>
      <w:pPr>
        <w:spacing w:after="0" w:line="75" w:lineRule="exact"/>
        <w:rPr>
          <w:rFonts w:ascii="Arial" w:cs="Arial" w:eastAsia="Arial" w:hAnsi="Arial"/>
          <w:sz w:val="18"/>
          <w:szCs w:val="18"/>
          <w:color w:val="auto"/>
        </w:rPr>
      </w:pPr>
    </w:p>
    <w:p>
      <w:pPr>
        <w:ind w:left="360" w:hanging="360"/>
        <w:spacing w:after="0" w:line="277"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Company’s 2014 financial statements and the Board’s 2014 declarations of dividends.</w:t>
      </w:r>
    </w:p>
    <w:p>
      <w:pPr>
        <w:spacing w:after="0" w:line="75" w:lineRule="exact"/>
        <w:rPr>
          <w:rFonts w:ascii="Arial" w:cs="Arial" w:eastAsia="Arial" w:hAnsi="Arial"/>
          <w:sz w:val="18"/>
          <w:szCs w:val="18"/>
          <w:color w:val="auto"/>
        </w:rPr>
      </w:pPr>
    </w:p>
    <w:p>
      <w:pPr>
        <w:jc w:val="both"/>
        <w:ind w:left="360" w:right="100" w:hanging="360"/>
        <w:spacing w:after="0" w:line="342"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appointment of PricewaterhouseCoopers LLP as the Company’s independent registered public accounting firm for 2015.</w:t>
      </w:r>
    </w:p>
    <w:p>
      <w:pPr>
        <w:sectPr>
          <w:pgSz w:w="11900" w:h="16838" w:orient="portrait"/>
          <w:cols w:equalWidth="0" w:num="2">
            <w:col w:w="5060" w:space="720"/>
            <w:col w:w="5360"/>
          </w:cols>
          <w:pgMar w:left="240" w:top="594" w:right="5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2421255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2481580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M82537-P59254-Z64729</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2019-12-05T15:18:58Z</dcterms:created>
  <dcterms:modified xsi:type="dcterms:W3CDTF">2019-12-05T15:18:58Z</dcterms:modified>
</cp:coreProperties>
</file>