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1460"/>
        <w:spacing w:after="0"/>
        <w:tabs>
          <w:tab w:leader="none" w:pos="7620" w:val="left"/>
        </w:tabs>
        <w:rPr>
          <w:sz w:val="20"/>
          <w:szCs w:val="20"/>
          <w:color w:val="auto"/>
        </w:rPr>
      </w:pPr>
      <w:r>
        <w:rPr>
          <w:rFonts w:ascii="Arial" w:cs="Arial" w:eastAsia="Arial" w:hAnsi="Arial"/>
          <w:sz w:val="18"/>
          <w:szCs w:val="18"/>
          <w:b w:val="1"/>
          <w:bCs w:val="1"/>
          <w:color w:val="auto"/>
        </w:rPr>
        <w:t>For the Quarter ended: June 30, 2005</w:t>
      </w:r>
      <w:r>
        <w:rPr>
          <w:sz w:val="20"/>
          <w:szCs w:val="20"/>
          <w:color w:val="auto"/>
        </w:rPr>
        <w:tab/>
      </w:r>
      <w:r>
        <w:rPr>
          <w:rFonts w:ascii="Arial" w:cs="Arial" w:eastAsia="Arial" w:hAnsi="Arial"/>
          <w:sz w:val="15"/>
          <w:szCs w:val="15"/>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154305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4340" w:type="dxa"/>
            <w:vAlign w:val="bottom"/>
          </w:tcPr>
          <w:p>
            <w:pPr>
              <w:jc w:val="center"/>
              <w:ind w:right="2006"/>
              <w:spacing w:after="0"/>
              <w:rPr>
                <w:sz w:val="20"/>
                <w:szCs w:val="20"/>
                <w:color w:val="auto"/>
              </w:rPr>
            </w:pPr>
            <w:r>
              <w:rPr>
                <w:rFonts w:ascii="Arial" w:cs="Arial" w:eastAsia="Arial" w:hAnsi="Arial"/>
                <w:sz w:val="18"/>
                <w:szCs w:val="18"/>
                <w:b w:val="1"/>
                <w:bCs w:val="1"/>
                <w:color w:val="auto"/>
                <w:w w:val="98"/>
              </w:rPr>
              <w:t>NETHERLANDS ANTILLES</w:t>
            </w:r>
          </w:p>
        </w:tc>
        <w:tc>
          <w:tcPr>
            <w:tcW w:w="3140" w:type="dxa"/>
            <w:vAlign w:val="bottom"/>
          </w:tcPr>
          <w:p>
            <w:pPr>
              <w:jc w:val="center"/>
              <w:ind w:left="1986"/>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340" w:type="dxa"/>
            <w:vAlign w:val="bottom"/>
          </w:tcPr>
          <w:p>
            <w:pPr>
              <w:jc w:val="center"/>
              <w:ind w:right="202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140" w:type="dxa"/>
            <w:vAlign w:val="bottom"/>
          </w:tcPr>
          <w:p>
            <w:pPr>
              <w:jc w:val="center"/>
              <w:ind w:left="200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340" w:type="dxa"/>
            <w:vAlign w:val="bottom"/>
          </w:tcPr>
          <w:p>
            <w:pPr>
              <w:jc w:val="center"/>
              <w:ind w:right="2026"/>
              <w:spacing w:after="0"/>
              <w:rPr>
                <w:sz w:val="20"/>
                <w:szCs w:val="20"/>
                <w:color w:val="auto"/>
              </w:rPr>
            </w:pPr>
            <w:r>
              <w:rPr>
                <w:rFonts w:ascii="Arial" w:cs="Arial" w:eastAsia="Arial" w:hAnsi="Arial"/>
                <w:sz w:val="14"/>
                <w:szCs w:val="14"/>
                <w:b w:val="1"/>
                <w:bCs w:val="1"/>
                <w:color w:val="auto"/>
                <w:w w:val="88"/>
              </w:rPr>
              <w:t>incorporation or organization)</w:t>
            </w:r>
          </w:p>
        </w:tc>
        <w:tc>
          <w:tcPr>
            <w:tcW w:w="3140" w:type="dxa"/>
            <w:vAlign w:val="bottom"/>
          </w:tcPr>
          <w:p>
            <w:pPr>
              <w:jc w:val="center"/>
              <w:ind w:left="200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35" w:lineRule="exact"/>
        <w:rPr>
          <w:sz w:val="24"/>
          <w:szCs w:val="24"/>
          <w:color w:val="auto"/>
        </w:rPr>
      </w:pPr>
    </w:p>
    <w:p>
      <w:pPr>
        <w:sectPr>
          <w:pgSz w:w="11900" w:h="16838" w:orient="portrait"/>
          <w:cols w:equalWidth="0" w:num="1">
            <w:col w:w="11420"/>
          </w:cols>
          <w:pgMar w:left="240" w:top="355" w:right="239" w:bottom="1440" w:gutter="0" w:footer="0" w:header="0"/>
        </w:sectPr>
      </w:pPr>
    </w:p>
    <w:p>
      <w:pPr>
        <w:ind w:left="1540"/>
        <w:spacing w:after="0"/>
        <w:rPr>
          <w:sz w:val="20"/>
          <w:szCs w:val="20"/>
          <w:color w:val="auto"/>
        </w:rPr>
      </w:pPr>
      <w:r>
        <w:rPr>
          <w:rFonts w:ascii="Arial" w:cs="Arial" w:eastAsia="Arial" w:hAnsi="Arial"/>
          <w:sz w:val="16"/>
          <w:szCs w:val="16"/>
          <w:b w:val="1"/>
          <w:bCs w:val="1"/>
          <w:color w:val="auto"/>
        </w:rPr>
        <w:t>153 EAST 53</w:t>
      </w:r>
      <w:r>
        <w:rPr>
          <w:rFonts w:ascii="Arial" w:cs="Arial" w:eastAsia="Arial" w:hAnsi="Arial"/>
          <w:sz w:val="20"/>
          <w:szCs w:val="20"/>
          <w:b w:val="1"/>
          <w:bCs w:val="1"/>
          <w:color w:val="auto"/>
          <w:vertAlign w:val="superscript"/>
        </w:rPr>
        <w:t>rd</w:t>
      </w:r>
      <w:r>
        <w:rPr>
          <w:rFonts w:ascii="Arial" w:cs="Arial" w:eastAsia="Arial" w:hAnsi="Arial"/>
          <w:sz w:val="16"/>
          <w:szCs w:val="16"/>
          <w:b w:val="1"/>
          <w:bCs w:val="1"/>
          <w:color w:val="auto"/>
        </w:rPr>
        <w:t xml:space="preserve"> STREET, 57</w:t>
      </w:r>
      <w:r>
        <w:rPr>
          <w:rFonts w:ascii="Arial" w:cs="Arial" w:eastAsia="Arial" w:hAnsi="Arial"/>
          <w:sz w:val="20"/>
          <w:szCs w:val="20"/>
          <w:b w:val="1"/>
          <w:bCs w:val="1"/>
          <w:color w:val="auto"/>
          <w:vertAlign w:val="superscript"/>
        </w:rPr>
        <w:t>th</w:t>
      </w:r>
      <w:r>
        <w:rPr>
          <w:rFonts w:ascii="Arial" w:cs="Arial" w:eastAsia="Arial" w:hAnsi="Arial"/>
          <w:sz w:val="16"/>
          <w:szCs w:val="16"/>
          <w:b w:val="1"/>
          <w:bCs w:val="1"/>
          <w:color w:val="auto"/>
        </w:rPr>
        <w:t xml:space="preserve"> Floor</w:t>
      </w:r>
    </w:p>
    <w:p>
      <w:pPr>
        <w:spacing w:after="0" w:line="6"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NEW YORK, NEW YORK, U.S.A.</w:t>
      </w:r>
    </w:p>
    <w:p>
      <w:pPr>
        <w:spacing w:after="0" w:line="242"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42, RUE SAINT-DOMINIQUE</w:t>
      </w:r>
    </w:p>
    <w:p>
      <w:pPr>
        <w:spacing w:after="0" w:line="21"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PARIS, FRANCE</w:t>
      </w:r>
    </w:p>
    <w:p>
      <w:pPr>
        <w:spacing w:after="0" w:line="226"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PARKSTRAAT 83</w:t>
      </w:r>
    </w:p>
    <w:p>
      <w:pPr>
        <w:spacing w:after="0" w:line="21"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THE HAGUE,</w:t>
      </w:r>
    </w:p>
    <w:p>
      <w:pPr>
        <w:spacing w:after="0" w:line="9"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THE NETHERLANDS</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10022</w:t>
      </w:r>
    </w:p>
    <w:p>
      <w:pPr>
        <w:spacing w:after="0" w:line="200" w:lineRule="exact"/>
        <w:rPr>
          <w:sz w:val="24"/>
          <w:szCs w:val="24"/>
          <w:color w:val="auto"/>
        </w:rPr>
      </w:pPr>
    </w:p>
    <w:p>
      <w:pPr>
        <w:spacing w:after="0" w:line="255"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75007</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2514 JG</w:t>
      </w:r>
    </w:p>
    <w:p>
      <w:pPr>
        <w:spacing w:after="0" w:line="44" w:lineRule="exact"/>
        <w:rPr>
          <w:sz w:val="24"/>
          <w:szCs w:val="24"/>
          <w:color w:val="auto"/>
        </w:rPr>
      </w:pPr>
    </w:p>
    <w:p>
      <w:pPr>
        <w:sectPr>
          <w:pgSz w:w="11900" w:h="16838" w:orient="portrait"/>
          <w:cols w:equalWidth="0" w:num="2">
            <w:col w:w="7660" w:space="720"/>
            <w:col w:w="3040"/>
          </w:cols>
          <w:pgMar w:left="240" w:top="355" w:right="239" w:bottom="1440" w:gutter="0" w:footer="0" w:header="0"/>
          <w:type w:val="continuous"/>
        </w:sectPr>
      </w:pPr>
    </w:p>
    <w:p>
      <w:pPr>
        <w:ind w:left="1700"/>
        <w:spacing w:after="0"/>
        <w:tabs>
          <w:tab w:leader="none" w:pos="8320" w:val="left"/>
        </w:tabs>
        <w:rPr>
          <w:sz w:val="20"/>
          <w:szCs w:val="20"/>
          <w:color w:val="auto"/>
        </w:rPr>
      </w:pPr>
      <w:r>
        <w:rPr>
          <w:rFonts w:ascii="Arial" w:cs="Arial" w:eastAsia="Arial" w:hAnsi="Arial"/>
          <w:sz w:val="14"/>
          <w:szCs w:val="14"/>
          <w:b w:val="1"/>
          <w:bCs w:val="1"/>
          <w:color w:val="auto"/>
        </w:rPr>
        <w:t>(Addresses of principal executive offices)</w:t>
      </w:r>
      <w:r>
        <w:rPr>
          <w:sz w:val="20"/>
          <w:szCs w:val="20"/>
          <w:color w:val="auto"/>
        </w:rPr>
        <w:tab/>
      </w:r>
      <w:r>
        <w:rPr>
          <w:rFonts w:ascii="Arial" w:cs="Arial" w:eastAsia="Arial" w:hAnsi="Arial"/>
          <w:sz w:val="12"/>
          <w:szCs w:val="12"/>
          <w:b w:val="1"/>
          <w:bCs w:val="1"/>
          <w:color w:val="auto"/>
        </w:rPr>
        <w:t>(Zip Codes)</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ind w:right="180"/>
        <w:spacing w:after="0" w:line="229"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1" w:lineRule="exact"/>
        <w:rPr>
          <w:sz w:val="24"/>
          <w:szCs w:val="24"/>
          <w:color w:val="auto"/>
        </w:rPr>
      </w:pPr>
    </w:p>
    <w:p>
      <w:pPr>
        <w:ind w:right="1760"/>
        <w:spacing w:after="0" w:line="310" w:lineRule="exact"/>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660" w:type="dxa"/>
            <w:vAlign w:val="bottom"/>
          </w:tcPr>
          <w:p>
            <w:pPr>
              <w:spacing w:after="0"/>
              <w:rPr>
                <w:sz w:val="15"/>
                <w:szCs w:val="15"/>
                <w:color w:val="auto"/>
              </w:rPr>
            </w:pPr>
          </w:p>
        </w:tc>
        <w:tc>
          <w:tcPr>
            <w:tcW w:w="4960" w:type="dxa"/>
            <w:vAlign w:val="bottom"/>
            <w:gridSpan w:val="2"/>
          </w:tcPr>
          <w:p>
            <w:pPr>
              <w:jc w:val="center"/>
              <w:ind w:right="4540"/>
              <w:spacing w:after="0"/>
              <w:rPr>
                <w:sz w:val="20"/>
                <w:szCs w:val="20"/>
                <w:color w:val="auto"/>
              </w:rPr>
            </w:pPr>
            <w:r>
              <w:rPr>
                <w:rFonts w:ascii="Arial" w:cs="Arial" w:eastAsia="Arial" w:hAnsi="Arial"/>
                <w:sz w:val="14"/>
                <w:szCs w:val="14"/>
                <w:b w:val="1"/>
                <w:bCs w:val="1"/>
                <w:color w:val="auto"/>
                <w:w w:val="80"/>
              </w:rPr>
              <w:t>Class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6"/>
              </w:rPr>
              <w:t>Outstanding at June 30, 2005</w:t>
            </w:r>
          </w:p>
        </w:tc>
        <w:tc>
          <w:tcPr>
            <w:tcW w:w="1640" w:type="dxa"/>
            <w:vAlign w:val="bottom"/>
          </w:tcPr>
          <w:p>
            <w:pPr>
              <w:spacing w:after="0"/>
              <w:rPr>
                <w:sz w:val="15"/>
                <w:szCs w:val="15"/>
                <w:color w:val="auto"/>
              </w:rPr>
            </w:pPr>
          </w:p>
        </w:tc>
      </w:tr>
      <w:tr>
        <w:trPr>
          <w:trHeight w:val="95"/>
        </w:trPr>
        <w:tc>
          <w:tcPr>
            <w:tcW w:w="26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r>
      <w:tr>
        <w:trPr>
          <w:trHeight w:val="316"/>
        </w:trPr>
        <w:tc>
          <w:tcPr>
            <w:tcW w:w="7620" w:type="dxa"/>
            <w:vAlign w:val="bottom"/>
            <w:gridSpan w:val="3"/>
          </w:tcPr>
          <w:p>
            <w:pPr>
              <w:jc w:val="center"/>
              <w:ind w:right="1880"/>
              <w:spacing w:after="0"/>
              <w:rPr>
                <w:sz w:val="20"/>
                <w:szCs w:val="20"/>
                <w:color w:val="auto"/>
              </w:rPr>
            </w:pPr>
            <w:r>
              <w:rPr>
                <w:rFonts w:ascii="Arial" w:cs="Arial" w:eastAsia="Arial" w:hAnsi="Arial"/>
                <w:sz w:val="18"/>
                <w:szCs w:val="18"/>
                <w:color w:val="auto"/>
                <w:w w:val="92"/>
              </w:rPr>
              <w:t>COMMON STOCK, $0.01 PAR VALUE</w:t>
            </w:r>
          </w:p>
        </w:tc>
        <w:tc>
          <w:tcPr>
            <w:tcW w:w="2160" w:type="dxa"/>
            <w:vAlign w:val="bottom"/>
          </w:tcPr>
          <w:p>
            <w:pPr>
              <w:jc w:val="right"/>
              <w:ind w:right="582"/>
              <w:spacing w:after="0"/>
              <w:rPr>
                <w:sz w:val="20"/>
                <w:szCs w:val="20"/>
                <w:color w:val="auto"/>
              </w:rPr>
            </w:pPr>
            <w:r>
              <w:rPr>
                <w:rFonts w:ascii="Arial" w:cs="Arial" w:eastAsia="Arial" w:hAnsi="Arial"/>
                <w:sz w:val="18"/>
                <w:szCs w:val="18"/>
                <w:color w:val="auto"/>
              </w:rPr>
              <w:t>588,301,524</w:t>
            </w:r>
          </w:p>
        </w:tc>
        <w:tc>
          <w:tcPr>
            <w:tcW w:w="1640" w:type="dxa"/>
            <w:vAlign w:val="bottom"/>
          </w:tcPr>
          <w:p>
            <w:pPr>
              <w:spacing w:after="0"/>
              <w:rPr>
                <w:sz w:val="24"/>
                <w:szCs w:val="24"/>
                <w:color w:val="auto"/>
              </w:rPr>
            </w:pPr>
          </w:p>
        </w:tc>
      </w:tr>
      <w:tr>
        <w:trPr>
          <w:trHeight w:val="201"/>
        </w:trPr>
        <w:tc>
          <w:tcPr>
            <w:tcW w:w="26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(Stated 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Period Ended June 30,</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Second Quarter</w:t>
            </w:r>
          </w:p>
        </w:tc>
        <w:tc>
          <w:tcPr>
            <w:tcW w:w="80" w:type="dxa"/>
            <w:vAlign w:val="bottom"/>
          </w:tcPr>
          <w:p>
            <w:pPr>
              <w:spacing w:after="0"/>
              <w:rPr>
                <w:sz w:val="22"/>
                <w:szCs w:val="22"/>
                <w:color w:val="auto"/>
              </w:rPr>
            </w:pPr>
          </w:p>
        </w:tc>
        <w:tc>
          <w:tcPr>
            <w:tcW w:w="18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3,428,632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2,833,600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6,587,743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5,506,568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Interest &amp; other income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46,220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26,826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234,773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51,486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Cost of goods sold &amp; services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2,546,684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2,230,974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4,951,816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4,352,041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121,635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242,855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Marketing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14,566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10,475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24,628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90,895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81,859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176,317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Debt extinguishment costs</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37,412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50,437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96,999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 and minority interest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650,635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335,815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1,329,901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Taxes on income</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162,123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75,708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299,819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121,534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minority interest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488,512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260,107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1,030,082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Minority interest</w:t>
            </w:r>
          </w:p>
        </w:tc>
        <w:tc>
          <w:tcPr>
            <w:tcW w:w="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(15,311)</w:t>
            </w:r>
          </w:p>
        </w:tc>
        <w:tc>
          <w:tcPr>
            <w:tcW w:w="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(2,856)</w:t>
            </w:r>
          </w:p>
        </w:tc>
        <w:tc>
          <w:tcPr>
            <w:tcW w:w="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(32,444)</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(11,126)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473,201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257,251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997,638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20" w:type="dxa"/>
            <w:vAlign w:val="bottom"/>
            <w:gridSpan w:val="3"/>
          </w:tcPr>
          <w:p>
            <w:pPr>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9,000</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98,356</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7,972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211,204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482,201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355,607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1,005,610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0.80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0.44</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0.78</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0.43</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588,741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589,883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589,037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588,810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Assuming dilution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612,982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613,380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613,374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-2299970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-2299970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-2299970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-2299970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-2299970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-2299970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-2299970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-2299970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-2299970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-2299970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-2299970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-2299970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-1442085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-1442085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-1442085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-1442085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-1442085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-1442085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-1442085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-1442085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-1442085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-1442085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-1442085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-1442085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-584835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-584835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-584835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-584835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-584835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-584835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-584835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-584835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-584835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-584835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-584835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-584835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Amounts may not add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0"/>
              </w:rPr>
              <w:t>June 30, 2005</w:t>
            </w:r>
          </w:p>
        </w:tc>
        <w:tc>
          <w:tcPr>
            <w:tcW w:w="1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928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172,495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2,740,985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2,773,922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less allowance for doubtful accounts (2005 - $100,370; 2004 - $114,403)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3,056,509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2,663,642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944,913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819,745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271,566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372,583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7,559,051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7,059,749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80" w:type="dxa"/>
            <w:vAlign w:val="bottom"/>
            <w:gridSpan w:val="4"/>
          </w:tcPr>
          <w:p>
            <w:pPr>
              <w:spacing w:after="0"/>
              <w:rPr>
                <w:sz w:val="20"/>
                <w:szCs w:val="20"/>
                <w:color w:val="auto"/>
              </w:rPr>
            </w:pPr>
            <w:r>
              <w:rPr>
                <w:rFonts w:ascii="Arial" w:cs="Arial" w:eastAsia="Arial" w:hAnsi="Arial"/>
                <w:sz w:val="18"/>
                <w:szCs w:val="18"/>
                <w:color w:val="auto"/>
              </w:rPr>
              <w:t>FIXED INCOME INVESTMENTS, HELD TO MATURITY</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312,750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203,750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AFFILIATED COMPANIES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902,422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3,920,597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3,761,729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276,031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2,904,781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2,789,048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376,840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345,924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294,222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16,892,618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16,000,777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LIABILITIES &amp; STOCKHOLDERS’ EQUITY</w:t>
            </w:r>
          </w:p>
        </w:tc>
        <w:tc>
          <w:tcPr>
            <w:tcW w:w="5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9280" w:type="dxa"/>
            <w:vAlign w:val="bottom"/>
            <w:gridSpan w:val="4"/>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3,281,193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2,980,790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Estimated liability for taxes on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967,906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858,785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124,285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Long-term debt - current portion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126,324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&amp; short-term loans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564,767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Liabilities held for sale</w:t>
            </w: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5,064,475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4,701,200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8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3,779,437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3,944,180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701,028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147,456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151,457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9,692,396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9,467,602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445,937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2,589,799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2,454,219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retained for use in the business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7,046,212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6,287,905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Treasury stock at cost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(1,870,668)</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(1,684,394)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1"/>
              </w:rPr>
              <w:t>(1,011,058)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(940,993)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6,754,285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6,116,737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16,892,618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16,000,777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900" w:type="dxa"/>
            <w:vAlign w:val="bottom"/>
          </w:tcPr>
          <w:p>
            <w:pPr>
              <w:ind w:left="640"/>
              <w:spacing w:after="0"/>
              <w:rPr>
                <w:sz w:val="20"/>
                <w:szCs w:val="20"/>
                <w:color w:val="auto"/>
              </w:rPr>
            </w:pPr>
            <w:r>
              <w:rPr>
                <w:rFonts w:ascii="Arial" w:cs="Arial" w:eastAsia="Arial" w:hAnsi="Arial"/>
                <w:sz w:val="18"/>
                <w:szCs w:val="18"/>
                <w:color w:val="auto"/>
              </w:rPr>
              <w:t>See Notes to Consolidated 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80" w:type="dxa"/>
            <w:vAlign w:val="bottom"/>
            <w:gridSpan w:val="4"/>
          </w:tcPr>
          <w:p>
            <w:pPr>
              <w:ind w:left="562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-4613910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-4613910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-4613910</wp:posOffset>
            </wp:positionV>
            <wp:extent cx="78422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8422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-557530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-557530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-557530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-557530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-557530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997,638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364,689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income from continuing operations to cash provided by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line="217"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654,981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645,627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line="217" w:lineRule="exact"/>
              <w:rPr>
                <w:sz w:val="20"/>
                <w:szCs w:val="20"/>
                <w:color w:val="auto"/>
              </w:rPr>
            </w:pPr>
            <w:r>
              <w:rPr>
                <w:rFonts w:ascii="Arial" w:cs="Arial" w:eastAsia="Arial" w:hAnsi="Arial"/>
                <w:sz w:val="18"/>
                <w:szCs w:val="18"/>
                <w:color w:val="auto"/>
              </w:rPr>
              <w:t xml:space="preserve">Credits and charges, net of tax &amp; minority interest </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(134,381)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Earnings of companies carried at equity, less dividends received</w:t>
            </w:r>
          </w:p>
        </w:tc>
        <w:tc>
          <w:tcPr>
            <w:tcW w:w="100" w:type="dxa"/>
            <w:vAlign w:val="bottom"/>
          </w:tcPr>
          <w:p>
            <w:pPr>
              <w:spacing w:after="0"/>
              <w:rPr>
                <w:sz w:val="18"/>
                <w:szCs w:val="18"/>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(49,175)</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(43,850)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deferred taxes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(34,623)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Stock based compensation expense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18,816</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Provision for losses on accounts receivable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9,166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Change in operating assets and liabilities excluding acquisitions/divestitures: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receivables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(343,542)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Increase in inventories</w:t>
            </w:r>
          </w:p>
        </w:tc>
        <w:tc>
          <w:tcPr>
            <w:tcW w:w="100" w:type="dxa"/>
            <w:vAlign w:val="bottom"/>
          </w:tcPr>
          <w:p>
            <w:pPr>
              <w:spacing w:after="0"/>
              <w:rPr>
                <w:sz w:val="18"/>
                <w:szCs w:val="18"/>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(114,393)</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other current assets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(98,457)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Increase (decrease) in accounts payable and accrued liabilities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59,666</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estimated liability for taxes on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131,460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Increase in postretirement benefits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30,323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35,973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 - net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(46,862)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1,080,617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Purchase of fixed assets</w:t>
            </w:r>
          </w:p>
        </w:tc>
        <w:tc>
          <w:tcPr>
            <w:tcW w:w="100" w:type="dxa"/>
            <w:vAlign w:val="bottom"/>
          </w:tcPr>
          <w:p>
            <w:pPr>
              <w:spacing w:after="0"/>
              <w:rPr>
                <w:sz w:val="18"/>
                <w:szCs w:val="18"/>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(699,364)</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(467,863)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Multiclient seismic data capitalized</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(27,589)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Capitalization of intangible assets</w:t>
            </w:r>
          </w:p>
        </w:tc>
        <w:tc>
          <w:tcPr>
            <w:tcW w:w="100" w:type="dxa"/>
            <w:vAlign w:val="bottom"/>
          </w:tcPr>
          <w:p>
            <w:pPr>
              <w:spacing w:after="0"/>
              <w:rPr>
                <w:sz w:val="18"/>
                <w:szCs w:val="18"/>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(10,824)</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 of Atos shares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1,164,662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Business acquisitions, net of cash acquired</w:t>
            </w:r>
          </w:p>
        </w:tc>
        <w:tc>
          <w:tcPr>
            <w:tcW w:w="100" w:type="dxa"/>
            <w:vAlign w:val="bottom"/>
          </w:tcPr>
          <w:p>
            <w:pPr>
              <w:spacing w:after="0"/>
              <w:rPr>
                <w:sz w:val="18"/>
                <w:szCs w:val="18"/>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(55,591)</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business divestitures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34,340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1,535,658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Sale of Montrouge facility</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229,801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 (purchase) of investments, net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(93,970)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27,606</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(62,064)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PROVIDED BY INVESTING ACTIVITIES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(595,591)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2,679,689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(234,153)</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(220,224)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41,966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76,600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repurchase program</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(262,438)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1,897,657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extinguishment costs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Settlement of US Interest Rate Swap</w:t>
            </w:r>
          </w:p>
        </w:tc>
        <w:tc>
          <w:tcPr>
            <w:tcW w:w="100" w:type="dxa"/>
            <w:vAlign w:val="bottom"/>
          </w:tcPr>
          <w:p>
            <w:pPr>
              <w:spacing w:after="0"/>
              <w:rPr>
                <w:sz w:val="18"/>
                <w:szCs w:val="18"/>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Payments of principal on long-term debt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6"/>
              </w:rPr>
              <w:t>(2,055,025)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(3,296,795)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Net (decrease) increase in short-term debt</w:t>
            </w:r>
          </w:p>
        </w:tc>
        <w:tc>
          <w:tcPr>
            <w:tcW w:w="100" w:type="dxa"/>
            <w:vAlign w:val="bottom"/>
          </w:tcPr>
          <w:p>
            <w:pPr>
              <w:spacing w:after="0"/>
              <w:rPr>
                <w:sz w:val="19"/>
                <w:szCs w:val="19"/>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(7,629)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BY FINANCING ACTIVITIES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(543,022)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(3,331,962)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7,972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before translation</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(50,024)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Translation effect on cash</w:t>
            </w:r>
          </w:p>
        </w:tc>
        <w:tc>
          <w:tcPr>
            <w:tcW w:w="100" w:type="dxa"/>
            <w:vAlign w:val="bottom"/>
          </w:tcPr>
          <w:p>
            <w:pPr>
              <w:spacing w:after="0"/>
              <w:rPr>
                <w:sz w:val="18"/>
                <w:szCs w:val="18"/>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(984)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223,503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172,495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-172720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-172720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-172720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-172720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-172720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multiclient seismic data costs.</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 xml:space="preserve">See Note 2 – </w:t>
      </w:r>
      <w:r>
        <w:rPr>
          <w:rFonts w:ascii="Arial" w:cs="Arial" w:eastAsia="Arial" w:hAnsi="Arial"/>
          <w:sz w:val="18"/>
          <w:szCs w:val="18"/>
          <w:i w:val="1"/>
          <w:iCs w:val="1"/>
          <w:color w:val="auto"/>
        </w:rPr>
        <w:t>Charges and credits</w:t>
      </w:r>
      <w:r>
        <w:rPr>
          <w:rFonts w:ascii="Arial" w:cs="Arial" w:eastAsia="Arial" w:hAnsi="Arial"/>
          <w:sz w:val="18"/>
          <w:szCs w:val="18"/>
          <w:color w:val="auto"/>
        </w:rPr>
        <w:t xml:space="preserve"> – </w:t>
      </w:r>
      <w:r>
        <w:rPr>
          <w:rFonts w:ascii="Arial" w:cs="Arial" w:eastAsia="Arial" w:hAnsi="Arial"/>
          <w:sz w:val="18"/>
          <w:szCs w:val="18"/>
          <w:i w:val="1"/>
          <w:iCs w:val="1"/>
          <w:color w:val="auto"/>
        </w:rPr>
        <w:t>Continuing Operations</w:t>
      </w:r>
      <w:r>
        <w:rPr>
          <w:rFonts w:ascii="Arial" w:cs="Arial" w:eastAsia="Arial" w:hAnsi="Arial"/>
          <w:sz w:val="18"/>
          <w:szCs w:val="18"/>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w:t>
      </w:r>
    </w:p>
    <w:p>
      <w:pPr>
        <w:sectPr>
          <w:pgSz w:w="11900" w:h="16838" w:orient="portrait"/>
          <w:cols w:equalWidth="0" w:num="1">
            <w:col w:w="11420"/>
          </w:cols>
          <w:pgMar w:left="240" w:top="274" w:right="239" w:bottom="383"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60" w:type="dxa"/>
            <w:vAlign w:val="bottom"/>
            <w:gridSpan w:val="13"/>
          </w:tcPr>
          <w:p>
            <w:pPr>
              <w:jc w:val="right"/>
              <w:ind w:right="380"/>
              <w:spacing w:after="0"/>
              <w:rPr>
                <w:sz w:val="20"/>
                <w:szCs w:val="20"/>
                <w:color w:val="auto"/>
              </w:rPr>
            </w:pPr>
            <w:r>
              <w:rPr>
                <w:rFonts w:ascii="Arial" w:cs="Arial" w:eastAsia="Arial" w:hAnsi="Arial"/>
                <w:sz w:val="14"/>
                <w:szCs w:val="14"/>
                <w:b w:val="1"/>
                <w:bCs w:val="1"/>
                <w:color w:val="auto"/>
                <w:w w:val="87"/>
              </w:rPr>
              <w:t>Accumulated Other Comprehensive Income (Loss)</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80" w:type="dxa"/>
            <w:vAlign w:val="bottom"/>
            <w:gridSpan w:val="8"/>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gridSpan w:val="8"/>
            <w:vMerge w:val="continue"/>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0"/>
              </w:rPr>
              <w:t>Marked to</w:t>
            </w:r>
          </w:p>
        </w:tc>
        <w:tc>
          <w:tcPr>
            <w:tcW w:w="160" w:type="dxa"/>
            <w:vAlign w:val="bottom"/>
          </w:tcPr>
          <w:p>
            <w:pPr>
              <w:spacing w:after="0"/>
              <w:rPr>
                <w:sz w:val="8"/>
                <w:szCs w:val="8"/>
                <w:color w:val="auto"/>
              </w:rPr>
            </w:pPr>
          </w:p>
        </w:tc>
        <w:tc>
          <w:tcPr>
            <w:tcW w:w="8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1"/>
              </w:rPr>
              <w:t>Pension</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w w:val="92"/>
              </w:rPr>
              <w:t>Translation</w:t>
            </w:r>
          </w:p>
        </w:tc>
        <w:tc>
          <w:tcPr>
            <w:tcW w:w="98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4"/>
            <w:vMerge w:val="continue"/>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Issued</w:t>
            </w:r>
          </w:p>
        </w:tc>
        <w:tc>
          <w:tcPr>
            <w:tcW w:w="112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Treasury</w:t>
            </w:r>
          </w:p>
        </w:tc>
        <w:tc>
          <w:tcPr>
            <w:tcW w:w="10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Market</w:t>
            </w:r>
          </w:p>
        </w:tc>
        <w:tc>
          <w:tcPr>
            <w:tcW w:w="160" w:type="dxa"/>
            <w:vAlign w:val="bottom"/>
          </w:tcPr>
          <w:p>
            <w:pPr>
              <w:spacing w:after="0"/>
              <w:rPr>
                <w:sz w:val="15"/>
                <w:szCs w:val="15"/>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Liability</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0"/>
              </w:rPr>
              <w:t>Adjustment</w:t>
            </w:r>
          </w:p>
        </w:tc>
        <w:tc>
          <w:tcPr>
            <w:tcW w:w="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4"/>
              </w:rPr>
              <w:t>Income (Loss)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2005</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4"/>
              </w:rPr>
              <w:t>$2,454,219</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$(1,684,394)</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$6,287,905</w:t>
            </w: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(235,271)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(758,495)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1,005,610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1,005,610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Hanover stock marked to market, net of tax</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(22,814)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Derivatives marked to market, net of tax</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(38,776)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(38,776)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Minimum pension liability</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(43,430)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(43,430)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benefit on minimum pension liability</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Dividends declared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(247,303)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repurchase plan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(262,438)</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Employee stock purchase plan</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23,872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11,965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shares sold to optionees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less shares exchanged</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38,437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38,163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1,012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Stock based compensation cost</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18,816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on conversion of debentures</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Purchase of PetroAlliance</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53,438</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25,550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2005</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4"/>
              </w:rPr>
              <w:t>$2,589,799</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$(1,870,668)</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$7,046,212</w:t>
            </w: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(8,817)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(267,229)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(735,012)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935,545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gridSpan w:val="2"/>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bottom w:val="single" w:sz="8" w:color="auto"/>
            </w:tcBorders>
            <w:gridSpan w:val="2"/>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bottom w:val="single" w:sz="8" w:color="auto"/>
            </w:tcBorders>
            <w:gridSpan w:val="3"/>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11"/>
          </w:tcPr>
          <w:p>
            <w:pPr>
              <w:jc w:val="right"/>
              <w:spacing w:after="0"/>
              <w:rPr>
                <w:sz w:val="20"/>
                <w:szCs w:val="20"/>
                <w:color w:val="auto"/>
              </w:rPr>
            </w:pPr>
            <w:r>
              <w:rPr>
                <w:rFonts w:ascii="Arial" w:cs="Arial" w:eastAsia="Arial" w:hAnsi="Arial"/>
                <w:sz w:val="18"/>
                <w:szCs w:val="18"/>
                <w:b w:val="1"/>
                <w:bCs w:val="1"/>
                <w:color w:val="auto"/>
              </w:rPr>
              <w:t>SHARES OF COMMON STOCK</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gridSpan w:val="7"/>
          </w:tcPr>
          <w:p>
            <w:pPr>
              <w:jc w:val="right"/>
              <w:ind w:right="820"/>
              <w:spacing w:after="0"/>
              <w:rPr>
                <w:sz w:val="20"/>
                <w:szCs w:val="20"/>
                <w:color w:val="auto"/>
              </w:rPr>
            </w:pPr>
            <w:r>
              <w:rPr>
                <w:rFonts w:ascii="Arial" w:cs="Arial" w:eastAsia="Arial" w:hAnsi="Arial"/>
                <w:sz w:val="18"/>
                <w:szCs w:val="18"/>
                <w:b w:val="1"/>
                <w:bCs w:val="1"/>
                <w:color w:val="auto"/>
              </w:rPr>
              <w:t>(Unaudited)</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15"/>
                <w:szCs w:val="15"/>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In Treasury</w:t>
            </w:r>
          </w:p>
        </w:tc>
        <w:tc>
          <w:tcPr>
            <w:tcW w:w="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Borders>
              <w:bottom w:val="single" w:sz="8" w:color="auto"/>
            </w:tcBorders>
            <w:gridSpan w:val="4"/>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2005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667,106,015</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(78,604,352)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588,501,663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Shares issued on conversion of debentures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612,924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612,924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Stock repurchase plan</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(3,777,700)</w:t>
            </w:r>
          </w:p>
        </w:tc>
        <w:tc>
          <w:tcPr>
            <w:tcW w:w="12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(3,777,700)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Shares sold to optionees less shares exchanged</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1,792,247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1,792,247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Purchase of PetroAlliance</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1,150,323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1,150,323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Borders>
              <w:bottom w:val="single" w:sz="8" w:color="auto"/>
            </w:tcBorders>
            <w:gridSpan w:val="4"/>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2005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667,106,082</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(78,804,558)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588,301,524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-2233295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-2233295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-2233295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-2233295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-2233295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-2233295</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-2233295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-2233295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-2233295</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-2233295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-2233295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-2233295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-2233295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-2233295</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-2233295</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-2233295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-2233295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-2233295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-2233295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-2233295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-2233295</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8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which include the accounts of Schlumberger Limited (“Schlumberger”) and its subsidiaries,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six month period ended June 30, 2005 are not necessarily indicative of the results that may be expected for the full year ending December 31, 2005. The December 31, 2004 balance sheet information has been derived from the audited 2004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Schlumberger’s Annual Report on Form 10-K for the fiscal year ended December 31, 2004, filed with the Securities and Exchange Commission on March 4, 2005.</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prior year have been reclassified to conform to the current year presentation.</w:t>
      </w:r>
    </w:p>
    <w:p>
      <w:pPr>
        <w:spacing w:after="0" w:line="152" w:lineRule="exact"/>
        <w:rPr>
          <w:sz w:val="20"/>
          <w:szCs w:val="20"/>
          <w:color w:val="auto"/>
        </w:rPr>
      </w:pPr>
    </w:p>
    <w:p>
      <w:pPr>
        <w:ind w:right="7760" w:firstLine="8"/>
        <w:spacing w:after="0" w:line="332" w:lineRule="auto"/>
        <w:tabs>
          <w:tab w:leader="none" w:pos="17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Credits and Charges – Continuing Operations </w:t>
      </w:r>
      <w:r>
        <w:rPr>
          <w:rFonts w:ascii="Arial" w:cs="Arial" w:eastAsia="Arial" w:hAnsi="Arial"/>
          <w:sz w:val="18"/>
          <w:szCs w:val="18"/>
          <w:b w:val="1"/>
          <w:bCs w:val="1"/>
          <w:color w:val="auto"/>
        </w:rPr>
        <w:t>2005</w:t>
      </w:r>
    </w:p>
    <w:p>
      <w:pPr>
        <w:spacing w:after="0" w:line="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 xml:space="preserve">In March 2005, Schlumberger sold its facility in Montrouge, France to a third party for $230, million resulting in a pretax and after-tax gain of approximately $146 million, which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Schlumberger also recorded other real estate related pretax charges of approximately $12 million ($11 million after-tax), which are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Extinguishment Costs</w:t>
      </w:r>
    </w:p>
    <w:p>
      <w:pPr>
        <w:spacing w:after="0" w:line="158"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In June 2004, Schlumberger Technology Corporation bought back and retired $351 million of its outstanding $1 billion 6.5% Notes due 2012. As a result, Schlumberger recorded a pretax charge of $37 million ($23 million after-tax), which included market premium and transaction costs.</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March 2004, Schlumberger plc (SPLC) accepted tenders for the outstanding £175 million SPLC 6.50% Guaranteed Bonds due 2032. In addition, Schlumberger SA (SSA) bought back €25 million of the outstanding €274 million SSA 5.25% Guaranteed Bonds due 2008 and €7 million of the outstanding €259 million SSA 5.875% Guaranteed Bonds due 2011. As a result, Schlumberger recorded a pretax and after-tax charge of $77 million, which included market and tender premiums, and transaction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above pretax charges are classified in </w:t>
      </w:r>
      <w:r>
        <w:rPr>
          <w:rFonts w:ascii="Arial" w:cs="Arial" w:eastAsia="Arial" w:hAnsi="Arial"/>
          <w:sz w:val="18"/>
          <w:szCs w:val="18"/>
          <w:i w:val="1"/>
          <w:iCs w:val="1"/>
          <w:color w:val="auto"/>
        </w:rPr>
        <w:t>Debt extinguishment costs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Credits and Charges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2004:</w:t>
      </w:r>
    </w:p>
    <w:p>
      <w:pPr>
        <w:spacing w:after="0" w:line="77" w:lineRule="exact"/>
        <w:rPr>
          <w:sz w:val="20"/>
          <w:szCs w:val="20"/>
          <w:color w:val="auto"/>
        </w:rPr>
      </w:pPr>
    </w:p>
    <w:p>
      <w:pPr>
        <w:jc w:val="both"/>
        <w:ind w:left="780" w:right="200" w:hanging="326"/>
        <w:spacing w:after="0" w:line="256"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Schlumberger sold 9.7 million ordinary shares of Atos Origin SA at a price of €48.50 per share. The net proceeds for the sale were $551 million and Schlumberger recorded a pretax and after-tax loss of $7 million on this transaction, which reflects both banking fees and currency effect. The pretax charge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As a result of this transaction Schlumberger does not have any remaining ownership interest in Atos Origin SA.</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w:t>
      </w:r>
    </w:p>
    <w:p>
      <w:pPr>
        <w:sectPr>
          <w:pgSz w:w="11900" w:h="16838" w:orient="portrait"/>
          <w:cols w:equalWidth="0" w:num="1">
            <w:col w:w="11400"/>
          </w:cols>
          <w:pgMar w:left="240" w:top="274" w:right="259" w:bottom="1440" w:gutter="0" w:footer="0" w:header="0"/>
        </w:sectPr>
      </w:pPr>
    </w:p>
    <w:bookmarkStart w:id="6" w:name="page7"/>
    <w:bookmarkEnd w:id="6"/>
    <w:p>
      <w:pPr>
        <w:ind w:left="780" w:right="40" w:hanging="326"/>
        <w:spacing w:after="0" w:line="325"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connection with its restructuring program, in order to reduce overhead, Schlumberger recorded a pretax and after-tax charge of $4 million related to employee terminations. This charge is classified in </w:t>
      </w:r>
      <w:r>
        <w:rPr>
          <w:rFonts w:ascii="Arial" w:cs="Arial" w:eastAsia="Arial" w:hAnsi="Arial"/>
          <w:sz w:val="16"/>
          <w:szCs w:val="16"/>
          <w:i w:val="1"/>
          <w:iCs w:val="1"/>
          <w:color w:val="auto"/>
        </w:rPr>
        <w:t>Cost of goods sold &amp;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780" w:right="40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Schlumberger Technology Corporation settled its US Interest Rate Swaps resulting in a pretax gain of $10 million ($6 million after-tax), which is classified in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charge of $11 million related to a vacated leased facility in the UK, which is classified in </w:t>
      </w:r>
      <w:r>
        <w:rPr>
          <w:rFonts w:ascii="Arial" w:cs="Arial" w:eastAsia="Arial" w:hAnsi="Arial"/>
          <w:sz w:val="18"/>
          <w:szCs w:val="18"/>
          <w:i w:val="1"/>
          <w:iCs w:val="1"/>
          <w:color w:val="auto"/>
        </w:rPr>
        <w:t>Cost of goods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sold &amp; 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credit of $5 million related to the release of a litigation reserve that was no longer required, which is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quarter of 2004:</w:t>
      </w:r>
    </w:p>
    <w:p>
      <w:pPr>
        <w:spacing w:after="0" w:line="77" w:lineRule="exact"/>
        <w:rPr>
          <w:sz w:val="20"/>
          <w:szCs w:val="20"/>
          <w:color w:val="auto"/>
        </w:rPr>
      </w:pPr>
    </w:p>
    <w:p>
      <w:pPr>
        <w:ind w:left="780" w:hanging="326"/>
        <w:spacing w:after="0" w:line="256"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Schlumberger Technology Corporation paid off its commercial paper program in the US. As a result, the $500 million US interest-rate swaps that were designated as cash-flow hedges became ineffective. Schlumberger recorded a pretax non-cash charge of $73 million ($46 million after-tax) to recognize unrealized losses previously recorded in </w:t>
      </w:r>
      <w:r>
        <w:rPr>
          <w:rFonts w:ascii="Arial" w:cs="Arial" w:eastAsia="Arial" w:hAnsi="Arial"/>
          <w:sz w:val="18"/>
          <w:szCs w:val="18"/>
          <w:i w:val="1"/>
          <w:iCs w:val="1"/>
          <w:color w:val="auto"/>
        </w:rPr>
        <w:t>Other Comprehensive Income.</w:t>
      </w:r>
      <w:r>
        <w:rPr>
          <w:rFonts w:ascii="Arial" w:cs="Arial" w:eastAsia="Arial" w:hAnsi="Arial"/>
          <w:sz w:val="18"/>
          <w:szCs w:val="18"/>
          <w:color w:val="auto"/>
        </w:rPr>
        <w:t xml:space="preserve"> The pretax charge is classified in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Schlumberger sold 9.6 million ordinary shares of Atos Origin SA at a price of €52.95 per share. The net proceeds for the sale were $625 million and Schlumberger recorded a pretax and after-tax loss of $14 million on this transaction, which reflects both banking fees and currency effect. The pretax charge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jc w:val="both"/>
        <w:ind w:left="780" w:right="20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Schlumberger commenced a restructuring program in order to reduce overhead. Consequently, a pretax charge of $20 million ($14 million after-tax) was taken in the quarter related to a voluntary early retirement program in the United States and is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above 2004 charges:</w:t>
      </w:r>
    </w:p>
    <w:p>
      <w:pPr>
        <w:spacing w:after="0" w:line="77" w:lineRule="exact"/>
        <w:rPr>
          <w:sz w:val="20"/>
          <w:szCs w:val="20"/>
          <w:color w:val="auto"/>
        </w:rPr>
      </w:pPr>
    </w:p>
    <w:p>
      <w:pPr>
        <w:ind w:left="8780"/>
        <w:spacing w:after="0"/>
        <w:rPr>
          <w:sz w:val="20"/>
          <w:szCs w:val="20"/>
          <w:color w:val="auto"/>
        </w:rPr>
      </w:pPr>
      <w:r>
        <w:rPr>
          <w:rFonts w:ascii="Arial" w:cs="Arial" w:eastAsia="Arial" w:hAnsi="Arial"/>
          <w:sz w:val="18"/>
          <w:szCs w:val="18"/>
          <w:i w:val="1"/>
          <w:iCs w:val="1"/>
          <w:color w:val="auto"/>
        </w:rPr>
        <w:t>( Stated in millions )</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Pretax</w:t>
            </w:r>
          </w:p>
        </w:tc>
        <w:tc>
          <w:tcPr>
            <w:tcW w:w="200" w:type="dxa"/>
            <w:vAlign w:val="bottom"/>
          </w:tcPr>
          <w:p>
            <w:pPr>
              <w:spacing w:after="0"/>
              <w:rPr>
                <w:sz w:val="15"/>
                <w:szCs w:val="15"/>
                <w:color w:val="auto"/>
              </w:rPr>
            </w:pPr>
          </w:p>
        </w:tc>
        <w:tc>
          <w:tcPr>
            <w:tcW w:w="6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Tax</w:t>
            </w:r>
          </w:p>
        </w:tc>
        <w:tc>
          <w:tcPr>
            <w:tcW w:w="2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 Debt extinguishment costs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$ 115</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 Restructuring program charges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 Loss on sale of Atos Origin shares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 US interest-rate swap settlement gain</w:t>
            </w:r>
          </w:p>
        </w:tc>
        <w:tc>
          <w:tcPr>
            <w:tcW w:w="2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 Vacated leased facility charge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 Litigation reserve release</w:t>
            </w:r>
          </w:p>
        </w:tc>
        <w:tc>
          <w:tcPr>
            <w:tcW w:w="2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 Loss recognized on interest-rate swaps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Divestitures – Discontinued Operations</w:t>
      </w:r>
    </w:p>
    <w:p>
      <w:pPr>
        <w:spacing w:after="0" w:line="83"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 xml:space="preserve">During the second quarter of 2005, Credence Systems Corporation, the current owners of Schlumberger’s former NPTest semiconductor testing business, agreed to settle an outstanding contingent liability by paying Schlumberger $4 million in cash and 615,157 shares of common stock valued at approximately $5 million. Schlumberger sold its NPTest semiconductor testing business in July 2003 and reported it as a discontinued operation. This $9 million pretax and after-tax gain is reported as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in the second quarter of 2005.</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w:t>
      </w:r>
    </w:p>
    <w:p>
      <w:pPr>
        <w:sectPr>
          <w:pgSz w:w="11900" w:h="16838" w:orient="portrait"/>
          <w:cols w:equalWidth="0" w:num="1">
            <w:col w:w="11380"/>
          </w:cols>
          <w:pgMar w:left="240" w:top="280" w:right="279" w:bottom="1440" w:gutter="0" w:footer="0" w:header="0"/>
        </w:sectPr>
      </w:pPr>
    </w:p>
    <w:bookmarkStart w:id="7" w:name="page8"/>
    <w:bookmarkEnd w:id="7"/>
    <w:p>
      <w:pPr>
        <w:ind w:right="4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During the first quarter of 2005, Schlumberger completed the sales of its Global Tel*Link, Public Phones and Essentis businesses for $18 million in cash. At December 31, 2004, the assets and liabilities of these businesses that were subsequently eliminated from Schlumberger’s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were aggregated and presented as </w:t>
      </w:r>
      <w:r>
        <w:rPr>
          <w:rFonts w:ascii="Arial" w:cs="Arial" w:eastAsia="Arial" w:hAnsi="Arial"/>
          <w:sz w:val="16"/>
          <w:szCs w:val="16"/>
          <w:i w:val="1"/>
          <w:iCs w:val="1"/>
          <w:color w:val="auto"/>
        </w:rPr>
        <w:t>Assets held for sale</w:t>
      </w:r>
      <w:r>
        <w:rPr>
          <w:rFonts w:ascii="Arial" w:cs="Arial" w:eastAsia="Arial" w:hAnsi="Arial"/>
          <w:sz w:val="16"/>
          <w:szCs w:val="16"/>
          <w:color w:val="auto"/>
        </w:rPr>
        <w:t xml:space="preserve"> ($65 million) and </w:t>
      </w:r>
      <w:r>
        <w:rPr>
          <w:rFonts w:ascii="Arial" w:cs="Arial" w:eastAsia="Arial" w:hAnsi="Arial"/>
          <w:sz w:val="16"/>
          <w:szCs w:val="16"/>
          <w:i w:val="1"/>
          <w:iCs w:val="1"/>
          <w:color w:val="auto"/>
        </w:rPr>
        <w:t>Liabilities held for sale</w:t>
      </w:r>
      <w:r>
        <w:rPr>
          <w:rFonts w:ascii="Arial" w:cs="Arial" w:eastAsia="Arial" w:hAnsi="Arial"/>
          <w:sz w:val="16"/>
          <w:szCs w:val="16"/>
          <w:color w:val="auto"/>
        </w:rPr>
        <w:t xml:space="preserve"> ($35 million).</w:t>
      </w:r>
    </w:p>
    <w:p>
      <w:pPr>
        <w:spacing w:after="0" w:line="9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During 2004, Schlumberger completed the sales of the following businesses: SchlumbergerSema, Telecom Billing Software, Infodata, Business Continuity, Axalto, Electricity Metering North America and Telecom Messaging.</w:t>
      </w:r>
    </w:p>
    <w:p>
      <w:pPr>
        <w:spacing w:after="0" w:line="11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During the first quarter of 2004, Schlumberger recognized gains, net of taxes, related to the divestitures of SchlumbergerSema, Telecom Billing Software and Infodata of $26 million, $17 million and $48 million, respectively. The results of all of these divested businesses are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During the second quarter of 2004, Schlumberger recognized gains, net of taxes, related to the divestitures of SchlumbergerSema and Business Continuity of $15 million and $48 million, respectively, and losses, net of taxes, related to the divestitures of Axalto and Electricity Metering North America of $7 million and $24 million, respectively. The results of all of these divested businesses are reported as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In addition, the sale of Electricity Metering North America allowed for the recognition of a deferred tax asset of $49 million, which was previously offset by a valuation allowance, related to a tax loss carryforward associated with the sale of SchlumbergerSema. Such amount was recognized as a gain within </w:t>
      </w:r>
      <w:r>
        <w:rPr>
          <w:rFonts w:ascii="Arial" w:cs="Arial" w:eastAsia="Arial" w:hAnsi="Arial"/>
          <w:sz w:val="16"/>
          <w:szCs w:val="16"/>
          <w:i w:val="1"/>
          <w:iCs w:val="1"/>
          <w:color w:val="auto"/>
        </w:rPr>
        <w:t>Discontinued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Operations </w:t>
      </w:r>
      <w:r>
        <w:rPr>
          <w:rFonts w:ascii="Arial" w:cs="Arial" w:eastAsia="Arial" w:hAnsi="Arial"/>
          <w:sz w:val="16"/>
          <w:szCs w:val="16"/>
          <w:color w:val="auto"/>
        </w:rPr>
        <w:t>in the</w:t>
      </w:r>
      <w:r>
        <w:rPr>
          <w:rFonts w:ascii="Arial" w:cs="Arial" w:eastAsia="Arial" w:hAnsi="Arial"/>
          <w:sz w:val="16"/>
          <w:szCs w:val="16"/>
          <w:i w:val="1"/>
          <w:iCs w:val="1"/>
          <w:color w:val="auto"/>
        </w:rPr>
        <w:t xml:space="preserve"> Consolidated Statement of Income </w:t>
      </w:r>
      <w:r>
        <w:rPr>
          <w:rFonts w:ascii="Arial" w:cs="Arial" w:eastAsia="Arial" w:hAnsi="Arial"/>
          <w:sz w:val="16"/>
          <w:szCs w:val="16"/>
          <w:color w:val="auto"/>
        </w:rPr>
        <w:t>during the second quarter of 2004.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these discontinued operations:</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Second Quarter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41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2005</w:t>
            </w: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13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10" w:type="dxa"/>
            <w:vAlign w:val="bottom"/>
            <w:shd w:val="clear" w:color="auto" w:fill="CCEEFF"/>
          </w:tcPr>
          <w:p>
            <w:pPr>
              <w:ind w:left="13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513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Tax expense</w:t>
            </w:r>
          </w:p>
        </w:tc>
        <w:tc>
          <w:tcPr>
            <w:tcW w:w="5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10" w:type="dxa"/>
            <w:vAlign w:val="bottom"/>
          </w:tcPr>
          <w:p>
            <w:pPr>
              <w:ind w:left="1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Gains on disposal, net of tax</w:t>
            </w:r>
          </w:p>
        </w:tc>
        <w:tc>
          <w:tcPr>
            <w:tcW w:w="5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ind w:left="13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513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5020" w:type="dxa"/>
            <w:vAlign w:val="bottom"/>
            <w:vMerge w:val="restart"/>
          </w:tcPr>
          <w:p>
            <w:pPr>
              <w:jc w:val="right"/>
              <w:ind w:right="3232"/>
              <w:spacing w:after="0"/>
              <w:rPr>
                <w:sz w:val="20"/>
                <w:szCs w:val="20"/>
                <w:color w:val="auto"/>
              </w:rPr>
            </w:pPr>
            <w:r>
              <w:rPr>
                <w:rFonts w:ascii="Arial" w:cs="Arial" w:eastAsia="Arial" w:hAnsi="Arial"/>
                <w:sz w:val="18"/>
                <w:szCs w:val="18"/>
                <w:b w:val="1"/>
                <w:bCs w:val="1"/>
                <w:color w:val="auto"/>
              </w:rPr>
              <w:t>-8-</w:t>
            </w: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41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-325755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-325755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-325755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-325755</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-325755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-325755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-325755</wp:posOffset>
            </wp:positionV>
            <wp:extent cx="23558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558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8" w:name="page9"/>
    <w:bookmarkEnd w:id="8"/>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Earnings Per Share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to diluted earnings per share from continuing operations:</w:t>
      </w:r>
    </w:p>
    <w:p>
      <w:pPr>
        <w:spacing w:after="0" w:line="77" w:lineRule="exact"/>
        <w:rPr>
          <w:sz w:val="20"/>
          <w:szCs w:val="20"/>
          <w:color w:val="auto"/>
        </w:rPr>
      </w:pPr>
    </w:p>
    <w:p>
      <w:pPr>
        <w:ind w:left="8100"/>
        <w:spacing w:after="0"/>
        <w:rPr>
          <w:sz w:val="20"/>
          <w:szCs w:val="20"/>
          <w:color w:val="auto"/>
        </w:rPr>
      </w:pPr>
      <w:r>
        <w:rPr>
          <w:rFonts w:ascii="Arial" w:cs="Arial" w:eastAsia="Arial" w:hAnsi="Arial"/>
          <w:sz w:val="15"/>
          <w:szCs w:val="15"/>
          <w:i w:val="1"/>
          <w:iCs w:val="1"/>
          <w:color w:val="auto"/>
        </w:rPr>
        <w:t>(Stated in thousands except per share amounts)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w w:val="89"/>
              </w:rPr>
              <w:t>2005</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gridSpan w:val="2"/>
          </w:tcPr>
          <w:p>
            <w:pPr>
              <w:jc w:val="center"/>
              <w:ind w:left="254"/>
              <w:spacing w:after="0"/>
              <w:rPr>
                <w:sz w:val="20"/>
                <w:szCs w:val="20"/>
                <w:color w:val="auto"/>
              </w:rPr>
            </w:pPr>
            <w:r>
              <w:rPr>
                <w:rFonts w:ascii="Arial" w:cs="Arial" w:eastAsia="Arial" w:hAnsi="Arial"/>
                <w:sz w:val="14"/>
                <w:szCs w:val="14"/>
                <w:b w:val="1"/>
                <w:bCs w:val="1"/>
                <w:color w:val="auto"/>
                <w:w w:val="83"/>
              </w:rPr>
              <w:t>2004</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7"/>
              </w:rPr>
              <w:t>Earnings Per</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7"/>
              </w:rPr>
              <w:t>Earnings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Income from</w:t>
            </w: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 from</w:t>
            </w:r>
          </w:p>
        </w:tc>
        <w:tc>
          <w:tcPr>
            <w:tcW w:w="3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Income from</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Continuing</w:t>
            </w: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3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Continuing</w:t>
            </w:r>
          </w:p>
        </w:tc>
        <w:tc>
          <w:tcPr>
            <w:tcW w:w="3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Continuing</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Continuing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Operations</w:t>
            </w:r>
          </w:p>
        </w:tc>
        <w:tc>
          <w:tcPr>
            <w:tcW w:w="3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32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Operations</w:t>
            </w:r>
          </w:p>
        </w:tc>
        <w:tc>
          <w:tcPr>
            <w:tcW w:w="3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Operations</w:t>
            </w:r>
          </w:p>
        </w:tc>
        <w:tc>
          <w:tcPr>
            <w:tcW w:w="3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Operations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240" w:type="dxa"/>
            <w:vAlign w:val="bottom"/>
            <w:gridSpan w:val="4"/>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473,201</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588,741</w:t>
            </w:r>
          </w:p>
        </w:tc>
        <w:tc>
          <w:tcPr>
            <w:tcW w:w="50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0.80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257,251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589,883</w:t>
            </w:r>
          </w:p>
        </w:tc>
        <w:tc>
          <w:tcPr>
            <w:tcW w:w="5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Dilutive effect of convertible debentures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7,197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19,105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19,105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Dilutive effect of options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5,136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4,392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480,398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612,982</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264,448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613,380</w:t>
            </w:r>
          </w:p>
        </w:tc>
        <w:tc>
          <w:tcPr>
            <w:tcW w:w="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Borders>
              <w:bottom w:val="single" w:sz="8" w:color="auto"/>
            </w:tcBorders>
            <w:gridSpan w:val="2"/>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Earnings Per</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Earnings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Income from</w:t>
            </w: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 from</w:t>
            </w:r>
          </w:p>
        </w:tc>
        <w:tc>
          <w:tcPr>
            <w:tcW w:w="3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Income from</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Continuing</w:t>
            </w: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3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Continuing</w:t>
            </w:r>
          </w:p>
        </w:tc>
        <w:tc>
          <w:tcPr>
            <w:tcW w:w="3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Continuing</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Continuing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Operations</w:t>
            </w:r>
          </w:p>
        </w:tc>
        <w:tc>
          <w:tcPr>
            <w:tcW w:w="3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32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Operations</w:t>
            </w:r>
          </w:p>
        </w:tc>
        <w:tc>
          <w:tcPr>
            <w:tcW w:w="3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Operations</w:t>
            </w:r>
          </w:p>
        </w:tc>
        <w:tc>
          <w:tcPr>
            <w:tcW w:w="3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Operations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Six Months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240" w:type="dxa"/>
            <w:vAlign w:val="bottom"/>
            <w:gridSpan w:val="4"/>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997,638</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589,037</w:t>
            </w:r>
          </w:p>
        </w:tc>
        <w:tc>
          <w:tcPr>
            <w:tcW w:w="50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364,689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588,810</w:t>
            </w:r>
          </w:p>
        </w:tc>
        <w:tc>
          <w:tcPr>
            <w:tcW w:w="5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Dilutive effect of convertible debentures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14,394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19,105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19,105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Dilutive effect of options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5,232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4,705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$1,012,032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613,374</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379,083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612,620</w:t>
            </w:r>
          </w:p>
        </w:tc>
        <w:tc>
          <w:tcPr>
            <w:tcW w:w="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-2636520</wp:posOffset>
            </wp:positionV>
            <wp:extent cx="49276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-2636520</wp:posOffset>
            </wp:positionV>
            <wp:extent cx="49276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-1915795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-1915795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-1915795</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-1915795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-1915795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-1915795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-1915795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-1915795</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-1915795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-1915795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-1915795</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-1915795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-1915795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-1915795</wp:posOffset>
            </wp:positionV>
            <wp:extent cx="49276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-749300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-749300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-749300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-749300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-749300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-749300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48450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number of outstanding options to purchase shares of common stock which were not included in the computation of diluted earnings per share because to do so would have had an antidilutive effect, were as follows:</w:t>
      </w:r>
    </w:p>
    <w:p>
      <w:pPr>
        <w:spacing w:after="0" w:line="37"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(Stated in millions)</w:t>
      </w:r>
    </w:p>
    <w:p>
      <w:pPr>
        <w:spacing w:after="0" w:line="113"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4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322"/>
        </w:trPr>
        <w:tc>
          <w:tcPr>
            <w:tcW w:w="3020" w:type="dxa"/>
            <w:vAlign w:val="bottom"/>
            <w:gridSpan w:val="2"/>
          </w:tcPr>
          <w:p>
            <w:pPr>
              <w:spacing w:after="0"/>
              <w:rPr>
                <w:sz w:val="20"/>
                <w:szCs w:val="20"/>
                <w:color w:val="auto"/>
              </w:rPr>
            </w:pPr>
            <w:r>
              <w:rPr>
                <w:rFonts w:ascii="Arial" w:cs="Arial" w:eastAsia="Arial" w:hAnsi="Arial"/>
                <w:sz w:val="18"/>
                <w:szCs w:val="18"/>
                <w:color w:val="auto"/>
              </w:rPr>
              <w:t>Six months</w:t>
            </w: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rPr>
              <w:t>8.0</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8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On December 9, 2003, Schlumberger announced that it had signed an agreement to acquire PetroAlliance Services Company Limited (“PetroAlliance Services”) over a 3-year period. Schlumberger acquired 26% of PetroAlliance Services in the second quarter of 2004 for $12 million in cash and 421,870 shares of Schlumberger common stock valued at $24 million. During the second quarter of 2005 Schlumberger acquired an additional 25% of PetroAlliance Services for $40 million in cash and 1,150,323 shares of Schlumberger common stock valued at $79 million bringing its total ownership interest to 51%.</w:t>
      </w:r>
    </w:p>
    <w:p>
      <w:pPr>
        <w:spacing w:after="0" w:line="9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Under the terms of the agreement, the remaining 49% interest may be acquired in the second quarter of 2006, subject to performance requirements and other customary conditions. The acquisition price will continue to be determined by a performance-based formula, and paid one-third in cash and two-thirds in Schlumberger stock.</w:t>
      </w:r>
    </w:p>
    <w:p>
      <w:pPr>
        <w:spacing w:after="0" w:line="12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Schlumberger began consolidating the results of PetroAlliance Services in the second quarter of 2005. This investment had previously been accounted under the equity method.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$119 million purchase price paid in the second quarter of 2005 has been preliminarily allocated to the assets acquired and the liabilities assumed according to their fair value at the date of the transaction as follows:</w:t>
      </w:r>
    </w:p>
    <w:p>
      <w:pPr>
        <w:spacing w:after="0" w:line="37"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780" w:type="dxa"/>
            <w:vAlign w:val="bottom"/>
            <w:gridSpan w:val="4"/>
          </w:tcPr>
          <w:p>
            <w:pPr>
              <w:jc w:val="right"/>
              <w:ind w:right="60"/>
              <w:spacing w:after="0"/>
              <w:rPr>
                <w:sz w:val="20"/>
                <w:szCs w:val="20"/>
                <w:color w:val="auto"/>
              </w:rPr>
            </w:pPr>
            <w:r>
              <w:rPr>
                <w:rFonts w:ascii="Arial" w:cs="Arial" w:eastAsia="Arial" w:hAnsi="Arial"/>
                <w:sz w:val="18"/>
                <w:szCs w:val="18"/>
                <w:i w:val="1"/>
                <w:iCs w:val="1"/>
                <w:color w:val="auto"/>
              </w:rPr>
              <w:t>(Stated in millions)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Accounts receivable</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assets</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3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assets acquired</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60" w:type="dxa"/>
            <w:vAlign w:val="bottom"/>
            <w:gridSpan w:val="2"/>
          </w:tcPr>
          <w:p>
            <w:pPr>
              <w:spacing w:after="0"/>
              <w:rPr>
                <w:sz w:val="20"/>
                <w:szCs w:val="20"/>
                <w:color w:val="auto"/>
              </w:rPr>
            </w:pPr>
            <w:r>
              <w:rPr>
                <w:rFonts w:ascii="Arial" w:cs="Arial" w:eastAsia="Arial" w:hAnsi="Arial"/>
                <w:sz w:val="18"/>
                <w:szCs w:val="18"/>
                <w:color w:val="auto"/>
              </w:rPr>
              <w:t>Accounts payable and accrued liabilities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 current portion</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Long-term debt</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liabilities acquired</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6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Less: proportionate share of net assets</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previously held through equity investment</w:t>
            </w:r>
          </w:p>
        </w:tc>
        <w:tc>
          <w:tcPr>
            <w:tcW w:w="3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6254750</wp:posOffset>
            </wp:positionH>
            <wp:positionV relativeFrom="paragraph">
              <wp:posOffset>-27305</wp:posOffset>
            </wp:positionV>
            <wp:extent cx="26162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22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Approximately $76 million has been allocated to goodwill, which represents the excess of the purchase price over the fair value of the net assets acquired. This goodwill is not tax deductible. Schlumberger is awaiting the final results of a third-party valuation regarding certain assets acquired. Any potential adjustment to goodwill are expected to be recorded during the three months ended September 30, 2005. The amounts preliminarily allocated to other intangible assets primarily relate to customer relationships.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PetroAlliance Services’ revenue during the year ended December 31, 2004 was approximately $218 million.</w:t>
      </w:r>
    </w:p>
    <w:p>
      <w:pPr>
        <w:spacing w:after="0" w:line="15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During the second quarter of 2005 Schlumberger acquired Diamould Limited, a firm specializing in electrical power and instrumentation, hydraulic and fiber-optic connector solutions used in subsea, downhole and deepwater applications, for approximately $14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pertaining to these acquisitions are not presented as the impact was not significant.</w:t>
      </w:r>
    </w:p>
    <w:p>
      <w:pPr>
        <w:spacing w:after="0" w:line="152"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 in Affiliated Companies</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Schlumberger and Smith International Inc. operate a drilling fluids joint venture of which Schlumberger owns a 40% interest and records income using the equity method of accounting. Schlumberger’s investment on June 30, 2005 was $774 million and on December 31, 2004 was $716 million. Schlumberger’s equity income from this joint venture, which is included in </w:t>
      </w:r>
      <w:r>
        <w:rPr>
          <w:rFonts w:ascii="Arial" w:cs="Arial" w:eastAsia="Arial" w:hAnsi="Arial"/>
          <w:sz w:val="16"/>
          <w:szCs w:val="16"/>
          <w:i w:val="1"/>
          <w:iCs w:val="1"/>
          <w:color w:val="auto"/>
        </w:rPr>
        <w:t>Interest and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was $21 million in the second quarter of 2005 ($15 million in 2004) and $40 million in the six months ended June 30, 2005 ($32 million in 2004).</w:t>
      </w:r>
    </w:p>
    <w:p>
      <w:pPr>
        <w:spacing w:after="0" w:line="93"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Securitization</w:t>
      </w:r>
    </w:p>
    <w:p>
      <w:pPr>
        <w:spacing w:after="0" w:line="8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 wholly owned subsidiary of Schlumberger has an agreement to sell, on an ongoing basis, up to $250 million of an undivided interest in its accounts receivable. The amount currently drawn under this agreement totaled $194 million at June 30, 2005. Unless extended by amendment, the agreement expires in September 2005. Schlumberger does not have any retained interest in the accounts receivable sold under this agreement.</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-10-</w:t>
      </w:r>
    </w:p>
    <w:p>
      <w:pPr>
        <w:sectPr>
          <w:pgSz w:w="11900" w:h="16838" w:orient="portrait"/>
          <w:cols w:equalWidth="0" w:num="1">
            <w:col w:w="11380"/>
          </w:cols>
          <w:pgMar w:left="240" w:top="28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8. </w:t>
      </w:r>
      <w:r>
        <w:rPr>
          <w:rFonts w:ascii="Arial" w:cs="Arial" w:eastAsia="Arial" w:hAnsi="Arial"/>
          <w:sz w:val="18"/>
          <w:szCs w:val="18"/>
          <w:b w:val="1"/>
          <w:bCs w:val="1"/>
          <w:u w:val="single" w:color="auto"/>
          <w:color w:val="auto"/>
        </w:rPr>
        <w:t>Inventory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77" w:lineRule="exact"/>
        <w:rPr>
          <w:sz w:val="20"/>
          <w:szCs w:val="20"/>
          <w:color w:val="auto"/>
        </w:rPr>
      </w:pPr>
    </w:p>
    <w:p>
      <w:pPr>
        <w:ind w:left="7720"/>
        <w:spacing w:after="0"/>
        <w:rPr>
          <w:sz w:val="20"/>
          <w:szCs w:val="20"/>
          <w:color w:val="auto"/>
        </w:rPr>
      </w:pPr>
      <w:r>
        <w:rPr>
          <w:rFonts w:ascii="Arial" w:cs="Arial" w:eastAsia="Arial" w:hAnsi="Arial"/>
          <w:sz w:val="16"/>
          <w:szCs w:val="16"/>
          <w:i w:val="1"/>
          <w:iCs w:val="1"/>
          <w:color w:val="auto"/>
        </w:rPr>
        <w:t>(Stated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840" w:type="dxa"/>
            <w:vAlign w:val="bottom"/>
            <w:gridSpan w:val="4"/>
          </w:tcPr>
          <w:p>
            <w:pPr>
              <w:jc w:val="center"/>
              <w:ind w:left="175"/>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840" w:type="dxa"/>
            <w:vAlign w:val="bottom"/>
            <w:vMerge w:val="restart"/>
          </w:tcPr>
          <w:p>
            <w:pPr>
              <w:spacing w:after="0"/>
              <w:rPr>
                <w:sz w:val="8"/>
                <w:szCs w:val="8"/>
                <w:color w:val="auto"/>
              </w:rPr>
            </w:pPr>
          </w:p>
        </w:tc>
        <w:tc>
          <w:tcPr>
            <w:tcW w:w="1000" w:type="dxa"/>
            <w:vAlign w:val="bottom"/>
            <w:vMerge w:val="restart"/>
          </w:tcPr>
          <w:p>
            <w:pPr>
              <w:spacing w:after="0"/>
              <w:rPr>
                <w:sz w:val="8"/>
                <w:szCs w:val="8"/>
                <w:color w:val="auto"/>
              </w:rPr>
            </w:pPr>
          </w:p>
        </w:tc>
        <w:tc>
          <w:tcPr>
            <w:tcW w:w="18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924</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1,073</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Reserves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(128)</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945</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7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9. Fixed Assets</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7700" w:type="dxa"/>
            <w:vAlign w:val="bottom"/>
            <w:gridSpan w:val="6"/>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7700" w:type="dxa"/>
            <w:vAlign w:val="bottom"/>
            <w:gridSpan w:val="6"/>
          </w:tcPr>
          <w:p>
            <w:pPr>
              <w:spacing w:after="0"/>
              <w:rPr>
                <w:sz w:val="20"/>
                <w:szCs w:val="20"/>
                <w:color w:val="auto"/>
              </w:rPr>
            </w:pPr>
            <w:r>
              <w:rPr>
                <w:rFonts w:ascii="Arial" w:cs="Arial" w:eastAsia="Arial" w:hAnsi="Arial"/>
                <w:sz w:val="18"/>
                <w:szCs w:val="18"/>
                <w:color w:val="auto"/>
              </w:rPr>
              <w:t>A summary of fixed assets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8"/>
          </w:tcPr>
          <w:p>
            <w:pPr>
              <w:ind w:left="80"/>
              <w:spacing w:after="0"/>
              <w:rPr>
                <w:sz w:val="20"/>
                <w:szCs w:val="20"/>
                <w:color w:val="auto"/>
              </w:rPr>
            </w:pPr>
            <w:r>
              <w:rPr>
                <w:rFonts w:ascii="Arial" w:cs="Arial" w:eastAsia="Arial" w:hAnsi="Arial"/>
                <w:sz w:val="18"/>
                <w:szCs w:val="18"/>
                <w:i w:val="1"/>
                <w:iCs w:val="1"/>
                <w:color w:val="auto"/>
                <w:w w:val="90"/>
              </w:rPr>
              <w:t>(Stated in millions)</w:t>
            </w:r>
          </w:p>
        </w:tc>
        <w:tc>
          <w:tcPr>
            <w:tcW w:w="0" w:type="dxa"/>
            <w:vAlign w:val="bottom"/>
          </w:tcPr>
          <w:p>
            <w:pPr>
              <w:spacing w:after="0"/>
              <w:rPr>
                <w:sz w:val="1"/>
                <w:szCs w:val="1"/>
                <w:color w:val="auto"/>
              </w:rPr>
            </w:pPr>
          </w:p>
        </w:tc>
      </w:tr>
      <w:tr>
        <w:trPr>
          <w:trHeight w:val="246"/>
        </w:trPr>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June 30</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840" w:type="dxa"/>
            <w:vAlign w:val="bottom"/>
            <w:gridSpan w:val="4"/>
          </w:tcPr>
          <w:p>
            <w:pPr>
              <w:jc w:val="center"/>
              <w:ind w:left="175"/>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gridSpan w:val="3"/>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840" w:type="dxa"/>
            <w:vAlign w:val="bottom"/>
            <w:vMerge w:val="restart"/>
          </w:tcPr>
          <w:p>
            <w:pPr>
              <w:spacing w:after="0"/>
              <w:rPr>
                <w:sz w:val="8"/>
                <w:szCs w:val="8"/>
                <w:color w:val="auto"/>
              </w:rPr>
            </w:pPr>
          </w:p>
        </w:tc>
        <w:tc>
          <w:tcPr>
            <w:tcW w:w="1000" w:type="dxa"/>
            <w:vAlign w:val="bottom"/>
            <w:vMerge w:val="restart"/>
          </w:tcPr>
          <w:p>
            <w:pPr>
              <w:spacing w:after="0"/>
              <w:rPr>
                <w:sz w:val="8"/>
                <w:szCs w:val="8"/>
                <w:color w:val="auto"/>
              </w:rPr>
            </w:pPr>
          </w:p>
        </w:tc>
        <w:tc>
          <w:tcPr>
            <w:tcW w:w="18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$ 11,326</w:t>
            </w:r>
          </w:p>
        </w:tc>
        <w:tc>
          <w:tcPr>
            <w:tcW w:w="8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$11,069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7,405</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7,307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3,921</w:t>
            </w:r>
          </w:p>
        </w:tc>
        <w:tc>
          <w:tcPr>
            <w:tcW w:w="8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$ 3,762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7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10. Multiclient Seismic Data</w:t>
            </w: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7700" w:type="dxa"/>
            <w:vAlign w:val="bottom"/>
            <w:gridSpan w:val="6"/>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7700" w:type="dxa"/>
            <w:vAlign w:val="bottom"/>
            <w:gridSpan w:val="6"/>
          </w:tcPr>
          <w:p>
            <w:pPr>
              <w:spacing w:after="0"/>
              <w:rPr>
                <w:sz w:val="20"/>
                <w:szCs w:val="20"/>
                <w:color w:val="auto"/>
              </w:rPr>
            </w:pPr>
            <w:r>
              <w:rPr>
                <w:rFonts w:ascii="Arial" w:cs="Arial" w:eastAsia="Arial" w:hAnsi="Arial"/>
                <w:sz w:val="18"/>
                <w:szCs w:val="18"/>
                <w:color w:val="auto"/>
              </w:rPr>
              <w:t>The change in the carrying amount of multiclient seismic data is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8"/>
          </w:tcPr>
          <w:p>
            <w:pPr>
              <w:spacing w:after="0"/>
              <w:rPr>
                <w:sz w:val="20"/>
                <w:szCs w:val="20"/>
                <w:color w:val="auto"/>
              </w:rPr>
            </w:pPr>
            <w:r>
              <w:rPr>
                <w:rFonts w:ascii="Arial" w:cs="Arial" w:eastAsia="Arial" w:hAnsi="Arial"/>
                <w:sz w:val="18"/>
                <w:szCs w:val="18"/>
                <w:i w:val="1"/>
                <w:iCs w:val="1"/>
                <w:color w:val="auto"/>
                <w:w w:val="95"/>
              </w:rPr>
              <w:t>(Stated in millions)</w:t>
            </w:r>
          </w:p>
        </w:tc>
        <w:tc>
          <w:tcPr>
            <w:tcW w:w="0" w:type="dxa"/>
            <w:vAlign w:val="bottom"/>
          </w:tcPr>
          <w:p>
            <w:pPr>
              <w:spacing w:after="0"/>
              <w:rPr>
                <w:sz w:val="1"/>
                <w:szCs w:val="1"/>
                <w:color w:val="auto"/>
              </w:rPr>
            </w:pPr>
          </w:p>
        </w:tc>
      </w:tr>
      <w:tr>
        <w:trPr>
          <w:trHeight w:val="110"/>
        </w:trPr>
        <w:tc>
          <w:tcPr>
            <w:tcW w:w="18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840" w:type="dxa"/>
            <w:vAlign w:val="bottom"/>
            <w:vMerge w:val="restart"/>
          </w:tcPr>
          <w:p>
            <w:pPr>
              <w:spacing w:after="0"/>
              <w:rPr>
                <w:sz w:val="9"/>
                <w:szCs w:val="9"/>
                <w:color w:val="auto"/>
              </w:rPr>
            </w:pPr>
          </w:p>
        </w:tc>
        <w:tc>
          <w:tcPr>
            <w:tcW w:w="1000" w:type="dxa"/>
            <w:vAlign w:val="bottom"/>
            <w:vMerge w:val="restart"/>
          </w:tcPr>
          <w:p>
            <w:pPr>
              <w:spacing w:after="0"/>
              <w:rPr>
                <w:sz w:val="9"/>
                <w:szCs w:val="9"/>
                <w:color w:val="auto"/>
              </w:rPr>
            </w:pPr>
          </w:p>
        </w:tc>
        <w:tc>
          <w:tcPr>
            <w:tcW w:w="18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3"/>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Capitalized in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Charged to cost of goods sold &amp; services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3"/>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840" w:type="dxa"/>
            <w:vAlign w:val="bottom"/>
            <w:vMerge w:val="restart"/>
          </w:tcPr>
          <w:p>
            <w:pPr>
              <w:spacing w:after="0"/>
              <w:rPr>
                <w:sz w:val="8"/>
                <w:szCs w:val="8"/>
                <w:color w:val="auto"/>
              </w:rPr>
            </w:pPr>
          </w:p>
        </w:tc>
        <w:tc>
          <w:tcPr>
            <w:tcW w:w="1000" w:type="dxa"/>
            <w:vAlign w:val="bottom"/>
            <w:vMerge w:val="restart"/>
          </w:tcPr>
          <w:p>
            <w:pPr>
              <w:spacing w:after="0"/>
              <w:rPr>
                <w:sz w:val="8"/>
                <w:szCs w:val="8"/>
                <w:color w:val="auto"/>
              </w:rPr>
            </w:pPr>
          </w:p>
        </w:tc>
        <w:tc>
          <w:tcPr>
            <w:tcW w:w="18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-3261995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-3261995</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-3261995</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-3261995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-3261995</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-3261995</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-1546860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-1546860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-1546860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-1546860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-1546860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-1546860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by business segment for the six months ended June 30, 2005 are as follows:</w:t>
      </w:r>
    </w:p>
    <w:p>
      <w:pPr>
        <w:spacing w:after="0" w:line="100" w:lineRule="exact"/>
        <w:rPr>
          <w:sz w:val="20"/>
          <w:szCs w:val="20"/>
          <w:color w:val="auto"/>
        </w:rPr>
      </w:pPr>
    </w:p>
    <w:p>
      <w:pPr>
        <w:ind w:left="7720"/>
        <w:spacing w:after="0"/>
        <w:rPr>
          <w:sz w:val="20"/>
          <w:szCs w:val="20"/>
          <w:color w:val="auto"/>
        </w:rPr>
      </w:pPr>
      <w:r>
        <w:rPr>
          <w:rFonts w:ascii="Arial" w:cs="Arial" w:eastAsia="Arial" w:hAnsi="Arial"/>
          <w:sz w:val="16"/>
          <w:szCs w:val="16"/>
          <w:i w:val="1"/>
          <w:iCs w:val="1"/>
          <w:color w:val="auto"/>
        </w:rPr>
        <w:t>(Stated in millions)</w:t>
      </w:r>
    </w:p>
    <w:p>
      <w:pPr>
        <w:spacing w:after="0" w:line="123"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Oilfield</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Western</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79"/>
              </w:rPr>
              <w:t>Services</w:t>
            </w:r>
          </w:p>
        </w:tc>
        <w:tc>
          <w:tcPr>
            <w:tcW w:w="10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rPr>
              <w:t>Geco</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244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Additions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300"/>
              <w:spacing w:after="0"/>
              <w:rPr>
                <w:sz w:val="20"/>
                <w:szCs w:val="20"/>
                <w:color w:val="auto"/>
              </w:rPr>
            </w:pPr>
            <w:r>
              <w:rPr>
                <w:rFonts w:ascii="Arial" w:cs="Arial" w:eastAsia="Arial" w:hAnsi="Arial"/>
                <w:sz w:val="18"/>
                <w:szCs w:val="18"/>
                <w:color w:val="auto"/>
                <w:w w:val="79"/>
              </w:rPr>
              <w:t>4</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9"/>
              </w:rPr>
              <w:t>Impact of change in exchange rates</w:t>
            </w:r>
          </w:p>
        </w:tc>
        <w:tc>
          <w:tcPr>
            <w:tcW w:w="2600" w:type="dxa"/>
            <w:vAlign w:val="bottom"/>
            <w:gridSpan w:val="3"/>
          </w:tcPr>
          <w:p>
            <w:pPr>
              <w:jc w:val="right"/>
              <w:ind w:right="3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2005</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248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740" w:type="dxa"/>
            <w:vAlign w:val="bottom"/>
            <w:vMerge w:val="restart"/>
          </w:tcPr>
          <w:p>
            <w:pPr>
              <w:jc w:val="right"/>
              <w:ind w:right="972"/>
              <w:spacing w:after="0"/>
              <w:rPr>
                <w:sz w:val="20"/>
                <w:szCs w:val="20"/>
                <w:color w:val="auto"/>
              </w:rPr>
            </w:pPr>
            <w:r>
              <w:rPr>
                <w:rFonts w:ascii="Arial" w:cs="Arial" w:eastAsia="Arial" w:hAnsi="Arial"/>
                <w:sz w:val="18"/>
                <w:szCs w:val="18"/>
                <w:b w:val="1"/>
                <w:bCs w:val="1"/>
                <w:color w:val="auto"/>
              </w:rPr>
              <w:t>-11-</w:t>
            </w: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-325755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-325755</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-325755</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-325755</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-325755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-325755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-325755</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11" w:name="page12"/>
    <w:bookmarkEnd w:id="11"/>
    <w:p>
      <w:pPr>
        <w:ind w:left="280" w:hanging="272"/>
        <w:spacing w:after="0"/>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Intangible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follows:</w:t>
      </w:r>
    </w:p>
    <w:p>
      <w:pPr>
        <w:spacing w:after="0" w:line="77" w:lineRule="exact"/>
        <w:rPr>
          <w:sz w:val="20"/>
          <w:szCs w:val="20"/>
          <w:color w:val="auto"/>
        </w:rPr>
      </w:pPr>
    </w:p>
    <w:p>
      <w:pPr>
        <w:ind w:left="7800"/>
        <w:spacing w:after="0"/>
        <w:rPr>
          <w:sz w:val="20"/>
          <w:szCs w:val="20"/>
          <w:color w:val="auto"/>
        </w:rPr>
      </w:pPr>
      <w:r>
        <w:rPr>
          <w:rFonts w:ascii="Arial" w:cs="Arial" w:eastAsia="Arial" w:hAnsi="Arial"/>
          <w:sz w:val="18"/>
          <w:szCs w:val="18"/>
          <w:i w:val="1"/>
          <w:iCs w:val="1"/>
          <w:color w:val="auto"/>
        </w:rPr>
        <w:t>(Stated in millions)</w:t>
      </w:r>
    </w:p>
    <w:p>
      <w:pPr>
        <w:spacing w:after="0" w:line="10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June 30</w:t>
            </w:r>
          </w:p>
        </w:tc>
        <w:tc>
          <w:tcPr>
            <w:tcW w:w="320" w:type="dxa"/>
            <w:vAlign w:val="bottom"/>
          </w:tcPr>
          <w:p>
            <w:pPr>
              <w:spacing w:after="0"/>
              <w:rPr>
                <w:sz w:val="14"/>
                <w:szCs w:val="14"/>
                <w:color w:val="auto"/>
              </w:rPr>
            </w:pPr>
          </w:p>
        </w:tc>
        <w:tc>
          <w:tcPr>
            <w:tcW w:w="46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7"/>
              <w:spacing w:after="0"/>
              <w:rPr>
                <w:sz w:val="20"/>
                <w:szCs w:val="20"/>
                <w:color w:val="auto"/>
              </w:rPr>
            </w:pPr>
            <w:r>
              <w:rPr>
                <w:rFonts w:ascii="Arial" w:cs="Arial" w:eastAsia="Arial" w:hAnsi="Arial"/>
                <w:sz w:val="14"/>
                <w:szCs w:val="14"/>
                <w:b w:val="1"/>
                <w:bCs w:val="1"/>
                <w:color w:val="auto"/>
                <w:w w:val="76"/>
              </w:rPr>
              <w:t>2005</w:t>
            </w:r>
          </w:p>
        </w:tc>
        <w:tc>
          <w:tcPr>
            <w:tcW w:w="7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Gross book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27876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8765" cy="29845"/>
                    </a:xfrm>
                    <a:prstGeom prst="rect">
                      <a:avLst/>
                    </a:prstGeom>
                    <a:noFill/>
                  </pic:spPr>
                </pic:pic>
              </a:graphicData>
            </a:graphic>
          </wp:anchor>
        </w:drawing>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Amortization expense was $18 million and $38 million for the three and six months ended June 30, 2005, respectively, and $22 million and $39 million for the three and six months ended June 30, 2004,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At June 30, 2005, the gross book value, accumulated amortization and amortization periods of intangible assets were as follows:</w:t>
      </w:r>
    </w:p>
    <w:p>
      <w:pPr>
        <w:spacing w:after="0" w:line="77"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59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i w:val="1"/>
                <w:iCs w:val="1"/>
                <w:color w:val="auto"/>
                <w:w w:val="89"/>
              </w:rPr>
              <w:t>(Stated in millions)</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76"/>
              <w:spacing w:after="0"/>
              <w:rPr>
                <w:sz w:val="20"/>
                <w:szCs w:val="20"/>
                <w:color w:val="auto"/>
              </w:rPr>
            </w:pPr>
            <w:r>
              <w:rPr>
                <w:rFonts w:ascii="Arial" w:cs="Arial" w:eastAsia="Arial" w:hAnsi="Arial"/>
                <w:sz w:val="14"/>
                <w:szCs w:val="14"/>
                <w:b w:val="1"/>
                <w:bCs w:val="1"/>
                <w:color w:val="auto"/>
                <w:w w:val="83"/>
              </w:rPr>
              <w:t>Gross</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6"/>
              </w:rPr>
              <w:t>Accumulated</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140" w:type="dxa"/>
            <w:vAlign w:val="bottom"/>
            <w:gridSpan w:val="3"/>
          </w:tcPr>
          <w:p>
            <w:pPr>
              <w:ind w:left="2480"/>
              <w:spacing w:after="0"/>
              <w:rPr>
                <w:sz w:val="20"/>
                <w:szCs w:val="20"/>
                <w:color w:val="auto"/>
              </w:rPr>
            </w:pPr>
            <w:r>
              <w:rPr>
                <w:rFonts w:ascii="Arial" w:cs="Arial" w:eastAsia="Arial" w:hAnsi="Arial"/>
                <w:sz w:val="14"/>
                <w:szCs w:val="14"/>
                <w:b w:val="1"/>
                <w:bCs w:val="1"/>
                <w:color w:val="auto"/>
                <w:w w:val="83"/>
              </w:rPr>
              <w:t>Book Value</w:t>
            </w:r>
          </w:p>
        </w:tc>
        <w:tc>
          <w:tcPr>
            <w:tcW w:w="56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560" w:type="dxa"/>
            <w:vAlign w:val="bottom"/>
          </w:tcPr>
          <w:p>
            <w:pPr>
              <w:spacing w:after="0"/>
              <w:rPr>
                <w:sz w:val="15"/>
                <w:szCs w:val="15"/>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b w:val="1"/>
                <w:bCs w:val="1"/>
                <w:color w:val="auto"/>
              </w:rPr>
              <w:t>Periods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59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62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77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Technology</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147</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88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5 -10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5 -10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22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1 -15 years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59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77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7 years.</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Based on the balance of intangible assets at June 30, 2005, the annual amortization expense for each of the succeeding five fiscal years is estimated to be approximately: 2006 - $85 million, 2007 - $67 million, 2008 - $50 million, 2009 - $31 million and 2010 - $26 million. Amortization expense for the six months ended December 31, 2005 is estimated to be approximately $40 million.</w:t>
      </w:r>
    </w:p>
    <w:p>
      <w:pPr>
        <w:spacing w:after="0" w:line="121"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Compensation Plans</w:t>
      </w:r>
    </w:p>
    <w:p>
      <w:pPr>
        <w:spacing w:after="0" w:line="83"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 xml:space="preserve">As of June 30, 2005, Schlumberger had two types of stock-based compensation plans which are described in Schlumberger’s 2004 Annual Report on Form 10-K. Schlumberger recorded stock-based compensation expense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 xml:space="preserve"> under the fair value recognition provisions of SFAS Nos. 123 and 148 commencing in the third quarter of 2003, on a prospective basis for grants after January 1, 2003. The effect of stock based compensation expense on net income was $10.0 million in the second quarter of 2005 ($6.3 million in the second quarter of 2004) and $18.8 million during the six months ended June 30, 2005 ($12.7 million for the six months ended June 30, 2004). Schlumberger applies the intrinsic value method of APB Opinion 25 for grants prior to January 1, 2003. Had compensation cost for the stock-based Schlumberger plans been determined based on the fair value at the grant dates for awards prior to January 1, 2003, consistent with the method of SFAS 123, Schlumberger’s net income and earnings per share would have been the pro forma amounts indicated below:</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-12-</w:t>
      </w:r>
    </w:p>
    <w:p>
      <w:pPr>
        <w:sectPr>
          <w:pgSz w:w="11900" w:h="16838" w:orient="portrait"/>
          <w:cols w:equalWidth="0" w:num="1">
            <w:col w:w="11400"/>
          </w:cols>
          <w:pgMar w:left="240" w:top="274" w:right="259" w:bottom="1440" w:gutter="0" w:footer="0" w:header="0"/>
        </w:sectPr>
      </w:pPr>
    </w:p>
    <w:bookmarkStart w:id="12" w:name="page13"/>
    <w:bookmarkEnd w:id="12"/>
    <w:p>
      <w:pPr>
        <w:ind w:left="8240"/>
        <w:spacing w:after="0"/>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(Stated in millions except per share amounts)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1"/>
              </w:rPr>
              <w:t>Second Quarter</w:t>
            </w:r>
          </w:p>
        </w:tc>
        <w:tc>
          <w:tcPr>
            <w:tcW w:w="100" w:type="dxa"/>
            <w:vAlign w:val="bottom"/>
          </w:tcPr>
          <w:p>
            <w:pPr>
              <w:spacing w:after="0"/>
              <w:rPr>
                <w:sz w:val="15"/>
                <w:szCs w:val="15"/>
                <w:color w:val="auto"/>
              </w:rPr>
            </w:pPr>
          </w:p>
        </w:tc>
        <w:tc>
          <w:tcPr>
            <w:tcW w:w="12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2005</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2004</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482</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356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1,006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adjustments: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Cost of Stock Options</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Tax benefit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0.82</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0.60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1.71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adjustments: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Cost of Stock Options</w:t>
            </w:r>
          </w:p>
        </w:tc>
        <w:tc>
          <w:tcPr>
            <w:tcW w:w="1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(0.01)</w:t>
            </w:r>
          </w:p>
        </w:tc>
        <w:tc>
          <w:tcPr>
            <w:tcW w:w="1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(0.02)</w:t>
            </w:r>
          </w:p>
        </w:tc>
        <w:tc>
          <w:tcPr>
            <w:tcW w:w="100" w:type="dxa"/>
            <w:vAlign w:val="bottom"/>
          </w:tcPr>
          <w:p>
            <w:pPr>
              <w:spacing w:after="0"/>
              <w:rPr>
                <w:sz w:val="19"/>
                <w:szCs w:val="19"/>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(0.02)</w:t>
            </w:r>
          </w:p>
        </w:tc>
        <w:tc>
          <w:tcPr>
            <w:tcW w:w="1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(0.04)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0.80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0.59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adjustments: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Cost of Stock Options</w:t>
            </w:r>
          </w:p>
        </w:tc>
        <w:tc>
          <w:tcPr>
            <w:tcW w:w="1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(0.01)</w:t>
            </w:r>
          </w:p>
        </w:tc>
        <w:tc>
          <w:tcPr>
            <w:tcW w:w="1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(0.02)</w:t>
            </w:r>
          </w:p>
        </w:tc>
        <w:tc>
          <w:tcPr>
            <w:tcW w:w="100" w:type="dxa"/>
            <w:vAlign w:val="bottom"/>
          </w:tcPr>
          <w:p>
            <w:pPr>
              <w:spacing w:after="0"/>
              <w:rPr>
                <w:sz w:val="19"/>
                <w:szCs w:val="19"/>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(0.02)</w:t>
            </w:r>
          </w:p>
        </w:tc>
        <w:tc>
          <w:tcPr>
            <w:tcW w:w="1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(0.04)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-2018665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-2018665</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-2018665</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-2018665</wp:posOffset>
            </wp:positionV>
            <wp:extent cx="129032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9032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-1024255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-1024255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-1024255</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-1024255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-1024255</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-1024255</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-1024255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-1024255</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-1024255</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-1024255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-1024255</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-1024255</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3302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-29210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December 2004, the Financial Accounting Standards Board issued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The standard amends SFAS 123 (</w:t>
      </w:r>
      <w:r>
        <w:rPr>
          <w:rFonts w:ascii="Arial" w:cs="Arial" w:eastAsia="Arial" w:hAnsi="Arial"/>
          <w:sz w:val="16"/>
          <w:szCs w:val="16"/>
          <w:i w:val="1"/>
          <w:iCs w:val="1"/>
          <w:color w:val="auto"/>
        </w:rPr>
        <w:t>Accounting for Stock</w:t>
      </w:r>
      <w:r>
        <w:rPr>
          <w:rFonts w:ascii="Arial" w:cs="Arial" w:eastAsia="Arial" w:hAnsi="Arial"/>
          <w:sz w:val="16"/>
          <w:szCs w:val="16"/>
          <w:color w:val="auto"/>
        </w:rPr>
        <w:t xml:space="preserve"> </w:t>
      </w:r>
      <w:r>
        <w:rPr>
          <w:rFonts w:ascii="Arial" w:cs="Arial" w:eastAsia="Arial" w:hAnsi="Arial"/>
          <w:sz w:val="16"/>
          <w:szCs w:val="16"/>
          <w:i w:val="1"/>
          <w:iCs w:val="1"/>
          <w:color w:val="auto"/>
        </w:rPr>
        <w:t>Based Compensation</w:t>
      </w:r>
      <w:r>
        <w:rPr>
          <w:rFonts w:ascii="Arial" w:cs="Arial" w:eastAsia="Arial" w:hAnsi="Arial"/>
          <w:sz w:val="16"/>
          <w:szCs w:val="16"/>
          <w:color w:val="auto"/>
        </w:rPr>
        <w:t>) and concludes that services received from employees in exchange for stock-based compensation results in a cost to the employer that must</w:t>
      </w:r>
      <w:r>
        <w:rPr>
          <w:rFonts w:ascii="Arial" w:cs="Arial" w:eastAsia="Arial" w:hAnsi="Arial"/>
          <w:sz w:val="16"/>
          <w:szCs w:val="16"/>
          <w:i w:val="1"/>
          <w:iCs w:val="1"/>
          <w:color w:val="auto"/>
        </w:rPr>
        <w:t xml:space="preserve"> </w:t>
      </w:r>
      <w:r>
        <w:rPr>
          <w:rFonts w:ascii="Arial" w:cs="Arial" w:eastAsia="Arial" w:hAnsi="Arial"/>
          <w:sz w:val="16"/>
          <w:szCs w:val="16"/>
          <w:color w:val="auto"/>
        </w:rPr>
        <w:t>be recognized in the financial statements. The cost of such awards should be measured at fair value at the date of grant. SFAS 123R provides public companies with a choice of transition methods to implement the standard. Schlumberger will apply the modified prospective method whereby compensation cost will be recognized for the unamortized portion of vested awards outstanding at January 1, 2006, the effective date of SFAS 123R, and granted after January 1, 1995. Such cost will be recognized in Schlumberger’s financial statements over the remaining vesting period. As described above, in 2003 Schlumberger adopted the fair value recognition provisions of SFAS Nos. 123 and 148 on a prospective basis for grants after January 1, 2003. Therefore, effective January 1, 2006, Schlumberger will have to apply the provisions of SFAS 123R to the unvested portion of awards granted during the period of January 1, 1995 to December 31, 2002. The adoption of this standard is expected to reduce Schlumberger’s earnings by approximately $20 million in 2006 and $5 million in 2007.</w:t>
      </w:r>
    </w:p>
    <w:p>
      <w:pPr>
        <w:spacing w:after="0" w:line="100"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Pretax book income from continuing operations subject to US and non-US income taxes was as follows:</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108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3"/>
              </w:rPr>
              <w:t>Second Quarter</w:t>
            </w:r>
          </w:p>
        </w:tc>
        <w:tc>
          <w:tcPr>
            <w:tcW w:w="220" w:type="dxa"/>
            <w:vAlign w:val="bottom"/>
          </w:tcPr>
          <w:p>
            <w:pPr>
              <w:spacing w:after="0"/>
              <w:rPr>
                <w:sz w:val="15"/>
                <w:szCs w:val="15"/>
                <w:color w:val="auto"/>
              </w:rPr>
            </w:pPr>
          </w:p>
        </w:tc>
        <w:tc>
          <w:tcPr>
            <w:tcW w:w="110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2004</w:t>
            </w:r>
          </w:p>
        </w:tc>
        <w:tc>
          <w:tcPr>
            <w:tcW w:w="7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$ 220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Outside United States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431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928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Pretax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$ 651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$1,330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8702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-29210</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Schlumberger reported pretax charges and credits in continuing operations in 2005 and 2004. During the first quarter of 2005, Schlumberger recorded a net pretax credit of $134 million ($2 million of charges in the US; $136 million of net credits outside of the US). During the second quarter of 2004, Schlumberger recorded pretax net charges of $44 million ($28 million in the US; $16 million outside of the US). During first quarter of 2004, Schlumberger recorded pretax net charges of $184 million ($93 million in the US; $91 million outside of the US). These charges and credits are described in detail in Note 2 – </w:t>
      </w:r>
      <w:r>
        <w:rPr>
          <w:rFonts w:ascii="Arial" w:cs="Arial" w:eastAsia="Arial" w:hAnsi="Arial"/>
          <w:sz w:val="18"/>
          <w:szCs w:val="18"/>
          <w:i w:val="1"/>
          <w:iCs w:val="1"/>
          <w:color w:val="auto"/>
        </w:rPr>
        <w:t>Credits and Charges –</w:t>
      </w:r>
      <w:r>
        <w:rPr>
          <w:rFonts w:ascii="Arial" w:cs="Arial" w:eastAsia="Arial" w:hAnsi="Arial"/>
          <w:sz w:val="18"/>
          <w:szCs w:val="18"/>
          <w:color w:val="auto"/>
        </w:rPr>
        <w:t xml:space="preserve"> </w:t>
      </w:r>
      <w:r>
        <w:rPr>
          <w:rFonts w:ascii="Arial" w:cs="Arial" w:eastAsia="Arial" w:hAnsi="Arial"/>
          <w:sz w:val="18"/>
          <w:szCs w:val="18"/>
          <w:i w:val="1"/>
          <w:iCs w:val="1"/>
          <w:color w:val="auto"/>
        </w:rPr>
        <w:t>Continuing Operations</w:t>
      </w:r>
      <w:r>
        <w:rPr>
          <w:rFonts w:ascii="Arial" w:cs="Arial" w:eastAsia="Arial" w:hAnsi="Arial"/>
          <w:sz w:val="18"/>
          <w:szCs w:val="18"/>
          <w:color w:val="auto"/>
        </w:rPr>
        <w: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components of net deferred tax assets were as follows:</w:t>
      </w:r>
    </w:p>
    <w:p>
      <w:pPr>
        <w:spacing w:after="0" w:line="77" w:lineRule="exact"/>
        <w:rPr>
          <w:sz w:val="20"/>
          <w:szCs w:val="20"/>
          <w:color w:val="auto"/>
        </w:rPr>
      </w:pPr>
    </w:p>
    <w:p>
      <w:pPr>
        <w:ind w:left="8940"/>
        <w:spacing w:after="0"/>
        <w:rPr>
          <w:sz w:val="20"/>
          <w:szCs w:val="20"/>
          <w:color w:val="auto"/>
        </w:rPr>
      </w:pPr>
      <w:r>
        <w:rPr>
          <w:rFonts w:ascii="Arial" w:cs="Arial" w:eastAsia="Arial" w:hAnsi="Arial"/>
          <w:sz w:val="18"/>
          <w:szCs w:val="18"/>
          <w:i w:val="1"/>
          <w:iCs w:val="1"/>
          <w:color w:val="auto"/>
        </w:rPr>
        <w:t>(Stated in millions)</w:t>
      </w:r>
    </w:p>
    <w:p>
      <w:pPr>
        <w:spacing w:after="0" w:line="10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2"/>
              </w:rPr>
              <w:t>Jun. 30</w:t>
            </w:r>
          </w:p>
        </w:tc>
        <w:tc>
          <w:tcPr>
            <w:tcW w:w="860" w:type="dxa"/>
            <w:vAlign w:val="bottom"/>
            <w:gridSpan w:val="3"/>
          </w:tcPr>
          <w:p>
            <w:pPr>
              <w:ind w:left="440"/>
              <w:spacing w:after="0"/>
              <w:rPr>
                <w:sz w:val="20"/>
                <w:szCs w:val="20"/>
                <w:color w:val="auto"/>
              </w:rPr>
            </w:pPr>
            <w:r>
              <w:rPr>
                <w:rFonts w:ascii="Arial" w:cs="Arial" w:eastAsia="Arial" w:hAnsi="Arial"/>
                <w:sz w:val="14"/>
                <w:szCs w:val="14"/>
                <w:b w:val="1"/>
                <w:bCs w:val="1"/>
                <w:color w:val="auto"/>
                <w:w w:val="81"/>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8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2005</w:t>
            </w: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and other long-term benefits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$ 252</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Current employee benefits</w:t>
            </w:r>
          </w:p>
        </w:tc>
        <w:tc>
          <w:tcPr>
            <w:tcW w:w="2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Fixed assets, inventory and other</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operating losses</w:t>
            </w:r>
          </w:p>
        </w:tc>
        <w:tc>
          <w:tcPr>
            <w:tcW w:w="2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$ 617</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27876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78765" cy="29845"/>
                    </a:xfrm>
                    <a:prstGeom prst="rect">
                      <a:avLst/>
                    </a:prstGeom>
                    <a:noFill/>
                  </pic:spPr>
                </pic:pic>
              </a:graphicData>
            </a:graphic>
          </wp:anchor>
        </w:drawing>
      </w:r>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deferred tax assets relating to net operating losses at June 30, 2005 and December 31, 2004 are net of valuation allowances in certain countries of $240 million and $312 million, respectively.</w:t>
      </w:r>
    </w:p>
    <w:p>
      <w:pPr>
        <w:spacing w:after="0" w:line="118"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 xml:space="preserve">As described in Note 2 </w:t>
      </w:r>
      <w:r>
        <w:rPr>
          <w:rFonts w:ascii="Arial" w:cs="Arial" w:eastAsia="Arial" w:hAnsi="Arial"/>
          <w:sz w:val="18"/>
          <w:szCs w:val="18"/>
          <w:i w:val="1"/>
          <w:iCs w:val="1"/>
          <w:color w:val="auto"/>
        </w:rPr>
        <w:t>Credits and Charges – Continuing Operations,</w:t>
      </w:r>
      <w:r>
        <w:rPr>
          <w:rFonts w:ascii="Arial" w:cs="Arial" w:eastAsia="Arial" w:hAnsi="Arial"/>
          <w:sz w:val="18"/>
          <w:szCs w:val="18"/>
          <w:color w:val="auto"/>
        </w:rPr>
        <w:t xml:space="preserve"> Schlumberger sold its facility in Montrouge, France in the first quarter of 2005. This transaction allowed for the utilization of a $48 million deferred tax asset relating to certain net operating losses that were previously offset by a valuation allowance.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consolidated income tax expense from continuing operations were as follows:</w:t>
      </w:r>
    </w:p>
    <w:p>
      <w:pPr>
        <w:spacing w:after="0" w:line="77" w:lineRule="exact"/>
        <w:rPr>
          <w:sz w:val="20"/>
          <w:szCs w:val="20"/>
          <w:color w:val="auto"/>
        </w:rPr>
      </w:pPr>
    </w:p>
    <w:p>
      <w:pPr>
        <w:ind w:left="10000"/>
        <w:spacing w:after="0"/>
        <w:rPr>
          <w:sz w:val="20"/>
          <w:szCs w:val="20"/>
          <w:color w:val="auto"/>
        </w:rPr>
      </w:pPr>
      <w:r>
        <w:rPr>
          <w:rFonts w:ascii="Arial" w:cs="Arial" w:eastAsia="Arial" w:hAnsi="Arial"/>
          <w:sz w:val="16"/>
          <w:szCs w:val="16"/>
          <w:i w:val="1"/>
          <w:iCs w:val="1"/>
          <w:color w:val="auto"/>
        </w:rPr>
        <w:t>(Stated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85"/>
              </w:rPr>
              <w:t>Second Quarter</w:t>
            </w:r>
          </w:p>
        </w:tc>
        <w:tc>
          <w:tcPr>
            <w:tcW w:w="40" w:type="dxa"/>
            <w:vAlign w:val="bottom"/>
          </w:tcPr>
          <w:p>
            <w:pPr>
              <w:spacing w:after="0"/>
              <w:rPr>
                <w:sz w:val="15"/>
                <w:szCs w:val="15"/>
                <w:color w:val="auto"/>
              </w:rPr>
            </w:pPr>
          </w:p>
        </w:tc>
        <w:tc>
          <w:tcPr>
            <w:tcW w:w="112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00" w:type="dxa"/>
            <w:vAlign w:val="bottom"/>
          </w:tcPr>
          <w:p>
            <w:pPr>
              <w:spacing w:after="0"/>
              <w:rPr>
                <w:sz w:val="22"/>
                <w:szCs w:val="22"/>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2"/>
                <w:szCs w:val="22"/>
                <w:color w:val="auto"/>
              </w:rPr>
            </w:pPr>
          </w:p>
        </w:tc>
        <w:tc>
          <w:tcPr>
            <w:tcW w:w="5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4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United States - Federal</w:t>
            </w: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40" w:type="dxa"/>
            <w:vAlign w:val="bottom"/>
          </w:tcPr>
          <w:p>
            <w:pPr>
              <w:spacing w:after="0"/>
              <w:rPr>
                <w:sz w:val="18"/>
                <w:szCs w:val="18"/>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b w:val="1"/>
                <w:bCs w:val="1"/>
                <w:color w:val="auto"/>
                <w:w w:val="94"/>
              </w:rPr>
              <w:t>$144</w:t>
            </w:r>
          </w:p>
        </w:tc>
        <w:tc>
          <w:tcPr>
            <w:tcW w:w="28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 - State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Outside United States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b w:val="1"/>
                <w:bCs w:val="1"/>
                <w:color w:val="auto"/>
              </w:rPr>
              <w:t>175</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188</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123</w:t>
            </w:r>
          </w:p>
        </w:tc>
        <w:tc>
          <w:tcPr>
            <w:tcW w:w="2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$335</w:t>
            </w:r>
          </w:p>
        </w:tc>
        <w:tc>
          <w:tcPr>
            <w:tcW w:w="28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United States - Federal</w:t>
            </w: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52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(79)</w:t>
            </w:r>
          </w:p>
        </w:tc>
        <w:tc>
          <w:tcPr>
            <w:tcW w:w="6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3"/>
              </w:rPr>
              <w:t>$ (27)</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0"/>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 - State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6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Outside United States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b w:val="1"/>
                <w:bCs w:val="1"/>
                <w:color w:val="auto"/>
              </w:rPr>
              <w:t>43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6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9"/>
              </w:rPr>
              <w:t>(47)</w:t>
            </w:r>
          </w:p>
        </w:tc>
        <w:tc>
          <w:tcPr>
            <w:tcW w:w="6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 (35)</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Consolidated taxes on income</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162</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$300</w:t>
            </w:r>
          </w:p>
        </w:tc>
        <w:tc>
          <w:tcPr>
            <w:tcW w:w="28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A reconciliation of the US statutory federal tax rate (35%) to the consolidated effective tax rate follows:</w:t>
            </w: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6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120" w:type="dxa"/>
            <w:vAlign w:val="bottom"/>
            <w:gridSpan w:val="7"/>
          </w:tcPr>
          <w:p>
            <w:pPr>
              <w:ind w:left="140"/>
              <w:spacing w:after="0"/>
              <w:rPr>
                <w:sz w:val="20"/>
                <w:szCs w:val="20"/>
                <w:color w:val="auto"/>
              </w:rPr>
            </w:pPr>
            <w:r>
              <w:rPr>
                <w:rFonts w:ascii="Arial" w:cs="Arial" w:eastAsia="Arial" w:hAnsi="Arial"/>
                <w:sz w:val="14"/>
                <w:szCs w:val="14"/>
                <w:b w:val="1"/>
                <w:bCs w:val="1"/>
                <w:color w:val="auto"/>
                <w:w w:val="91"/>
              </w:rPr>
              <w:t>Second Quarter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3"/>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Borders>
              <w:bottom w:val="single" w:sz="8" w:color="auto"/>
            </w:tcBorders>
            <w:gridSpan w:val="3"/>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700" w:type="dxa"/>
            <w:vAlign w:val="bottom"/>
            <w:gridSpan w:val="4"/>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35%</w:t>
            </w:r>
          </w:p>
        </w:tc>
        <w:tc>
          <w:tcPr>
            <w:tcW w:w="1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US state income taxes</w:t>
            </w:r>
          </w:p>
        </w:tc>
        <w:tc>
          <w:tcPr>
            <w:tcW w:w="4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4"/>
          </w:tcPr>
          <w:p>
            <w:pPr>
              <w:jc w:val="right"/>
              <w:ind w:right="2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Non US income taxed at different rates</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Effect of equity method investment</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4"/>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Minority partner’s share of LLC earnings</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Valuation allowance (excluding charges and credits)</w:t>
            </w:r>
          </w:p>
        </w:tc>
        <w:tc>
          <w:tcPr>
            <w:tcW w:w="4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88"/>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Charges and credits</w:t>
            </w:r>
          </w:p>
        </w:tc>
        <w:tc>
          <w:tcPr>
            <w:tcW w:w="4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Borders>
              <w:bottom w:val="single" w:sz="8" w:color="auto"/>
            </w:tcBorders>
            <w:gridSpan w:val="3"/>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700" w:type="dxa"/>
            <w:vAlign w:val="bottom"/>
            <w:gridSpan w:val="4"/>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25%</w:t>
            </w:r>
          </w:p>
        </w:tc>
        <w:tc>
          <w:tcPr>
            <w:tcW w:w="1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-2378710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-2378710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-2378710</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-2378710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-2378710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-2378710</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-2378710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-2378710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-2378710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-2378710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-2378710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-2378710</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8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includes accruals for the estimated future costs associated with certain environmental remediation activities related to the past use or disposal of hazardous materials where it is probable that Schlumberger has incurred a liability and such amount can be reasonably estimated.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9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includes accruals for estimated future expenditures associated with business divestitures which have been completed. It is possible that the ultimate expenditures may exceed the amounts recorded. In the opinion of management, such additional expenditures are not expected to be material relative to consolidated liquidity, financial position or future results of operations.</w:t>
      </w:r>
    </w:p>
    <w:p>
      <w:pPr>
        <w:spacing w:after="0" w:line="12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In December 2004, WesternGeco and Schlumberger received grand jury subpoenas from the US Attorney’s office in the Southern District of Texas seeking documents relating to possible fraud in obtaining visas for non-US citizens working as crewmembers on vessels operating in the Gulf of Mexico. We are in the process of responding to the investigation, including providing information sought by the subpoenas. Schlumberger is unable to determine the outcome of this matter and the related impact it might have on Schlumberger’s financial condition and results of operations.</w:t>
      </w:r>
    </w:p>
    <w:p>
      <w:pPr>
        <w:spacing w:after="0" w:line="99"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In addition, Schlumberger and its subsidiaries are party to various other legal proceedings. A liability is accrued when a loss is both probable and can be reasonably estimable. At this time the ultimate disposition of these proceedings is not presently determinable and therefore, it is not possible to estimate the amount of loss or range of possible losses that might result from an adverse judgment on settlement in these matters. However, in the opinion of Schlumberger, any liability that might ensue would not be material in relation to the consolidated liquidity, financial position or future results of operations.</w:t>
      </w:r>
    </w:p>
    <w:p>
      <w:pPr>
        <w:spacing w:after="0" w:line="9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Schlumberger’s tax filings are subject to regular audit by the tax authorities in most of the jurisdictions in which it conducts business. These audits may result in assessments for additional taxes which are resolved with the authorities or, potentially, through the courts.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year in which such resolution occurs.</w:t>
      </w:r>
    </w:p>
    <w:p>
      <w:pPr>
        <w:spacing w:after="0" w:line="101"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two primary reportable business segments: Oilfield Services and WesternGeco.</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SECOND QUARTER 2005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10"/>
          </w:tcPr>
          <w:p>
            <w:pPr>
              <w:ind w:left="240"/>
              <w:spacing w:after="0"/>
              <w:rPr>
                <w:sz w:val="20"/>
                <w:szCs w:val="20"/>
                <w:color w:val="auto"/>
              </w:rPr>
            </w:pPr>
            <w:r>
              <w:rPr>
                <w:rFonts w:ascii="Arial" w:cs="Arial" w:eastAsia="Arial" w:hAnsi="Arial"/>
                <w:sz w:val="14"/>
                <w:szCs w:val="14"/>
                <w:b w:val="1"/>
                <w:bCs w:val="1"/>
                <w:color w:val="auto"/>
              </w:rPr>
              <w:t>SECOND QUARTER 2004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Minority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0"/>
              </w:rPr>
              <w:t>Tax</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Minority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Tax</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before tax</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2"/>
              </w:rPr>
              <w:t>Revenue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&amp; MI</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26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5"/>
                <w:szCs w:val="15"/>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&amp; MI</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2"/>
              </w:rPr>
              <w:t>Revenue</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&amp; MI</w:t>
            </w: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Interest</w:t>
            </w:r>
          </w:p>
        </w:tc>
        <w:tc>
          <w:tcPr>
            <w:tcW w:w="260" w:type="dxa"/>
            <w:vAlign w:val="bottom"/>
          </w:tcPr>
          <w:p>
            <w:pPr>
              <w:spacing w:after="0"/>
              <w:rPr>
                <w:sz w:val="15"/>
                <w:szCs w:val="15"/>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&amp; MI</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color w:val="auto"/>
              </w:rPr>
              <w:t>North America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907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234</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746</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color w:val="auto"/>
              </w:rPr>
              <w:t>Europe/CIS/W. Africa</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color w:val="auto"/>
              </w:rPr>
              <w:t>Elims/Other</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2,541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WesternGeco</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280"/>
              <w:spacing w:after="0"/>
              <w:rPr>
                <w:sz w:val="20"/>
                <w:szCs w:val="20"/>
                <w:color w:val="auto"/>
              </w:rPr>
            </w:pPr>
            <w:r>
              <w:rPr>
                <w:rFonts w:ascii="Arial" w:cs="Arial" w:eastAsia="Arial" w:hAnsi="Arial"/>
                <w:sz w:val="15"/>
                <w:szCs w:val="15"/>
                <w:color w:val="auto"/>
                <w:w w:val="71"/>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Elims &amp; 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3,429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2,834</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280"/>
              <w:spacing w:after="0"/>
              <w:rPr>
                <w:sz w:val="20"/>
                <w:szCs w:val="20"/>
                <w:color w:val="auto"/>
              </w:rPr>
            </w:pPr>
            <w:r>
              <w:rPr>
                <w:rFonts w:ascii="Arial" w:cs="Arial" w:eastAsia="Arial" w:hAnsi="Arial"/>
                <w:sz w:val="15"/>
                <w:szCs w:val="15"/>
                <w:color w:val="auto"/>
                <w:w w:val="71"/>
              </w:rPr>
              <w:t>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Credits and charges </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2275840</wp:posOffset>
            </wp:positionH>
            <wp:positionV relativeFrom="paragraph">
              <wp:posOffset>-1030605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-1030605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-1030605</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-1030605</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-1030605</wp:posOffset>
            </wp:positionV>
            <wp:extent cx="2159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-1030605</wp:posOffset>
            </wp:positionV>
            <wp:extent cx="3873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-1030605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-1030605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-1030605</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-1030605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-1030605</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-1030605</wp:posOffset>
            </wp:positionV>
            <wp:extent cx="3873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-1030605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-1030605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-1030605</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-1030605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-1030605</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-1030605</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-1030605</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-1030605</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-1030605</wp:posOffset>
            </wp:positionV>
            <wp:extent cx="2159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-1030605</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-1030605</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-1030605</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-172720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-172720</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-172720</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-172720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-172720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($3 million in 2005; $1 million in 2004).</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Credits and Charges – Continuing Operations.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(Stated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SIX MONTHS 2005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11"/>
          </w:tcPr>
          <w:p>
            <w:pPr>
              <w:ind w:left="380"/>
              <w:spacing w:after="0"/>
              <w:rPr>
                <w:sz w:val="20"/>
                <w:szCs w:val="20"/>
                <w:color w:val="auto"/>
              </w:rPr>
            </w:pPr>
            <w:r>
              <w:rPr>
                <w:rFonts w:ascii="Arial" w:cs="Arial" w:eastAsia="Arial" w:hAnsi="Arial"/>
                <w:sz w:val="14"/>
                <w:szCs w:val="14"/>
                <w:b w:val="1"/>
                <w:bCs w:val="1"/>
                <w:color w:val="auto"/>
              </w:rPr>
              <w:t>SIX MONTHS 2004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Minority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Tax</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before tax</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Minority</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Tax</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before tax</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5"/>
                <w:szCs w:val="15"/>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&amp; MI</w:t>
            </w: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5"/>
                <w:szCs w:val="15"/>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&amp; MI</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5"/>
                <w:szCs w:val="15"/>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&amp; MI</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5"/>
          </w:tcPr>
          <w:p>
            <w:pPr>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&amp; MI</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420"/>
              <w:spacing w:after="0"/>
              <w:rPr>
                <w:sz w:val="20"/>
                <w:szCs w:val="20"/>
                <w:color w:val="auto"/>
              </w:rPr>
            </w:pPr>
            <w:r>
              <w:rPr>
                <w:rFonts w:ascii="Arial" w:cs="Arial" w:eastAsia="Arial" w:hAnsi="Arial"/>
                <w:sz w:val="18"/>
                <w:szCs w:val="18"/>
                <w:color w:val="auto"/>
              </w:rPr>
              <w:t>North America</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$1,774</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284</w:t>
            </w:r>
          </w:p>
        </w:tc>
        <w:tc>
          <w:tcPr>
            <w:tcW w:w="24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437</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$1,472</w:t>
            </w: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420"/>
              <w:spacing w:after="0"/>
              <w:rPr>
                <w:sz w:val="20"/>
                <w:szCs w:val="20"/>
                <w:color w:val="auto"/>
              </w:rPr>
            </w:pPr>
            <w:r>
              <w:rPr>
                <w:rFonts w:ascii="Arial" w:cs="Arial" w:eastAsia="Arial" w:hAnsi="Arial"/>
                <w:sz w:val="18"/>
                <w:szCs w:val="18"/>
                <w:color w:val="auto"/>
              </w:rPr>
              <w:t>Europe/CIS/W. Africa</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ind w:left="420"/>
              <w:spacing w:after="0"/>
              <w:rPr>
                <w:sz w:val="20"/>
                <w:szCs w:val="20"/>
                <w:color w:val="auto"/>
              </w:rPr>
            </w:pPr>
            <w:r>
              <w:rPr>
                <w:rFonts w:ascii="Arial" w:cs="Arial" w:eastAsia="Arial" w:hAnsi="Arial"/>
                <w:sz w:val="18"/>
                <w:szCs w:val="18"/>
                <w:color w:val="auto"/>
              </w:rPr>
              <w:t>Elims/Other</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WesternGeco</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Elims &amp; Other</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$6,588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$5,507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3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Credits and charges </w:t>
            </w:r>
            <w:r>
              <w:rPr>
                <w:rFonts w:ascii="Arial" w:cs="Arial" w:eastAsia="Arial" w:hAnsi="Arial"/>
                <w:sz w:val="22"/>
                <w:szCs w:val="22"/>
                <w:color w:val="auto"/>
                <w:vertAlign w:val="superscript"/>
              </w:rPr>
              <w:t>(2)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-1030605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-1030605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-1030605</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-1030605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-1030605</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-1030605</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-1030605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-1030605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-1030605</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-1030605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-1030605</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-1030605</wp:posOffset>
            </wp:positionV>
            <wp:extent cx="3873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-1030605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-1030605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-1030605</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-1030605</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-1030605</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-1030605</wp:posOffset>
            </wp:positionV>
            <wp:extent cx="3873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-1030605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-1030605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-1030605</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-1030605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-1030605</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-1030605</wp:posOffset>
            </wp:positionV>
            <wp:extent cx="3873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-172720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-172720</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-172720</wp:posOffset>
            </wp:positionV>
            <wp:extent cx="3873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-172720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-172720</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($5 million in 2005; $3 million in 2004).</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Charges and credits – Continuing Operations.</w:t>
      </w:r>
    </w:p>
    <w:p>
      <w:pPr>
        <w:spacing w:after="0" w:line="145"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in the US for the second quarter and six months ended June 30, 2005 and 2004 included the following components:</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3"/>
              </w:rPr>
              <w:t>Second Quarter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2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$ 26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53</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w:t>
            </w:r>
          </w:p>
        </w:tc>
        <w:tc>
          <w:tcPr>
            <w:tcW w:w="7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Amortization of prior service cost/other</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5</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net loss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$ 44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3873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2159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2444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July 2005, Schlumberger contributed approximately $171 million to the US pension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in the UK plan for the second quarter and six months ended June 30, 2005 and 2004 included the following components:</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40" w:type="dxa"/>
            <w:vAlign w:val="bottom"/>
          </w:tcPr>
          <w:p>
            <w:pPr>
              <w:spacing w:after="0"/>
              <w:rPr>
                <w:sz w:val="15"/>
                <w:szCs w:val="15"/>
                <w:color w:val="auto"/>
              </w:rPr>
            </w:pPr>
          </w:p>
        </w:tc>
        <w:tc>
          <w:tcPr>
            <w:tcW w:w="1340" w:type="dxa"/>
            <w:vAlign w:val="bottom"/>
            <w:gridSpan w:val="6"/>
          </w:tcPr>
          <w:p>
            <w:pPr>
              <w:ind w:left="80"/>
              <w:spacing w:after="0"/>
              <w:rPr>
                <w:sz w:val="20"/>
                <w:szCs w:val="20"/>
                <w:color w:val="auto"/>
              </w:rPr>
            </w:pPr>
            <w:r>
              <w:rPr>
                <w:rFonts w:ascii="Arial" w:cs="Arial" w:eastAsia="Arial" w:hAnsi="Arial"/>
                <w:sz w:val="14"/>
                <w:szCs w:val="14"/>
                <w:b w:val="1"/>
                <w:bCs w:val="1"/>
                <w:color w:val="auto"/>
              </w:rPr>
              <w:t>Second Quarter</w:t>
            </w:r>
          </w:p>
        </w:tc>
        <w:tc>
          <w:tcPr>
            <w:tcW w:w="10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40" w:type="dxa"/>
            <w:vAlign w:val="bottom"/>
          </w:tcPr>
          <w:p>
            <w:pPr>
              <w:spacing w:after="0"/>
              <w:rPr>
                <w:sz w:val="22"/>
                <w:szCs w:val="22"/>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2004</w:t>
            </w:r>
          </w:p>
        </w:tc>
        <w:tc>
          <w:tcPr>
            <w:tcW w:w="2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2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$ 12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(11)</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Amortization of unrecognized loss</w:t>
            </w:r>
          </w:p>
        </w:tc>
        <w:tc>
          <w:tcPr>
            <w:tcW w:w="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$ 17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-16-</w:t>
      </w:r>
    </w:p>
    <w:p>
      <w:pPr>
        <w:sectPr>
          <w:pgSz w:w="11900" w:h="16838" w:orient="portrait"/>
          <w:cols w:equalWidth="0" w:num="1">
            <w:col w:w="11420"/>
          </w:cols>
          <w:pgMar w:left="240" w:top="280"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postretirement benefit cost in the US for the second quarter and six months of 2005 and 2004 included the following components:</w:t>
      </w:r>
    </w:p>
    <w:p>
      <w:pPr>
        <w:spacing w:after="0" w:line="77" w:lineRule="exact"/>
        <w:rPr>
          <w:sz w:val="20"/>
          <w:szCs w:val="20"/>
          <w:color w:val="auto"/>
        </w:rPr>
      </w:pPr>
    </w:p>
    <w:p>
      <w:pPr>
        <w:ind w:left="10080"/>
        <w:spacing w:after="0"/>
        <w:rPr>
          <w:sz w:val="20"/>
          <w:szCs w:val="20"/>
          <w:color w:val="auto"/>
        </w:rPr>
      </w:pPr>
      <w:r>
        <w:rPr>
          <w:rFonts w:ascii="Arial" w:cs="Arial" w:eastAsia="Arial" w:hAnsi="Arial"/>
          <w:sz w:val="16"/>
          <w:szCs w:val="16"/>
          <w:i w:val="1"/>
          <w:iCs w:val="1"/>
          <w:color w:val="auto"/>
        </w:rPr>
        <w:t>(Stated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87"/>
              </w:rPr>
              <w:t>Second Quarter</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43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period</w:t>
            </w:r>
          </w:p>
        </w:tc>
        <w:tc>
          <w:tcPr>
            <w:tcW w:w="4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23</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net loss/other</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8"/>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postretirement benefit cost</w:t>
            </w:r>
          </w:p>
        </w:tc>
        <w:tc>
          <w:tcPr>
            <w:tcW w:w="4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4000" w:type="dxa"/>
            <w:vAlign w:val="bottom"/>
            <w:vMerge w:val="restart"/>
          </w:tcPr>
          <w:p>
            <w:pPr>
              <w:jc w:val="right"/>
              <w:ind w:right="3017"/>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-325755</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-325755</wp:posOffset>
            </wp:positionV>
            <wp:extent cx="2159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3873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-325755</wp:posOffset>
            </wp:positionV>
            <wp:extent cx="26162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-325755</wp:posOffset>
            </wp:positionV>
            <wp:extent cx="23558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-325755</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-325755</wp:posOffset>
            </wp:positionV>
            <wp:extent cx="2159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7" w:name="page18"/>
    <w:bookmarkEnd w:id="17"/>
    <w:p>
      <w:pPr>
        <w:ind w:right="4160"/>
        <w:spacing w:after="0" w:line="33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2: Management’s Discussion and Analysis of Financial Condition and Results of Operations </w:t>
      </w:r>
      <w:r>
        <w:rPr>
          <w:rFonts w:ascii="Arial" w:cs="Arial" w:eastAsia="Arial" w:hAnsi="Arial"/>
          <w:sz w:val="18"/>
          <w:szCs w:val="18"/>
          <w:b w:val="1"/>
          <w:bCs w:val="1"/>
          <w:color w:val="auto"/>
        </w:rPr>
        <w:t>BUSINESS REVIEW</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5"/>
          </w:tcPr>
          <w:p>
            <w:pPr>
              <w:ind w:left="320"/>
              <w:spacing w:after="0"/>
              <w:rPr>
                <w:sz w:val="20"/>
                <w:szCs w:val="20"/>
                <w:color w:val="auto"/>
              </w:rPr>
            </w:pPr>
            <w:r>
              <w:rPr>
                <w:rFonts w:ascii="Arial" w:cs="Arial" w:eastAsia="Arial" w:hAnsi="Arial"/>
                <w:sz w:val="14"/>
                <w:szCs w:val="14"/>
                <w:b w:val="1"/>
                <w:bCs w:val="1"/>
                <w:color w:val="auto"/>
                <w:w w:val="91"/>
              </w:rPr>
              <w:t>Second Quarter</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4"/>
          </w:tcPr>
          <w:p>
            <w:pPr>
              <w:ind w:left="80"/>
              <w:spacing w:after="0"/>
              <w:rPr>
                <w:sz w:val="20"/>
                <w:szCs w:val="20"/>
                <w:color w:val="auto"/>
              </w:rPr>
            </w:pPr>
            <w:r>
              <w:rPr>
                <w:rFonts w:ascii="Arial" w:cs="Arial" w:eastAsia="Arial" w:hAnsi="Arial"/>
                <w:sz w:val="14"/>
                <w:szCs w:val="14"/>
                <w:b w:val="1"/>
                <w:bCs w:val="1"/>
                <w:color w:val="auto"/>
              </w:rPr>
              <w:t>Six Months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9"/>
              <w:spacing w:after="0"/>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2004</w:t>
            </w:r>
          </w:p>
        </w:tc>
        <w:tc>
          <w:tcPr>
            <w:tcW w:w="200" w:type="dxa"/>
            <w:vAlign w:val="bottom"/>
          </w:tcPr>
          <w:p>
            <w:pPr>
              <w:spacing w:after="0"/>
              <w:rPr>
                <w:sz w:val="22"/>
                <w:szCs w:val="2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7"/>
              </w:rPr>
              <w:t>% chg</w:t>
            </w:r>
          </w:p>
        </w:tc>
        <w:tc>
          <w:tcPr>
            <w:tcW w:w="100" w:type="dxa"/>
            <w:vAlign w:val="bottom"/>
          </w:tcPr>
          <w:p>
            <w:pPr>
              <w:spacing w:after="0"/>
              <w:rPr>
                <w:sz w:val="22"/>
                <w:szCs w:val="22"/>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22"/>
                <w:szCs w:val="2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 chg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Operating Revenue</w:t>
            </w:r>
          </w:p>
        </w:tc>
        <w:tc>
          <w:tcPr>
            <w:tcW w:w="2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3,044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2,541</w:t>
            </w:r>
          </w:p>
        </w:tc>
        <w:tc>
          <w:tcPr>
            <w:tcW w:w="2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5,823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4,899</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WesternGeco</w:t>
            </w: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297%</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 xml:space="preserve">Pretax operating income represents the segments’ income before taxes and minority interest. Pretax operating income excludes corporate expenses, interest income, interest expense and amortization of certain intangibles and the </w:t>
      </w:r>
      <w:r>
        <w:rPr>
          <w:rFonts w:ascii="Arial" w:cs="Arial" w:eastAsia="Arial" w:hAnsi="Arial"/>
          <w:sz w:val="18"/>
          <w:szCs w:val="18"/>
          <w:i w:val="1"/>
          <w:iCs w:val="1"/>
          <w:color w:val="auto"/>
        </w:rPr>
        <w:t>Credits and Charges</w:t>
      </w:r>
      <w:r>
        <w:rPr>
          <w:rFonts w:ascii="Arial" w:cs="Arial" w:eastAsia="Arial" w:hAnsi="Arial"/>
          <w:sz w:val="18"/>
          <w:szCs w:val="18"/>
          <w:color w:val="auto"/>
        </w:rPr>
        <w:t xml:space="preserve"> described in detail on pages 6 and 7 as these items are not allocated to the segments.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Quarter 2005 Compared to Second Quarter 2004</w:t>
      </w:r>
    </w:p>
    <w:p>
      <w:pPr>
        <w:spacing w:after="0" w:line="1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Operating revenue for the second quarter of 2005 was $3.43 billion versus $2.83 billion for the same period last year. Income from continuing operations before income taxes and minority interest was $651 million in 2005 compared to $336 million in 2004. The 2004 results include pretax charges of $44 million. These credits and charges are described in detail on pages 6 and 7.</w:t>
      </w:r>
    </w:p>
    <w:p>
      <w:pPr>
        <w:spacing w:after="0" w:line="127"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Net income for the second quarter of 2005 was $482 million compared to $356 million in the second quarter of last year. Net income includes a gain from discontinued operations of $9 million in the second quarter of 2005 compared to $98 million in the same period last year.</w:t>
      </w:r>
    </w:p>
    <w:p>
      <w:pPr>
        <w:spacing w:after="0" w:line="7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Oilfield Services revenue of $3.04 billion increased 10% sequentially and 20% compared to the same quarter of last year. Pretax business segment operating income of $674 million increased 21% sequentially and 48% year-on-year.</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WesternGeco revenue of $383 million increased 1% sequentially and 31% year-on-year. Pretax business segment operating income of $58 million decreased 9% sequentially but increased three-fold year-on-year.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OILFIELD SERVICES</w:t>
      </w:r>
    </w:p>
    <w:p>
      <w:pPr>
        <w:spacing w:after="0" w:line="16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Second quarter revenue of $3.0 billion was 10% higher sequentially and increased 20% year-on-year. Pretax operating income of $674 million increased 21% sequentially and 48% year-on-year.</w:t>
      </w:r>
    </w:p>
    <w:p>
      <w:pPr>
        <w:spacing w:after="0" w:line="118"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Sequential revenue increases were recorded across all Areas with the highest contributions from the US Land, US Gulf Coast, Mexico, Russia, Saudi Arabia, North Sea, and Venezuela GeoMarkets. All technology segments experienced higher revenue levels, with particularly strong demand for Integrated Project Management (IPM), Well Services, and Well Completions &amp; Productivity products and services.</w:t>
      </w:r>
    </w:p>
    <w:p>
      <w:pPr>
        <w:spacing w:after="0" w:line="9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Year-on-year growth was posted in all Areas but driven mainly by the US Land, Russia, the Gulf, Nigeria, Mexico, and Venezuela GeoMarkets. All technologies except Integrated Project Management and Schlumberger Information Solutions recorded double-digit increases.</w:t>
      </w:r>
    </w:p>
    <w:p>
      <w:pPr>
        <w:spacing w:after="0" w:line="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Pretax operating income recorded strong sequential and year-on-year growth, principally due to a continued increase in exploration and production activity levels worldwide, resulting in higher operating leverage across all Areas.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 America</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Revenue of $907 million increased 5% sequentially and 21% year-on-year. Pretax operating income of $234 million increased 15% sequentially and 94% year-on-year.</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Sequentially, the US Land GeoMarket continued to record strong revenue growth, driven mainly by high demand for Well Services technologies that resulted in significant pricing improvements. The Gulf of Mexico also contributed through the introduction of new technology, which led to higher revenue. Canada declined due to the seasonal impact of spring break-up in Western Canada, where active rig count was halved from the prior quarter, partially offset by robust activity offshore Eastern Canada.</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solid year-on-year and sequential pretax income improvement was the result of new technology introductions, particularly by Drilling &amp; Measurements; price increases mainly from Well Services and Wireline; and continued activity growth.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Revenue of $554 million increased 18% sequentially and was 30% higher year-on-year. Pretax operating income of $84 million increased 30% sequentially and 34% year-on-year.</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Mexico recorded high sequential revenue growth from an increased number of wells being completed on the Burgos project. Activity in the Venezuela/Trinidad &amp; Tobago GeoMarket increased primarily from IPM and Well Services operations.</w:t>
      </w:r>
    </w:p>
    <w:p>
      <w:pPr>
        <w:spacing w:after="0" w:line="11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During the quarter, continued progress was highlighted with the signing of a short-term renewable agreement with PDVSA regarding the PRISA project, resulting in a resumption of activity for the six barges. Discussions continue regarding the settlement of certain outstanding receivables.</w:t>
      </w:r>
    </w:p>
    <w:p>
      <w:pPr>
        <w:spacing w:after="0" w:line="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strong operating income increase resulted mainly from strengthening operating margins in Mexico due to improved IPM performance. This was coupled with stronger operating efficiencies in Well Services across all GeoMarkets.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of $825 million increased 10% sequentially and 17% year-on-year. Pretax operating income of $154 million increased 24% sequentially and 31% year-on-year.</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sequential revenue growth resulted mainly from higher levels of activity in Russia, principally due to greater demand for Well Services and Well Completion</w:t>
      </w:r>
    </w:p>
    <w:p>
      <w:pPr>
        <w:spacing w:after="0" w:line="38" w:lineRule="exact"/>
        <w:rPr>
          <w:sz w:val="20"/>
          <w:szCs w:val="20"/>
          <w:color w:val="auto"/>
        </w:rPr>
      </w:pPr>
    </w:p>
    <w:p>
      <w:pPr>
        <w:ind w:right="20" w:firstLine="8"/>
        <w:spacing w:after="0" w:line="255" w:lineRule="auto"/>
        <w:tabs>
          <w:tab w:leader="none" w:pos="181"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Productivity technology services. This was coupled with the inclusion of 20 days of financial results on a consolidated basis of PetroAlliance following the completion of the second stage of the acquisition, giving Schlumberger a 51% controlling interest. Also contributing to the revenue improvement was the Caspian GeoMarket with stronger Wireline activity and the North Sea experiencing seasonal activity pick-up.</w:t>
      </w:r>
    </w:p>
    <w:p>
      <w:pPr>
        <w:spacing w:after="0" w:line="13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robust profitability improvement in pretax operating income was mainly due to the resurgence of activity in the North Sea; improved utilization and pricing in Russia; and reduced overhead costs, resulting in higher operating margins. Also contributing were new technology introductions and the renewal of long-term contracts, particularly in Drilling &amp; Measurements, Well Services and Wireline services.</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UK, Schlumberger acquired Diamould Ltd., a firm specializing in electrical power and instrumentation, hydraulic and fiber-optic connector solutions used in subsea, downhole, and deepwater applications. Based in the UK, Diamould will become the Schlumberger Center of Excellence for all new developments in the critical area of connector reliability.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 of $731 million was 9% higher sequentially and 15% higher year-on-year. Pretax operating income of $206 million increased 18% sequentially and 28% year-on-year.</w:t>
      </w:r>
    </w:p>
    <w:p>
      <w:pPr>
        <w:spacing w:after="0" w:line="118"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Sequentially, each of the 11 GeoMarkets contributed to the revenue improvement, further emphasizing the global progression and depth of the current business cycle. Activity in China strengthened as a result of accelerated adoption of advanced Drilling &amp; Measurements and Wireline technologies. Revenue continued to</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expand in the Middle East due to increased activity led by Saudi Arabia, benefiting mainly Wireline and Drilling &amp; Measurements operations. Also contributing to the improved revenue was the commencement of new projects in the Gulf and Brunei/Malaysia/Philippines GeoMarkets.</w:t>
      </w:r>
    </w:p>
    <w:p>
      <w:pPr>
        <w:spacing w:after="0" w:line="1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increase in operating income outpaced activity growth, resulting in a sharp rise in operating margin. This strong performance was due to a mix of steady activity improvement across all the GeoMarkets and significant price increases, principally in Drilling &amp; Measurements, Well Completions &amp; Productivity, and Wireline operations, coupled with the start up of new projects.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WESTERNGECO</w:t>
      </w:r>
    </w:p>
    <w:p>
      <w:pPr>
        <w:spacing w:after="0" w:line="164"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Second quarter revenue of $383 million was 1% higher sequentially but increased 31% compared to the same period of last year. Pretax operating income of $58 million decreased $6 million sequentially but improved $43 million year-on-year.</w:t>
      </w:r>
    </w:p>
    <w:p>
      <w:pPr>
        <w:spacing w:after="0" w:line="118" w:lineRule="exact"/>
        <w:rPr>
          <w:sz w:val="20"/>
          <w:szCs w:val="20"/>
          <w:color w:val="auto"/>
        </w:rPr>
      </w:pPr>
    </w:p>
    <w:p>
      <w:pPr>
        <w:jc w:val="both"/>
        <w:ind w:right="120"/>
        <w:spacing w:after="0" w:line="294" w:lineRule="auto"/>
        <w:rPr>
          <w:sz w:val="20"/>
          <w:szCs w:val="20"/>
          <w:color w:val="auto"/>
        </w:rPr>
      </w:pPr>
      <w:r>
        <w:rPr>
          <w:rFonts w:ascii="Arial" w:cs="Arial" w:eastAsia="Arial" w:hAnsi="Arial"/>
          <w:sz w:val="16"/>
          <w:szCs w:val="16"/>
          <w:color w:val="auto"/>
        </w:rPr>
        <w:t>Sequentially, revenue increased sharply mainly from strong activity in Europe, reflecting the start of the North Sea season with three Q-Marine* vessels and one Q-Seabed* crew operating in the region, combined with higher activity in the Gulf of Mexico. The strong Marine activity increase was due to a combination of higher vessel utilization coupled with steady pricing increases and more favorable contractual terms regarding transit and bad weather downtimes. Year-on-year Marine revenue increased 31%, reflecting strong utilization of Q Vessels and increased pricing. Increased activities in South America, Asia, Europe, West Africa and the Middle East were partly offset by lower activity in Mexico and North America.</w:t>
      </w:r>
    </w:p>
    <w:p>
      <w:pPr>
        <w:spacing w:after="0" w:line="10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Sequentially, Land revenue increased marginally with higher activity in the Middle East and South America, partly offset by delayed mobilization of a crew in Algeria. A net addition of three crews during the quarter resulted in a total of 20 land crews. The Q-Land* crew currently deployed in Kuwait continues to deliver excellent performance. Year over year revenue increased 40% mainly in the Middle East with higher active crew months in Saudi Arabia, Chad, Kuwait and Algeria, which was partially offset by the shut down of two crews in Abu Dhabi and one crew each in Oman, Malaysia and Mexico.</w:t>
      </w:r>
    </w:p>
    <w:p>
      <w:pPr>
        <w:spacing w:after="0" w:line="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Multiclient sequential sales experienced a seasonal decline following the completion of the Central Gulf of Mexico Lease Sale in the first quarter. This decrease was partially offset by higher sales in Asia, Europe, South America, and West Africa, reflecting an improved exploration-spending environment. Multiclient year-on-year revenue increased 30% in North America from higher sales in the Gulf Coast area and in US Land combined with higher pre-funded revenue, augmented by higher sales in Asia, South America, Europe, and West Africa.</w:t>
      </w:r>
    </w:p>
    <w:p>
      <w:pPr>
        <w:spacing w:after="0" w:line="13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Sequentially Data Processing increased marginally due to higher third party processing in North and South America. Data Processing increased year over year by 20% resulting from improved third party processing in North America, Brazil, Russia, Middle East and Asia. Overall vessel utilization decreased from 79% in 2004 to 77% in 2005, albeit with better pricing, while Q vessel utilization increased from 53% in 2004 to 88% in 2005.</w:t>
      </w:r>
    </w:p>
    <w:p>
      <w:pPr>
        <w:spacing w:after="0" w:line="9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WesternGeco backlog at the end of the second quarter was $595 million. The sequential decline was mainly due to the consumption of some of the backlog of the summer shooting season in the North Sea and Canada.</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sequential decline in pretax operating income was mainly due to lower Multiclient sales. This seasonal deterioration was partially offset by significant improvements in Marine as a result of increased vessel utilization, better pricing, and the conversion of a conventional vessel to Q-Technology* commanding higher prices. The increase in the year-on-year pretax income was led by Multiclient (up $25 million) due mainly to increased sales. Data Processing increased $6 million due to the combined impact of higher revenue, and lower lease and compensation costs in the United Kingdom. Land improved by $6 million mainly in the Middle East due to higher revenue. Marine increased by $4 million due mainly to higher utilization and improved pricing, which was offset by a large increase in operating costs.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w:t>
      </w:r>
    </w:p>
    <w:p>
      <w:pPr>
        <w:spacing w:after="0" w:line="83"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Interest and other income for the second quarter of 2005 was $46 million versus $27 million for the same period last year. The second quarter of 2004 included a $7 million loss on the sale of shares of Atos Origin SA. Interest income of $23 million increased $12 million compared to the same quarter last year. The average return on investment increased from 1.7% to 3.3% while the average investment balance of $2.9 billion increased $237 million compared to last year.</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margin increased from 21.3% in 2004 to 25.7% in 2005, primarily due to a combination of record activity levels in Oilfield Services, with operations at capacity in a number of regions, and continued pricing improvements in both Oilfield Services and WesternGeco. As a percentage of revenue, marketing expense was flat compared to last year. In absolute dollars, research and engineering expense was flat, but as a percentage of revenue decreased from 4.3% to 3.5%. General and administrative expense as a percentage of revenue decreased from 2.9% to 2.7%.</w:t>
      </w:r>
    </w:p>
    <w:p>
      <w:pPr>
        <w:spacing w:after="0" w:line="99" w:lineRule="exact"/>
        <w:rPr>
          <w:sz w:val="20"/>
          <w:szCs w:val="20"/>
          <w:color w:val="auto"/>
        </w:rPr>
      </w:pPr>
    </w:p>
    <w:p>
      <w:pPr>
        <w:jc w:val="both"/>
        <w:ind w:right="180"/>
        <w:spacing w:after="0" w:line="370" w:lineRule="auto"/>
        <w:rPr>
          <w:sz w:val="20"/>
          <w:szCs w:val="20"/>
          <w:color w:val="auto"/>
        </w:rPr>
      </w:pPr>
      <w:r>
        <w:rPr>
          <w:rFonts w:ascii="Arial" w:cs="Arial" w:eastAsia="Arial" w:hAnsi="Arial"/>
          <w:sz w:val="15"/>
          <w:szCs w:val="15"/>
          <w:color w:val="auto"/>
        </w:rPr>
        <w:t>Excluding the impact of the $10 million gain in 2004 related to the US interest rate swap described on page 7, interest expense was flat, and average borrowing rates increased from 3.9% in 2004 to 4.5% in 2005. The average debt balance of $4.5 billion decreased by $768 million compared to the same quarter last year.</w:t>
      </w:r>
    </w:p>
    <w:p>
      <w:pPr>
        <w:spacing w:after="0" w:line="49"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effective tax rate for the second quarter of 2005 was 24.9% compared to 22.5% in the prior year. This increase is primarily attributable to the country mix of results in Oilfield Services, with a higher proportion of pretax profitability in North America compared to the comparable period last year.</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Six Months 2005 Compared to Six Months 2004</w:t>
      </w:r>
    </w:p>
    <w:p>
      <w:pPr>
        <w:spacing w:after="0" w:line="16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Operating revenue for the six month period ended June 30, 2005 was $6.59 billion versus $5.51 billion for the same period last year. Income from continuing operations before income taxes and minority interest was $1.33 billion in 2005 compared to $497 million in 2004. The 2005 results include net pretax credits of $134 million. The 2004 results include pretax charges of $229 million. These credits and charges are described in detail on pages 6 and 7.</w:t>
      </w:r>
    </w:p>
    <w:p>
      <w:pPr>
        <w:spacing w:after="0" w:line="9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Net income for the six month period ended June 30, 2005, was $1.01 billion compared to $576 million in the same period last year. Net income includes a gain from discontinued operations of $8 million in 2005 compared to $211 million in 2004.</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In the six month period ended June 30, 2005, Oilfield Services recorded revenue of $5.82 billion, an increase of 19% compared to the same period of last year.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Pretax business segment operating income of $1.23 billion increased 40% year-on-year.</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WesternGeco revenue for the six months ended June 30, 2005 of $761 million increased 26% year-on-year. Pretax business segment operating income of $121 million increased 152% year-on-year.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OILFIELD SERVICES</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Six month revenue of $5.8 billion was 19% higher versus the same period last year. Pretax operating income of $1.2 billion increased 40% year-on-year. Revenue growth year-on-year was strongest in US Land, Mexico, Canada, and Gulf GeoMarkets. From a technology standpoint, double-digit year-on-year growth was achieved across all technologies.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Revenue of $1.8 billion increased 21% versus the same period last year. Pretax operating income of $437 million increased 79% year-on-year. Year-on-year growth was mainly due to high activity levels in US Land and Canada, which were fueled by strong commodity prices, increased activity and pricing improvements, as well as higher activity in Eastern Canada. Gulf Coast grew moderately year-on-year with growth across all technologies being partially reduced by the absence of any turnkey drilling operations. All technologies, with the exception of Integrated Project Management, grew year-on-year.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 of $1 billion was 25% higher year-on-year. Pretax operating income of $148 million increased 20% versus the same period last year. Increased third party managed services revenue accounted for most of the growth in Mexico. Year-on-year increases were also posted in Latin America South with strong growth across all technologies from increased activity in both Argentina and Brazil, and Peru/Colombia/Ecuador that benefited from the commencement of an integrated project and increased well construction activity in both</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-21-</w:t>
      </w:r>
    </w:p>
    <w:p>
      <w:pPr>
        <w:sectPr>
          <w:pgSz w:w="11900" w:h="16838" w:orient="portrait"/>
          <w:cols w:equalWidth="0" w:num="1">
            <w:col w:w="11380"/>
          </w:cols>
          <w:pgMar w:left="240" w:top="280" w:right="279" w:bottom="1440" w:gutter="0" w:footer="0" w:header="0"/>
        </w:sectPr>
      </w:pPr>
    </w:p>
    <w:bookmarkStart w:id="21" w:name="page22"/>
    <w:bookmarkEnd w:id="21"/>
    <w:p>
      <w:pPr>
        <w:ind w:right="9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Ecuador and Peru. Venezuela was higher with Well Completions &amp; Productivity experiencing rising activity in Trinidad and Wireline and Drilling &amp; Measurements also increasing. Double-digit growth was recorded across all technologies.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8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Revenue of $1.6 billion increased 17% year-on-year. Pretax operating income of $277 million increased 24% year-on-year. Growth was lead by Russia, principally due to greater demand for Well Services and Well Completion &amp; Productivity technology services, and Nigeria, with the prior year activity hampered by production shutdowns in the Western delta. Increased activity in West Africa, led by Well Completions &amp; Productivity and Well Services also contributed to the growth. All technologies with the exception of Integrated Project Management increased year-on-year.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of $1.4 billion was 17% higher year-on-year. Pretax operating income of $381 million was 27% higher versus the same period last year. Revenue growth was reflected in all GeoMarkets and was strongest in the Gulf, with Wireline and Well Services contributing to strong growth with improved pricing and additional activity from rising rig count. Saudi and Thailand/Vietnam GeoMarkets also contributed to the growth with ramp up in Wireline activity on higher rig count in the both regions. In Brunei/Malaysia/Philippines all technologies grew. All technologies recorded strong growth year-on-year with the exception of Integrated Project Management.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WESTERNGECO</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Six months revenue for WesternGeco of $761 million was 26% higher compared to the same period last year. The year-on-year increase in Marine revenue was attributable to better vessel utilization and pricing improvements. Marine activity increased mainly in South America, Asia, Europe, West Africa and Middle East, partially offset by lower activity in Mexico and in North America. Land activity increased mainly in the Middle East with several additional crews active in the current year, higher activity in Algeria and in Argentina, partially offset by Mexico and Malaysia. Multiclient sales increased mainly in North America, augmented by higher sales in Europe and in Asia. Data Processing increased from higher levels of third party processing.</w:t>
      </w:r>
    </w:p>
    <w:p>
      <w:pPr>
        <w:spacing w:after="0" w:line="10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Pretax income of $121 million improved by $73 million year-on-year. Marine, Land Multiclient and Data processing all experienced increases in pretax income primarily due to increased revenue, better pricing and utilization, partly offset by higher operating costs. In addition, approximately 67% of Multiclient sales in the current period, which increased 15% year-on-year to $250 million, had no net book value due to the prior amortization of capitalized costs as compared to 54% in the prior year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w:t>
      </w:r>
    </w:p>
    <w:p>
      <w:pPr>
        <w:spacing w:after="0" w:line="83"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Interest and other income was $235 million versus $51 million for the same period last year. The 2005 period includes a gain of $146 million on the sale of a facility in Montrouge, France while the 2004 period included a $21 million loss on the sale of shares of Atos Origin SA. Both of these items are described in further detail in the following pages. Interest income of $43 million increased $18 million compared to the same period last year. The average return on investment increased from 1.7% to 3.1% while the average investment balance of $2.8 billion decreased $132 million compared to last year.</w:t>
      </w:r>
    </w:p>
    <w:p>
      <w:pPr>
        <w:spacing w:after="0" w:line="9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Gross margin increased from 21.0% in 2004 to 24.8% in 2005, primarily due to a combination of record activity levels in Oilfield Services, with operations at capacity in a number of regions, and continued pricing improvements in both Oilfield Services and WesternGeco. As a percentage of revenue, marketing expense was flat compared to last year. In absolute dollars, research and engineering expense increased slightly, but as a percentage of revenue decreased from 4.2% to 3.7%. General and administrative expense as a percentage of revenue decreased from 2.9% to 2.7%.</w:t>
      </w:r>
    </w:p>
    <w:p>
      <w:pPr>
        <w:spacing w:after="0" w:line="9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Excluding the impact of the net $64 million charge in 2004 related to the US interest rate swaps described on page 7, interest expense decreased $23 million, and average borrowing rates increased from 3.9% in 2004 to 4.3% in 2005. The average debt balance of $4.6 billion decreased by $1.6 billion compared to the same quarter last year.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-22-</w:t>
      </w:r>
    </w:p>
    <w:p>
      <w:pPr>
        <w:sectPr>
          <w:pgSz w:w="11900" w:h="16838" w:orient="portrait"/>
          <w:cols w:equalWidth="0" w:num="1">
            <w:col w:w="11400"/>
          </w:cols>
          <w:pgMar w:left="240" w:top="280" w:right="259" w:bottom="1440" w:gutter="0" w:footer="0" w:header="0"/>
        </w:sectPr>
      </w:pPr>
    </w:p>
    <w:bookmarkStart w:id="22" w:name="page23"/>
    <w:bookmarkEnd w:id="22"/>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effective tax rate for the first six months of 2005 was 22.5% compared to 24.4% in the prior year. The rate in 2005 reflects the impact of the $146 million gain on the sale of the Montrouge facility. This transaction allowed for the utilization of a deferred tax asset that was previously offset by a valuation allowance and had the effect of lowering the effective tax rate during the first six months of 2005 by 2.8%. The rate in 2004 reflects the impact of the $77 million of costs associated with the repurchase of European bonds which was not tax effective and had the effect of increasing the effective tax rate during the first six months of 2004 by 3.3%. Excluding the impact of these significant transactions, the effective tax rate increased from 2004 to 2005. This increase is primarily attributable to the country mix of results in Oilfield Services, with a higher proportion of pretax profitability in North America compared to the comparable period last year.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Credits and Charges – Continuing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w:t>
      </w:r>
    </w:p>
    <w:p>
      <w:pPr>
        <w:spacing w:after="0" w:line="8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 xml:space="preserve">In March 2005, Schlumberger sold its facility in Montrouge, France to a third party for $230 million, resulting in a pretax and after-tax gain of approximately $146 million, which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Schlumberger also recorded other real estate related pretax charges of approximately $12 million ($11 million after-tax), which are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Extinguishment Costs</w:t>
      </w:r>
    </w:p>
    <w:p>
      <w:pPr>
        <w:spacing w:after="0" w:line="77"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In June 2004, Schlumberger Technology Corporation bought back and retired $351 million of its outstanding $1 billion 6.5% Notes due 2012. As a result, Schlumberger recorded a pretax charge of $37 million ($23 million after-tax), which included market premium and transaction costs.</w:t>
      </w:r>
    </w:p>
    <w:p>
      <w:pPr>
        <w:spacing w:after="0" w:line="7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In March 2004, Schlumberger plc (SPLC) accepted tenders for the outstanding £175 million SPLC 6.50% Guaranteed Bonds due 2032. In addition, Schlumberger SA (SSA) bought back €25 million of the outstanding €274 million SSA 5.25% Guaranteed Bonds due 2008 and €7 million of the outstanding €259 million SSA 5.875% Guaranteed Bonds due 2011. As a result, Schlumberger recorded a pretax and after-tax charge of $77 million, which included market and tender premiums, and transaction costs. This charge is classified in </w:t>
      </w:r>
      <w:r>
        <w:rPr>
          <w:rFonts w:ascii="Arial" w:cs="Arial" w:eastAsia="Arial" w:hAnsi="Arial"/>
          <w:sz w:val="16"/>
          <w:szCs w:val="16"/>
          <w:i w:val="1"/>
          <w:iCs w:val="1"/>
          <w:color w:val="auto"/>
        </w:rPr>
        <w:t>Debt extinguishment costs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above pretax charges are classified in </w:t>
      </w:r>
      <w:r>
        <w:rPr>
          <w:rFonts w:ascii="Arial" w:cs="Arial" w:eastAsia="Arial" w:hAnsi="Arial"/>
          <w:sz w:val="18"/>
          <w:szCs w:val="18"/>
          <w:i w:val="1"/>
          <w:iCs w:val="1"/>
          <w:color w:val="auto"/>
        </w:rPr>
        <w:t>Debt extinguishment costs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Credits and Charges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2004:</w:t>
      </w:r>
    </w:p>
    <w:p>
      <w:pPr>
        <w:spacing w:after="0" w:line="77" w:lineRule="exact"/>
        <w:rPr>
          <w:sz w:val="20"/>
          <w:szCs w:val="20"/>
          <w:color w:val="auto"/>
        </w:rPr>
      </w:pPr>
    </w:p>
    <w:p>
      <w:pPr>
        <w:jc w:val="both"/>
        <w:ind w:left="780" w:right="200" w:hanging="326"/>
        <w:spacing w:after="0" w:line="256"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Schlumberger sold 9.7 million ordinary shares of Atos Origin SA at a price of €48.50 per share. The net proceeds for the sale were $551 million and Schlumberger recorded a pretax and after-tax loss of $7 million on this transaction, which reflects both banking fees and currency effect. The pretax charge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As a result of this transaction Schlumberger does not have any remaining ownership interest in Atos Origin SA.</w:t>
      </w:r>
    </w:p>
    <w:p>
      <w:pPr>
        <w:spacing w:after="0" w:line="48" w:lineRule="exact"/>
        <w:rPr>
          <w:rFonts w:ascii="Arial" w:cs="Arial" w:eastAsia="Arial" w:hAnsi="Arial"/>
          <w:sz w:val="18"/>
          <w:szCs w:val="18"/>
          <w:color w:val="auto"/>
        </w:rPr>
      </w:pPr>
    </w:p>
    <w:p>
      <w:pPr>
        <w:ind w:left="780" w:right="60" w:hanging="326"/>
        <w:spacing w:after="0" w:line="325" w:lineRule="auto"/>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In connection with its restructuring program, in order to reduce overhead, Schlumberger recorded a pretax and after-tax charge of $4 million related to employee terminations. This charge is classified in </w:t>
      </w:r>
      <w:r>
        <w:rPr>
          <w:rFonts w:ascii="Arial" w:cs="Arial" w:eastAsia="Arial" w:hAnsi="Arial"/>
          <w:sz w:val="16"/>
          <w:szCs w:val="16"/>
          <w:i w:val="1"/>
          <w:iCs w:val="1"/>
          <w:color w:val="auto"/>
        </w:rPr>
        <w:t>Cost of goods sold &amp;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780" w:right="42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Schlumberger Technology Corporation settled its US Interest Rate Swaps resulting in a pretax gain of $10 million ($6 million after-tax), which is classified in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charge of $11 million related to a vacated leased facility in the UK, which is classified in </w:t>
      </w:r>
      <w:r>
        <w:rPr>
          <w:rFonts w:ascii="Arial" w:cs="Arial" w:eastAsia="Arial" w:hAnsi="Arial"/>
          <w:sz w:val="18"/>
          <w:szCs w:val="18"/>
          <w:i w:val="1"/>
          <w:iCs w:val="1"/>
          <w:color w:val="auto"/>
        </w:rPr>
        <w:t>Cost of goods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sold &amp; 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-23-</w:t>
      </w:r>
    </w:p>
    <w:p>
      <w:pPr>
        <w:sectPr>
          <w:pgSz w:w="11900" w:h="16838" w:orient="portrait"/>
          <w:cols w:equalWidth="0" w:num="1">
            <w:col w:w="11400"/>
          </w:cols>
          <w:pgMar w:left="240" w:top="280" w:right="259" w:bottom="1440" w:gutter="0" w:footer="0" w:header="0"/>
        </w:sectPr>
      </w:pPr>
    </w:p>
    <w:bookmarkStart w:id="23" w:name="page24"/>
    <w:bookmarkEnd w:id="23"/>
    <w:p>
      <w:pPr>
        <w:ind w:left="780" w:right="34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Schlumberger recorded a pretax and after-tax credit of $5 million related to the release of a litigation reserve that was no longer required, which is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quarter of 2004:</w:t>
      </w:r>
    </w:p>
    <w:p>
      <w:pPr>
        <w:spacing w:after="0" w:line="77" w:lineRule="exact"/>
        <w:rPr>
          <w:sz w:val="20"/>
          <w:szCs w:val="20"/>
          <w:color w:val="auto"/>
        </w:rPr>
      </w:pPr>
    </w:p>
    <w:p>
      <w:pPr>
        <w:ind w:left="780" w:hanging="326"/>
        <w:spacing w:after="0" w:line="25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Schlumberger Technology Corporation paid off its commercial paper program in the US. As a result, the $500 million US interest-rate swaps that were designated as cash-flow hedges became ineffective. Schlumberger recorded a pretax non-cash charge of $73 million ($46 million after-tax) to recognize unrealized losses previously recorded in </w:t>
      </w:r>
      <w:r>
        <w:rPr>
          <w:rFonts w:ascii="Arial" w:cs="Arial" w:eastAsia="Arial" w:hAnsi="Arial"/>
          <w:sz w:val="18"/>
          <w:szCs w:val="18"/>
          <w:i w:val="1"/>
          <w:iCs w:val="1"/>
          <w:color w:val="auto"/>
        </w:rPr>
        <w:t>Other Comprehensive Income.</w:t>
      </w:r>
      <w:r>
        <w:rPr>
          <w:rFonts w:ascii="Arial" w:cs="Arial" w:eastAsia="Arial" w:hAnsi="Arial"/>
          <w:sz w:val="18"/>
          <w:szCs w:val="18"/>
          <w:color w:val="auto"/>
        </w:rPr>
        <w:t xml:space="preserve"> The pretax charge is classified in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Schlumberger sold 9.6 million ordinary shares of Atos Origin SA at a price of €52.95 per share. The net proceeds for the sale were $625 million and Schlumberger recorded a pretax and after-tax loss of $14 million on this transaction, which reflects both banking fees and currency effect. The pretax charge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jc w:val="both"/>
        <w:ind w:left="780" w:right="200" w:hanging="326"/>
        <w:spacing w:after="0" w:line="25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Schlumberger commenced a restructuring program in order to reduce overhead. Consequently, a pretax charge of $20 million ($14 million after-tax) was taken in the quarter related to a voluntary early retirement program in the United States and is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above 2004 charges:</w:t>
      </w:r>
    </w:p>
    <w:p>
      <w:pPr>
        <w:spacing w:after="0" w:line="77" w:lineRule="exact"/>
        <w:rPr>
          <w:sz w:val="20"/>
          <w:szCs w:val="20"/>
          <w:color w:val="auto"/>
        </w:rPr>
      </w:pPr>
    </w:p>
    <w:p>
      <w:pPr>
        <w:ind w:left="8780"/>
        <w:spacing w:after="0"/>
        <w:rPr>
          <w:sz w:val="20"/>
          <w:szCs w:val="20"/>
          <w:color w:val="auto"/>
        </w:rPr>
      </w:pPr>
      <w:r>
        <w:rPr>
          <w:rFonts w:ascii="Arial" w:cs="Arial" w:eastAsia="Arial" w:hAnsi="Arial"/>
          <w:sz w:val="18"/>
          <w:szCs w:val="18"/>
          <w:i w:val="1"/>
          <w:iCs w:val="1"/>
          <w:color w:val="auto"/>
        </w:rPr>
        <w:t>( Stated in millions )</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7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Pretax</w:t>
            </w:r>
          </w:p>
        </w:tc>
        <w:tc>
          <w:tcPr>
            <w:tcW w:w="220" w:type="dxa"/>
            <w:vAlign w:val="bottom"/>
          </w:tcPr>
          <w:p>
            <w:pPr>
              <w:spacing w:after="0"/>
              <w:rPr>
                <w:sz w:val="15"/>
                <w:szCs w:val="15"/>
                <w:color w:val="auto"/>
              </w:rPr>
            </w:pPr>
          </w:p>
        </w:tc>
        <w:tc>
          <w:tcPr>
            <w:tcW w:w="6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Tax</w:t>
            </w:r>
          </w:p>
        </w:tc>
        <w:tc>
          <w:tcPr>
            <w:tcW w:w="2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 Debt extinguishment costs</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$ 115</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 Restructuring program charges</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 Loss on sale of Atos Origin shares</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 US interest-rate swap settlement gain</w:t>
            </w:r>
          </w:p>
        </w:tc>
        <w:tc>
          <w:tcPr>
            <w:tcW w:w="27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 Vacated leased facility charge</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 Litigation reserve release</w:t>
            </w:r>
          </w:p>
        </w:tc>
        <w:tc>
          <w:tcPr>
            <w:tcW w:w="27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 Loss recognized on interest-rate swaps</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$ 229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-29210</wp:posOffset>
            </wp:positionV>
            <wp:extent cx="27876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3873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2159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83"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 xml:space="preserve">During the second quarter of 2005, Credence Systems Corporation, the current owners of Schlumberger’s former NPTest semiconductor testing business, agreed to settle an outstanding contingent liability by paying Schlumberger $4 million in cash and 615,157 shares of common stock valued at approximately $5 million. Schlumberger sold its NPTest semiconductor testing business in July 2003 and reported it as a discontinued operation. This $9 million pretax and after-tax gain is reported as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in the second quarter of 2005.</w:t>
      </w:r>
    </w:p>
    <w:p>
      <w:pPr>
        <w:spacing w:after="0" w:line="99"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 xml:space="preserve">During the first quarter of 2005, Schlumberger completed the sales of its Global Tel*Link, Public Phones and Essentis businesses for $18 million in cash. At December 31, 2004, the assets and liabilities of these businesses that were subsequently eliminated from Schlumberger’s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were aggregated and presented as </w:t>
      </w:r>
      <w:r>
        <w:rPr>
          <w:rFonts w:ascii="Arial" w:cs="Arial" w:eastAsia="Arial" w:hAnsi="Arial"/>
          <w:sz w:val="16"/>
          <w:szCs w:val="16"/>
          <w:i w:val="1"/>
          <w:iCs w:val="1"/>
          <w:color w:val="auto"/>
        </w:rPr>
        <w:t>Assets held for sale</w:t>
      </w:r>
      <w:r>
        <w:rPr>
          <w:rFonts w:ascii="Arial" w:cs="Arial" w:eastAsia="Arial" w:hAnsi="Arial"/>
          <w:sz w:val="16"/>
          <w:szCs w:val="16"/>
          <w:color w:val="auto"/>
        </w:rPr>
        <w:t xml:space="preserve"> ($65 million) and </w:t>
      </w:r>
      <w:r>
        <w:rPr>
          <w:rFonts w:ascii="Arial" w:cs="Arial" w:eastAsia="Arial" w:hAnsi="Arial"/>
          <w:sz w:val="16"/>
          <w:szCs w:val="16"/>
          <w:i w:val="1"/>
          <w:iCs w:val="1"/>
          <w:color w:val="auto"/>
        </w:rPr>
        <w:t>Liabilities held for sale</w:t>
      </w:r>
      <w:r>
        <w:rPr>
          <w:rFonts w:ascii="Arial" w:cs="Arial" w:eastAsia="Arial" w:hAnsi="Arial"/>
          <w:sz w:val="16"/>
          <w:szCs w:val="16"/>
          <w:color w:val="auto"/>
        </w:rPr>
        <w:t xml:space="preserve"> ($35 million).</w:t>
      </w:r>
    </w:p>
    <w:p>
      <w:pPr>
        <w:spacing w:after="0" w:line="9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During 2004, Schlumberger completed the sales of the following businesses: SchlumbergerSema, Telecom Billing Software, Infodata, Business Continuity, Axalto, Electricity Metering North America and Telecom Messaging.</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During the first quarter of 2004, Schlumberger recognized gains, net of taxes, related to the divestitures of SchlumbergerSema, Telecom Billing Software and Infodata of $26 million, $17 million and $48 million, respectively. The results of all of these divested businesses are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-24-</w:t>
      </w:r>
    </w:p>
    <w:p>
      <w:pPr>
        <w:sectPr>
          <w:pgSz w:w="11900" w:h="16838" w:orient="portrait"/>
          <w:cols w:equalWidth="0" w:num="1">
            <w:col w:w="11380"/>
          </w:cols>
          <w:pgMar w:left="240" w:top="280" w:right="279" w:bottom="1440" w:gutter="0" w:footer="0" w:header="0"/>
        </w:sectPr>
      </w:pPr>
    </w:p>
    <w:bookmarkStart w:id="24" w:name="page25"/>
    <w:bookmarkEnd w:id="24"/>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During the second quarter of 2004, Schlumberger recognized gains, net of taxes, related to the divestitures of SchlumbergerSema and Business Continuity of $15 million and $48 million, respectively, and losses, net of taxes, related to the divestitures of Axalto and Electricity Metering North America of $7 million and $24 million, respectively. The results of all of these divested businesses are reported as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In addition, the sale of Electricity Metering North America allowed for the recognition of a deferred tax asset of $49 million, which was previously offset by a valuation allowance, related to a tax loss carryforward associated with the sale of SchlumbergerSema. Such amount was recognized as a gain within </w:t>
      </w:r>
      <w:r>
        <w:rPr>
          <w:rFonts w:ascii="Arial" w:cs="Arial" w:eastAsia="Arial" w:hAnsi="Arial"/>
          <w:sz w:val="16"/>
          <w:szCs w:val="16"/>
          <w:i w:val="1"/>
          <w:iCs w:val="1"/>
          <w:color w:val="auto"/>
        </w:rPr>
        <w:t>Discontinued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Operations </w:t>
      </w:r>
      <w:r>
        <w:rPr>
          <w:rFonts w:ascii="Arial" w:cs="Arial" w:eastAsia="Arial" w:hAnsi="Arial"/>
          <w:sz w:val="16"/>
          <w:szCs w:val="16"/>
          <w:color w:val="auto"/>
        </w:rPr>
        <w:t>in the</w:t>
      </w:r>
      <w:r>
        <w:rPr>
          <w:rFonts w:ascii="Arial" w:cs="Arial" w:eastAsia="Arial" w:hAnsi="Arial"/>
          <w:sz w:val="16"/>
          <w:szCs w:val="16"/>
          <w:i w:val="1"/>
          <w:iCs w:val="1"/>
          <w:color w:val="auto"/>
        </w:rPr>
        <w:t xml:space="preserve"> Consolidated Statement of Income </w:t>
      </w:r>
      <w:r>
        <w:rPr>
          <w:rFonts w:ascii="Arial" w:cs="Arial" w:eastAsia="Arial" w:hAnsi="Arial"/>
          <w:sz w:val="16"/>
          <w:szCs w:val="16"/>
          <w:color w:val="auto"/>
        </w:rPr>
        <w:t>during the second quarter of 2004.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these discontinued operations:</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5"/>
          </w:tcPr>
          <w:p>
            <w:pPr>
              <w:spacing w:after="0"/>
              <w:rPr>
                <w:sz w:val="20"/>
                <w:szCs w:val="20"/>
                <w:color w:val="auto"/>
              </w:rPr>
            </w:pPr>
            <w:r>
              <w:rPr>
                <w:rFonts w:ascii="Arial" w:cs="Arial" w:eastAsia="Arial" w:hAnsi="Arial"/>
                <w:sz w:val="14"/>
                <w:szCs w:val="14"/>
                <w:b w:val="1"/>
                <w:bCs w:val="1"/>
                <w:color w:val="auto"/>
              </w:rPr>
              <w:t>Second Quarter</w:t>
            </w:r>
          </w:p>
        </w:tc>
        <w:tc>
          <w:tcPr>
            <w:tcW w:w="100" w:type="dxa"/>
            <w:vAlign w:val="bottom"/>
          </w:tcPr>
          <w:p>
            <w:pPr>
              <w:spacing w:after="0"/>
              <w:rPr>
                <w:sz w:val="15"/>
                <w:szCs w:val="15"/>
                <w:color w:val="auto"/>
              </w:rPr>
            </w:pPr>
          </w:p>
        </w:tc>
        <w:tc>
          <w:tcPr>
            <w:tcW w:w="98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w w:val="83"/>
              </w:rPr>
              <w:t>2005</w:t>
            </w: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2"/>
                <w:szCs w:val="22"/>
                <w:color w:val="auto"/>
              </w:rPr>
            </w:pPr>
          </w:p>
        </w:tc>
        <w:tc>
          <w:tcPr>
            <w:tcW w:w="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2005</w:t>
            </w:r>
          </w:p>
        </w:tc>
        <w:tc>
          <w:tcPr>
            <w:tcW w:w="32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Tax expense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Gains on disposal, net of tax</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-29210</wp:posOffset>
            </wp:positionV>
            <wp:extent cx="30416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-29210</wp:posOffset>
            </wp:positionV>
            <wp:extent cx="23558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3558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8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During the first six months of 2005, cash provided by operations was $1.08 billion as income from continuing operations plus depreciation/amortization and credits/charges were partially offset by increases in customer receivables and inventories. Cash used by investing activities was $596 million, with investments in fixed assets ($699 million) and the acquisition of PetroAlliance ($32 million) offset in part by proceeds from the sale of the Montrouge facility ($230 million). Cash used by financing activities was $543 million as the payment of dividends to shareholders ($234 million), stock repurchase plan ($262 million) and a net reduction in debt of $165 million were only partially offset by the proceeds from employee stock plans ($119 million).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w:t>
      </w:r>
    </w:p>
    <w:p>
      <w:pPr>
        <w:sectPr>
          <w:pgSz w:w="11900" w:h="16838" w:orient="portrait"/>
          <w:cols w:equalWidth="0" w:num="1">
            <w:col w:w="11420"/>
          </w:cols>
          <w:pgMar w:left="240" w:top="280" w:right="239" w:bottom="1440" w:gutter="0" w:footer="0" w:header="0"/>
        </w:sectPr>
      </w:pPr>
    </w:p>
    <w:bookmarkStart w:id="25" w:name="page26"/>
    <w:bookmarkEnd w:id="25"/>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Debt is gross debt less cash, short-term investments and fixed income investments held to maturity. Management believes that “net debt” provides useful information regarding the level of Schlumberger’s indebtedness by reflecting cash and investments that could be used to repay debt, and that the level of net debt provides useful information as to the results of Schlumberger’s deleveraging efforts. Details of the change in Net Debt follows:</w:t>
      </w: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300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(Stated in millions)</w:t>
            </w:r>
          </w:p>
        </w:tc>
        <w:tc>
          <w:tcPr>
            <w:tcW w:w="0" w:type="dxa"/>
            <w:vAlign w:val="bottom"/>
          </w:tcPr>
          <w:p>
            <w:pPr>
              <w:spacing w:after="0"/>
              <w:rPr>
                <w:sz w:val="1"/>
                <w:szCs w:val="1"/>
                <w:color w:val="auto"/>
              </w:rPr>
            </w:pPr>
          </w:p>
        </w:tc>
      </w:tr>
      <w:tr>
        <w:trPr>
          <w:trHeight w:val="299"/>
        </w:trPr>
        <w:tc>
          <w:tcPr>
            <w:tcW w:w="6140" w:type="dxa"/>
            <w:vAlign w:val="bottom"/>
            <w:gridSpan w:val="3"/>
          </w:tcPr>
          <w:p>
            <w:pPr>
              <w:spacing w:after="0"/>
              <w:rPr>
                <w:sz w:val="20"/>
                <w:szCs w:val="20"/>
                <w:color w:val="auto"/>
              </w:rPr>
            </w:pPr>
            <w:r>
              <w:rPr>
                <w:rFonts w:ascii="Arial" w:cs="Arial" w:eastAsia="Arial" w:hAnsi="Arial"/>
                <w:sz w:val="18"/>
                <w:szCs w:val="18"/>
                <w:b w:val="1"/>
                <w:bCs w:val="1"/>
                <w:color w:val="auto"/>
              </w:rPr>
              <w:t>Six Months</w:t>
            </w:r>
          </w:p>
        </w:tc>
        <w:tc>
          <w:tcPr>
            <w:tcW w:w="2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Debt, beginning of period</w:t>
            </w:r>
          </w:p>
        </w:tc>
        <w:tc>
          <w:tcPr>
            <w:tcW w:w="3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420"/>
              <w:spacing w:after="0"/>
              <w:rPr>
                <w:sz w:val="20"/>
                <w:szCs w:val="20"/>
                <w:color w:val="auto"/>
              </w:rPr>
            </w:pPr>
            <w:r>
              <w:rPr>
                <w:rFonts w:ascii="Arial" w:cs="Arial" w:eastAsia="Arial" w:hAnsi="Arial"/>
                <w:sz w:val="18"/>
                <w:szCs w:val="18"/>
                <w:color w:val="auto"/>
              </w:rPr>
              <w:t>Income from continuing operations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Excess of equity income over dividends received</w:t>
            </w:r>
          </w:p>
        </w:tc>
        <w:tc>
          <w:tcPr>
            <w:tcW w:w="3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420"/>
              <w:spacing w:after="0"/>
              <w:rPr>
                <w:sz w:val="20"/>
                <w:szCs w:val="20"/>
                <w:color w:val="auto"/>
              </w:rPr>
            </w:pPr>
            <w:r>
              <w:rPr>
                <w:rFonts w:ascii="Arial" w:cs="Arial" w:eastAsia="Arial" w:hAnsi="Arial"/>
                <w:sz w:val="18"/>
                <w:szCs w:val="18"/>
                <w:color w:val="auto"/>
              </w:rPr>
              <w:t>Charges and credits, net of tax and minority interest</w:t>
            </w:r>
          </w:p>
        </w:tc>
        <w:tc>
          <w:tcPr>
            <w:tcW w:w="3000" w:type="dxa"/>
            <w:vAlign w:val="bottom"/>
            <w:gridSpan w:val="3"/>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420"/>
              <w:spacing w:after="0"/>
              <w:rPr>
                <w:sz w:val="20"/>
                <w:szCs w:val="20"/>
                <w:color w:val="auto"/>
              </w:rPr>
            </w:pPr>
            <w:r>
              <w:rPr>
                <w:rFonts w:ascii="Arial" w:cs="Arial" w:eastAsia="Arial" w:hAnsi="Arial"/>
                <w:sz w:val="18"/>
                <w:szCs w:val="18"/>
                <w:color w:val="auto"/>
              </w:rPr>
              <w:t>Increase in working capital requirements</w:t>
            </w:r>
          </w:p>
        </w:tc>
        <w:tc>
          <w:tcPr>
            <w:tcW w:w="3000" w:type="dxa"/>
            <w:vAlign w:val="bottom"/>
            <w:gridSpan w:val="3"/>
          </w:tcPr>
          <w:p>
            <w:pPr>
              <w:jc w:val="right"/>
              <w:ind w:right="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3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420"/>
              <w:spacing w:after="0"/>
              <w:rPr>
                <w:sz w:val="20"/>
                <w:szCs w:val="20"/>
                <w:color w:val="auto"/>
              </w:rPr>
            </w:pPr>
            <w:r>
              <w:rPr>
                <w:rFonts w:ascii="Arial" w:cs="Arial" w:eastAsia="Arial" w:hAnsi="Arial"/>
                <w:sz w:val="18"/>
                <w:szCs w:val="18"/>
                <w:color w:val="auto"/>
              </w:rPr>
              <w:t>Dividends paid</w:t>
            </w:r>
          </w:p>
        </w:tc>
        <w:tc>
          <w:tcPr>
            <w:tcW w:w="3000" w:type="dxa"/>
            <w:vAlign w:val="bottom"/>
            <w:gridSpan w:val="3"/>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stock plans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420"/>
              <w:spacing w:after="0"/>
              <w:rPr>
                <w:sz w:val="20"/>
                <w:szCs w:val="20"/>
                <w:color w:val="auto"/>
              </w:rPr>
            </w:pPr>
            <w:r>
              <w:rPr>
                <w:rFonts w:ascii="Arial" w:cs="Arial" w:eastAsia="Arial" w:hAnsi="Arial"/>
                <w:sz w:val="18"/>
                <w:szCs w:val="18"/>
                <w:color w:val="auto"/>
              </w:rPr>
              <w:t>Proceeds from business divestitures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the sale of Montrouge facility</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420"/>
              <w:spacing w:after="0"/>
              <w:rPr>
                <w:sz w:val="20"/>
                <w:szCs w:val="20"/>
                <w:color w:val="auto"/>
              </w:rPr>
            </w:pPr>
            <w:r>
              <w:rPr>
                <w:rFonts w:ascii="Arial" w:cs="Arial" w:eastAsia="Arial" w:hAnsi="Arial"/>
                <w:sz w:val="18"/>
                <w:szCs w:val="18"/>
                <w:color w:val="auto"/>
              </w:rPr>
              <w:t>PetroAlliance acquisition (cash paid, net of cash acquired)</w:t>
            </w:r>
          </w:p>
        </w:tc>
        <w:tc>
          <w:tcPr>
            <w:tcW w:w="300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debt acquired</w:t>
            </w:r>
          </w:p>
        </w:tc>
        <w:tc>
          <w:tcPr>
            <w:tcW w:w="3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420"/>
              <w:spacing w:after="0"/>
              <w:rPr>
                <w:sz w:val="20"/>
                <w:szCs w:val="20"/>
                <w:color w:val="auto"/>
              </w:rPr>
            </w:pPr>
            <w:r>
              <w:rPr>
                <w:rFonts w:ascii="Arial" w:cs="Arial" w:eastAsia="Arial" w:hAnsi="Arial"/>
                <w:sz w:val="18"/>
                <w:szCs w:val="18"/>
                <w:color w:val="auto"/>
              </w:rPr>
              <w:t>Stock purchase program</w:t>
            </w:r>
          </w:p>
        </w:tc>
        <w:tc>
          <w:tcPr>
            <w:tcW w:w="3000" w:type="dxa"/>
            <w:vAlign w:val="bottom"/>
            <w:gridSpan w:val="3"/>
          </w:tcPr>
          <w:p>
            <w:pPr>
              <w:jc w:val="right"/>
              <w:ind w:right="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420"/>
              <w:spacing w:after="0"/>
              <w:rPr>
                <w:sz w:val="20"/>
                <w:szCs w:val="20"/>
                <w:color w:val="auto"/>
              </w:rPr>
            </w:pPr>
            <w:r>
              <w:rPr>
                <w:rFonts w:ascii="Arial" w:cs="Arial" w:eastAsia="Arial" w:hAnsi="Arial"/>
                <w:sz w:val="18"/>
                <w:szCs w:val="18"/>
                <w:color w:val="auto"/>
              </w:rPr>
              <w:t>Other business acquisitions</w:t>
            </w:r>
          </w:p>
        </w:tc>
        <w:tc>
          <w:tcPr>
            <w:tcW w:w="300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Translation effect on net debt</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Debt, end of period</w:t>
            </w:r>
          </w:p>
        </w:tc>
        <w:tc>
          <w:tcPr>
            <w:tcW w:w="3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2159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8860"/>
        <w:spacing w:after="0"/>
        <w:rPr>
          <w:sz w:val="20"/>
          <w:szCs w:val="20"/>
          <w:color w:val="auto"/>
        </w:rPr>
      </w:pPr>
      <w:r>
        <w:rPr>
          <w:rFonts w:ascii="Arial" w:cs="Arial" w:eastAsia="Arial" w:hAnsi="Arial"/>
          <w:sz w:val="18"/>
          <w:szCs w:val="18"/>
          <w:i w:val="1"/>
          <w:iCs w:val="1"/>
          <w:color w:val="auto"/>
        </w:rPr>
        <w:t>(Stated in millions)</w:t>
      </w:r>
    </w:p>
    <w:p>
      <w:pPr>
        <w:sectPr>
          <w:pgSz w:w="11900" w:h="16838" w:orient="portrait"/>
          <w:cols w:equalWidth="0" w:num="1">
            <w:col w:w="11400"/>
          </w:cols>
          <w:pgMar w:left="240" w:top="280" w:right="259" w:bottom="1440" w:gutter="0" w:footer="0" w:header="0"/>
        </w:sectPr>
      </w:pP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Components of Net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105410</wp:posOffset>
            </wp:positionV>
            <wp:extent cx="142367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1"/>
          <w:szCs w:val="11"/>
          <w:b w:val="1"/>
          <w:bCs w:val="1"/>
          <w:color w:val="auto"/>
        </w:rPr>
        <w:t>Dec. 31</w:t>
      </w:r>
    </w:p>
    <w:p>
      <w:pPr>
        <w:spacing w:after="0" w:line="1" w:lineRule="exact"/>
        <w:rPr>
          <w:sz w:val="20"/>
          <w:szCs w:val="20"/>
          <w:color w:val="auto"/>
        </w:rPr>
      </w:pPr>
    </w:p>
    <w:p>
      <w:pPr>
        <w:ind w:left="80"/>
        <w:spacing w:after="0"/>
        <w:tabs>
          <w:tab w:leader="none" w:pos="104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60325</wp:posOffset>
            </wp:positionV>
            <wp:extent cx="3517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60325</wp:posOffset>
            </wp:positionV>
            <wp:extent cx="3517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20" w:space="720"/>
            <w:col w:w="2660"/>
          </w:cols>
          <w:pgMar w:left="240" w:top="280" w:right="259" w:bottom="1440" w:gutter="0" w:footer="0" w:header="0"/>
          <w:type w:val="continuous"/>
        </w:sectPr>
      </w:pPr>
    </w:p>
    <w:p>
      <w:pPr>
        <w:spacing w:after="0" w:line="1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$ 2,913</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$ 2,997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Fixed income investments, held to maturity</w:t>
            </w:r>
          </w:p>
        </w:tc>
        <w:tc>
          <w:tcPr>
            <w:tcW w:w="2600" w:type="dxa"/>
            <w:vAlign w:val="bottom"/>
            <w:gridSpan w:val="3"/>
          </w:tcPr>
          <w:p>
            <w:pPr>
              <w:jc w:val="right"/>
              <w:spacing w:after="0"/>
              <w:rPr>
                <w:sz w:val="20"/>
                <w:szCs w:val="20"/>
                <w:color w:val="auto"/>
              </w:rPr>
            </w:pPr>
            <w:r>
              <w:rPr>
                <w:rFonts w:ascii="Arial" w:cs="Arial" w:eastAsia="Arial" w:hAnsi="Arial"/>
                <w:sz w:val="18"/>
                <w:szCs w:val="18"/>
                <w:b w:val="1"/>
                <w:bCs w:val="1"/>
                <w:color w:val="auto"/>
              </w:rPr>
              <w:t>313</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2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(691)</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(716)</w:t>
            </w:r>
          </w:p>
        </w:tc>
      </w:tr>
      <w:tr>
        <w:trPr>
          <w:trHeight w:val="228"/>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Long-term debt</w:t>
            </w:r>
          </w:p>
        </w:tc>
        <w:tc>
          <w:tcPr>
            <w:tcW w:w="28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(3,779)</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(3,944)</w:t>
            </w:r>
          </w:p>
        </w:tc>
      </w:tr>
      <w:tr>
        <w:trPr>
          <w:trHeight w:val="96"/>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$(1,244)</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$(1,459)</w:t>
            </w:r>
          </w:p>
        </w:tc>
      </w:tr>
      <w:tr>
        <w:trPr>
          <w:trHeight w:val="132"/>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2159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3873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2159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report and other statements we make contain forward looking statements, which include any statements that are not historical facts, such as our expectations regarding business outlook; growth for Schlumberger as a whole and for each of Oilfield Services and WesternGeco; oil and natural gas demand and production growth; operating and capital expenditures by Schlumberger and the oil and gas industry; the business strategies of Schlumberger’s customers; future effective tax rates; and future results of operations. These statements involve risks and uncertainties, including, but not limited to, the global economy; changes in exploration and production spending by Schlumberger’s customers and changes in the level of oil and natural gas exploration and development; general economic and business conditions in key regions of the world; political and economic uncertainty and socio-political unrest; and other factors detailed in our most recent Form 10-K, Form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Operations</w:t>
      </w:r>
    </w:p>
    <w:p>
      <w:pPr>
        <w:spacing w:after="0" w:line="8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Schlumberger derives a significant portion of its revenues from non-US operations, which subject Schlumberger to risks which may affect such operations. Schlumberger’s non-US operations accounted for approximately 74% of our consolidated revenues for the second quarter and the first six months of both 2005 and 2004. Risks which may adversely affect our operations in such countries include unsettled political and economic conditions in certain areas, exposure to possible expropriation or other governmental actions, social unrest, acts of terrorism, outbreak of war or other armed conflict, deprivation of contract rights, exchange control and currency fluctuation. In addition, we are subject to risks associated with our operations in countries, including Iran, Syria, Sudan, Libya and Cuba, which are subject to trade, economic sanctions or other restrictions imposed by the US government. Although it is impossible to predict such occurrences or their effects on Schlumberger, management believes these risks are acceptable. Management also believes that the geographical diversification of our activities reduces the risk that loss of operations in any one country would be material to all the operations taken as a whole.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-26-</w:t>
      </w:r>
    </w:p>
    <w:p>
      <w:pPr>
        <w:sectPr>
          <w:pgSz w:w="11900" w:h="16838" w:orient="portrait"/>
          <w:cols w:equalWidth="0" w:num="1">
            <w:col w:w="11400"/>
          </w:cols>
          <w:pgMar w:left="240" w:top="280" w:right="2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 Quantitative and Qualitative Disclosures About Market Risk</w:t>
      </w:r>
    </w:p>
    <w:p>
      <w:pPr>
        <w:spacing w:after="0" w:line="8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For quantitative and qualitative disclosures about market risk affecting Schlumberger, see Item 7A, “Quantitative Disclosures About Market Risk,” of our Annual Report on Form 10-K for the year ended December 31, 2004. Schlumberger’s exposure to market risk has not changed materially since December 31, 2004.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Schlumberger’s management, including the Chief Executive Officer (“CEO”) and Chief Financial Officer (“CFO”), of the effectiveness of the design and operation of Schlumberger’s disclosure controls and procedures pursuant to Rule 13a-15 of the Securities Exchange Act of 1934 (the “Exchange Act”). Based on that evaluation, the CEO and CFO have concluded that Schlumberger’s disclosure controls and procedures were effective as of June 30, 2005 to ensure that information required to be disclosed by Schlumberger in reports that it files or submits under the Exchange Act is recorded, processed, summarized and reported within the time periods specified in Securities and Exchange Commission rules and forms. There has been no change in our internal controls over financial reporting that occurred during the quarter ended June 30, 2005 that has materially affected, or is reasonably likely to materially affect, our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0007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2"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quarter ended June 30, 2005, Schlumberger issued 67 shares of its common stock upon conversion of $5,000 aggregate principal amount of its 1.500% Series A Convertible Debentures due June 1, 2023. Such shares were issued in a transaction exempt from registration under Section 3(a)(9) of the Securities Act of 1933, as amended.</w:t>
      </w:r>
    </w:p>
    <w:p>
      <w:pPr>
        <w:spacing w:after="0" w:line="12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On May 11, 2005, Schlumberger delivered from treasury 1,150,323 shares of its common stock as partial consideration for the acquisition of an additional 25% equity stake in PetroAlliance Services Company Limited. Such shares were issued in transactions exempt from registration under Section 4(2) and Regulation S of the Securities Act of 1933, as amended.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Repurchases</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July 22, 2004, the Board of Directors of Schlumberger approved a share buyback program of up to 15 million shares to be acquired in the open market before December 2006, subject to market conditions.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-27-</w:t>
      </w:r>
    </w:p>
    <w:p>
      <w:pPr>
        <w:sectPr>
          <w:pgSz w:w="11900" w:h="16838" w:orient="portrait"/>
          <w:cols w:equalWidth="0" w:num="1">
            <w:col w:w="11400"/>
          </w:cols>
          <w:pgMar w:left="240" w:top="274" w:right="25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sets forth information on Schlumberger’s common stock repurchase program activity for the three months ended June 30, 2005.</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 except per share amounts)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Total number of</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64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Average price</w:t>
            </w:r>
          </w:p>
        </w:tc>
        <w:tc>
          <w:tcPr>
            <w:tcW w:w="620" w:type="dxa"/>
            <w:vAlign w:val="bottom"/>
          </w:tcPr>
          <w:p>
            <w:pPr>
              <w:spacing w:after="0"/>
              <w:rPr>
                <w:sz w:val="12"/>
                <w:szCs w:val="12"/>
                <w:color w:val="auto"/>
              </w:rPr>
            </w:pPr>
          </w:p>
        </w:tc>
        <w:tc>
          <w:tcPr>
            <w:tcW w:w="18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shares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w w:val="91"/>
              </w:rPr>
              <w:t>paid per</w:t>
            </w:r>
          </w:p>
        </w:tc>
        <w:tc>
          <w:tcPr>
            <w:tcW w:w="620" w:type="dxa"/>
            <w:vAlign w:val="bottom"/>
          </w:tcPr>
          <w:p>
            <w:pPr>
              <w:spacing w:after="0"/>
              <w:rPr>
                <w:sz w:val="12"/>
                <w:szCs w:val="12"/>
                <w:color w:val="auto"/>
              </w:rPr>
            </w:pPr>
          </w:p>
        </w:tc>
        <w:tc>
          <w:tcPr>
            <w:tcW w:w="18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as part of publicly</w:t>
            </w: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be purchased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59"/>
              <w:spacing w:after="0"/>
              <w:rPr>
                <w:sz w:val="20"/>
                <w:szCs w:val="20"/>
                <w:color w:val="auto"/>
              </w:rPr>
            </w:pPr>
            <w:r>
              <w:rPr>
                <w:rFonts w:ascii="Arial" w:cs="Arial" w:eastAsia="Arial" w:hAnsi="Arial"/>
                <w:sz w:val="14"/>
                <w:szCs w:val="14"/>
                <w:b w:val="1"/>
                <w:bCs w:val="1"/>
                <w:color w:val="auto"/>
              </w:rPr>
              <w:t>share</w:t>
            </w:r>
          </w:p>
        </w:tc>
        <w:tc>
          <w:tcPr>
            <w:tcW w:w="620" w:type="dxa"/>
            <w:vAlign w:val="bottom"/>
          </w:tcPr>
          <w:p>
            <w:pPr>
              <w:spacing w:after="0"/>
              <w:rPr>
                <w:sz w:val="15"/>
                <w:szCs w:val="15"/>
                <w:color w:val="auto"/>
              </w:rPr>
            </w:pPr>
          </w:p>
        </w:tc>
        <w:tc>
          <w:tcPr>
            <w:tcW w:w="18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announced program</w:t>
            </w:r>
          </w:p>
        </w:tc>
        <w:tc>
          <w:tcPr>
            <w:tcW w:w="1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under the program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April 1 through April 30, 2005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May 1 through May 31, 2005</w:t>
            </w:r>
          </w:p>
        </w:tc>
        <w:tc>
          <w:tcPr>
            <w:tcW w:w="800" w:type="dxa"/>
            <w:vAlign w:val="bottom"/>
          </w:tcPr>
          <w:p>
            <w:pPr>
              <w:jc w:val="right"/>
              <w:spacing w:after="0"/>
              <w:rPr>
                <w:sz w:val="20"/>
                <w:szCs w:val="20"/>
                <w:color w:val="auto"/>
              </w:rPr>
            </w:pPr>
            <w:r>
              <w:rPr>
                <w:rFonts w:ascii="Arial" w:cs="Arial" w:eastAsia="Arial" w:hAnsi="Arial"/>
                <w:sz w:val="18"/>
                <w:szCs w:val="18"/>
                <w:color w:val="auto"/>
              </w:rPr>
              <w:t>2,285.8</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67.70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2,285.8</w:t>
            </w:r>
          </w:p>
        </w:tc>
        <w:tc>
          <w:tcPr>
            <w:tcW w:w="6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June 1 through June 30, 2005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2,765.0</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2,765.0</w:t>
            </w: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-29210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2159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implicating the disclosure required under this Item. The number of shares of Schlumberger common stock received from optionholders is immaterial.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83" w:lineRule="exact"/>
        <w:rPr>
          <w:sz w:val="20"/>
          <w:szCs w:val="20"/>
          <w:color w:val="auto"/>
        </w:rPr>
      </w:pPr>
    </w:p>
    <w:p>
      <w:pPr>
        <w:ind w:left="460" w:right="460"/>
        <w:spacing w:after="0" w:line="325" w:lineRule="auto"/>
        <w:rPr>
          <w:sz w:val="20"/>
          <w:szCs w:val="20"/>
          <w:color w:val="auto"/>
        </w:rPr>
      </w:pPr>
      <w:r>
        <w:rPr>
          <w:rFonts w:ascii="Arial" w:cs="Arial" w:eastAsia="Arial" w:hAnsi="Arial"/>
          <w:sz w:val="16"/>
          <w:szCs w:val="16"/>
          <w:color w:val="auto"/>
        </w:rPr>
        <w:t>Exhibit 3.1 Articles of Incorporation of Schlumberger N.V. (Schlumberger Limited) as last amended and restated on April 13, 2005 (incorporated by reference to Appendix 1 to Schlumberger’s definitive proxy statement for the 2005 Annual General Meeting of Stockholders held on April 13, 2005).</w:t>
      </w:r>
    </w:p>
    <w:p>
      <w:pPr>
        <w:spacing w:after="0" w:line="1"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Exhibit 3.2 Amended and Restated Bylaws of Schlumberger N.V. (Schlumberger Limited) (incorporated by reference to Exhibit 3.1 to Schlumberger’s Current Report on Form 8-K filed on April 22, 2005).</w:t>
      </w:r>
    </w:p>
    <w:p>
      <w:pPr>
        <w:spacing w:after="0" w:line="37"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Exhibit 10.1 Schlumberger 2005 Stock Option Plan (incorporated by reference to Appendix 2 to Schlumberger’s definitive proxy statement for the 2005 Annual General Meeting of Stockholders held on April 13, 2005).</w:t>
      </w:r>
    </w:p>
    <w:p>
      <w:pPr>
        <w:spacing w:after="0" w:line="37"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Exhibit 10.2 Fifth Amendment to Schlumberger Discounted Stock Purchase Plan (incorporated by reference to Appendix 3 to Schlumberger’s definitive proxy statement for the 2005 Annual General Meeting of Stockholders held on April 13, 2005).</w:t>
      </w:r>
    </w:p>
    <w:p>
      <w:pPr>
        <w:spacing w:after="0" w:line="37" w:lineRule="exact"/>
        <w:rPr>
          <w:sz w:val="20"/>
          <w:szCs w:val="20"/>
          <w:color w:val="auto"/>
        </w:rPr>
      </w:pPr>
    </w:p>
    <w:p>
      <w:pPr>
        <w:jc w:val="both"/>
        <w:ind w:left="460" w:right="340"/>
        <w:spacing w:after="0" w:line="259" w:lineRule="auto"/>
        <w:rPr>
          <w:sz w:val="20"/>
          <w:szCs w:val="20"/>
          <w:color w:val="auto"/>
        </w:rPr>
      </w:pPr>
      <w:r>
        <w:rPr>
          <w:rFonts w:ascii="Arial" w:cs="Arial" w:eastAsia="Arial" w:hAnsi="Arial"/>
          <w:sz w:val="18"/>
          <w:szCs w:val="18"/>
          <w:color w:val="auto"/>
        </w:rPr>
        <w:t>Exhibit 10.3 Purchase Agreement, dated June 28, 2005, among Schlumberger N.V. (Schlumberger Limited), Lehman Brothers Inc., Kellyanna Limited Company and the selling stockholders named therein (incorporated by reference to Exhibit 1.1 of Schlumberger’s Current Report on Form 8-K filed on June 29, 2005).</w:t>
      </w:r>
    </w:p>
    <w:p>
      <w:pPr>
        <w:spacing w:after="0" w:line="46"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Exhibit 31.1 Certification of Chief Executive Officer pursuant to Form of Rule 13a-14(a) as Adopted Pursuant to Section 302 of the Sarbanes-Oxley Act of 2002.</w:t>
      </w:r>
    </w:p>
    <w:p>
      <w:pPr>
        <w:spacing w:after="0" w:line="37"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Exhibit 31.2 Certification of Chief Financial Officer pursuant to Form of Rule 13a-14(a) as Adopted Pursuant to Section 302 of the Sarbanes-Oxley Act of 2002.</w:t>
      </w:r>
    </w:p>
    <w:p>
      <w:pPr>
        <w:spacing w:after="0" w:line="3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Exhibit 32.1 Certification of Chief Executive Officer pursuant to 18 U.S.C. Section 1350, as Adopted Pursuant to Section 906 of the Sarbanes-Oxley Act of 2002.</w:t>
      </w:r>
    </w:p>
    <w:p>
      <w:pPr>
        <w:spacing w:after="0" w:line="37"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Exhibit 32.2 Certification Chief Financial Officer pursuant to 18 U.S.C. Section 1350, as Adopted Pursuant to Section 906 of the Sarbanes-Oxley Act of 2002.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w:t>
      </w:r>
    </w:p>
    <w:p>
      <w:pPr>
        <w:sectPr>
          <w:pgSz w:w="11900" w:h="16838" w:orient="portrait"/>
          <w:cols w:equalWidth="0" w:num="1">
            <w:col w:w="11420"/>
          </w:cols>
          <w:pgMar w:left="240" w:top="280" w:right="239" w:bottom="1440" w:gutter="0" w:footer="0" w:header="0"/>
        </w:sectPr>
      </w:pPr>
    </w:p>
    <w:bookmarkStart w:id="28" w:name="page29"/>
    <w:bookmarkEnd w:id="28"/>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1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28, 2005</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Accounting Officer and Duly</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Authorized Signatory</w:t>
      </w:r>
    </w:p>
    <w:p>
      <w:pPr>
        <w:spacing w:after="0" w:line="15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-29-</w:t>
      </w:r>
    </w:p>
    <w:p>
      <w:pPr>
        <w:sectPr>
          <w:pgSz w:w="11900" w:h="16838" w:orient="portrait"/>
          <w:cols w:equalWidth="0" w:num="1">
            <w:col w:w="11000"/>
          </w:cols>
          <w:pgMar w:left="240" w:top="280" w:right="6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77"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80" w:firstLine="8"/>
        <w:spacing w:after="0" w:line="259" w:lineRule="auto"/>
        <w:tabs>
          <w:tab w:leader="none" w:pos="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45" w:lineRule="exact"/>
        <w:rPr>
          <w:rFonts w:ascii="Arial" w:cs="Arial" w:eastAsia="Arial" w:hAnsi="Arial"/>
          <w:sz w:val="18"/>
          <w:szCs w:val="18"/>
          <w:color w:val="auto"/>
        </w:rPr>
      </w:pPr>
    </w:p>
    <w:p>
      <w:pPr>
        <w:ind w:firstLine="464"/>
        <w:spacing w:after="0" w:line="259" w:lineRule="auto"/>
        <w:tabs>
          <w:tab w:leader="none" w:pos="6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28, 2005</w:t>
      </w:r>
      <w:r>
        <w:rPr>
          <w:sz w:val="20"/>
          <w:szCs w:val="20"/>
          <w:color w:val="auto"/>
        </w:rPr>
        <w:tab/>
      </w:r>
      <w:r>
        <w:rPr>
          <w:rFonts w:ascii="Arial" w:cs="Arial" w:eastAsia="Arial" w:hAnsi="Arial"/>
          <w:sz w:val="16"/>
          <w:szCs w:val="16"/>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Jean-Marc Perraud, certify that:</w:t>
      </w:r>
    </w:p>
    <w:p>
      <w:pPr>
        <w:spacing w:after="0" w:line="77"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80" w:firstLine="8"/>
        <w:spacing w:after="0" w:line="259" w:lineRule="auto"/>
        <w:tabs>
          <w:tab w:leader="none" w:pos="1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45" w:lineRule="exact"/>
        <w:rPr>
          <w:rFonts w:ascii="Arial" w:cs="Arial" w:eastAsia="Arial" w:hAnsi="Arial"/>
          <w:sz w:val="18"/>
          <w:szCs w:val="18"/>
          <w:color w:val="auto"/>
        </w:rPr>
      </w:pPr>
    </w:p>
    <w:p>
      <w:pPr>
        <w:ind w:firstLine="464"/>
        <w:spacing w:after="0" w:line="259" w:lineRule="auto"/>
        <w:tabs>
          <w:tab w:leader="none" w:pos="63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28, 2005</w:t>
      </w:r>
      <w:r>
        <w:rPr>
          <w:sz w:val="20"/>
          <w:szCs w:val="20"/>
          <w:color w:val="auto"/>
        </w:rPr>
        <w:tab/>
      </w:r>
      <w:r>
        <w:rPr>
          <w:rFonts w:ascii="Arial" w:cs="Arial" w:eastAsia="Arial" w:hAnsi="Arial"/>
          <w:sz w:val="15"/>
          <w:szCs w:val="15"/>
          <w:color w:val="auto"/>
        </w:rPr>
        <w:t>/s/ 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quarterly period June 30, 2005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12" w:lineRule="exact"/>
        <w:rPr>
          <w:sz w:val="20"/>
          <w:szCs w:val="20"/>
          <w:color w:val="auto"/>
        </w:rPr>
      </w:pPr>
    </w:p>
    <w:p>
      <w:pPr>
        <w:ind w:left="460" w:right="2680" w:firstLine="4"/>
        <w:spacing w:after="0" w:line="422" w:lineRule="auto"/>
        <w:tabs>
          <w:tab w:leader="none" w:pos="70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 w:lineRule="exact"/>
        <w:rPr>
          <w:rFonts w:ascii="Arial" w:cs="Arial" w:eastAsia="Arial" w:hAnsi="Arial"/>
          <w:sz w:val="18"/>
          <w:szCs w:val="18"/>
          <w:color w:val="auto"/>
        </w:rPr>
      </w:pPr>
    </w:p>
    <w:p>
      <w:pPr>
        <w:ind w:left="720" w:hanging="256"/>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28, 2005</w:t>
      </w:r>
      <w:r>
        <w:rPr>
          <w:sz w:val="20"/>
          <w:szCs w:val="20"/>
          <w:color w:val="auto"/>
        </w:rPr>
        <w:tab/>
      </w:r>
      <w:r>
        <w:rPr>
          <w:rFonts w:ascii="Arial" w:cs="Arial" w:eastAsia="Arial" w:hAnsi="Arial"/>
          <w:sz w:val="16"/>
          <w:szCs w:val="16"/>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quarterly period June 30, 2005 as filed with the Securities and Exchange Commission on the date hereof (the “Report”), I, Jean-Marc Perraud, Executive Vice President and Chief Financial Officer of the Company, certify, pursuant to 18 U.S.C. § 1350, as adopted pursuant to § 906 of the Sarbanes-Oxley Act of 2002, that:</w:t>
      </w:r>
    </w:p>
    <w:p>
      <w:pPr>
        <w:spacing w:after="0" w:line="12" w:lineRule="exact"/>
        <w:rPr>
          <w:sz w:val="20"/>
          <w:szCs w:val="20"/>
          <w:color w:val="auto"/>
        </w:rPr>
      </w:pPr>
    </w:p>
    <w:p>
      <w:pPr>
        <w:ind w:left="460" w:right="2680" w:firstLine="4"/>
        <w:spacing w:after="0" w:line="422" w:lineRule="auto"/>
        <w:tabs>
          <w:tab w:leader="none" w:pos="7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 w:lineRule="exact"/>
        <w:rPr>
          <w:rFonts w:ascii="Arial" w:cs="Arial" w:eastAsia="Arial" w:hAnsi="Arial"/>
          <w:sz w:val="18"/>
          <w:szCs w:val="18"/>
          <w:color w:val="auto"/>
        </w:rPr>
      </w:pPr>
    </w:p>
    <w:p>
      <w:pPr>
        <w:ind w:left="720" w:hanging="256"/>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28, 2005</w:t>
      </w:r>
      <w:r>
        <w:rPr>
          <w:sz w:val="20"/>
          <w:szCs w:val="20"/>
          <w:color w:val="auto"/>
        </w:rPr>
        <w:tab/>
      </w:r>
      <w:r>
        <w:rPr>
          <w:rFonts w:ascii="Arial" w:cs="Arial" w:eastAsia="Arial" w:hAnsi="Arial"/>
          <w:sz w:val="15"/>
          <w:szCs w:val="15"/>
          <w:color w:val="auto"/>
        </w:rPr>
        <w:t>/s/ 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2"/>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decimal"/>
      <w:start w:val="4"/>
    </w:lvl>
  </w:abstractNum>
  <w:abstractNum w:abstractNumId="7">
    <w:nsid w:val="519B500D"/>
    <w:multiLevelType w:val="hybridMultilevel"/>
    <w:lvl w:ilvl="0">
      <w:lvlJc w:val="left"/>
      <w:lvlText w:val="%1."/>
      <w:numFmt w:val="decimal"/>
      <w:start w:val="5"/>
    </w:lvl>
  </w:abstractNum>
  <w:abstractNum w:abstractNumId="8">
    <w:nsid w:val="431BD7B7"/>
    <w:multiLevelType w:val="hybridMultilevel"/>
    <w:lvl w:ilvl="0">
      <w:lvlJc w:val="left"/>
      <w:lvlText w:val="%1."/>
      <w:numFmt w:val="decimal"/>
      <w:start w:val="6"/>
    </w:lvl>
  </w:abstractNum>
  <w:abstractNum w:abstractNumId="9">
    <w:nsid w:val="3F2DBA31"/>
    <w:multiLevelType w:val="hybridMultilevel"/>
    <w:lvl w:ilvl="0">
      <w:lvlJc w:val="left"/>
      <w:lvlText w:val="%1."/>
      <w:numFmt w:val="decimal"/>
      <w:start w:val="7"/>
    </w:lvl>
  </w:abstractNum>
  <w:abstractNum w:abstractNumId="10">
    <w:nsid w:val="7C83E458"/>
    <w:multiLevelType w:val="hybridMultilevel"/>
    <w:lvl w:ilvl="0">
      <w:lvlJc w:val="left"/>
      <w:lvlText w:val="%1."/>
      <w:numFmt w:val="decimal"/>
      <w:start w:val="11"/>
    </w:lvl>
  </w:abstractNum>
  <w:abstractNum w:abstractNumId="11">
    <w:nsid w:val="257130A3"/>
    <w:multiLevelType w:val="hybridMultilevel"/>
    <w:lvl w:ilvl="0">
      <w:lvlJc w:val="left"/>
      <w:lvlText w:val="%1."/>
      <w:numFmt w:val="decimal"/>
      <w:start w:val="12"/>
    </w:lvl>
  </w:abstractNum>
  <w:abstractNum w:abstractNumId="12">
    <w:nsid w:val="62BBD95A"/>
    <w:multiLevelType w:val="hybridMultilevel"/>
    <w:lvl w:ilvl="0">
      <w:lvlJc w:val="left"/>
      <w:lvlText w:val="%1."/>
      <w:numFmt w:val="decimal"/>
      <w:start w:val="13"/>
    </w:lvl>
  </w:abstractNum>
  <w:abstractNum w:abstractNumId="13">
    <w:nsid w:val="436C6125"/>
    <w:multiLevelType w:val="hybridMultilevel"/>
    <w:lvl w:ilvl="0">
      <w:lvlJc w:val="left"/>
      <w:lvlText w:val="%1."/>
      <w:numFmt w:val="decimal"/>
      <w:start w:val="14"/>
    </w:lvl>
  </w:abstractNum>
  <w:abstractNum w:abstractNumId="14">
    <w:nsid w:val="628C895D"/>
    <w:multiLevelType w:val="hybridMultilevel"/>
    <w:lvl w:ilvl="0">
      <w:lvlJc w:val="left"/>
      <w:lvlText w:val="%1."/>
      <w:numFmt w:val="decimal"/>
      <w:start w:val="15"/>
    </w:lvl>
  </w:abstractNum>
  <w:abstractNum w:abstractNumId="15">
    <w:nsid w:val="333AB105"/>
    <w:multiLevelType w:val="hybridMultilevel"/>
    <w:lvl w:ilvl="0">
      <w:lvlJc w:val="left"/>
      <w:lvlText w:val="%1."/>
      <w:numFmt w:val="decimal"/>
      <w:start w:val="16"/>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7"/>
    </w:lvl>
  </w:abstractNum>
  <w:abstractNum w:abstractNumId="19">
    <w:nsid w:val="6763845E"/>
    <w:multiLevelType w:val="hybridMultilevel"/>
    <w:lvl w:ilvl="0">
      <w:lvlJc w:val="left"/>
      <w:lvlText w:val="&amp;"/>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2019-12-13T06:30:02Z</dcterms:created>
  <dcterms:modified xsi:type="dcterms:W3CDTF">2019-12-13T06:30:02Z</dcterms:modified>
</cp:coreProperties>
</file>