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45" w:right="4740" w:hanging="4185"/>
        <w:spacing w:after="0" w:line="270" w:lineRule="auto"/>
        <w:rPr>
          <w:sz w:val="20"/>
          <w:szCs w:val="20"/>
          <w:color w:val="auto"/>
        </w:rPr>
      </w:pPr>
      <w:r>
        <w:rPr>
          <w:rFonts w:ascii="Courier New" w:cs="Courier New" w:eastAsia="Courier New" w:hAnsi="Courier New"/>
          <w:sz w:val="14"/>
          <w:szCs w:val="14"/>
          <w:color w:val="auto"/>
        </w:rPr>
        <w:t>AS FILED WITH THE SECURITIES AND EXCHANGE COMMISSION ON MAY 5, 2000 Registration No. 333-</w:t>
      </w:r>
    </w:p>
    <w:p>
      <w:pPr>
        <w:ind w:left="5"/>
        <w:spacing w:after="0" w:line="233" w:lineRule="auto"/>
        <w:rPr>
          <w:sz w:val="20"/>
          <w:szCs w:val="20"/>
          <w:color w:val="auto"/>
        </w:rPr>
      </w:pPr>
      <w:r>
        <w:rPr>
          <w:rFonts w:ascii="Courier New" w:cs="Courier New" w:eastAsia="Courier New" w:hAnsi="Courier New"/>
          <w:sz w:val="16"/>
          <w:szCs w:val="16"/>
          <w:color w:val="auto"/>
        </w:rPr>
        <w:t>===============================================================================</w:t>
      </w:r>
    </w:p>
    <w:p>
      <w:pPr>
        <w:ind w:left="3065"/>
        <w:spacing w:after="0" w:line="237" w:lineRule="auto"/>
        <w:rPr>
          <w:sz w:val="20"/>
          <w:szCs w:val="20"/>
          <w:color w:val="auto"/>
        </w:rPr>
      </w:pPr>
      <w:r>
        <w:rPr>
          <w:rFonts w:ascii="Courier New" w:cs="Courier New" w:eastAsia="Courier New" w:hAnsi="Courier New"/>
          <w:sz w:val="16"/>
          <w:szCs w:val="16"/>
          <w:color w:val="auto"/>
        </w:rPr>
        <w:t>UNITED STATES</w:t>
      </w:r>
    </w:p>
    <w:p>
      <w:pPr>
        <w:ind w:left="2145"/>
        <w:spacing w:after="0" w:line="236" w:lineRule="auto"/>
        <w:rPr>
          <w:sz w:val="20"/>
          <w:szCs w:val="20"/>
          <w:color w:val="auto"/>
        </w:rPr>
      </w:pPr>
      <w:r>
        <w:rPr>
          <w:rFonts w:ascii="Courier New" w:cs="Courier New" w:eastAsia="Courier New" w:hAnsi="Courier New"/>
          <w:sz w:val="16"/>
          <w:szCs w:val="16"/>
          <w:color w:val="auto"/>
        </w:rPr>
        <w:t>SECURITIES AND EXCHANGE COMMISSION</w:t>
      </w:r>
    </w:p>
    <w:p>
      <w:pPr>
        <w:ind w:left="2605"/>
        <w:spacing w:after="0"/>
        <w:tabs>
          <w:tab w:leader="none" w:pos="4264" w:val="left"/>
        </w:tabs>
        <w:rPr>
          <w:sz w:val="20"/>
          <w:szCs w:val="20"/>
          <w:color w:val="auto"/>
        </w:rPr>
      </w:pPr>
      <w:r>
        <w:rPr>
          <w:rFonts w:ascii="Courier New" w:cs="Courier New" w:eastAsia="Courier New" w:hAnsi="Courier New"/>
          <w:sz w:val="16"/>
          <w:szCs w:val="16"/>
          <w:color w:val="auto"/>
        </w:rPr>
        <w:t>Washington, D.C.</w:t>
      </w:r>
      <w:r>
        <w:rPr>
          <w:sz w:val="20"/>
          <w:szCs w:val="20"/>
          <w:color w:val="auto"/>
        </w:rPr>
        <w:tab/>
      </w:r>
      <w:r>
        <w:rPr>
          <w:rFonts w:ascii="Courier New" w:cs="Courier New" w:eastAsia="Courier New" w:hAnsi="Courier New"/>
          <w:sz w:val="14"/>
          <w:szCs w:val="14"/>
          <w:color w:val="auto"/>
        </w:rPr>
        <w:t>20549</w:t>
      </w:r>
    </w:p>
    <w:p>
      <w:pPr>
        <w:ind w:left="2505"/>
        <w:spacing w:after="0" w:line="237" w:lineRule="auto"/>
        <w:rPr>
          <w:sz w:val="20"/>
          <w:szCs w:val="20"/>
          <w:color w:val="auto"/>
        </w:rPr>
      </w:pPr>
      <w:r>
        <w:rPr>
          <w:rFonts w:ascii="Courier New" w:cs="Courier New" w:eastAsia="Courier New" w:hAnsi="Courier New"/>
          <w:sz w:val="16"/>
          <w:szCs w:val="16"/>
          <w:color w:val="auto"/>
        </w:rPr>
        <w:t>__________________________</w:t>
      </w:r>
    </w:p>
    <w:p>
      <w:pPr>
        <w:spacing w:after="0" w:line="177" w:lineRule="exact"/>
        <w:rPr>
          <w:sz w:val="24"/>
          <w:szCs w:val="24"/>
          <w:color w:val="auto"/>
        </w:rPr>
      </w:pPr>
    </w:p>
    <w:p>
      <w:pPr>
        <w:ind w:left="3345"/>
        <w:spacing w:after="0"/>
        <w:rPr>
          <w:sz w:val="20"/>
          <w:szCs w:val="20"/>
          <w:color w:val="auto"/>
        </w:rPr>
      </w:pPr>
      <w:r>
        <w:rPr>
          <w:rFonts w:ascii="Courier New" w:cs="Courier New" w:eastAsia="Courier New" w:hAnsi="Courier New"/>
          <w:sz w:val="16"/>
          <w:szCs w:val="16"/>
          <w:color w:val="auto"/>
        </w:rPr>
        <w:t>FORM S-8</w:t>
      </w:r>
    </w:p>
    <w:p>
      <w:pPr>
        <w:ind w:left="2705"/>
        <w:spacing w:after="0" w:line="236" w:lineRule="auto"/>
        <w:rPr>
          <w:sz w:val="20"/>
          <w:szCs w:val="20"/>
          <w:color w:val="auto"/>
        </w:rPr>
      </w:pPr>
      <w:r>
        <w:rPr>
          <w:rFonts w:ascii="Courier New" w:cs="Courier New" w:eastAsia="Courier New" w:hAnsi="Courier New"/>
          <w:sz w:val="16"/>
          <w:szCs w:val="16"/>
          <w:color w:val="auto"/>
        </w:rPr>
        <w:t>REGISTRATION STATEMENT</w:t>
      </w:r>
    </w:p>
    <w:p>
      <w:pPr>
        <w:ind w:left="3445"/>
        <w:spacing w:after="0" w:line="237" w:lineRule="auto"/>
        <w:rPr>
          <w:sz w:val="20"/>
          <w:szCs w:val="20"/>
          <w:color w:val="auto"/>
        </w:rPr>
      </w:pPr>
      <w:r>
        <w:rPr>
          <w:rFonts w:ascii="Courier New" w:cs="Courier New" w:eastAsia="Courier New" w:hAnsi="Courier New"/>
          <w:sz w:val="16"/>
          <w:szCs w:val="16"/>
          <w:color w:val="auto"/>
        </w:rPr>
        <w:t>UNDER</w:t>
      </w:r>
    </w:p>
    <w:p>
      <w:pPr>
        <w:ind w:left="2505"/>
        <w:spacing w:after="0" w:line="237" w:lineRule="auto"/>
        <w:rPr>
          <w:sz w:val="20"/>
          <w:szCs w:val="20"/>
          <w:color w:val="auto"/>
        </w:rPr>
      </w:pPr>
      <w:r>
        <w:rPr>
          <w:rFonts w:ascii="Courier New" w:cs="Courier New" w:eastAsia="Courier New" w:hAnsi="Courier New"/>
          <w:sz w:val="16"/>
          <w:szCs w:val="16"/>
          <w:color w:val="auto"/>
        </w:rPr>
        <w:t>THE SECURITIES ACT OF 1933</w:t>
      </w:r>
    </w:p>
    <w:p>
      <w:pPr>
        <w:ind w:left="2505"/>
        <w:spacing w:after="0" w:line="237" w:lineRule="auto"/>
        <w:rPr>
          <w:sz w:val="20"/>
          <w:szCs w:val="20"/>
          <w:color w:val="auto"/>
        </w:rPr>
      </w:pPr>
      <w:r>
        <w:rPr>
          <w:rFonts w:ascii="Courier New" w:cs="Courier New" w:eastAsia="Courier New" w:hAnsi="Courier New"/>
          <w:sz w:val="16"/>
          <w:szCs w:val="16"/>
          <w:color w:val="auto"/>
        </w:rPr>
        <w:t>__________________________</w:t>
      </w:r>
    </w:p>
    <w:p>
      <w:pPr>
        <w:spacing w:after="0" w:line="177" w:lineRule="exact"/>
        <w:rPr>
          <w:sz w:val="24"/>
          <w:szCs w:val="24"/>
          <w:color w:val="auto"/>
        </w:rPr>
      </w:pPr>
    </w:p>
    <w:p>
      <w:pPr>
        <w:ind w:left="2885"/>
        <w:spacing w:after="0"/>
        <w:rPr>
          <w:sz w:val="20"/>
          <w:szCs w:val="20"/>
          <w:color w:val="auto"/>
        </w:rPr>
      </w:pPr>
      <w:r>
        <w:rPr>
          <w:rFonts w:ascii="Courier New" w:cs="Courier New" w:eastAsia="Courier New" w:hAnsi="Courier New"/>
          <w:sz w:val="16"/>
          <w:szCs w:val="16"/>
          <w:color w:val="auto"/>
        </w:rPr>
        <w:t>SCHLUMBERGER N.V.</w:t>
      </w:r>
    </w:p>
    <w:p>
      <w:pPr>
        <w:ind w:left="2705"/>
        <w:spacing w:after="0" w:line="236" w:lineRule="auto"/>
        <w:rPr>
          <w:sz w:val="20"/>
          <w:szCs w:val="20"/>
          <w:color w:val="auto"/>
        </w:rPr>
      </w:pPr>
      <w:r>
        <w:rPr>
          <w:rFonts w:ascii="Courier New" w:cs="Courier New" w:eastAsia="Courier New" w:hAnsi="Courier New"/>
          <w:sz w:val="16"/>
          <w:szCs w:val="16"/>
          <w:color w:val="auto"/>
        </w:rPr>
        <w:t>(SCHLUMBERGER LIMITED)</w:t>
      </w:r>
    </w:p>
    <w:p>
      <w:pPr>
        <w:ind w:left="1205"/>
        <w:spacing w:after="0" w:line="237" w:lineRule="auto"/>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77" w:lineRule="exact"/>
        <w:rPr>
          <w:sz w:val="24"/>
          <w:szCs w:val="24"/>
          <w:color w:val="auto"/>
        </w:rPr>
      </w:pPr>
    </w:p>
    <w:tbl>
      <w:tblPr>
        <w:tblLayout w:type="fixed"/>
        <w:tblInd w:w="5" w:type="dxa"/>
        <w:tblCellMar>
          <w:top w:w="0" w:type="dxa"/>
          <w:left w:w="0" w:type="dxa"/>
          <w:bottom w:w="0" w:type="dxa"/>
          <w:right w:w="0" w:type="dxa"/>
        </w:tblCellMar>
      </w:tblPr>
      <w:tr>
        <w:trPr>
          <w:trHeight w:val="181"/>
        </w:trPr>
        <w:tc>
          <w:tcPr>
            <w:tcW w:w="4360" w:type="dxa"/>
            <w:vAlign w:val="bottom"/>
          </w:tcPr>
          <w:p>
            <w:pPr>
              <w:jc w:val="center"/>
              <w:ind w:right="1302"/>
              <w:spacing w:after="0"/>
              <w:rPr>
                <w:sz w:val="20"/>
                <w:szCs w:val="20"/>
                <w:color w:val="auto"/>
              </w:rPr>
            </w:pPr>
            <w:r>
              <w:rPr>
                <w:rFonts w:ascii="Courier New" w:cs="Courier New" w:eastAsia="Courier New" w:hAnsi="Courier New"/>
                <w:sz w:val="16"/>
                <w:szCs w:val="16"/>
                <w:color w:val="auto"/>
                <w:w w:val="96"/>
              </w:rPr>
              <w:t>NETHERLANDS ANTILLES</w:t>
            </w:r>
          </w:p>
        </w:tc>
        <w:tc>
          <w:tcPr>
            <w:tcW w:w="22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52-0684746</w:t>
            </w:r>
          </w:p>
        </w:tc>
      </w:tr>
      <w:tr>
        <w:trPr>
          <w:trHeight w:val="179"/>
        </w:trPr>
        <w:tc>
          <w:tcPr>
            <w:tcW w:w="4360" w:type="dxa"/>
            <w:vAlign w:val="bottom"/>
          </w:tcPr>
          <w:p>
            <w:pPr>
              <w:jc w:val="center"/>
              <w:ind w:right="1322"/>
              <w:spacing w:after="0" w:line="179" w:lineRule="exact"/>
              <w:rPr>
                <w:sz w:val="20"/>
                <w:szCs w:val="20"/>
                <w:color w:val="auto"/>
              </w:rPr>
            </w:pPr>
            <w:r>
              <w:rPr>
                <w:rFonts w:ascii="Courier New" w:cs="Courier New" w:eastAsia="Courier New" w:hAnsi="Courier New"/>
                <w:sz w:val="16"/>
                <w:szCs w:val="16"/>
                <w:color w:val="auto"/>
                <w:w w:val="96"/>
              </w:rPr>
              <w:t>(State or other jurisdiction</w:t>
            </w:r>
          </w:p>
        </w:tc>
        <w:tc>
          <w:tcPr>
            <w:tcW w:w="2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(I.R.S. Employer</w:t>
            </w:r>
          </w:p>
        </w:tc>
      </w:tr>
      <w:tr>
        <w:trPr>
          <w:trHeight w:val="179"/>
        </w:trPr>
        <w:tc>
          <w:tcPr>
            <w:tcW w:w="4360" w:type="dxa"/>
            <w:vAlign w:val="bottom"/>
          </w:tcPr>
          <w:p>
            <w:pPr>
              <w:jc w:val="center"/>
              <w:ind w:right="1222"/>
              <w:spacing w:after="0" w:line="179" w:lineRule="exact"/>
              <w:rPr>
                <w:sz w:val="20"/>
                <w:szCs w:val="20"/>
                <w:color w:val="auto"/>
              </w:rPr>
            </w:pPr>
            <w:r>
              <w:rPr>
                <w:rFonts w:ascii="Courier New" w:cs="Courier New" w:eastAsia="Courier New" w:hAnsi="Courier New"/>
                <w:sz w:val="16"/>
                <w:szCs w:val="16"/>
                <w:color w:val="auto"/>
                <w:w w:val="96"/>
              </w:rPr>
              <w:t>of incorporation or organization)</w:t>
            </w:r>
          </w:p>
        </w:tc>
        <w:tc>
          <w:tcPr>
            <w:tcW w:w="2240" w:type="dxa"/>
            <w:vAlign w:val="bottom"/>
          </w:tcPr>
          <w:p>
            <w:pPr>
              <w:jc w:val="center"/>
              <w:ind w:left="402"/>
              <w:spacing w:after="0" w:line="179" w:lineRule="exact"/>
              <w:rPr>
                <w:sz w:val="20"/>
                <w:szCs w:val="20"/>
                <w:color w:val="auto"/>
              </w:rPr>
            </w:pPr>
            <w:r>
              <w:rPr>
                <w:rFonts w:ascii="Courier New" w:cs="Courier New" w:eastAsia="Courier New" w:hAnsi="Courier New"/>
                <w:sz w:val="16"/>
                <w:szCs w:val="16"/>
                <w:color w:val="auto"/>
                <w:w w:val="96"/>
              </w:rPr>
              <w:t>Identification No.)</w:t>
            </w:r>
          </w:p>
        </w:tc>
      </w:tr>
      <w:tr>
        <w:trPr>
          <w:trHeight w:val="358"/>
        </w:trPr>
        <w:tc>
          <w:tcPr>
            <w:tcW w:w="4360" w:type="dxa"/>
            <w:vAlign w:val="bottom"/>
          </w:tcPr>
          <w:p>
            <w:pPr>
              <w:jc w:val="center"/>
              <w:ind w:right="1222"/>
              <w:spacing w:after="0"/>
              <w:rPr>
                <w:sz w:val="20"/>
                <w:szCs w:val="20"/>
                <w:color w:val="auto"/>
              </w:rPr>
            </w:pPr>
            <w:r>
              <w:rPr>
                <w:rFonts w:ascii="Courier New" w:cs="Courier New" w:eastAsia="Courier New" w:hAnsi="Courier New"/>
                <w:sz w:val="16"/>
                <w:szCs w:val="16"/>
                <w:color w:val="auto"/>
                <w:w w:val="95"/>
              </w:rPr>
              <w:t>277 PARK AVENUE</w:t>
            </w:r>
          </w:p>
        </w:tc>
        <w:tc>
          <w:tcPr>
            <w:tcW w:w="2240" w:type="dxa"/>
            <w:vAlign w:val="bottom"/>
          </w:tcPr>
          <w:p>
            <w:pPr>
              <w:spacing w:after="0"/>
              <w:rPr>
                <w:sz w:val="24"/>
                <w:szCs w:val="24"/>
                <w:color w:val="auto"/>
              </w:rPr>
            </w:pPr>
          </w:p>
        </w:tc>
      </w:tr>
      <w:tr>
        <w:trPr>
          <w:trHeight w:val="179"/>
        </w:trPr>
        <w:tc>
          <w:tcPr>
            <w:tcW w:w="4360" w:type="dxa"/>
            <w:vAlign w:val="bottom"/>
          </w:tcPr>
          <w:p>
            <w:pPr>
              <w:jc w:val="center"/>
              <w:ind w:right="1322"/>
              <w:spacing w:after="0" w:line="179" w:lineRule="exact"/>
              <w:rPr>
                <w:sz w:val="20"/>
                <w:szCs w:val="20"/>
                <w:color w:val="auto"/>
              </w:rPr>
            </w:pPr>
            <w:r>
              <w:rPr>
                <w:rFonts w:ascii="Courier New" w:cs="Courier New" w:eastAsia="Courier New" w:hAnsi="Courier New"/>
                <w:sz w:val="16"/>
                <w:szCs w:val="16"/>
                <w:color w:val="auto"/>
                <w:w w:val="97"/>
              </w:rPr>
              <w:t>NEW YORK, NEW YORK</w:t>
            </w:r>
          </w:p>
        </w:tc>
        <w:tc>
          <w:tcPr>
            <w:tcW w:w="22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10172-266</w:t>
            </w:r>
          </w:p>
        </w:tc>
      </w:tr>
      <w:tr>
        <w:trPr>
          <w:trHeight w:val="358"/>
        </w:trPr>
        <w:tc>
          <w:tcPr>
            <w:tcW w:w="4360" w:type="dxa"/>
            <w:vAlign w:val="bottom"/>
          </w:tcPr>
          <w:p>
            <w:pPr>
              <w:jc w:val="center"/>
              <w:ind w:right="1222"/>
              <w:spacing w:after="0"/>
              <w:rPr>
                <w:sz w:val="20"/>
                <w:szCs w:val="20"/>
                <w:color w:val="auto"/>
              </w:rPr>
            </w:pPr>
            <w:r>
              <w:rPr>
                <w:rFonts w:ascii="Courier New" w:cs="Courier New" w:eastAsia="Courier New" w:hAnsi="Courier New"/>
                <w:sz w:val="16"/>
                <w:szCs w:val="16"/>
                <w:color w:val="auto"/>
                <w:w w:val="96"/>
              </w:rPr>
              <w:t>42, RUE SAINT-DOMINIQUE</w:t>
            </w:r>
          </w:p>
        </w:tc>
        <w:tc>
          <w:tcPr>
            <w:tcW w:w="2240" w:type="dxa"/>
            <w:vAlign w:val="bottom"/>
          </w:tcPr>
          <w:p>
            <w:pPr>
              <w:spacing w:after="0"/>
              <w:rPr>
                <w:sz w:val="24"/>
                <w:szCs w:val="24"/>
                <w:color w:val="auto"/>
              </w:rPr>
            </w:pPr>
          </w:p>
        </w:tc>
      </w:tr>
      <w:tr>
        <w:trPr>
          <w:trHeight w:val="179"/>
        </w:trPr>
        <w:tc>
          <w:tcPr>
            <w:tcW w:w="4360" w:type="dxa"/>
            <w:vAlign w:val="bottom"/>
          </w:tcPr>
          <w:p>
            <w:pPr>
              <w:jc w:val="center"/>
              <w:ind w:right="1222"/>
              <w:spacing w:after="0" w:line="179" w:lineRule="exact"/>
              <w:rPr>
                <w:sz w:val="20"/>
                <w:szCs w:val="20"/>
                <w:color w:val="auto"/>
              </w:rPr>
            </w:pPr>
            <w:r>
              <w:rPr>
                <w:rFonts w:ascii="Courier New" w:cs="Courier New" w:eastAsia="Courier New" w:hAnsi="Courier New"/>
                <w:sz w:val="16"/>
                <w:szCs w:val="16"/>
                <w:color w:val="auto"/>
                <w:w w:val="97"/>
              </w:rPr>
              <w:t>PARIS, FRANCE</w:t>
            </w:r>
          </w:p>
        </w:tc>
        <w:tc>
          <w:tcPr>
            <w:tcW w:w="2240" w:type="dxa"/>
            <w:vAlign w:val="bottom"/>
          </w:tcPr>
          <w:p>
            <w:pPr>
              <w:jc w:val="center"/>
              <w:ind w:left="382"/>
              <w:spacing w:after="0" w:line="179" w:lineRule="exact"/>
              <w:rPr>
                <w:sz w:val="20"/>
                <w:szCs w:val="20"/>
                <w:color w:val="auto"/>
              </w:rPr>
            </w:pPr>
            <w:r>
              <w:rPr>
                <w:rFonts w:ascii="Courier New" w:cs="Courier New" w:eastAsia="Courier New" w:hAnsi="Courier New"/>
                <w:sz w:val="16"/>
                <w:szCs w:val="16"/>
                <w:color w:val="auto"/>
                <w:w w:val="95"/>
              </w:rPr>
              <w:t>75007</w:t>
            </w:r>
          </w:p>
        </w:tc>
      </w:tr>
      <w:tr>
        <w:trPr>
          <w:trHeight w:val="358"/>
        </w:trPr>
        <w:tc>
          <w:tcPr>
            <w:tcW w:w="4360" w:type="dxa"/>
            <w:vAlign w:val="bottom"/>
          </w:tcPr>
          <w:p>
            <w:pPr>
              <w:jc w:val="center"/>
              <w:ind w:right="1322"/>
              <w:spacing w:after="0"/>
              <w:rPr>
                <w:sz w:val="20"/>
                <w:szCs w:val="20"/>
                <w:color w:val="auto"/>
              </w:rPr>
            </w:pPr>
            <w:r>
              <w:rPr>
                <w:rFonts w:ascii="Courier New" w:cs="Courier New" w:eastAsia="Courier New" w:hAnsi="Courier New"/>
                <w:sz w:val="16"/>
                <w:szCs w:val="16"/>
                <w:color w:val="auto"/>
                <w:w w:val="97"/>
              </w:rPr>
              <w:t>PARKSTRAAT 83, THE HAGUE</w:t>
            </w:r>
          </w:p>
        </w:tc>
        <w:tc>
          <w:tcPr>
            <w:tcW w:w="2240" w:type="dxa"/>
            <w:vAlign w:val="bottom"/>
          </w:tcPr>
          <w:p>
            <w:pPr>
              <w:spacing w:after="0"/>
              <w:rPr>
                <w:sz w:val="24"/>
                <w:szCs w:val="24"/>
                <w:color w:val="auto"/>
              </w:rPr>
            </w:pPr>
          </w:p>
        </w:tc>
      </w:tr>
      <w:tr>
        <w:trPr>
          <w:trHeight w:val="179"/>
        </w:trPr>
        <w:tc>
          <w:tcPr>
            <w:tcW w:w="4360" w:type="dxa"/>
            <w:vAlign w:val="bottom"/>
          </w:tcPr>
          <w:p>
            <w:pPr>
              <w:jc w:val="center"/>
              <w:ind w:right="1222"/>
              <w:spacing w:after="0" w:line="179" w:lineRule="exact"/>
              <w:rPr>
                <w:sz w:val="20"/>
                <w:szCs w:val="20"/>
                <w:color w:val="auto"/>
              </w:rPr>
            </w:pPr>
            <w:r>
              <w:rPr>
                <w:rFonts w:ascii="Courier New" w:cs="Courier New" w:eastAsia="Courier New" w:hAnsi="Courier New"/>
                <w:sz w:val="16"/>
                <w:szCs w:val="16"/>
                <w:color w:val="auto"/>
                <w:w w:val="95"/>
              </w:rPr>
              <w:t>THE NETHERLANDS</w:t>
            </w:r>
          </w:p>
        </w:tc>
        <w:tc>
          <w:tcPr>
            <w:tcW w:w="2240" w:type="dxa"/>
            <w:vAlign w:val="bottom"/>
          </w:tcPr>
          <w:p>
            <w:pPr>
              <w:jc w:val="center"/>
              <w:ind w:left="402"/>
              <w:spacing w:after="0" w:line="179" w:lineRule="exact"/>
              <w:rPr>
                <w:sz w:val="20"/>
                <w:szCs w:val="20"/>
                <w:color w:val="auto"/>
              </w:rPr>
            </w:pPr>
            <w:r>
              <w:rPr>
                <w:rFonts w:ascii="Courier New" w:cs="Courier New" w:eastAsia="Courier New" w:hAnsi="Courier New"/>
                <w:sz w:val="16"/>
                <w:szCs w:val="16"/>
                <w:color w:val="auto"/>
                <w:w w:val="95"/>
              </w:rPr>
              <w:t>2514 JG</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(Addresses of Principal Executive Offices)</w:t>
            </w:r>
          </w:p>
        </w:tc>
        <w:tc>
          <w:tcPr>
            <w:tcW w:w="2240" w:type="dxa"/>
            <w:vAlign w:val="bottom"/>
          </w:tcPr>
          <w:p>
            <w:pPr>
              <w:jc w:val="center"/>
              <w:ind w:left="382"/>
              <w:spacing w:after="0" w:line="179" w:lineRule="exact"/>
              <w:rPr>
                <w:sz w:val="20"/>
                <w:szCs w:val="20"/>
                <w:color w:val="auto"/>
              </w:rPr>
            </w:pPr>
            <w:r>
              <w:rPr>
                <w:rFonts w:ascii="Courier New" w:cs="Courier New" w:eastAsia="Courier New" w:hAnsi="Courier New"/>
                <w:sz w:val="16"/>
                <w:szCs w:val="16"/>
                <w:color w:val="auto"/>
                <w:w w:val="96"/>
              </w:rPr>
              <w:t>(Zip Codes)</w:t>
            </w:r>
          </w:p>
        </w:tc>
      </w:tr>
    </w:tbl>
    <w:p>
      <w:pPr>
        <w:spacing w:after="0" w:line="177" w:lineRule="exact"/>
        <w:rPr>
          <w:sz w:val="24"/>
          <w:szCs w:val="24"/>
          <w:color w:val="auto"/>
        </w:rPr>
      </w:pPr>
    </w:p>
    <w:p>
      <w:pPr>
        <w:ind w:left="185" w:hanging="185"/>
        <w:spacing w:after="0"/>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2505" w:right="6220" w:hanging="465"/>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SCHLUMBERGER 1998 STOCK OPTION PLAN (Full title of the plan)</w:t>
      </w:r>
    </w:p>
    <w:p>
      <w:pPr>
        <w:ind w:left="185" w:hanging="185"/>
        <w:spacing w:after="0" w:line="236" w:lineRule="auto"/>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2605"/>
        <w:spacing w:after="0"/>
        <w:rPr>
          <w:sz w:val="20"/>
          <w:szCs w:val="20"/>
          <w:color w:val="auto"/>
        </w:rPr>
      </w:pPr>
      <w:r>
        <w:rPr>
          <w:rFonts w:ascii="Courier New" w:cs="Courier New" w:eastAsia="Courier New" w:hAnsi="Courier New"/>
          <w:sz w:val="16"/>
          <w:szCs w:val="16"/>
          <w:color w:val="auto"/>
        </w:rPr>
        <w:t>JAMES L. GUNDERSON, ESQ.</w:t>
      </w:r>
    </w:p>
    <w:p>
      <w:pPr>
        <w:ind w:left="2325"/>
        <w:spacing w:after="0" w:line="236" w:lineRule="auto"/>
        <w:rPr>
          <w:sz w:val="20"/>
          <w:szCs w:val="20"/>
          <w:color w:val="auto"/>
        </w:rPr>
      </w:pPr>
      <w:r>
        <w:rPr>
          <w:rFonts w:ascii="Courier New" w:cs="Courier New" w:eastAsia="Courier New" w:hAnsi="Courier New"/>
          <w:sz w:val="16"/>
          <w:szCs w:val="16"/>
          <w:color w:val="auto"/>
        </w:rPr>
        <w:t>GENERAL COUNSEL AND SECRETARY</w:t>
      </w:r>
    </w:p>
    <w:p>
      <w:pPr>
        <w:ind w:left="2785"/>
        <w:spacing w:after="0" w:line="237" w:lineRule="auto"/>
        <w:rPr>
          <w:sz w:val="20"/>
          <w:szCs w:val="20"/>
          <w:color w:val="auto"/>
        </w:rPr>
      </w:pPr>
      <w:r>
        <w:rPr>
          <w:rFonts w:ascii="Courier New" w:cs="Courier New" w:eastAsia="Courier New" w:hAnsi="Courier New"/>
          <w:sz w:val="16"/>
          <w:szCs w:val="16"/>
          <w:color w:val="auto"/>
        </w:rPr>
        <w:t>SCHLUMBERGER LIMITED</w:t>
      </w:r>
    </w:p>
    <w:p>
      <w:pPr>
        <w:ind w:left="2985"/>
        <w:spacing w:after="0" w:line="237" w:lineRule="auto"/>
        <w:rPr>
          <w:sz w:val="20"/>
          <w:szCs w:val="20"/>
          <w:color w:val="auto"/>
        </w:rPr>
      </w:pPr>
      <w:r>
        <w:rPr>
          <w:rFonts w:ascii="Courier New" w:cs="Courier New" w:eastAsia="Courier New" w:hAnsi="Courier New"/>
          <w:sz w:val="16"/>
          <w:szCs w:val="16"/>
          <w:color w:val="auto"/>
        </w:rPr>
        <w:t>277 PARK AVENUE</w:t>
      </w:r>
    </w:p>
    <w:p>
      <w:pPr>
        <w:ind w:left="2325"/>
        <w:spacing w:after="0"/>
        <w:tabs>
          <w:tab w:leader="none" w:pos="4164" w:val="left"/>
        </w:tabs>
        <w:rPr>
          <w:sz w:val="20"/>
          <w:szCs w:val="20"/>
          <w:color w:val="auto"/>
        </w:rPr>
      </w:pPr>
      <w:r>
        <w:rPr>
          <w:rFonts w:ascii="Courier New" w:cs="Courier New" w:eastAsia="Courier New" w:hAnsi="Courier New"/>
          <w:sz w:val="16"/>
          <w:szCs w:val="16"/>
          <w:color w:val="auto"/>
        </w:rPr>
        <w:t>NEW YORK, NEW YORK</w:t>
      </w:r>
      <w:r>
        <w:rPr>
          <w:sz w:val="20"/>
          <w:szCs w:val="20"/>
          <w:color w:val="auto"/>
        </w:rPr>
        <w:tab/>
      </w:r>
      <w:r>
        <w:rPr>
          <w:rFonts w:ascii="Courier New" w:cs="Courier New" w:eastAsia="Courier New" w:hAnsi="Courier New"/>
          <w:sz w:val="14"/>
          <w:szCs w:val="14"/>
          <w:color w:val="auto"/>
        </w:rPr>
        <w:t>10172-2066</w:t>
      </w:r>
    </w:p>
    <w:p>
      <w:pPr>
        <w:ind w:left="1865"/>
        <w:spacing w:after="0" w:line="237" w:lineRule="auto"/>
        <w:rPr>
          <w:sz w:val="20"/>
          <w:szCs w:val="20"/>
          <w:color w:val="auto"/>
        </w:rPr>
      </w:pPr>
      <w:r>
        <w:rPr>
          <w:rFonts w:ascii="Courier New" w:cs="Courier New" w:eastAsia="Courier New" w:hAnsi="Courier New"/>
          <w:sz w:val="16"/>
          <w:szCs w:val="16"/>
          <w:color w:val="auto"/>
        </w:rPr>
        <w:t>(Name and Address of agent for service)</w:t>
      </w:r>
    </w:p>
    <w:p>
      <w:pPr>
        <w:spacing w:after="0" w:line="177" w:lineRule="exact"/>
        <w:rPr>
          <w:sz w:val="24"/>
          <w:szCs w:val="24"/>
          <w:color w:val="auto"/>
        </w:rPr>
      </w:pPr>
    </w:p>
    <w:p>
      <w:pPr>
        <w:jc w:val="center"/>
        <w:ind w:right="4075"/>
        <w:spacing w:after="0"/>
        <w:rPr>
          <w:sz w:val="20"/>
          <w:szCs w:val="20"/>
          <w:color w:val="auto"/>
        </w:rPr>
      </w:pPr>
      <w:r>
        <w:rPr>
          <w:rFonts w:ascii="Courier New" w:cs="Courier New" w:eastAsia="Courier New" w:hAnsi="Courier New"/>
          <w:sz w:val="16"/>
          <w:szCs w:val="16"/>
          <w:color w:val="auto"/>
        </w:rPr>
        <w:t>(212) 350-9400</w:t>
      </w:r>
    </w:p>
    <w:p>
      <w:pPr>
        <w:jc w:val="center"/>
        <w:ind w:right="4175"/>
        <w:spacing w:after="0" w:line="236" w:lineRule="auto"/>
        <w:rPr>
          <w:sz w:val="20"/>
          <w:szCs w:val="20"/>
          <w:color w:val="auto"/>
        </w:rPr>
      </w:pPr>
      <w:r>
        <w:rPr>
          <w:rFonts w:ascii="Courier New" w:cs="Courier New" w:eastAsia="Courier New" w:hAnsi="Courier New"/>
          <w:sz w:val="16"/>
          <w:szCs w:val="16"/>
          <w:color w:val="auto"/>
        </w:rPr>
        <w:t>(Telephone number, including area code,</w:t>
      </w:r>
    </w:p>
    <w:p>
      <w:pPr>
        <w:jc w:val="center"/>
        <w:ind w:right="4175"/>
        <w:spacing w:after="0" w:line="237" w:lineRule="auto"/>
        <w:rPr>
          <w:sz w:val="20"/>
          <w:szCs w:val="20"/>
          <w:color w:val="auto"/>
        </w:rPr>
      </w:pPr>
      <w:r>
        <w:rPr>
          <w:rFonts w:ascii="Courier New" w:cs="Courier New" w:eastAsia="Courier New" w:hAnsi="Courier New"/>
          <w:sz w:val="16"/>
          <w:szCs w:val="16"/>
          <w:color w:val="auto"/>
        </w:rPr>
        <w:t>of agent for service)</w:t>
      </w:r>
    </w:p>
    <w:p>
      <w:pPr>
        <w:spacing w:after="0" w:line="177" w:lineRule="exact"/>
        <w:rPr>
          <w:sz w:val="24"/>
          <w:szCs w:val="24"/>
          <w:color w:val="auto"/>
        </w:rPr>
      </w:pPr>
    </w:p>
    <w:p>
      <w:pPr>
        <w:ind w:left="2225"/>
        <w:spacing w:after="0"/>
        <w:rPr>
          <w:sz w:val="20"/>
          <w:szCs w:val="20"/>
          <w:color w:val="auto"/>
        </w:rPr>
      </w:pPr>
      <w:r>
        <w:rPr>
          <w:rFonts w:ascii="Courier New" w:cs="Courier New" w:eastAsia="Courier New" w:hAnsi="Courier New"/>
          <w:sz w:val="16"/>
          <w:szCs w:val="16"/>
          <w:color w:val="auto"/>
        </w:rPr>
        <w:t>CALCULATION OF REGISTRATION FEE</w:t>
      </w:r>
    </w:p>
    <w:p>
      <w:pPr>
        <w:spacing w:after="0" w:line="362"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tbl>
      <w:tblPr>
        <w:tblLayout w:type="fixed"/>
        <w:tblInd w:w="285" w:type="dxa"/>
        <w:tblCellMar>
          <w:top w:w="0" w:type="dxa"/>
          <w:left w:w="0" w:type="dxa"/>
          <w:bottom w:w="0" w:type="dxa"/>
          <w:right w:w="0" w:type="dxa"/>
        </w:tblCellMar>
      </w:tblPr>
      <w:tr>
        <w:trPr>
          <w:trHeight w:val="181"/>
        </w:trPr>
        <w:tc>
          <w:tcPr>
            <w:tcW w:w="22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8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7"/>
              </w:rPr>
              <w:t>Proposed maximum</w:t>
            </w:r>
          </w:p>
        </w:tc>
        <w:tc>
          <w:tcPr>
            <w:tcW w:w="23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7"/>
              </w:rPr>
              <w:t>Proposed maximum</w:t>
            </w:r>
          </w:p>
        </w:tc>
        <w:tc>
          <w:tcPr>
            <w:tcW w:w="1920" w:type="dxa"/>
            <w:vAlign w:val="bottom"/>
          </w:tcPr>
          <w:p>
            <w:pPr>
              <w:spacing w:after="0"/>
              <w:rPr>
                <w:sz w:val="15"/>
                <w:szCs w:val="15"/>
                <w:color w:val="auto"/>
              </w:rPr>
            </w:pP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Title of securities</w:t>
            </w:r>
          </w:p>
        </w:tc>
        <w:tc>
          <w:tcPr>
            <w:tcW w:w="196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5"/>
              </w:rPr>
              <w:t>Amount to be</w:t>
            </w:r>
          </w:p>
        </w:tc>
        <w:tc>
          <w:tcPr>
            <w:tcW w:w="22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offering price per</w:t>
            </w:r>
          </w:p>
        </w:tc>
        <w:tc>
          <w:tcPr>
            <w:tcW w:w="2320" w:type="dxa"/>
            <w:vAlign w:val="bottom"/>
          </w:tcPr>
          <w:p>
            <w:pPr>
              <w:jc w:val="center"/>
              <w:ind w:right="102"/>
              <w:spacing w:after="0" w:line="179" w:lineRule="exact"/>
              <w:rPr>
                <w:sz w:val="20"/>
                <w:szCs w:val="20"/>
                <w:color w:val="auto"/>
              </w:rPr>
            </w:pPr>
            <w:r>
              <w:rPr>
                <w:rFonts w:ascii="Courier New" w:cs="Courier New" w:eastAsia="Courier New" w:hAnsi="Courier New"/>
                <w:sz w:val="16"/>
                <w:szCs w:val="16"/>
                <w:color w:val="auto"/>
                <w:w w:val="96"/>
              </w:rPr>
              <w:t>aggregate offering</w:t>
            </w:r>
          </w:p>
        </w:tc>
        <w:tc>
          <w:tcPr>
            <w:tcW w:w="192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Amount of</w:t>
            </w:r>
          </w:p>
        </w:tc>
      </w:tr>
      <w:tr>
        <w:trPr>
          <w:trHeight w:val="0"/>
        </w:trPr>
        <w:tc>
          <w:tcPr>
            <w:tcW w:w="2220" w:type="dxa"/>
            <w:vAlign w:val="bottom"/>
          </w:tcPr>
          <w:p>
            <w:pPr>
              <w:ind w:left="180"/>
              <w:spacing w:after="0"/>
              <w:rPr>
                <w:sz w:val="20"/>
                <w:szCs w:val="20"/>
                <w:color w:val="auto"/>
              </w:rPr>
            </w:pPr>
            <w:r>
              <w:rPr>
                <w:rFonts w:ascii="Courier New" w:cs="Courier New" w:eastAsia="Courier New" w:hAnsi="Courier New"/>
                <w:sz w:val="16"/>
                <w:szCs w:val="16"/>
                <w:color w:val="auto"/>
              </w:rPr>
              <w:t>to be registered</w:t>
            </w:r>
          </w:p>
        </w:tc>
        <w:tc>
          <w:tcPr>
            <w:tcW w:w="196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registered</w:t>
            </w:r>
          </w:p>
        </w:tc>
        <w:tc>
          <w:tcPr>
            <w:tcW w:w="228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6"/>
              </w:rPr>
              <w:t>share(1)</w:t>
            </w:r>
          </w:p>
        </w:tc>
        <w:tc>
          <w:tcPr>
            <w:tcW w:w="2320" w:type="dxa"/>
            <w:vAlign w:val="bottom"/>
          </w:tcPr>
          <w:p>
            <w:pPr>
              <w:ind w:left="700"/>
              <w:spacing w:after="0"/>
              <w:rPr>
                <w:sz w:val="20"/>
                <w:szCs w:val="20"/>
                <w:color w:val="auto"/>
              </w:rPr>
            </w:pPr>
            <w:r>
              <w:rPr>
                <w:rFonts w:ascii="Courier New" w:cs="Courier New" w:eastAsia="Courier New" w:hAnsi="Courier New"/>
                <w:sz w:val="16"/>
                <w:szCs w:val="16"/>
                <w:color w:val="auto"/>
              </w:rPr>
              <w:t>price (1)</w:t>
            </w:r>
          </w:p>
        </w:tc>
        <w:tc>
          <w:tcPr>
            <w:tcW w:w="1920" w:type="dxa"/>
            <w:vAlign w:val="bottom"/>
          </w:tcPr>
          <w:p>
            <w:pPr>
              <w:ind w:left="420"/>
              <w:spacing w:after="0"/>
              <w:rPr>
                <w:sz w:val="20"/>
                <w:szCs w:val="20"/>
                <w:color w:val="auto"/>
              </w:rPr>
            </w:pPr>
            <w:r>
              <w:rPr>
                <w:rFonts w:ascii="Courier New" w:cs="Courier New" w:eastAsia="Courier New" w:hAnsi="Courier New"/>
                <w:sz w:val="16"/>
                <w:szCs w:val="16"/>
                <w:color w:val="auto"/>
                <w:w w:val="96"/>
              </w:rPr>
              <w:t>registration fee</w:t>
            </w:r>
          </w:p>
        </w:tc>
      </w:tr>
    </w:tbl>
    <w:p>
      <w:pPr>
        <w:spacing w:after="0" w:line="183"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Common Stock, par value</w:t>
      </w:r>
    </w:p>
    <w:p>
      <w:pPr>
        <w:ind w:left="85"/>
        <w:spacing w:after="0"/>
        <w:tabs>
          <w:tab w:leader="none" w:pos="2964" w:val="left"/>
          <w:tab w:leader="none" w:pos="5384" w:val="left"/>
          <w:tab w:leader="none" w:pos="7244" w:val="left"/>
          <w:tab w:leader="none" w:pos="9744" w:val="left"/>
        </w:tabs>
        <w:rPr>
          <w:sz w:val="20"/>
          <w:szCs w:val="20"/>
          <w:color w:val="auto"/>
        </w:rPr>
      </w:pPr>
      <w:r>
        <w:rPr>
          <w:rFonts w:ascii="Courier New" w:cs="Courier New" w:eastAsia="Courier New" w:hAnsi="Courier New"/>
          <w:sz w:val="16"/>
          <w:szCs w:val="16"/>
          <w:color w:val="auto"/>
        </w:rPr>
        <w:t>$.01 per share...........</w:t>
      </w:r>
      <w:r>
        <w:rPr>
          <w:sz w:val="20"/>
          <w:szCs w:val="20"/>
          <w:color w:val="auto"/>
        </w:rPr>
        <w:tab/>
      </w:r>
      <w:r>
        <w:rPr>
          <w:rFonts w:ascii="Courier New" w:cs="Courier New" w:eastAsia="Courier New" w:hAnsi="Courier New"/>
          <w:sz w:val="16"/>
          <w:szCs w:val="16"/>
          <w:color w:val="auto"/>
        </w:rPr>
        <w:t>12,000,000(2)</w:t>
      </w:r>
      <w:r>
        <w:rPr>
          <w:sz w:val="20"/>
          <w:szCs w:val="20"/>
          <w:color w:val="auto"/>
        </w:rPr>
        <w:tab/>
      </w:r>
      <w:r>
        <w:rPr>
          <w:rFonts w:ascii="Courier New" w:cs="Courier New" w:eastAsia="Courier New" w:hAnsi="Courier New"/>
          <w:sz w:val="16"/>
          <w:szCs w:val="16"/>
          <w:color w:val="auto"/>
        </w:rPr>
        <w:t>$75.25</w:t>
      </w:r>
      <w:r>
        <w:rPr>
          <w:sz w:val="20"/>
          <w:szCs w:val="20"/>
          <w:color w:val="auto"/>
        </w:rPr>
        <w:tab/>
      </w:r>
      <w:r>
        <w:rPr>
          <w:rFonts w:ascii="Courier New" w:cs="Courier New" w:eastAsia="Courier New" w:hAnsi="Courier New"/>
          <w:sz w:val="16"/>
          <w:szCs w:val="16"/>
          <w:color w:val="auto"/>
        </w:rPr>
        <w:t>$903,000,000</w:t>
      </w:r>
      <w:r>
        <w:rPr>
          <w:sz w:val="20"/>
          <w:szCs w:val="20"/>
          <w:color w:val="auto"/>
        </w:rPr>
        <w:tab/>
      </w:r>
      <w:r>
        <w:rPr>
          <w:rFonts w:ascii="Courier New" w:cs="Courier New" w:eastAsia="Courier New" w:hAnsi="Courier New"/>
          <w:sz w:val="14"/>
          <w:szCs w:val="14"/>
          <w:color w:val="auto"/>
        </w:rPr>
        <w:t>$238,392</w:t>
      </w:r>
    </w:p>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378" w:lineRule="exact"/>
        <w:rPr>
          <w:sz w:val="24"/>
          <w:szCs w:val="24"/>
          <w:color w:val="auto"/>
        </w:rPr>
      </w:pPr>
    </w:p>
    <w:p>
      <w:pPr>
        <w:jc w:val="both"/>
        <w:ind w:left="5" w:right="4180" w:hanging="5"/>
        <w:spacing w:after="0" w:line="235" w:lineRule="auto"/>
        <w:tabs>
          <w:tab w:leader="none" w:pos="47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in accordance with Rule 457(c) and (h) solely for the purpose of calculating the registration fee and based upon the average of the high and low sales price of the shares of Common Stock of Schlumberger Limited quoted on the New York Stock Exchange on May 1, 2000.</w:t>
      </w:r>
    </w:p>
    <w:p>
      <w:pPr>
        <w:spacing w:after="0" w:line="5" w:lineRule="exact"/>
        <w:rPr>
          <w:rFonts w:ascii="Courier New" w:cs="Courier New" w:eastAsia="Courier New" w:hAnsi="Courier New"/>
          <w:sz w:val="16"/>
          <w:szCs w:val="16"/>
          <w:color w:val="auto"/>
        </w:rPr>
      </w:pPr>
    </w:p>
    <w:p>
      <w:pPr>
        <w:ind w:left="5" w:right="4260" w:hanging="5"/>
        <w:spacing w:after="0" w:line="234" w:lineRule="auto"/>
        <w:tabs>
          <w:tab w:leader="none" w:pos="47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Plus such additional number of shares as may be issuable by reason of the antidilution provisions of the plan.</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1525"/>
          </w:cols>
          <w:pgMar w:left="235" w:top="595" w:right="139" w:bottom="1440" w:gutter="0" w:footer="0" w:header="0"/>
        </w:sectPr>
      </w:pPr>
    </w:p>
    <w:bookmarkStart w:id="1" w:name="page2"/>
    <w:bookmarkEnd w:id="1"/>
    <w:p>
      <w:pPr>
        <w:jc w:val="center"/>
        <w:ind w:right="2779"/>
        <w:spacing w:after="0"/>
        <w:rPr>
          <w:sz w:val="20"/>
          <w:szCs w:val="20"/>
          <w:color w:val="auto"/>
        </w:rPr>
      </w:pPr>
      <w:r>
        <w:rPr>
          <w:rFonts w:ascii="Courier New" w:cs="Courier New" w:eastAsia="Courier New" w:hAnsi="Courier New"/>
          <w:sz w:val="16"/>
          <w:szCs w:val="16"/>
          <w:color w:val="auto"/>
        </w:rPr>
        <w:t>PART I</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INFORMATION REQUIRED IN THE SECTION 10(A) PROSPECTUS</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Note: The document(s) containing the information concerning the Schlumberger 1998 Stock Option Plan required by Item 1 of Form S-8 and the statement of availability of registrant information and other information required by Item 2 of Form S-8 will be sent or given to employees as specified by Rule 428 under the Securities Act of 1933, as amended (the "Securities Act"). In accordance with Rule 428 and the requirements of Part I of Form S-8, such documents are not being filed with the Securities and Exchange Commission (the "Commission")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w:t>
      </w:r>
    </w:p>
    <w:p>
      <w:pPr>
        <w:sectPr>
          <w:pgSz w:w="11900" w:h="16838" w:orient="portrait"/>
          <w:cols w:equalWidth="0" w:num="1">
            <w:col w:w="10219"/>
          </w:cols>
          <w:pgMar w:left="240" w:top="648" w:right="1440" w:bottom="1440" w:gutter="0" w:footer="0" w:header="0"/>
        </w:sectPr>
      </w:pPr>
    </w:p>
    <w:bookmarkStart w:id="2" w:name="page3"/>
    <w:bookmarkEnd w:id="2"/>
    <w:p>
      <w:pPr>
        <w:jc w:val="center"/>
        <w:ind w:right="2875"/>
        <w:spacing w:after="0"/>
        <w:rPr>
          <w:sz w:val="20"/>
          <w:szCs w:val="20"/>
          <w:color w:val="auto"/>
        </w:rPr>
      </w:pPr>
      <w:r>
        <w:rPr>
          <w:rFonts w:ascii="Courier New" w:cs="Courier New" w:eastAsia="Courier New" w:hAnsi="Courier New"/>
          <w:sz w:val="16"/>
          <w:szCs w:val="16"/>
          <w:color w:val="auto"/>
        </w:rPr>
        <w:t>PART II</w:t>
      </w:r>
    </w:p>
    <w:p>
      <w:pPr>
        <w:spacing w:after="0" w:line="177" w:lineRule="exact"/>
        <w:rPr>
          <w:sz w:val="20"/>
          <w:szCs w:val="20"/>
          <w:color w:val="auto"/>
        </w:rPr>
      </w:pPr>
    </w:p>
    <w:p>
      <w:pPr>
        <w:ind w:left="1305"/>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355" w:lineRule="exact"/>
        <w:rPr>
          <w:sz w:val="20"/>
          <w:szCs w:val="20"/>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4"/>
          <w:szCs w:val="14"/>
          <w:color w:val="auto"/>
        </w:rPr>
        <w:t>INCORPORATION OF DOCUMENTS BY REFERENCE</w:t>
      </w:r>
    </w:p>
    <w:p>
      <w:pPr>
        <w:spacing w:after="0" w:line="183"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Schlumberger Limited, a corporation organized under the laws of the Netherlands Antilles, incorporates by reference in this registration statement the following documents:</w:t>
      </w:r>
    </w:p>
    <w:p>
      <w:pPr>
        <w:spacing w:after="0" w:line="356" w:lineRule="exact"/>
        <w:rPr>
          <w:sz w:val="20"/>
          <w:szCs w:val="20"/>
          <w:color w:val="auto"/>
        </w:rPr>
      </w:pPr>
    </w:p>
    <w:p>
      <w:pPr>
        <w:ind w:left="365" w:hanging="365"/>
        <w:spacing w:after="0"/>
        <w:tabs>
          <w:tab w:leader="none" w:pos="36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10-K for the year ended December 31, 1999;</w:t>
      </w:r>
    </w:p>
    <w:p>
      <w:pPr>
        <w:spacing w:after="0" w:line="176"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on Form 8-K filed on January 10, 2000; and</w:t>
      </w:r>
    </w:p>
    <w:p>
      <w:pPr>
        <w:spacing w:after="0" w:line="182" w:lineRule="exact"/>
        <w:rPr>
          <w:rFonts w:ascii="Courier New" w:cs="Courier New" w:eastAsia="Courier New" w:hAnsi="Courier New"/>
          <w:sz w:val="16"/>
          <w:szCs w:val="16"/>
          <w:color w:val="auto"/>
        </w:rPr>
      </w:pPr>
    </w:p>
    <w:p>
      <w:pPr>
        <w:ind w:left="365" w:right="2779" w:hanging="365"/>
        <w:spacing w:after="0" w:line="235" w:lineRule="auto"/>
        <w:tabs>
          <w:tab w:leader="none" w:pos="36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our common stock contained in our registration statement on Form 20 dated January 8, 1962, filed under the Securities Exchange Act of 1934, as amended (the "Exchange Act"), including any amendment or report filed for the purpose of updating such description.</w:t>
      </w:r>
    </w:p>
    <w:p>
      <w:pPr>
        <w:spacing w:after="0" w:line="185"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Each document filed by us pursuant to Sections 13(a), 13(c), 14 or 15(d) of the Exchange Act, subsequent to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such documents.</w:t>
      </w:r>
    </w:p>
    <w:p>
      <w:pPr>
        <w:spacing w:after="0" w:line="184"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Any statement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356" w:lineRule="exact"/>
        <w:rPr>
          <w:sz w:val="20"/>
          <w:szCs w:val="20"/>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4"/>
          <w:szCs w:val="14"/>
          <w:color w:val="auto"/>
        </w:rPr>
        <w:t>DESCRIPTION OF SECURITIES</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Authorized, Issued and Treasury Shares</w:t>
      </w:r>
    </w:p>
    <w:p>
      <w:pPr>
        <w:spacing w:after="0" w:line="183"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We are authorized to issue 1,000,000,000 shares of common stock, par value $0.01 per share. On March 31, 2000, 667,071,863 shares were issued; 568,853,186 shares were outstanding; and 98,218,677 shares were held by us as treasury stock. In addition, we are authorized to issue, with some limitations with respect to voting rights, liquidation and dividend preferences, 200,000,000 shares of cumulative preferred stock, par value $0.01 per share, which may be issued in one or more separate series. If issued, the preferred stock may contain provisions allowing it to be converted into common stock under terms and conditions specified by our board of directors. No shares of preferred stock have been issued as of the date hereof.</w:t>
      </w:r>
    </w:p>
    <w:p>
      <w:pPr>
        <w:spacing w:after="0" w:line="338"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Dividend Rights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All outstanding shares of our common stock (i.e., shares not held by us or our subsidiaries) are entitled to participate equally and receive dividends which may be paid out of available profits of the preceding fiscal year or years. All accumulated and unpaid dividends payable on preferred stock (if issued and outstanding) must be paid prior to the payment of any dividends on common stock. The amount of dividends payable with respect to any fiscal year is determined by the stockholders at the annual general meeting held within nine months of such fiscal year following such fiscal year, except that our board of directors may declare interim dividends.</w:t>
      </w:r>
    </w:p>
    <w:p>
      <w:pPr>
        <w:spacing w:after="0" w:line="179"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Voting Rights</w:t>
      </w:r>
    </w:p>
    <w:p>
      <w:pPr>
        <w:spacing w:after="0" w:line="183" w:lineRule="exact"/>
        <w:rPr>
          <w:sz w:val="20"/>
          <w:szCs w:val="20"/>
          <w:color w:val="auto"/>
        </w:rPr>
      </w:pPr>
    </w:p>
    <w:p>
      <w:pPr>
        <w:jc w:val="both"/>
        <w:ind w:left="5" w:right="3239" w:firstLine="465"/>
        <w:spacing w:after="0" w:line="283" w:lineRule="auto"/>
        <w:rPr>
          <w:sz w:val="20"/>
          <w:szCs w:val="20"/>
          <w:color w:val="auto"/>
        </w:rPr>
      </w:pPr>
      <w:r>
        <w:rPr>
          <w:rFonts w:ascii="Courier New" w:cs="Courier New" w:eastAsia="Courier New" w:hAnsi="Courier New"/>
          <w:sz w:val="14"/>
          <w:szCs w:val="14"/>
          <w:color w:val="auto"/>
        </w:rPr>
        <w:t>Each holder of shares of common stock is entitled to one vote for each share registered in that holder's name. Voting rights may be exercised in person or by proxy. No action to amend our articles of incorporation or to</w:t>
      </w:r>
    </w:p>
    <w:p>
      <w:pPr>
        <w:spacing w:after="0" w:line="14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24"/>
          </w:cols>
          <w:pgMar w:left="235" w:top="648" w:right="1440" w:bottom="1440" w:gutter="0" w:footer="0" w:header="0"/>
        </w:sectPr>
      </w:pPr>
    </w:p>
    <w:bookmarkStart w:id="3" w:name="page4"/>
    <w:bookmarkEnd w:id="3"/>
    <w:p>
      <w:pPr>
        <w:ind w:right="2779"/>
        <w:spacing w:after="0" w:line="236" w:lineRule="auto"/>
        <w:rPr>
          <w:sz w:val="20"/>
          <w:szCs w:val="20"/>
          <w:color w:val="auto"/>
        </w:rPr>
      </w:pPr>
      <w:r>
        <w:rPr>
          <w:rFonts w:ascii="Courier New" w:cs="Courier New" w:eastAsia="Courier New" w:hAnsi="Courier New"/>
          <w:sz w:val="16"/>
          <w:szCs w:val="16"/>
          <w:color w:val="auto"/>
        </w:rPr>
        <w:t>sell all or substantially all of our assets or to dissolve us can be taken except upon the authorization of the holders of at least a majority of the outstanding shares eligible to vote. In addition, holders of preferred stock (if issued and outstanding) would have additional rights to vote as a class on certain amendments to our articles of incorporation that would adversely affect the preferred stock. Any other action requiring the approval of the stockholders may be authorized by a majority of the votes cast at any meeting at which a quorum is present, except that, if a quorum is not present at any meeting, a second meeting may be called, to be held within two months, at which second meeting, despite the absence of a quorum, valid resolutions may be adopted with respect to any matter stated in the notice of the original meeting and of the second meeting. A quorum consists of not less than 50% of the shares outstanding and eligible to vote.</w:t>
      </w:r>
    </w:p>
    <w:p>
      <w:pPr>
        <w:spacing w:after="0" w:line="18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Our board of directors is authorized to effect reorganizations or rearrangements of our corporate structure or that of our subsidiaries without the vote of stockholders if such reorganization or rearrangement does not result in any diminution of the beneficial interest of the stockholders in our assets. The board of directors may change our corporate domicile from the Netherlands Antilles to another jurisdiction without the necessity of any stockholder action or approval.</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Preemptive and Other Rights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shares of our common stock do not carry any preemptive or conversion rights, and there are no redemption provisions with respect to the common stock. The shares of preferred stock (if issued and outstanding) would not carry any preemptive rights, but our board of directors could specify conversion rights, redemption provisions and (within limits) liquidation preferences with respect to one or more series of preferred stock. We may for our own account purchase shares of common stock so long as at least one-fifth of our authorized capital stock remains outstanding with other holders. In the event of liquidation, each share of common stock is entitled to equal rights after satisfaction of any preferred stock liquidation preference.</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Listing, Transfer Agents and Registrars</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Our common stock is listed for trading on the New York, London, Paris, Amsterdam and Swiss stock exchanges. The Transfer Agent and Registrar for the common stock is Boston EquiServe LP, Boston, Massachusetts.</w:t>
      </w:r>
    </w:p>
    <w:p>
      <w:pPr>
        <w:spacing w:after="0" w:line="35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4"/>
          <w:szCs w:val="14"/>
          <w:color w:val="auto"/>
        </w:rPr>
        <w:t>INTERESTS OF NAMED EXPERTS AND COUNSEL</w:t>
      </w:r>
    </w:p>
    <w:p>
      <w:pPr>
        <w:spacing w:after="0" w:line="17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Not applicable.</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Article IX, Section 7 of our Articles of Incorporation and Article V of our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By-Laws provide that:</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We have the power to indemnify any person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officer, employee or agent of Schlumberger, or is or was serving at our request as a director, officer, employee or agent of another corporation, partnership, joint venture, trust or other enterprise or entity,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Schlumberger,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did not act in good faith and in a manner which he or she reasonably believed to be in or not opposed to our best interests, and, with respect to any criminal action or proceeding, had reasonable cause to believe that his or her conduct was unlawful.</w:t>
      </w:r>
    </w:p>
    <w:p>
      <w:pPr>
        <w:spacing w:after="0" w:line="200" w:lineRule="exact"/>
        <w:rPr>
          <w:sz w:val="20"/>
          <w:szCs w:val="20"/>
          <w:color w:val="auto"/>
        </w:rPr>
      </w:pPr>
    </w:p>
    <w:p>
      <w:pPr>
        <w:spacing w:after="0" w:line="32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We have the power to indemnify any person who was or is a party or is threatened to be made a party to any threatened, pending or completed action or suit by or in the right of Schlumberger to procure a judgment in our</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654" w:right="1440" w:bottom="1440" w:gutter="0" w:footer="0" w:header="0"/>
        </w:sectPr>
      </w:pPr>
    </w:p>
    <w:bookmarkStart w:id="4" w:name="page5"/>
    <w:bookmarkEnd w:id="4"/>
    <w:p>
      <w:pPr>
        <w:ind w:right="2779"/>
        <w:spacing w:after="0" w:line="272" w:lineRule="auto"/>
        <w:rPr>
          <w:sz w:val="20"/>
          <w:szCs w:val="20"/>
          <w:color w:val="auto"/>
        </w:rPr>
      </w:pPr>
      <w:r>
        <w:rPr>
          <w:rFonts w:ascii="Courier New" w:cs="Courier New" w:eastAsia="Courier New" w:hAnsi="Courier New"/>
          <w:sz w:val="14"/>
          <w:szCs w:val="14"/>
          <w:color w:val="auto"/>
        </w:rPr>
        <w:t>favor by reason of the fact that he or she is or was a director, officer, employee or agent of Schlumberger, or is or was serving at our request as a director, officer, employee or agent of another corporation, partnership, joint venture, trust or other enterprise or entity against expenses (including attorneys' fees), judgments, fines and amounts paid in settlement actually and reasonably incurred by him or her in connection with the defense or settlement of such action or suit if he or she acted in good faith and in a manner he or she reasonably believed to be in or not opposed to our best interests and except that no indemnification may be made in respect of any claim, issue or matter as to which that person has been finally adjudged to be liable to us for improper conduct unless and only to the extent that the court in which that action or suit was brought or any other court having appropriate jurisdiction determines upon application that, despite the adjudication of liability, but in view of all the circumstances of the case, that person is fairly and reasonably entitled to indemnity for those expenses, judgments, fines and amounts paid in settlement which the court in which the action or suit was brought or such other court having appropriate jurisdiction deems proper.</w:t>
      </w:r>
    </w:p>
    <w:p>
      <w:pPr>
        <w:spacing w:after="0" w:line="34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To the extent that one of our directors, officers, employees or agents has been successful on the merits or otherwise in defense of any action, suit or proceeding referred to in the two preceding paragraphs, or in defense of any claim, issue or matter therein, we will indemnify that person against expenses (including attorneys' fees) actually and reasonably incurred by him or her in connection therewith.</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Any indemnification under the first two paragraphs in this item (unless ordered by a court) may be made by us only as authorized by contract approved, or by-laws, resolution or other action adopted or taken, by the board of directors or by the stockholders.</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Expenses incurred in defending a civil or criminal action, suit or proceeding will be paid by us in advance of the final disposition of such action, suit or proceeding upon receipt of an undertaking by or on behalf of the director, officer, employee or agent to repay such amount if it is ultimately determined that he or she is not entitled to be indemnified by us as authorized by Article V of the By-Laws or Article IX, Section 7 of the Articles of Incorporation.</w:t>
      </w:r>
    </w:p>
    <w:p>
      <w:pPr>
        <w:spacing w:after="0" w:line="18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indemnification and advancement of expenses provided by or granted pursuant to the other Sections of Article V of the By-Laws and Article IX, Section 7 of the Articles of Incorporation are not exclusive of any other rights to which those seeking indemnification or advancement of expenses may be entitled under any law, by-law, agreement, vote of stockholders or disinterested directors, or otherwise, both as to action in his or her official capacity and as to action in another capacity while holding such office, and continues as to a person who has ceased to be a director, officer, employee or agent and inures to the benefit of the heirs, executors and administrators of that person.</w:t>
      </w:r>
    </w:p>
    <w:p>
      <w:pPr>
        <w:spacing w:after="0" w:line="165"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We have the power to purchase and maintain insurance on behalf of any person who is or was a director, officer, employee or agent of Schlumberger, or is or was serving at our request in such a capacity for another corporation, partnership, joint venture, trust or other enterprise against any liability asserted against that person and incurred by that person in any of those capacities or arising out of his status as such, whether or not we may indemnify him or her against such liability under the provisions of Article V of the By-Laws or Article IX, Section 7 of the Articles of Incorporation.</w:t>
      </w:r>
    </w:p>
    <w:p>
      <w:pPr>
        <w:spacing w:after="0" w:line="33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For purposes of Article V of the By-Laws and Article IX, Section 7 of the Articles of Incorporation, reference to us or Schlumberger includes,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stands in the same position under the provisions of Article V of the By-Laws and Article IX, Section 7 of the Articles of Incorporation with respect to the resulting or surviving corporation as he would have with respect to such constituent corporation if its separate existence had continued.</w:t>
      </w:r>
    </w:p>
    <w:p>
      <w:pPr>
        <w:spacing w:after="0" w:line="188"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addition, we maintain directors' and officers' liability insurance which insures against certain liabilities that the officers and directors of Schlumberger may incur in such capacities.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654" w:right="1440" w:bottom="1440" w:gutter="0" w:footer="0" w:header="0"/>
        </w:sectPr>
      </w:pPr>
    </w:p>
    <w:bookmarkStart w:id="5" w:name="page6"/>
    <w:bookmarkEnd w:id="5"/>
    <w:p>
      <w:pPr>
        <w:spacing w:after="0"/>
        <w:tabs>
          <w:tab w:leader="none" w:pos="82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4"/>
          <w:szCs w:val="14"/>
          <w:color w:val="auto"/>
        </w:rPr>
        <w:t>EXEMPTION FROM REGISTRATION CLAIMED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Applicable.</w:t>
      </w:r>
    </w:p>
    <w:p>
      <w:pPr>
        <w:spacing w:after="0" w:line="355"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4"/>
          <w:szCs w:val="14"/>
          <w:color w:val="auto"/>
        </w:rPr>
        <w:t>EXHIBITS</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The following documents are filed as a part of this registration statement or incorporated by reference herein:</w:t>
      </w:r>
    </w:p>
    <w:p>
      <w:pPr>
        <w:spacing w:after="0" w:line="362" w:lineRule="exact"/>
        <w:rPr>
          <w:sz w:val="20"/>
          <w:szCs w:val="20"/>
          <w:color w:val="auto"/>
        </w:rPr>
      </w:pPr>
    </w:p>
    <w:p>
      <w:pPr>
        <w:jc w:val="center"/>
        <w:ind w:right="9579"/>
        <w:spacing w:after="0"/>
        <w:rPr>
          <w:sz w:val="20"/>
          <w:szCs w:val="20"/>
          <w:color w:val="auto"/>
        </w:rPr>
      </w:pPr>
      <w:r>
        <w:rPr>
          <w:rFonts w:ascii="Courier New" w:cs="Courier New" w:eastAsia="Courier New" w:hAnsi="Courier New"/>
          <w:sz w:val="14"/>
          <w:szCs w:val="14"/>
          <w:color w:val="auto"/>
        </w:rPr>
        <w:t>Exhibit</w:t>
      </w:r>
    </w:p>
    <w:p>
      <w:pPr>
        <w:spacing w:after="0" w:line="14" w:lineRule="exact"/>
        <w:rPr>
          <w:sz w:val="20"/>
          <w:szCs w:val="20"/>
          <w:color w:val="auto"/>
        </w:rPr>
      </w:pPr>
    </w:p>
    <w:p>
      <w:pPr>
        <w:jc w:val="center"/>
        <w:ind w:right="9579"/>
        <w:spacing w:after="0"/>
        <w:rPr>
          <w:sz w:val="20"/>
          <w:szCs w:val="20"/>
          <w:color w:val="auto"/>
        </w:rPr>
      </w:pPr>
      <w:r>
        <w:rPr>
          <w:rFonts w:ascii="Courier New" w:cs="Courier New" w:eastAsia="Courier New" w:hAnsi="Courier New"/>
          <w:sz w:val="16"/>
          <w:szCs w:val="16"/>
          <w:color w:val="auto"/>
        </w:rPr>
        <w:t>No.</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20" w:type="dxa"/>
            <w:vAlign w:val="bottom"/>
          </w:tcPr>
          <w:p>
            <w:pPr>
              <w:ind w:left="100"/>
              <w:spacing w:after="0"/>
              <w:rPr>
                <w:sz w:val="20"/>
                <w:szCs w:val="20"/>
                <w:color w:val="auto"/>
              </w:rPr>
            </w:pPr>
            <w:r>
              <w:rPr>
                <w:rFonts w:ascii="Courier New" w:cs="Courier New" w:eastAsia="Courier New" w:hAnsi="Courier New"/>
                <w:sz w:val="16"/>
                <w:szCs w:val="16"/>
                <w:color w:val="auto"/>
              </w:rPr>
              <w:t>Description</w:t>
            </w:r>
          </w:p>
        </w:tc>
      </w:tr>
      <w:tr>
        <w:trPr>
          <w:trHeight w:val="179"/>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5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88"/>
              </w:rPr>
              <w:t>*4.1</w:t>
            </w:r>
          </w:p>
        </w:tc>
        <w:tc>
          <w:tcPr>
            <w:tcW w:w="4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6520" w:type="dxa"/>
            <w:vAlign w:val="bottom"/>
          </w:tcPr>
          <w:p>
            <w:pPr>
              <w:ind w:left="100"/>
              <w:spacing w:after="0"/>
              <w:rPr>
                <w:sz w:val="20"/>
                <w:szCs w:val="20"/>
                <w:color w:val="auto"/>
              </w:rPr>
            </w:pPr>
            <w:r>
              <w:rPr>
                <w:rFonts w:ascii="Courier New" w:cs="Courier New" w:eastAsia="Courier New" w:hAnsi="Courier New"/>
                <w:sz w:val="16"/>
                <w:szCs w:val="16"/>
                <w:color w:val="auto"/>
              </w:rPr>
              <w:t>Articles of Incorporation of Schlumberger N.V. as last amended on</w:t>
            </w:r>
          </w:p>
        </w:tc>
      </w:tr>
      <w:tr>
        <w:trPr>
          <w:trHeight w:val="179"/>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6"/>
              </w:rPr>
              <w:t>April 28, 1997 (incorporated by reference to Exhibit 3(i) to the Form</w:t>
            </w:r>
          </w:p>
        </w:tc>
      </w:tr>
      <w:tr>
        <w:trPr>
          <w:trHeight w:val="179"/>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10-Q for the quarter ended March 31, 1997, File No. 1-4601).</w:t>
            </w:r>
          </w:p>
        </w:tc>
      </w:tr>
      <w:tr>
        <w:trPr>
          <w:trHeight w:val="179"/>
        </w:trPr>
        <w:tc>
          <w:tcPr>
            <w:tcW w:w="5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88"/>
              </w:rPr>
              <w:t>*4.2</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5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By-laws of Schlumberger N.V. as last amended on October 20, 1993</w:t>
            </w:r>
          </w:p>
        </w:tc>
      </w:tr>
      <w:tr>
        <w:trPr>
          <w:trHeight w:val="179"/>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6"/>
              </w:rPr>
              <w:t>(incorporated by reference to Exhibit 3 to the Form 10-K for the year</w:t>
            </w:r>
          </w:p>
        </w:tc>
      </w:tr>
      <w:tr>
        <w:trPr>
          <w:trHeight w:val="179"/>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ended December 31, 1993, File No. 1-4601).</w:t>
            </w:r>
          </w:p>
        </w:tc>
      </w:tr>
      <w:tr>
        <w:trPr>
          <w:trHeight w:val="179"/>
        </w:trPr>
        <w:tc>
          <w:tcPr>
            <w:tcW w:w="5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88"/>
              </w:rPr>
              <w:t>*4.3</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5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Schlumberger 1998 Stock Option Plan (incorporated by reference to</w:t>
            </w:r>
          </w:p>
        </w:tc>
      </w:tr>
      <w:tr>
        <w:trPr>
          <w:trHeight w:val="179"/>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Exhibit 10(g) to the Form 10-K for the year ended December 31, 1997,</w:t>
            </w:r>
          </w:p>
        </w:tc>
      </w:tr>
      <w:tr>
        <w:trPr>
          <w:trHeight w:val="179"/>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File No. 1-4601).</w:t>
            </w:r>
          </w:p>
        </w:tc>
      </w:tr>
      <w:tr>
        <w:trPr>
          <w:trHeight w:val="179"/>
        </w:trPr>
        <w:tc>
          <w:tcPr>
            <w:tcW w:w="5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88"/>
              </w:rPr>
              <w:t>*4.4</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5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First Amendment to Schlumberger 1998 Stock Option Plan (incorporated</w:t>
            </w:r>
          </w:p>
        </w:tc>
      </w:tr>
      <w:tr>
        <w:trPr>
          <w:trHeight w:val="179"/>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by reference to Exhibit 10(i) to the Form 10-K for the year ended</w:t>
            </w:r>
          </w:p>
        </w:tc>
      </w:tr>
      <w:tr>
        <w:trPr>
          <w:trHeight w:val="179"/>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December 31, 1999, File No. 1-4601).</w:t>
            </w:r>
          </w:p>
        </w:tc>
      </w:tr>
    </w:tbl>
    <w:p>
      <w:pPr>
        <w:ind w:left="640" w:hanging="366"/>
        <w:spacing w:after="0" w:line="236" w:lineRule="auto"/>
        <w:tabs>
          <w:tab w:leader="none" w:pos="6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Opinion of Ellen S. Summer, Esq. (filed herewith).</w:t>
      </w:r>
    </w:p>
    <w:tbl>
      <w:tblPr>
        <w:tblLayout w:type="fixed"/>
        <w:tblInd w:w="0" w:type="dxa"/>
        <w:tblCellMar>
          <w:top w:w="0" w:type="dxa"/>
          <w:left w:w="0" w:type="dxa"/>
          <w:bottom w:w="0" w:type="dxa"/>
          <w:right w:w="0" w:type="dxa"/>
        </w:tblCellMar>
      </w:tblPr>
      <w:tr>
        <w:trPr>
          <w:trHeight w:val="180"/>
        </w:trPr>
        <w:tc>
          <w:tcPr>
            <w:tcW w:w="5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88"/>
              </w:rPr>
              <w:t>23.1</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5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6"/>
              </w:rPr>
              <w:t>Consent of PricewaterhouseCoopers LLP, independent accountants (filed</w:t>
            </w:r>
          </w:p>
        </w:tc>
      </w:tr>
      <w:tr>
        <w:trPr>
          <w:trHeight w:val="179"/>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herewith).</w:t>
            </w:r>
          </w:p>
        </w:tc>
      </w:tr>
      <w:tr>
        <w:trPr>
          <w:trHeight w:val="179"/>
        </w:trPr>
        <w:tc>
          <w:tcPr>
            <w:tcW w:w="5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88"/>
              </w:rPr>
              <w:t>23.2</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5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Consent of Ellen S. Summer, Esq. (included in Exhibit 5).</w:t>
            </w:r>
          </w:p>
        </w:tc>
      </w:tr>
    </w:tbl>
    <w:p>
      <w:pPr>
        <w:ind w:left="640" w:hanging="459"/>
        <w:spacing w:after="0" w:line="236" w:lineRule="auto"/>
        <w:tabs>
          <w:tab w:leader="none" w:pos="64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Powers of Attorney (filed herewith).</w:t>
      </w:r>
    </w:p>
    <w:p>
      <w:pPr>
        <w:spacing w:after="0" w:line="17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w:t>
      </w:r>
    </w:p>
    <w:p>
      <w:pPr>
        <w:spacing w:after="0" w:line="17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4"/>
          <w:szCs w:val="14"/>
          <w:color w:val="auto"/>
        </w:rPr>
        <w:t>Incorporated by reference as indicated.</w:t>
      </w:r>
    </w:p>
    <w:p>
      <w:pPr>
        <w:spacing w:after="0" w:line="17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9.  UNDERTAKINGS</w:t>
      </w:r>
    </w:p>
    <w:p>
      <w:pPr>
        <w:spacing w:after="0" w:line="176" w:lineRule="exact"/>
        <w:rPr>
          <w:rFonts w:ascii="Courier New" w:cs="Courier New" w:eastAsia="Courier New" w:hAnsi="Courier New"/>
          <w:sz w:val="16"/>
          <w:szCs w:val="16"/>
          <w:color w:val="auto"/>
        </w:rPr>
      </w:pPr>
    </w:p>
    <w:p>
      <w:pPr>
        <w:ind w:left="840" w:hanging="379"/>
        <w:spacing w:after="0"/>
        <w:tabs>
          <w:tab w:leader="none" w:pos="840"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2" w:lineRule="exact"/>
        <w:rPr>
          <w:rFonts w:ascii="Courier New" w:cs="Courier New" w:eastAsia="Courier New" w:hAnsi="Courier New"/>
          <w:sz w:val="16"/>
          <w:szCs w:val="16"/>
          <w:color w:val="auto"/>
        </w:rPr>
      </w:pPr>
    </w:p>
    <w:p>
      <w:pPr>
        <w:ind w:left="460" w:right="3239" w:firstLine="466"/>
        <w:spacing w:after="0" w:line="295" w:lineRule="auto"/>
        <w:tabs>
          <w:tab w:leader="none" w:pos="1297" w:val="left"/>
        </w:tabs>
        <w:numPr>
          <w:ilvl w:val="3"/>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46" w:lineRule="exact"/>
        <w:rPr>
          <w:rFonts w:ascii="Courier New" w:cs="Courier New" w:eastAsia="Courier New" w:hAnsi="Courier New"/>
          <w:sz w:val="14"/>
          <w:szCs w:val="14"/>
          <w:color w:val="auto"/>
        </w:rPr>
      </w:pPr>
    </w:p>
    <w:p>
      <w:pPr>
        <w:ind w:left="460" w:right="2779" w:firstLine="931"/>
        <w:spacing w:after="0" w:line="234" w:lineRule="auto"/>
        <w:tabs>
          <w:tab w:leader="none" w:pos="1762" w:val="left"/>
        </w:tabs>
        <w:numPr>
          <w:ilvl w:val="4"/>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3" w:lineRule="exact"/>
        <w:rPr>
          <w:rFonts w:ascii="Courier New" w:cs="Courier New" w:eastAsia="Courier New" w:hAnsi="Courier New"/>
          <w:sz w:val="16"/>
          <w:szCs w:val="16"/>
          <w:color w:val="auto"/>
        </w:rPr>
      </w:pPr>
    </w:p>
    <w:p>
      <w:pPr>
        <w:ind w:left="460" w:right="2879" w:firstLine="931"/>
        <w:spacing w:after="0" w:line="236" w:lineRule="auto"/>
        <w:tabs>
          <w:tab w:leader="none" w:pos="1855" w:val="left"/>
        </w:tabs>
        <w:numPr>
          <w:ilvl w:val="4"/>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if, in the aggregate, the changes in volume and</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648" w:right="1440" w:bottom="1440" w:gutter="0" w:footer="0" w:header="0"/>
        </w:sectPr>
      </w:pPr>
    </w:p>
    <w:bookmarkStart w:id="6" w:name="page7"/>
    <w:bookmarkEnd w:id="6"/>
    <w:p>
      <w:pPr>
        <w:ind w:left="460" w:right="2779"/>
        <w:spacing w:after="0" w:line="235" w:lineRule="auto"/>
        <w:rPr>
          <w:sz w:val="20"/>
          <w:szCs w:val="20"/>
          <w:color w:val="auto"/>
        </w:rPr>
      </w:pPr>
      <w:r>
        <w:rPr>
          <w:rFonts w:ascii="Courier New" w:cs="Courier New" w:eastAsia="Courier New" w:hAnsi="Courier New"/>
          <w:sz w:val="16"/>
          <w:szCs w:val="16"/>
          <w:color w:val="auto"/>
        </w:rPr>
        <w:t>price represent no more than a 20% change in the maximum aggregate offering price set forth in the "Calculation of Registration Fee" table in the effective registration statement; and</w:t>
      </w:r>
    </w:p>
    <w:p>
      <w:pPr>
        <w:spacing w:after="0" w:line="183" w:lineRule="exact"/>
        <w:rPr>
          <w:sz w:val="20"/>
          <w:szCs w:val="20"/>
          <w:color w:val="auto"/>
        </w:rPr>
      </w:pPr>
    </w:p>
    <w:p>
      <w:pPr>
        <w:ind w:left="460" w:right="2779" w:firstLine="931"/>
        <w:spacing w:after="0" w:line="283" w:lineRule="auto"/>
        <w:tabs>
          <w:tab w:leader="none" w:pos="204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55" w:lineRule="exact"/>
        <w:rPr>
          <w:sz w:val="20"/>
          <w:szCs w:val="20"/>
          <w:color w:val="auto"/>
        </w:rPr>
      </w:pPr>
    </w:p>
    <w:p>
      <w:pPr>
        <w:ind w:right="2879"/>
        <w:spacing w:after="0" w:line="276" w:lineRule="auto"/>
        <w:rPr>
          <w:sz w:val="20"/>
          <w:szCs w:val="20"/>
          <w:color w:val="auto"/>
        </w:rPr>
      </w:pPr>
      <w:r>
        <w:rPr>
          <w:rFonts w:ascii="Courier New" w:cs="Courier New" w:eastAsia="Courier New" w:hAnsi="Courier New"/>
          <w:sz w:val="14"/>
          <w:szCs w:val="14"/>
          <w:color w:val="auto"/>
        </w:rPr>
        <w:t>provided, however, that the undertakings set forth in paragraphs (a)(1)(i) and (a)(1)(ii) above do not apply if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spacing w:after="0" w:line="161" w:lineRule="exact"/>
        <w:rPr>
          <w:sz w:val="20"/>
          <w:szCs w:val="20"/>
          <w:color w:val="auto"/>
        </w:rPr>
      </w:pPr>
    </w:p>
    <w:p>
      <w:pPr>
        <w:ind w:left="460" w:right="2879" w:firstLine="466"/>
        <w:spacing w:after="0" w:line="235" w:lineRule="auto"/>
        <w:tabs>
          <w:tab w:leader="none" w:pos="1297"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left="460" w:right="2779" w:firstLine="466"/>
        <w:spacing w:after="0" w:line="235" w:lineRule="auto"/>
        <w:tabs>
          <w:tab w:leader="none" w:pos="1297"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3" w:lineRule="exact"/>
        <w:rPr>
          <w:rFonts w:ascii="Courier New" w:cs="Courier New" w:eastAsia="Courier New" w:hAnsi="Courier New"/>
          <w:sz w:val="16"/>
          <w:szCs w:val="16"/>
          <w:color w:val="auto"/>
        </w:rPr>
      </w:pPr>
    </w:p>
    <w:p>
      <w:pPr>
        <w:ind w:right="2959" w:firstLine="461"/>
        <w:spacing w:after="0" w:line="236" w:lineRule="auto"/>
        <w:tabs>
          <w:tab w:leader="none" w:pos="83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Courier New" w:cs="Courier New" w:eastAsia="Courier New" w:hAnsi="Courier New"/>
          <w:sz w:val="16"/>
          <w:szCs w:val="16"/>
          <w:color w:val="auto"/>
        </w:rPr>
      </w:pPr>
    </w:p>
    <w:p>
      <w:pPr>
        <w:ind w:right="2779" w:firstLine="461"/>
        <w:spacing w:after="0" w:line="272" w:lineRule="auto"/>
        <w:tabs>
          <w:tab w:leader="none" w:pos="837"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4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654" w:right="1440" w:bottom="1440" w:gutter="0" w:footer="0" w:header="0"/>
        </w:sectPr>
      </w:pPr>
    </w:p>
    <w:bookmarkStart w:id="7" w:name="page8"/>
    <w:bookmarkEnd w:id="7"/>
    <w:p>
      <w:pPr>
        <w:ind w:left="3165"/>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left="5" w:right="2879" w:firstLine="465"/>
        <w:spacing w:after="0" w:line="276"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May 5, 2000.</w:t>
      </w:r>
    </w:p>
    <w:p>
      <w:pPr>
        <w:spacing w:after="0" w:line="334" w:lineRule="exact"/>
        <w:rPr>
          <w:sz w:val="20"/>
          <w:szCs w:val="20"/>
          <w:color w:val="auto"/>
        </w:rPr>
      </w:pPr>
    </w:p>
    <w:p>
      <w:pPr>
        <w:ind w:left="2985"/>
        <w:spacing w:after="0"/>
        <w:rPr>
          <w:sz w:val="20"/>
          <w:szCs w:val="20"/>
          <w:color w:val="auto"/>
        </w:rPr>
      </w:pPr>
      <w:r>
        <w:rPr>
          <w:rFonts w:ascii="Courier New" w:cs="Courier New" w:eastAsia="Courier New" w:hAnsi="Courier New"/>
          <w:sz w:val="16"/>
          <w:szCs w:val="16"/>
          <w:color w:val="auto"/>
        </w:rPr>
        <w:t>SCHLUMBERGER N.V.</w:t>
      </w:r>
    </w:p>
    <w:p>
      <w:pPr>
        <w:ind w:left="2985"/>
        <w:spacing w:after="0" w:line="236" w:lineRule="auto"/>
        <w:rPr>
          <w:sz w:val="20"/>
          <w:szCs w:val="20"/>
          <w:color w:val="auto"/>
        </w:rPr>
      </w:pPr>
      <w:r>
        <w:rPr>
          <w:rFonts w:ascii="Courier New" w:cs="Courier New" w:eastAsia="Courier New" w:hAnsi="Courier New"/>
          <w:sz w:val="16"/>
          <w:szCs w:val="16"/>
          <w:color w:val="auto"/>
        </w:rPr>
        <w:t>(Schlumberger Limited)</w:t>
      </w:r>
    </w:p>
    <w:p>
      <w:pPr>
        <w:spacing w:after="0" w:line="177" w:lineRule="exact"/>
        <w:rPr>
          <w:sz w:val="20"/>
          <w:szCs w:val="20"/>
          <w:color w:val="auto"/>
        </w:rPr>
      </w:pPr>
    </w:p>
    <w:p>
      <w:pPr>
        <w:ind w:left="2985"/>
        <w:spacing w:after="0"/>
        <w:rPr>
          <w:sz w:val="20"/>
          <w:szCs w:val="20"/>
          <w:color w:val="auto"/>
        </w:rPr>
      </w:pPr>
      <w:r>
        <w:rPr>
          <w:rFonts w:ascii="Courier New" w:cs="Courier New" w:eastAsia="Courier New" w:hAnsi="Courier New"/>
          <w:sz w:val="16"/>
          <w:szCs w:val="16"/>
          <w:color w:val="auto"/>
        </w:rPr>
        <w:t>By: /s/ Jack Liu</w:t>
      </w:r>
    </w:p>
    <w:p>
      <w:pPr>
        <w:ind w:left="3345"/>
        <w:spacing w:after="0" w:line="236" w:lineRule="auto"/>
        <w:rPr>
          <w:sz w:val="20"/>
          <w:szCs w:val="20"/>
          <w:color w:val="auto"/>
        </w:rPr>
      </w:pPr>
      <w:r>
        <w:rPr>
          <w:rFonts w:ascii="Courier New" w:cs="Courier New" w:eastAsia="Courier New" w:hAnsi="Courier New"/>
          <w:sz w:val="16"/>
          <w:szCs w:val="16"/>
          <w:color w:val="auto"/>
        </w:rPr>
        <w:t>------------</w:t>
      </w:r>
    </w:p>
    <w:p>
      <w:pPr>
        <w:ind w:left="3345"/>
        <w:spacing w:after="0" w:line="237" w:lineRule="auto"/>
        <w:rPr>
          <w:sz w:val="20"/>
          <w:szCs w:val="20"/>
          <w:color w:val="auto"/>
        </w:rPr>
      </w:pPr>
      <w:r>
        <w:rPr>
          <w:rFonts w:ascii="Courier New" w:cs="Courier New" w:eastAsia="Courier New" w:hAnsi="Courier New"/>
          <w:sz w:val="16"/>
          <w:szCs w:val="16"/>
          <w:color w:val="auto"/>
        </w:rPr>
        <w:t>Jack Liu</w:t>
      </w:r>
    </w:p>
    <w:p>
      <w:pPr>
        <w:ind w:left="3345"/>
        <w:spacing w:after="0" w:line="237" w:lineRule="auto"/>
        <w:rPr>
          <w:sz w:val="20"/>
          <w:szCs w:val="20"/>
          <w:color w:val="auto"/>
        </w:rPr>
      </w:pPr>
      <w:r>
        <w:rPr>
          <w:rFonts w:ascii="Courier New" w:cs="Courier New" w:eastAsia="Courier New" w:hAnsi="Courier New"/>
          <w:sz w:val="16"/>
          <w:szCs w:val="16"/>
          <w:color w:val="auto"/>
        </w:rPr>
        <w:t>Executive Vice President--Finance;</w:t>
      </w:r>
    </w:p>
    <w:p>
      <w:pPr>
        <w:ind w:left="3345"/>
        <w:spacing w:after="0" w:line="237" w:lineRule="auto"/>
        <w:rPr>
          <w:sz w:val="20"/>
          <w:szCs w:val="20"/>
          <w:color w:val="auto"/>
        </w:rPr>
      </w:pPr>
      <w:r>
        <w:rPr>
          <w:rFonts w:ascii="Courier New" w:cs="Courier New" w:eastAsia="Courier New" w:hAnsi="Courier New"/>
          <w:sz w:val="16"/>
          <w:szCs w:val="16"/>
          <w:color w:val="auto"/>
        </w:rPr>
        <w:t>Chief Financial Officer and Chief</w:t>
      </w:r>
    </w:p>
    <w:p>
      <w:pPr>
        <w:ind w:left="3345"/>
        <w:spacing w:after="0" w:line="237" w:lineRule="auto"/>
        <w:rPr>
          <w:sz w:val="20"/>
          <w:szCs w:val="20"/>
          <w:color w:val="auto"/>
        </w:rPr>
      </w:pPr>
      <w:r>
        <w:rPr>
          <w:rFonts w:ascii="Courier New" w:cs="Courier New" w:eastAsia="Courier New" w:hAnsi="Courier New"/>
          <w:sz w:val="16"/>
          <w:szCs w:val="16"/>
          <w:color w:val="auto"/>
        </w:rPr>
        <w:t>Accounting Officer</w:t>
      </w:r>
    </w:p>
    <w:p>
      <w:pPr>
        <w:spacing w:after="0" w:line="183"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on May 5, 2000 in the capacities indicated.</w:t>
      </w:r>
    </w:p>
    <w:p>
      <w:pPr>
        <w:sectPr>
          <w:pgSz w:w="11900" w:h="16838" w:orient="portrait"/>
          <w:cols w:equalWidth="0" w:num="1">
            <w:col w:w="10224"/>
          </w:cols>
          <w:pgMar w:left="235" w:top="648"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1125"/>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 Euan Baird</w:t>
      </w:r>
    </w:p>
    <w:p>
      <w:pPr>
        <w:ind w:left="5"/>
        <w:spacing w:after="0" w:line="236" w:lineRule="auto"/>
        <w:rPr>
          <w:sz w:val="20"/>
          <w:szCs w:val="20"/>
          <w:color w:val="auto"/>
        </w:rPr>
      </w:pPr>
      <w:r>
        <w:rPr>
          <w:rFonts w:ascii="Courier New" w:cs="Courier New" w:eastAsia="Courier New" w:hAnsi="Courier New"/>
          <w:sz w:val="16"/>
          <w:szCs w:val="16"/>
          <w:color w:val="auto"/>
        </w:rPr>
        <w:t>Director, Chairman, President</w:t>
      </w:r>
    </w:p>
    <w:p>
      <w:pPr>
        <w:ind w:left="5"/>
        <w:spacing w:after="0" w:line="237" w:lineRule="auto"/>
        <w:rPr>
          <w:sz w:val="20"/>
          <w:szCs w:val="20"/>
          <w:color w:val="auto"/>
        </w:rPr>
      </w:pPr>
      <w:r>
        <w:rPr>
          <w:rFonts w:ascii="Courier New" w:cs="Courier New" w:eastAsia="Courier New" w:hAnsi="Courier New"/>
          <w:sz w:val="16"/>
          <w:szCs w:val="16"/>
          <w:color w:val="auto"/>
        </w:rPr>
        <w:t>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T. McCormick, Jr.</w:t>
      </w:r>
    </w:p>
    <w:p>
      <w:pPr>
        <w:spacing w:after="0" w:line="236" w:lineRule="auto"/>
        <w:rPr>
          <w:sz w:val="20"/>
          <w:szCs w:val="20"/>
          <w:color w:val="auto"/>
        </w:rPr>
      </w:pPr>
      <w:r>
        <w:rPr>
          <w:rFonts w:ascii="Courier New" w:cs="Courier New" w:eastAsia="Courier New" w:hAnsi="Courier New"/>
          <w:sz w:val="16"/>
          <w:szCs w:val="16"/>
          <w:color w:val="auto"/>
        </w:rPr>
        <w:t>Director</w:t>
      </w:r>
    </w:p>
    <w:p>
      <w:pPr>
        <w:spacing w:after="0" w:line="378" w:lineRule="exact"/>
        <w:rPr>
          <w:sz w:val="20"/>
          <w:szCs w:val="20"/>
          <w:color w:val="auto"/>
        </w:rPr>
      </w:pPr>
    </w:p>
    <w:p>
      <w:pPr>
        <w:sectPr>
          <w:pgSz w:w="11900" w:h="16838" w:orient="portrait"/>
          <w:cols w:equalWidth="0" w:num="2">
            <w:col w:w="2985" w:space="360"/>
            <w:col w:w="6879"/>
          </w:cols>
          <w:pgMar w:left="235" w:top="648" w:right="1440" w:bottom="1440" w:gutter="0" w:footer="0" w:header="0"/>
          <w:type w:val="continuous"/>
        </w:sectPr>
      </w:pPr>
    </w:p>
    <w:p>
      <w:pPr>
        <w:spacing w:after="0" w:line="156" w:lineRule="exact"/>
        <w:rPr>
          <w:sz w:val="20"/>
          <w:szCs w:val="20"/>
          <w:color w:val="auto"/>
        </w:rPr>
      </w:pPr>
    </w:p>
    <w:p>
      <w:pPr>
        <w:ind w:left="1125"/>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Victor E. Grijalva</w:t>
      </w:r>
    </w:p>
    <w:p>
      <w:pPr>
        <w:ind w:left="5"/>
        <w:spacing w:after="0" w:line="236" w:lineRule="auto"/>
        <w:rPr>
          <w:sz w:val="20"/>
          <w:szCs w:val="20"/>
          <w:color w:val="auto"/>
        </w:rPr>
      </w:pPr>
      <w:r>
        <w:rPr>
          <w:rFonts w:ascii="Courier New" w:cs="Courier New" w:eastAsia="Courier New" w:hAnsi="Courier New"/>
          <w:sz w:val="16"/>
          <w:szCs w:val="16"/>
          <w:color w:val="auto"/>
        </w:rPr>
        <w:t>Director, Vice Chairman</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Didier Primat</w:t>
      </w:r>
    </w:p>
    <w:p>
      <w:pPr>
        <w:spacing w:after="0" w:line="236" w:lineRule="auto"/>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ectPr>
          <w:pgSz w:w="11900" w:h="16838" w:orient="portrait"/>
          <w:cols w:equalWidth="0" w:num="2">
            <w:col w:w="2985" w:space="360"/>
            <w:col w:w="6879"/>
          </w:cols>
          <w:pgMar w:left="235" w:top="648" w:right="1440" w:bottom="1440" w:gutter="0" w:footer="0" w:header="0"/>
          <w:type w:val="continuous"/>
        </w:sectPr>
      </w:pPr>
    </w:p>
    <w:p>
      <w:pPr>
        <w:spacing w:after="0" w:line="1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 Jack Liu</w:t>
      </w:r>
    </w:p>
    <w:p>
      <w:pPr>
        <w:ind w:left="5"/>
        <w:spacing w:after="0" w:line="236" w:lineRule="auto"/>
        <w:rPr>
          <w:sz w:val="20"/>
          <w:szCs w:val="20"/>
          <w:color w:val="auto"/>
        </w:rPr>
      </w:pPr>
      <w:r>
        <w:rPr>
          <w:rFonts w:ascii="Courier New" w:cs="Courier New" w:eastAsia="Courier New" w:hAnsi="Courier New"/>
          <w:sz w:val="16"/>
          <w:szCs w:val="16"/>
          <w:color w:val="auto"/>
        </w:rPr>
        <w:t>- ------------------------------</w:t>
      </w:r>
    </w:p>
    <w:p>
      <w:pPr>
        <w:ind w:left="5"/>
        <w:spacing w:after="0" w:line="237" w:lineRule="auto"/>
        <w:rPr>
          <w:sz w:val="20"/>
          <w:szCs w:val="20"/>
          <w:color w:val="auto"/>
        </w:rPr>
      </w:pPr>
      <w:r>
        <w:rPr>
          <w:rFonts w:ascii="Courier New" w:cs="Courier New" w:eastAsia="Courier New" w:hAnsi="Courier New"/>
          <w:sz w:val="16"/>
          <w:szCs w:val="16"/>
          <w:color w:val="auto"/>
        </w:rPr>
        <w:t>Jack Liu</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Executive Vice President--Finance;</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Chief Financial Officer and</w:t>
      </w:r>
    </w:p>
    <w:p>
      <w:pPr>
        <w:ind w:left="5"/>
        <w:spacing w:after="0" w:line="236" w:lineRule="auto"/>
        <w:rPr>
          <w:sz w:val="20"/>
          <w:szCs w:val="20"/>
          <w:color w:val="auto"/>
        </w:rPr>
      </w:pPr>
      <w:r>
        <w:rPr>
          <w:rFonts w:ascii="Courier New" w:cs="Courier New" w:eastAsia="Courier New" w:hAnsi="Courier New"/>
          <w:sz w:val="16"/>
          <w:szCs w:val="16"/>
          <w:color w:val="auto"/>
        </w:rPr>
        <w:t>Chief Accounting Officer</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Nicolas Seydoux</w:t>
      </w:r>
    </w:p>
    <w:p>
      <w:pPr>
        <w:spacing w:after="0" w:line="736" w:lineRule="exact"/>
        <w:rPr>
          <w:sz w:val="20"/>
          <w:szCs w:val="20"/>
          <w:color w:val="auto"/>
        </w:rPr>
      </w:pPr>
    </w:p>
    <w:p>
      <w:pPr>
        <w:sectPr>
          <w:pgSz w:w="11900" w:h="16838" w:orient="portrait"/>
          <w:cols w:equalWidth="0" w:num="2">
            <w:col w:w="3165" w:space="180"/>
            <w:col w:w="6879"/>
          </w:cols>
          <w:pgMar w:left="235" w:top="648" w:right="1440" w:bottom="1440" w:gutter="0" w:footer="0" w:header="0"/>
          <w:type w:val="continuous"/>
        </w:sectPr>
      </w:pPr>
    </w:p>
    <w:p>
      <w:pPr>
        <w:spacing w:after="0" w:line="156" w:lineRule="exact"/>
        <w:rPr>
          <w:sz w:val="20"/>
          <w:szCs w:val="20"/>
          <w:color w:val="auto"/>
        </w:rPr>
      </w:pPr>
    </w:p>
    <w:p>
      <w:pPr>
        <w:ind w:left="1125"/>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Don E. Ackerman</w:t>
      </w:r>
    </w:p>
    <w:p>
      <w:pPr>
        <w:ind w:left="5"/>
        <w:spacing w:after="0" w:line="236" w:lineRule="auto"/>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Linda G. Stuntz</w:t>
      </w:r>
    </w:p>
    <w:p>
      <w:pPr>
        <w:spacing w:after="0" w:line="236" w:lineRule="auto"/>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ectPr>
          <w:pgSz w:w="11900" w:h="16838" w:orient="portrait"/>
          <w:cols w:equalWidth="0" w:num="2">
            <w:col w:w="2985" w:space="360"/>
            <w:col w:w="6879"/>
          </w:cols>
          <w:pgMar w:left="235" w:top="648" w:right="1440" w:bottom="1440" w:gutter="0" w:footer="0" w:header="0"/>
          <w:type w:val="continuous"/>
        </w:sectPr>
      </w:pPr>
    </w:p>
    <w:p>
      <w:pPr>
        <w:spacing w:after="0" w:line="156" w:lineRule="exact"/>
        <w:rPr>
          <w:sz w:val="20"/>
          <w:szCs w:val="20"/>
          <w:color w:val="auto"/>
        </w:rPr>
      </w:pPr>
    </w:p>
    <w:p>
      <w:pPr>
        <w:ind w:left="1125"/>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John Deutch</w:t>
      </w:r>
    </w:p>
    <w:p>
      <w:pPr>
        <w:ind w:left="5"/>
        <w:spacing w:after="0" w:line="236" w:lineRule="auto"/>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Sven Ullring</w:t>
      </w:r>
    </w:p>
    <w:p>
      <w:pPr>
        <w:spacing w:after="0" w:line="236" w:lineRule="auto"/>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ectPr>
          <w:pgSz w:w="11900" w:h="16838" w:orient="portrait"/>
          <w:cols w:equalWidth="0" w:num="2">
            <w:col w:w="2985" w:space="360"/>
            <w:col w:w="6879"/>
          </w:cols>
          <w:pgMar w:left="235" w:top="648" w:right="1440" w:bottom="1440" w:gutter="0" w:footer="0" w:header="0"/>
          <w:type w:val="continuous"/>
        </w:sectPr>
      </w:pPr>
    </w:p>
    <w:p>
      <w:pPr>
        <w:spacing w:after="0" w:line="156" w:lineRule="exact"/>
        <w:rPr>
          <w:sz w:val="20"/>
          <w:szCs w:val="20"/>
          <w:color w:val="auto"/>
        </w:rPr>
      </w:pPr>
    </w:p>
    <w:p>
      <w:pPr>
        <w:ind w:left="1125"/>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Denys Henderson</w:t>
      </w:r>
    </w:p>
    <w:p>
      <w:pPr>
        <w:ind w:left="5"/>
        <w:spacing w:after="0" w:line="236" w:lineRule="auto"/>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Yoshihiko Wakumoto</w:t>
      </w:r>
    </w:p>
    <w:p>
      <w:pPr>
        <w:spacing w:after="0" w:line="236" w:lineRule="auto"/>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ectPr>
          <w:pgSz w:w="11900" w:h="16838" w:orient="portrait"/>
          <w:cols w:equalWidth="0" w:num="2">
            <w:col w:w="2985" w:space="360"/>
            <w:col w:w="6879"/>
          </w:cols>
          <w:pgMar w:left="235" w:top="648" w:right="1440" w:bottom="1440" w:gutter="0" w:footer="0" w:header="0"/>
          <w:type w:val="continuous"/>
        </w:sectPr>
      </w:pPr>
    </w:p>
    <w:p>
      <w:pPr>
        <w:spacing w:after="0" w:line="156" w:lineRule="exact"/>
        <w:rPr>
          <w:sz w:val="20"/>
          <w:szCs w:val="20"/>
          <w:color w:val="auto"/>
        </w:rPr>
      </w:pPr>
    </w:p>
    <w:p>
      <w:pPr>
        <w:ind w:left="1125"/>
        <w:spacing w:after="0"/>
        <w:rPr>
          <w:sz w:val="20"/>
          <w:szCs w:val="20"/>
          <w:color w:val="auto"/>
        </w:rPr>
      </w:pPr>
      <w:r>
        <w:rPr>
          <w:rFonts w:ascii="Courier New" w:cs="Courier New" w:eastAsia="Courier New" w:hAnsi="Courier New"/>
          <w:sz w:val="16"/>
          <w:szCs w:val="16"/>
          <w:color w:val="auto"/>
        </w:rPr>
        <w:t>*</w:t>
      </w:r>
    </w:p>
    <w:p>
      <w:pPr>
        <w:ind w:left="185" w:hanging="185"/>
        <w:spacing w:after="0" w:line="236" w:lineRule="auto"/>
        <w:tabs>
          <w:tab w:leader="none" w:pos="18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5" w:right="881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Andre Levy-Lang Director</w:t>
      </w:r>
    </w:p>
    <w:p>
      <w:pPr>
        <w:spacing w:after="0" w:line="183" w:lineRule="exact"/>
        <w:rPr>
          <w:sz w:val="20"/>
          <w:szCs w:val="20"/>
          <w:color w:val="auto"/>
        </w:rPr>
      </w:pPr>
    </w:p>
    <w:p>
      <w:pPr>
        <w:ind w:left="3545"/>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24"/>
          </w:cols>
          <w:pgMar w:left="235" w:top="648" w:right="1440" w:bottom="1440" w:gutter="0" w:footer="0" w:header="0"/>
          <w:type w:val="continuous"/>
        </w:sectPr>
      </w:pPr>
    </w:p>
    <w:bookmarkStart w:id="8" w:name="page9"/>
    <w:bookmarkEnd w:id="8"/>
    <w:p>
      <w:pPr>
        <w:spacing w:after="0"/>
        <w:tabs>
          <w:tab w:leader="none" w:pos="5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Ellen S. Summer</w:t>
      </w:r>
    </w:p>
    <w:p>
      <w:pPr>
        <w:ind w:left="360"/>
        <w:spacing w:after="0" w:line="236" w:lineRule="auto"/>
        <w:rPr>
          <w:sz w:val="20"/>
          <w:szCs w:val="20"/>
          <w:color w:val="auto"/>
        </w:rPr>
      </w:pPr>
      <w:r>
        <w:rPr>
          <w:rFonts w:ascii="Courier New" w:cs="Courier New" w:eastAsia="Courier New" w:hAnsi="Courier New"/>
          <w:sz w:val="16"/>
          <w:szCs w:val="16"/>
          <w:color w:val="auto"/>
        </w:rPr>
        <w:t>--------------------------</w:t>
      </w:r>
    </w:p>
    <w:p>
      <w:pPr>
        <w:ind w:left="360"/>
        <w:spacing w:after="0" w:line="237" w:lineRule="auto"/>
        <w:rPr>
          <w:sz w:val="20"/>
          <w:szCs w:val="20"/>
          <w:color w:val="auto"/>
        </w:rPr>
      </w:pPr>
      <w:r>
        <w:rPr>
          <w:rFonts w:ascii="Courier New" w:cs="Courier New" w:eastAsia="Courier New" w:hAnsi="Courier New"/>
          <w:sz w:val="16"/>
          <w:szCs w:val="16"/>
          <w:color w:val="auto"/>
        </w:rPr>
        <w:t>Ellen S. Summer</w:t>
      </w:r>
    </w:p>
    <w:p>
      <w:pPr>
        <w:ind w:left="360"/>
        <w:spacing w:after="0" w:line="237" w:lineRule="auto"/>
        <w:rPr>
          <w:sz w:val="20"/>
          <w:szCs w:val="20"/>
          <w:color w:val="auto"/>
        </w:rPr>
      </w:pPr>
      <w:r>
        <w:rPr>
          <w:rFonts w:ascii="Courier New" w:cs="Courier New" w:eastAsia="Courier New" w:hAnsi="Courier New"/>
          <w:sz w:val="16"/>
          <w:szCs w:val="16"/>
          <w:color w:val="auto"/>
        </w:rPr>
        <w:t>Attorney-in-Fact</w:t>
      </w:r>
    </w:p>
    <w:p>
      <w:pPr>
        <w:spacing w:after="0" w:line="177"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219"/>
          </w:cols>
          <w:pgMar w:left="240" w:top="648"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1"/>
        </w:trPr>
        <w:tc>
          <w:tcPr>
            <w:tcW w:w="840" w:type="dxa"/>
            <w:vAlign w:val="bottom"/>
          </w:tcPr>
          <w:p>
            <w:pPr>
              <w:spacing w:after="0"/>
              <w:rPr>
                <w:sz w:val="15"/>
                <w:szCs w:val="15"/>
                <w:color w:val="auto"/>
              </w:rPr>
            </w:pPr>
          </w:p>
        </w:tc>
        <w:tc>
          <w:tcPr>
            <w:tcW w:w="6600" w:type="dxa"/>
            <w:vAlign w:val="bottom"/>
          </w:tcPr>
          <w:p>
            <w:pPr>
              <w:ind w:left="2220"/>
              <w:spacing w:after="0"/>
              <w:rPr>
                <w:sz w:val="20"/>
                <w:szCs w:val="20"/>
                <w:color w:val="auto"/>
              </w:rPr>
            </w:pPr>
            <w:r>
              <w:rPr>
                <w:rFonts w:ascii="Courier New" w:cs="Courier New" w:eastAsia="Courier New" w:hAnsi="Courier New"/>
                <w:sz w:val="16"/>
                <w:szCs w:val="16"/>
                <w:color w:val="auto"/>
              </w:rPr>
              <w:t>EXHIBIT INDEX</w:t>
            </w:r>
          </w:p>
        </w:tc>
      </w:tr>
      <w:tr>
        <w:trPr>
          <w:trHeight w:val="537"/>
        </w:trPr>
        <w:tc>
          <w:tcPr>
            <w:tcW w:w="84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600" w:type="dxa"/>
            <w:vAlign w:val="bottom"/>
          </w:tcPr>
          <w:p>
            <w:pPr>
              <w:spacing w:after="0"/>
              <w:rPr>
                <w:sz w:val="24"/>
                <w:szCs w:val="24"/>
                <w:color w:val="auto"/>
              </w:rPr>
            </w:pPr>
          </w:p>
        </w:tc>
      </w:tr>
      <w:tr>
        <w:trPr>
          <w:trHeight w:val="179"/>
        </w:trPr>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No.</w:t>
            </w:r>
          </w:p>
        </w:tc>
        <w:tc>
          <w:tcPr>
            <w:tcW w:w="6600" w:type="dxa"/>
            <w:vAlign w:val="bottom"/>
          </w:tcPr>
          <w:p>
            <w:pPr>
              <w:spacing w:after="0" w:line="179" w:lineRule="exact"/>
              <w:rPr>
                <w:sz w:val="20"/>
                <w:szCs w:val="20"/>
                <w:color w:val="auto"/>
              </w:rPr>
            </w:pPr>
            <w:r>
              <w:rPr>
                <w:rFonts w:ascii="Courier New" w:cs="Courier New" w:eastAsia="Courier New" w:hAnsi="Courier New"/>
                <w:sz w:val="16"/>
                <w:szCs w:val="16"/>
                <w:color w:val="auto"/>
              </w:rPr>
              <w:t>Description</w:t>
            </w:r>
          </w:p>
        </w:tc>
      </w:tr>
      <w:tr>
        <w:trPr>
          <w:trHeight w:val="179"/>
        </w:trPr>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w w:val="94"/>
              </w:rPr>
              <w:t>- -------</w:t>
            </w:r>
          </w:p>
        </w:tc>
        <w:tc>
          <w:tcPr>
            <w:tcW w:w="6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*4.1</w:t>
            </w:r>
          </w:p>
        </w:tc>
        <w:tc>
          <w:tcPr>
            <w:tcW w:w="6600" w:type="dxa"/>
            <w:vAlign w:val="bottom"/>
          </w:tcPr>
          <w:p>
            <w:pPr>
              <w:spacing w:after="0" w:line="179" w:lineRule="exact"/>
              <w:rPr>
                <w:sz w:val="20"/>
                <w:szCs w:val="20"/>
                <w:color w:val="auto"/>
              </w:rPr>
            </w:pPr>
            <w:r>
              <w:rPr>
                <w:rFonts w:ascii="Courier New" w:cs="Courier New" w:eastAsia="Courier New" w:hAnsi="Courier New"/>
                <w:sz w:val="16"/>
                <w:szCs w:val="16"/>
                <w:color w:val="auto"/>
              </w:rPr>
              <w:t>--Articles of Incorporation of Schlumberger N.V. as last amended on</w:t>
            </w:r>
          </w:p>
        </w:tc>
      </w:tr>
      <w:tr>
        <w:trPr>
          <w:trHeight w:val="179"/>
        </w:trPr>
        <w:tc>
          <w:tcPr>
            <w:tcW w:w="840" w:type="dxa"/>
            <w:vAlign w:val="bottom"/>
          </w:tcPr>
          <w:p>
            <w:pPr>
              <w:spacing w:after="0"/>
              <w:rPr>
                <w:sz w:val="15"/>
                <w:szCs w:val="15"/>
                <w:color w:val="auto"/>
              </w:rPr>
            </w:pPr>
          </w:p>
        </w:tc>
        <w:tc>
          <w:tcPr>
            <w:tcW w:w="6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April 28, 1997 (incorporated by reference to Exhibit 3(i) to the Form</w:t>
            </w:r>
          </w:p>
        </w:tc>
      </w:tr>
      <w:tr>
        <w:trPr>
          <w:trHeight w:val="179"/>
        </w:trPr>
        <w:tc>
          <w:tcPr>
            <w:tcW w:w="840" w:type="dxa"/>
            <w:vAlign w:val="bottom"/>
          </w:tcPr>
          <w:p>
            <w:pPr>
              <w:spacing w:after="0"/>
              <w:rPr>
                <w:sz w:val="15"/>
                <w:szCs w:val="15"/>
                <w:color w:val="auto"/>
              </w:rPr>
            </w:pPr>
          </w:p>
        </w:tc>
        <w:tc>
          <w:tcPr>
            <w:tcW w:w="6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10-Q for the quarter ended March 31, 1997, File No. 1-4601).</w:t>
            </w:r>
          </w:p>
        </w:tc>
      </w:tr>
      <w:tr>
        <w:trPr>
          <w:trHeight w:val="179"/>
        </w:trPr>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*4.2</w:t>
            </w:r>
          </w:p>
        </w:tc>
        <w:tc>
          <w:tcPr>
            <w:tcW w:w="6600" w:type="dxa"/>
            <w:vAlign w:val="bottom"/>
          </w:tcPr>
          <w:p>
            <w:pPr>
              <w:spacing w:after="0" w:line="179" w:lineRule="exact"/>
              <w:rPr>
                <w:sz w:val="20"/>
                <w:szCs w:val="20"/>
                <w:color w:val="auto"/>
              </w:rPr>
            </w:pPr>
            <w:r>
              <w:rPr>
                <w:rFonts w:ascii="Courier New" w:cs="Courier New" w:eastAsia="Courier New" w:hAnsi="Courier New"/>
                <w:sz w:val="16"/>
                <w:szCs w:val="16"/>
                <w:color w:val="auto"/>
              </w:rPr>
              <w:t>--By-laws of Schlumberger N.V. as last amended on October 20, 1993</w:t>
            </w:r>
          </w:p>
        </w:tc>
      </w:tr>
      <w:tr>
        <w:trPr>
          <w:trHeight w:val="179"/>
        </w:trPr>
        <w:tc>
          <w:tcPr>
            <w:tcW w:w="840" w:type="dxa"/>
            <w:vAlign w:val="bottom"/>
          </w:tcPr>
          <w:p>
            <w:pPr>
              <w:spacing w:after="0"/>
              <w:rPr>
                <w:sz w:val="15"/>
                <w:szCs w:val="15"/>
                <w:color w:val="auto"/>
              </w:rPr>
            </w:pPr>
          </w:p>
        </w:tc>
        <w:tc>
          <w:tcPr>
            <w:tcW w:w="6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(incorporated by reference to Exhibit 3 to the Form 10-K for the year</w:t>
            </w:r>
          </w:p>
        </w:tc>
      </w:tr>
      <w:tr>
        <w:trPr>
          <w:trHeight w:val="179"/>
        </w:trPr>
        <w:tc>
          <w:tcPr>
            <w:tcW w:w="840" w:type="dxa"/>
            <w:vAlign w:val="bottom"/>
          </w:tcPr>
          <w:p>
            <w:pPr>
              <w:spacing w:after="0"/>
              <w:rPr>
                <w:sz w:val="15"/>
                <w:szCs w:val="15"/>
                <w:color w:val="auto"/>
              </w:rPr>
            </w:pPr>
          </w:p>
        </w:tc>
        <w:tc>
          <w:tcPr>
            <w:tcW w:w="6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ended December 31, 1993, File No. 1-4601).</w:t>
            </w:r>
          </w:p>
        </w:tc>
      </w:tr>
      <w:tr>
        <w:trPr>
          <w:trHeight w:val="179"/>
        </w:trPr>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*4.3</w:t>
            </w:r>
          </w:p>
        </w:tc>
        <w:tc>
          <w:tcPr>
            <w:tcW w:w="6600" w:type="dxa"/>
            <w:vAlign w:val="bottom"/>
          </w:tcPr>
          <w:p>
            <w:pPr>
              <w:spacing w:after="0" w:line="179" w:lineRule="exact"/>
              <w:rPr>
                <w:sz w:val="20"/>
                <w:szCs w:val="20"/>
                <w:color w:val="auto"/>
              </w:rPr>
            </w:pPr>
            <w:r>
              <w:rPr>
                <w:rFonts w:ascii="Courier New" w:cs="Courier New" w:eastAsia="Courier New" w:hAnsi="Courier New"/>
                <w:sz w:val="16"/>
                <w:szCs w:val="16"/>
                <w:color w:val="auto"/>
              </w:rPr>
              <w:t>--Schlumberger 1998 Stock Option Plan (incorporated by reference to</w:t>
            </w:r>
          </w:p>
        </w:tc>
      </w:tr>
      <w:tr>
        <w:trPr>
          <w:trHeight w:val="179"/>
        </w:trPr>
        <w:tc>
          <w:tcPr>
            <w:tcW w:w="840" w:type="dxa"/>
            <w:vAlign w:val="bottom"/>
          </w:tcPr>
          <w:p>
            <w:pPr>
              <w:spacing w:after="0"/>
              <w:rPr>
                <w:sz w:val="15"/>
                <w:szCs w:val="15"/>
                <w:color w:val="auto"/>
              </w:rPr>
            </w:pPr>
          </w:p>
        </w:tc>
        <w:tc>
          <w:tcPr>
            <w:tcW w:w="6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Exhibit 10(g) to the Form 10-K for the year ended December 31, 1997,</w:t>
            </w:r>
          </w:p>
        </w:tc>
      </w:tr>
      <w:tr>
        <w:trPr>
          <w:trHeight w:val="179"/>
        </w:trPr>
        <w:tc>
          <w:tcPr>
            <w:tcW w:w="840" w:type="dxa"/>
            <w:vAlign w:val="bottom"/>
          </w:tcPr>
          <w:p>
            <w:pPr>
              <w:spacing w:after="0"/>
              <w:rPr>
                <w:sz w:val="15"/>
                <w:szCs w:val="15"/>
                <w:color w:val="auto"/>
              </w:rPr>
            </w:pPr>
          </w:p>
        </w:tc>
        <w:tc>
          <w:tcPr>
            <w:tcW w:w="6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File No. 1-4601).</w:t>
            </w:r>
          </w:p>
        </w:tc>
      </w:tr>
      <w:tr>
        <w:trPr>
          <w:trHeight w:val="179"/>
        </w:trPr>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*4.4</w:t>
            </w:r>
          </w:p>
        </w:tc>
        <w:tc>
          <w:tcPr>
            <w:tcW w:w="66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--First Amendment to Schlumberger 1998 Stock Option Plan (incorporated</w:t>
            </w:r>
          </w:p>
        </w:tc>
      </w:tr>
      <w:tr>
        <w:trPr>
          <w:trHeight w:val="179"/>
        </w:trPr>
        <w:tc>
          <w:tcPr>
            <w:tcW w:w="840" w:type="dxa"/>
            <w:vAlign w:val="bottom"/>
          </w:tcPr>
          <w:p>
            <w:pPr>
              <w:spacing w:after="0"/>
              <w:rPr>
                <w:sz w:val="15"/>
                <w:szCs w:val="15"/>
                <w:color w:val="auto"/>
              </w:rPr>
            </w:pPr>
          </w:p>
        </w:tc>
        <w:tc>
          <w:tcPr>
            <w:tcW w:w="6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by reference to Exhibit 10(i) to the Form 10-K for the year ended</w:t>
            </w:r>
          </w:p>
        </w:tc>
      </w:tr>
      <w:tr>
        <w:trPr>
          <w:trHeight w:val="179"/>
        </w:trPr>
        <w:tc>
          <w:tcPr>
            <w:tcW w:w="840" w:type="dxa"/>
            <w:vAlign w:val="bottom"/>
          </w:tcPr>
          <w:p>
            <w:pPr>
              <w:spacing w:after="0"/>
              <w:rPr>
                <w:sz w:val="15"/>
                <w:szCs w:val="15"/>
                <w:color w:val="auto"/>
              </w:rPr>
            </w:pPr>
          </w:p>
        </w:tc>
        <w:tc>
          <w:tcPr>
            <w:tcW w:w="6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December 31, 1999, File No. 1-4601).</w:t>
            </w:r>
          </w:p>
        </w:tc>
      </w:tr>
      <w:tr>
        <w:trPr>
          <w:trHeight w:val="179"/>
        </w:trPr>
        <w:tc>
          <w:tcPr>
            <w:tcW w:w="8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5</w:t>
            </w:r>
          </w:p>
        </w:tc>
        <w:tc>
          <w:tcPr>
            <w:tcW w:w="6600" w:type="dxa"/>
            <w:vAlign w:val="bottom"/>
          </w:tcPr>
          <w:p>
            <w:pPr>
              <w:spacing w:after="0" w:line="179" w:lineRule="exact"/>
              <w:rPr>
                <w:sz w:val="20"/>
                <w:szCs w:val="20"/>
                <w:color w:val="auto"/>
              </w:rPr>
            </w:pPr>
            <w:r>
              <w:rPr>
                <w:rFonts w:ascii="Courier New" w:cs="Courier New" w:eastAsia="Courier New" w:hAnsi="Courier New"/>
                <w:sz w:val="16"/>
                <w:szCs w:val="16"/>
                <w:color w:val="auto"/>
              </w:rPr>
              <w:t>--Opinion of Ellen S. Summer, Esq. (filed herewith).</w:t>
            </w:r>
          </w:p>
        </w:tc>
      </w:tr>
      <w:tr>
        <w:trPr>
          <w:trHeight w:val="179"/>
        </w:trPr>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23.1</w:t>
            </w:r>
          </w:p>
        </w:tc>
        <w:tc>
          <w:tcPr>
            <w:tcW w:w="66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--Consent of PricewaterhouseCooper LLP, independent accountants (filed</w:t>
            </w:r>
          </w:p>
        </w:tc>
      </w:tr>
      <w:tr>
        <w:trPr>
          <w:trHeight w:val="179"/>
        </w:trPr>
        <w:tc>
          <w:tcPr>
            <w:tcW w:w="840" w:type="dxa"/>
            <w:vAlign w:val="bottom"/>
          </w:tcPr>
          <w:p>
            <w:pPr>
              <w:spacing w:after="0"/>
              <w:rPr>
                <w:sz w:val="15"/>
                <w:szCs w:val="15"/>
                <w:color w:val="auto"/>
              </w:rPr>
            </w:pPr>
          </w:p>
        </w:tc>
        <w:tc>
          <w:tcPr>
            <w:tcW w:w="6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herewith).</w:t>
            </w:r>
          </w:p>
        </w:tc>
      </w:tr>
      <w:tr>
        <w:trPr>
          <w:trHeight w:val="179"/>
        </w:trPr>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23.2</w:t>
            </w:r>
          </w:p>
        </w:tc>
        <w:tc>
          <w:tcPr>
            <w:tcW w:w="6600" w:type="dxa"/>
            <w:vAlign w:val="bottom"/>
          </w:tcPr>
          <w:p>
            <w:pPr>
              <w:spacing w:after="0" w:line="179" w:lineRule="exact"/>
              <w:rPr>
                <w:sz w:val="20"/>
                <w:szCs w:val="20"/>
                <w:color w:val="auto"/>
              </w:rPr>
            </w:pPr>
            <w:r>
              <w:rPr>
                <w:rFonts w:ascii="Courier New" w:cs="Courier New" w:eastAsia="Courier New" w:hAnsi="Courier New"/>
                <w:sz w:val="16"/>
                <w:szCs w:val="16"/>
                <w:color w:val="auto"/>
              </w:rPr>
              <w:t>--Consent of Ellen S. Summer, Esq. (included in Exhibit 5).</w:t>
            </w:r>
          </w:p>
        </w:tc>
      </w:tr>
    </w:tbl>
    <w:p>
      <w:pPr>
        <w:ind w:left="840" w:hanging="752"/>
        <w:spacing w:after="0" w:line="236" w:lineRule="auto"/>
        <w:tabs>
          <w:tab w:leader="none" w:pos="84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Attorney (filed herewith).</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Incorporated by reference as indicated.</w:t>
      </w:r>
    </w:p>
    <w:p>
      <w:pPr>
        <w:sectPr>
          <w:pgSz w:w="11900" w:h="16838" w:orient="portrait"/>
          <w:cols w:equalWidth="0" w:num="1">
            <w:col w:w="10219"/>
          </w:cols>
          <w:pgMar w:left="240" w:top="648" w:right="1440" w:bottom="1440" w:gutter="0" w:footer="0" w:header="0"/>
        </w:sectPr>
      </w:pPr>
    </w:p>
    <w:bookmarkStart w:id="10" w:name="page11"/>
    <w:bookmarkEnd w:id="10"/>
    <w:p>
      <w:pPr>
        <w:jc w:val="right"/>
        <w:ind w:right="2779"/>
        <w:spacing w:after="0"/>
        <w:rPr>
          <w:sz w:val="20"/>
          <w:szCs w:val="20"/>
          <w:color w:val="auto"/>
        </w:rPr>
      </w:pPr>
      <w:r>
        <w:rPr>
          <w:rFonts w:ascii="Courier New" w:cs="Courier New" w:eastAsia="Courier New" w:hAnsi="Courier New"/>
          <w:sz w:val="16"/>
          <w:szCs w:val="16"/>
          <w:color w:val="auto"/>
        </w:rPr>
        <w:t>EXHIBIT 5</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May 5, 2000</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Schlumberger Limited</w:t>
      </w:r>
    </w:p>
    <w:p>
      <w:pPr>
        <w:spacing w:after="0" w:line="236" w:lineRule="auto"/>
        <w:rPr>
          <w:sz w:val="20"/>
          <w:szCs w:val="20"/>
          <w:color w:val="auto"/>
        </w:rPr>
      </w:pPr>
      <w:r>
        <w:rPr>
          <w:rFonts w:ascii="Courier New" w:cs="Courier New" w:eastAsia="Courier New" w:hAnsi="Courier New"/>
          <w:sz w:val="16"/>
          <w:szCs w:val="16"/>
          <w:color w:val="auto"/>
        </w:rPr>
        <w:t>277 Park Avenue</w:t>
      </w:r>
    </w:p>
    <w:p>
      <w:pPr>
        <w:spacing w:after="0" w:line="237" w:lineRule="auto"/>
        <w:rPr>
          <w:sz w:val="20"/>
          <w:szCs w:val="20"/>
          <w:color w:val="auto"/>
        </w:rPr>
      </w:pPr>
      <w:r>
        <w:rPr>
          <w:rFonts w:ascii="Courier New" w:cs="Courier New" w:eastAsia="Courier New" w:hAnsi="Courier New"/>
          <w:sz w:val="16"/>
          <w:szCs w:val="16"/>
          <w:color w:val="auto"/>
        </w:rPr>
        <w:t>New York, New York 10172-2065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connection with the Registration Statement on Form S-8 (the "Registration Statement") being filed by Schlumberger Limited, a corporation organized under the laws of the Netherlands Antilles ("Schlumberger"), with the Securities and Exchange Commission under the Securities Act of 1933, as amended (the "Securities Act"), relating to 12,000,000 shares of common stock, par value $.01 per share, of Schlumberger (the "Shares") that may be issued pursuant to the Schlumberger 1998 Stock Option Plan (the "Plan"), certain legal matters in connection with the Shares are being passed on for you by me. At your request, this opinion is being furnished for filing as Exhibit 5 to the Registration Statement.</w:t>
      </w:r>
    </w:p>
    <w:p>
      <w:pPr>
        <w:spacing w:after="0" w:line="186"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I am a member of the New York bar, and I am not admitted to practice in, nor do I hold myself out as an expert on the laws of, the Netherlands Antilles. I have, however, consulted with the law firm of Smeets Thesseling Van Bokhorst, counsel qualified to practice in the Netherlands Antilles. Insofar as the opinions expressed below involve conclusions as to matters governed by the laws of the Netherlands Antilles, I am relying on the opinion of such counsel.</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my capacity as Deputy General Counsel of Schlumberger, I am familiar with the Articles of Incorporation and Bylaws of Schlumberger, each as amended to date, have familiarized myself with the matters discussed herein and have examined all statutes and other records, instruments and documents pertaining to Schlumberger and the matters discussed herein that I deem necessary to examine for the purpose of this opinion.</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Based upon any examination as aforesaid, I am of the opinion that on the issuance of the Shares pursuant to the provisions of the Plan for consideration at least equal to the par value thereof, the Shares will be duly authorized by all necessary corporate action on the part of Schlumberger, validly issued, fully paid and nonassessable.</w:t>
      </w:r>
    </w:p>
    <w:p>
      <w:pPr>
        <w:spacing w:after="0" w:line="186"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 consent to the filing of this opinion as an exhibit to the Registration Statement. In giving such consent, I do not thereby concede that I am within the category of persons whose consent is required under Section 7 of the Securities Act or the rules and regulations of the Securities and Exchange Commission promulgated thereunder.</w:t>
      </w:r>
    </w:p>
    <w:p>
      <w:pPr>
        <w:spacing w:after="0" w:line="180"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Very truly yours,</w:t>
      </w:r>
    </w:p>
    <w:p>
      <w:pPr>
        <w:spacing w:after="0" w:line="200" w:lineRule="exact"/>
        <w:rPr>
          <w:sz w:val="20"/>
          <w:szCs w:val="20"/>
          <w:color w:val="auto"/>
        </w:rPr>
      </w:pPr>
    </w:p>
    <w:p>
      <w:pPr>
        <w:spacing w:after="0" w:line="33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 Ellen S. Summer</w:t>
      </w:r>
    </w:p>
    <w:p>
      <w:pPr>
        <w:ind w:left="2780"/>
        <w:spacing w:after="0" w:line="236" w:lineRule="auto"/>
        <w:rPr>
          <w:sz w:val="20"/>
          <w:szCs w:val="20"/>
          <w:color w:val="auto"/>
        </w:rPr>
      </w:pPr>
      <w:r>
        <w:rPr>
          <w:rFonts w:ascii="Courier New" w:cs="Courier New" w:eastAsia="Courier New" w:hAnsi="Courier New"/>
          <w:sz w:val="16"/>
          <w:szCs w:val="16"/>
          <w:color w:val="auto"/>
        </w:rPr>
        <w:t>---------------------------------</w:t>
      </w:r>
    </w:p>
    <w:p>
      <w:pPr>
        <w:ind w:left="2780"/>
        <w:spacing w:after="0" w:line="237" w:lineRule="auto"/>
        <w:rPr>
          <w:sz w:val="20"/>
          <w:szCs w:val="20"/>
          <w:color w:val="auto"/>
        </w:rPr>
      </w:pPr>
      <w:r>
        <w:rPr>
          <w:rFonts w:ascii="Courier New" w:cs="Courier New" w:eastAsia="Courier New" w:hAnsi="Courier New"/>
          <w:sz w:val="16"/>
          <w:szCs w:val="16"/>
          <w:color w:val="auto"/>
        </w:rPr>
        <w:t>Ellen S. Summer</w:t>
      </w:r>
    </w:p>
    <w:p>
      <w:pPr>
        <w:sectPr>
          <w:pgSz w:w="11900" w:h="16838" w:orient="portrait"/>
          <w:cols w:equalWidth="0" w:num="1">
            <w:col w:w="10219"/>
          </w:cols>
          <w:pgMar w:left="240" w:top="493" w:right="1440" w:bottom="1440" w:gutter="0" w:footer="0" w:header="0"/>
        </w:sectPr>
      </w:pPr>
    </w:p>
    <w:bookmarkStart w:id="11" w:name="page12"/>
    <w:bookmarkEnd w:id="11"/>
    <w:p>
      <w:pPr>
        <w:jc w:val="right"/>
        <w:ind w:right="2779"/>
        <w:spacing w:after="0"/>
        <w:rPr>
          <w:sz w:val="20"/>
          <w:szCs w:val="20"/>
          <w:color w:val="auto"/>
        </w:rPr>
      </w:pPr>
      <w:r>
        <w:rPr>
          <w:rFonts w:ascii="Courier New" w:cs="Courier New" w:eastAsia="Courier New" w:hAnsi="Courier New"/>
          <w:sz w:val="16"/>
          <w:szCs w:val="16"/>
          <w:color w:val="auto"/>
        </w:rPr>
        <w:t>EXHIBIT 23.1</w:t>
      </w:r>
    </w:p>
    <w:p>
      <w:pPr>
        <w:spacing w:after="0" w:line="35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2"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Form S-8 of our report dated January 26, 2000 relating to the financial statements of Schlumberger Limited, which appears on page 52 of Schlumberger Limited's Annual Report on Form 10-K for the year ended December 31, 1999.</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236" w:lineRule="auto"/>
        <w:rPr>
          <w:sz w:val="20"/>
          <w:szCs w:val="20"/>
          <w:color w:val="auto"/>
        </w:rPr>
      </w:pPr>
      <w:r>
        <w:rPr>
          <w:rFonts w:ascii="Courier New" w:cs="Courier New" w:eastAsia="Courier New" w:hAnsi="Courier New"/>
          <w:sz w:val="16"/>
          <w:szCs w:val="16"/>
          <w:color w:val="auto"/>
        </w:rPr>
        <w:t>New York, New York</w:t>
      </w:r>
    </w:p>
    <w:p>
      <w:pPr>
        <w:spacing w:after="0" w:line="237" w:lineRule="auto"/>
        <w:rPr>
          <w:sz w:val="20"/>
          <w:szCs w:val="20"/>
          <w:color w:val="auto"/>
        </w:rPr>
      </w:pPr>
      <w:r>
        <w:rPr>
          <w:rFonts w:ascii="Courier New" w:cs="Courier New" w:eastAsia="Courier New" w:hAnsi="Courier New"/>
          <w:sz w:val="16"/>
          <w:szCs w:val="16"/>
          <w:color w:val="auto"/>
        </w:rPr>
        <w:t>May 5, 2000</w:t>
      </w:r>
    </w:p>
    <w:p>
      <w:pPr>
        <w:sectPr>
          <w:pgSz w:w="11900" w:h="16838" w:orient="portrait"/>
          <w:cols w:equalWidth="0" w:num="1">
            <w:col w:w="10219"/>
          </w:cols>
          <w:pgMar w:left="240" w:top="493" w:right="1440" w:bottom="1440" w:gutter="0" w:footer="0" w:header="0"/>
        </w:sectPr>
      </w:pPr>
    </w:p>
    <w:bookmarkStart w:id="12" w:name="page13"/>
    <w:bookmarkEnd w:id="12"/>
    <w:p>
      <w:pPr>
        <w:jc w:val="right"/>
        <w:ind w:right="2779"/>
        <w:spacing w:after="0"/>
        <w:rPr>
          <w:sz w:val="20"/>
          <w:szCs w:val="20"/>
          <w:color w:val="auto"/>
        </w:rPr>
      </w:pPr>
      <w:r>
        <w:rPr>
          <w:rFonts w:ascii="Courier New" w:cs="Courier New" w:eastAsia="Courier New" w:hAnsi="Courier New"/>
          <w:sz w:val="16"/>
          <w:szCs w:val="16"/>
          <w:color w:val="auto"/>
        </w:rPr>
        <w:t>EXHIBIT 24</w:t>
      </w: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POWER OF ATTORNEY</w:t>
      </w:r>
    </w:p>
    <w:p>
      <w:pPr>
        <w:spacing w:after="0" w:line="362" w:lineRule="exact"/>
        <w:rPr>
          <w:sz w:val="20"/>
          <w:szCs w:val="20"/>
          <w:color w:val="auto"/>
        </w:rPr>
      </w:pPr>
    </w:p>
    <w:p>
      <w:pPr>
        <w:ind w:right="2779" w:firstLine="558"/>
        <w:spacing w:after="0" w:line="274" w:lineRule="auto"/>
        <w:rPr>
          <w:sz w:val="20"/>
          <w:szCs w:val="20"/>
          <w:color w:val="auto"/>
        </w:rPr>
      </w:pPr>
      <w:r>
        <w:rPr>
          <w:rFonts w:ascii="Courier New" w:cs="Courier New" w:eastAsia="Courier New" w:hAnsi="Courier New"/>
          <w:sz w:val="14"/>
          <w:szCs w:val="14"/>
          <w:color w:val="auto"/>
        </w:rPr>
        <w:t>The undersigned as a member of the Board of Directors of Schlumberger Limited (the "Corporation"), a Netherlands Antilles corporation, hereby appoints James L. Gunderson, Jack Liu, and Ellen S. Summer, and each of them severally, the attorney or attorneys-in-fact and agent or agents of the undersigned, with power to act without the others with full power of substitution, resubstitution and revocation, for and in the name, place and stead of the undersigned in any and all capacities as a director and officer of the Corporation to execute and file from time to time with the Securities and Exchange Commission:</w:t>
      </w:r>
    </w:p>
    <w:p>
      <w:pPr>
        <w:spacing w:after="0" w:line="162" w:lineRule="exact"/>
        <w:rPr>
          <w:sz w:val="20"/>
          <w:szCs w:val="20"/>
          <w:color w:val="auto"/>
        </w:rPr>
      </w:pPr>
    </w:p>
    <w:p>
      <w:pPr>
        <w:ind w:left="920" w:right="2879" w:hanging="459"/>
        <w:spacing w:after="0" w:line="273" w:lineRule="auto"/>
        <w:tabs>
          <w:tab w:leader="none" w:pos="9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Statements under the Securities Act of 1933 relating to the offering of shares of capital stock of the Corporation to the public, and/or to the employees of the Corporation and/or its subsidiaries under any stock option or other employee benefit plan, and any amendment or amendments, post-effective or otherwise, to any such Registration Statement, or any post-effective amendment with respect thereto, and to take any and all such action for and in the name, place and stead of the undersigned in any and all capacities as a director and officer of the Corporation as may be necessary or desirable in connection with any such Registration Statement or any amendments thereto and any such offering of capital stock or other securities of the Corporation, including the making of any representation as may be required.</w:t>
      </w:r>
    </w:p>
    <w:p>
      <w:pPr>
        <w:spacing w:after="0" w:line="339" w:lineRule="exact"/>
        <w:rPr>
          <w:rFonts w:ascii="Courier New" w:cs="Courier New" w:eastAsia="Courier New" w:hAnsi="Courier New"/>
          <w:sz w:val="14"/>
          <w:szCs w:val="14"/>
          <w:color w:val="auto"/>
        </w:rPr>
      </w:pPr>
    </w:p>
    <w:p>
      <w:pPr>
        <w:ind w:left="920" w:right="2779" w:hanging="459"/>
        <w:spacing w:after="0" w:line="236" w:lineRule="auto"/>
        <w:tabs>
          <w:tab w:leader="none" w:pos="9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10-K Annual Reports under the Securities Exchange Act of 1934, and any amendment or amendments to any such Form 10-K Annual Report, and any agreements, consents or waivers relative thereto, and to take any and all such other action for and in the name, place and stead of the undersigned in any and all capacities as a director and officer of the Corporation as may be necessary or desirable in connection with any such Form 10-K Annual Report.</w:t>
      </w:r>
    </w:p>
    <w:p>
      <w:pPr>
        <w:sectPr>
          <w:pgSz w:w="11900" w:h="16838" w:orient="portrait"/>
          <w:cols w:equalWidth="0" w:num="1">
            <w:col w:w="10219"/>
          </w:cols>
          <w:pgMar w:left="240" w:top="493" w:right="1440" w:bottom="1440" w:gutter="0" w:footer="0" w:header="0"/>
        </w:sect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Don E. Akerman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 E. Ackerman</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 Euan Baird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 Euan Baird</w:t>
      </w:r>
    </w:p>
    <w:p>
      <w:pPr>
        <w:spacing w:after="0" w:line="177" w:lineRule="exact"/>
        <w:rPr>
          <w:sz w:val="20"/>
          <w:szCs w:val="20"/>
          <w:color w:val="auto"/>
        </w:rPr>
      </w:pPr>
    </w:p>
    <w:p>
      <w:pPr>
        <w:sectPr>
          <w:pgSz w:w="11900" w:h="16838" w:orient="portrait"/>
          <w:cols w:equalWidth="0" w:num="2">
            <w:col w:w="3740" w:space="720"/>
            <w:col w:w="5759"/>
          </w:cols>
          <w:pgMar w:left="240" w:top="49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 John Deutch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Deutch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Victor E. Grijalva</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Victor E. Grijalva</w:t>
      </w:r>
    </w:p>
    <w:p>
      <w:pPr>
        <w:spacing w:after="0" w:line="177" w:lineRule="exact"/>
        <w:rPr>
          <w:sz w:val="20"/>
          <w:szCs w:val="20"/>
          <w:color w:val="auto"/>
        </w:rPr>
      </w:pPr>
    </w:p>
    <w:p>
      <w:pPr>
        <w:sectPr>
          <w:pgSz w:w="11900" w:h="16838" w:orient="portrait"/>
          <w:cols w:equalWidth="0" w:num="2">
            <w:col w:w="3740" w:space="720"/>
            <w:col w:w="5759"/>
          </w:cols>
          <w:pgMar w:left="240" w:top="49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 Denys Henderson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Denys Henderson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Andre Levy-Lang</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Andre Levy-Lang</w:t>
      </w:r>
    </w:p>
    <w:p>
      <w:pPr>
        <w:spacing w:after="0" w:line="177" w:lineRule="exact"/>
        <w:rPr>
          <w:sz w:val="20"/>
          <w:szCs w:val="20"/>
          <w:color w:val="auto"/>
        </w:rPr>
      </w:pPr>
    </w:p>
    <w:p>
      <w:pPr>
        <w:sectPr>
          <w:pgSz w:w="11900" w:h="16838" w:orient="portrait"/>
          <w:cols w:equalWidth="0" w:num="2">
            <w:col w:w="3740" w:space="720"/>
            <w:col w:w="5759"/>
          </w:cols>
          <w:pgMar w:left="240" w:top="49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 William T. McCormick,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T. McCormick,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Didier Primat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Didier Primat</w:t>
      </w:r>
    </w:p>
    <w:p>
      <w:pPr>
        <w:spacing w:after="0" w:line="177" w:lineRule="exact"/>
        <w:rPr>
          <w:sz w:val="20"/>
          <w:szCs w:val="20"/>
          <w:color w:val="auto"/>
        </w:rPr>
      </w:pPr>
    </w:p>
    <w:p>
      <w:pPr>
        <w:sectPr>
          <w:pgSz w:w="11900" w:h="16838" w:orient="portrait"/>
          <w:cols w:equalWidth="0" w:num="2">
            <w:col w:w="3740" w:space="720"/>
            <w:col w:w="5759"/>
          </w:cols>
          <w:pgMar w:left="240" w:top="49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 Nicolas Seydoux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Nicolas Seydoux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Linda Gillespie Stuntz</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Linda Gillespie Stuntz</w:t>
      </w:r>
    </w:p>
    <w:p>
      <w:pPr>
        <w:spacing w:after="0" w:line="177" w:lineRule="exact"/>
        <w:rPr>
          <w:sz w:val="20"/>
          <w:szCs w:val="20"/>
          <w:color w:val="auto"/>
        </w:rPr>
      </w:pPr>
    </w:p>
    <w:p>
      <w:pPr>
        <w:sectPr>
          <w:pgSz w:w="11900" w:h="16838" w:orient="portrait"/>
          <w:cols w:equalWidth="0" w:num="2">
            <w:col w:w="3740" w:space="720"/>
            <w:col w:w="5759"/>
          </w:cols>
          <w:pgMar w:left="240" w:top="49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 Sven Ullring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Sven Ullring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Yoshihiko Wakumoto</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Yoshihiko Wakumoto</w:t>
      </w:r>
    </w:p>
    <w:p>
      <w:pPr>
        <w:spacing w:after="0" w:line="183" w:lineRule="exact"/>
        <w:rPr>
          <w:sz w:val="20"/>
          <w:szCs w:val="20"/>
          <w:color w:val="auto"/>
        </w:rPr>
      </w:pPr>
    </w:p>
    <w:p>
      <w:pPr>
        <w:sectPr>
          <w:pgSz w:w="11900" w:h="16838" w:orient="portrait"/>
          <w:cols w:equalWidth="0" w:num="2">
            <w:col w:w="3740" w:space="720"/>
            <w:col w:w="5759"/>
          </w:cols>
          <w:pgMar w:left="240" w:top="49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May 5, 2000</w:t>
      </w:r>
    </w:p>
    <w:sectPr>
      <w:pgSz w:w="11900" w:h="16838" w:orient="portrait"/>
      <w:cols w:equalWidth="0" w:num="2">
        <w:col w:w="460" w:space="180"/>
        <w:col w:w="9579"/>
      </w:cols>
      <w:pgMar w:left="240" w:top="49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5"/>
      <w:numFmt w:val="bullet"/>
      <w:start w:val="1"/>
    </w:lvl>
  </w:abstractNum>
  <w:abstractNum w:abstractNumId="4">
    <w:nsid w:val="7545E146"/>
    <w:multiLevelType w:val="hybridMultilevel"/>
    <w:lvl w:ilvl="0">
      <w:lvlJc w:val="left"/>
      <w:lvlText w:val="*"/>
      <w:numFmt w:val="bullet"/>
      <w:start w:val="1"/>
    </w:lvl>
    <w:lvl w:ilvl="1">
      <w:lvlJc w:val="left"/>
      <w:lvlText w:val="%2"/>
      <w:numFmt w:val="decimal"/>
      <w:start w:val="24"/>
    </w:lvl>
    <w:lvl w:ilvl="2">
      <w:lvlJc w:val="left"/>
      <w:lvlText w:val="(%3)"/>
      <w:numFmt w:val="lowerLetter"/>
      <w:start w:val="1"/>
    </w:lvl>
    <w:lvl w:ilvl="3">
      <w:lvlJc w:val="left"/>
      <w:lvlText w:val="(%4)"/>
      <w:numFmt w:val="decimal"/>
      <w:start w:val="1"/>
    </w:lvl>
    <w:lvl w:ilvl="4">
      <w:lvlJc w:val="left"/>
      <w:lvlText w:val="(%5)"/>
      <w:numFmt w:val="lowerRoman"/>
      <w:start w:val="1"/>
    </w:lvl>
  </w:abstractNum>
  <w:abstractNum w:abstractNumId="5">
    <w:nsid w:val="515F007C"/>
    <w:multiLevelType w:val="hybridMultilevel"/>
    <w:lvl w:ilvl="0">
      <w:lvlJc w:val="left"/>
      <w:lvlText w:val="(%1)"/>
      <w:numFmt w:val="lowerRoman"/>
      <w:start w:val="3"/>
    </w:lvl>
  </w:abstractNum>
  <w:abstractNum w:abstractNumId="6">
    <w:nsid w:val="5BD062C2"/>
    <w:multiLevelType w:val="hybridMultilevel"/>
    <w:lvl w:ilvl="0">
      <w:lvlJc w:val="left"/>
      <w:lvlText w:val="%1"/>
      <w:numFmt w:val="lowerLetter"/>
      <w:start w:val="1"/>
    </w:lvl>
    <w:lvl w:ilvl="1">
      <w:lvlJc w:val="left"/>
      <w:lvlText w:val="(%2)"/>
      <w:numFmt w:val="decimal"/>
      <w:start w:val="2"/>
    </w:lvl>
  </w:abstractNum>
  <w:abstractNum w:abstractNumId="7">
    <w:nsid w:val="12200854"/>
    <w:multiLevelType w:val="hybridMultilevel"/>
    <w:lvl w:ilvl="0">
      <w:lvlJc w:val="left"/>
      <w:lvlText w:val="(%1)"/>
      <w:numFmt w:val="lowerLetter"/>
      <w:start w:val="2"/>
    </w:lvl>
    <w:lvl w:ilvl="1">
      <w:lvlJc w:val="left"/>
      <w:lvlText w:val="%2"/>
      <w:numFmt w:val="decimal"/>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lvl w:ilvl="1">
      <w:lvlJc w:val="left"/>
      <w:lvlText w:val="%2"/>
      <w:numFmt w:val="decimal"/>
      <w:start w:val="24"/>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2019-12-13T06:43:03Z</dcterms:created>
  <dcterms:modified xsi:type="dcterms:W3CDTF">2019-12-13T06:43:03Z</dcterms:modified>
</cp:coreProperties>
</file>