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July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jc w:val="both"/>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Second-Quarter 2024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https://investorcenter.slb.com/financials/quarterly-results</w:t>
      </w:r>
      <w:r>
        <w:rPr>
          <w:rFonts w:ascii="Arial" w:cs="Arial" w:eastAsia="Arial" w:hAnsi="Arial"/>
          <w:sz w:val="18"/>
          <w:szCs w:val="18"/>
          <w:color w:val="auto"/>
        </w:rPr>
        <w:t>) on July 19, 2024.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80" w:firstLine="440"/>
        <w:spacing w:after="0" w:line="247" w:lineRule="auto"/>
        <w:rPr>
          <w:sz w:val="20"/>
          <w:szCs w:val="20"/>
          <w:color w:val="auto"/>
        </w:rPr>
      </w:pPr>
      <w:r>
        <w:rPr>
          <w:rFonts w:ascii="Arial" w:cs="Arial" w:eastAsia="Arial" w:hAnsi="Arial"/>
          <w:sz w:val="18"/>
          <w:szCs w:val="18"/>
          <w:color w:val="auto"/>
        </w:rPr>
        <w:t>On July 19, 2024,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Second-Quarter 2024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4"/>
          </w:cols>
          <w:pgMar w:left="436" w:top="296" w:right="4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2024</w:t>
      </w:r>
    </w:p>
    <w:p>
      <w:pPr>
        <w:sectPr>
          <w:pgSz w:w="11900" w:h="16838" w:orient="portrait"/>
          <w:cols w:equalWidth="0" w:num="1">
            <w:col w:w="10840"/>
          </w:cols>
          <w:pgMar w:left="440" w:top="296" w:right="61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t>Exhibit 99</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5897880</wp:posOffset>
            </wp:positionH>
            <wp:positionV relativeFrom="paragraph">
              <wp:posOffset>-118745</wp:posOffset>
            </wp:positionV>
            <wp:extent cx="1097280" cy="711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Second-Quarter 2024 Results</w:t>
      </w:r>
    </w:p>
    <w:p>
      <w:pPr>
        <w:spacing w:after="0" w:line="117"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$9.14 billion increased 5% sequentially and 13%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of $0.77 increased 4% sequentially and 7%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and credits, of $0.85 increased 13% sequentially and 18%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attributable to SLB of $1.11 billion increased 4% sequentially and 8%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$2.29 billion increased 11% sequentially and 17%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$1.44 billion and free cash flow was $776 million</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$0.275 per share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LONDON, July 19, 2024—</w:t>
      </w:r>
      <w:r>
        <w:rPr>
          <w:rFonts w:ascii="Arial" w:cs="Arial" w:eastAsia="Arial" w:hAnsi="Arial"/>
          <w:sz w:val="18"/>
          <w:szCs w:val="18"/>
          <w:color w:val="auto"/>
        </w:rPr>
        <w:t>SLB (NYSE: SLB) today announced results for the second-quarter 2024.</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w:t>
            </w:r>
            <w:r>
              <w:rPr>
                <w:rFonts w:ascii="Arial" w:cs="Arial" w:eastAsia="Arial" w:hAnsi="Arial"/>
                <w:sz w:val="14"/>
                <w:szCs w:val="14"/>
                <w:color w:val="auto"/>
              </w:rPr>
              <w:t>lions, except per share amounts)</w:t>
            </w:r>
          </w:p>
        </w:tc>
      </w:tr>
      <w:tr>
        <w:trPr>
          <w:trHeight w:val="171"/>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146"/>
        </w:trPr>
        <w:tc>
          <w:tcPr>
            <w:tcW w:w="4340" w:type="dxa"/>
            <w:vAlign w:val="bottom"/>
          </w:tcPr>
          <w:p>
            <w:pPr>
              <w:spacing w:after="0"/>
              <w:rPr>
                <w:sz w:val="12"/>
                <w:szCs w:val="12"/>
                <w:color w:val="auto"/>
              </w:rPr>
            </w:pPr>
          </w:p>
        </w:tc>
        <w:tc>
          <w:tcPr>
            <w:tcW w:w="94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Jun. 30,</w:t>
            </w:r>
          </w:p>
        </w:tc>
        <w:tc>
          <w:tcPr>
            <w:tcW w:w="220" w:type="dxa"/>
            <w:vAlign w:val="bottom"/>
          </w:tcPr>
          <w:p>
            <w:pPr>
              <w:spacing w:after="0"/>
              <w:rPr>
                <w:sz w:val="12"/>
                <w:szCs w:val="12"/>
                <w:color w:val="auto"/>
              </w:rPr>
            </w:pPr>
          </w:p>
        </w:tc>
        <w:tc>
          <w:tcPr>
            <w:tcW w:w="1140" w:type="dxa"/>
            <w:vAlign w:val="bottom"/>
            <w:gridSpan w:val="3"/>
          </w:tcPr>
          <w:p>
            <w:pPr>
              <w:jc w:val="center"/>
              <w:ind w:right="580"/>
              <w:spacing w:after="0" w:line="147" w:lineRule="exact"/>
              <w:rPr>
                <w:sz w:val="20"/>
                <w:szCs w:val="20"/>
                <w:color w:val="auto"/>
              </w:rPr>
            </w:pPr>
            <w:r>
              <w:rPr>
                <w:rFonts w:ascii="Arial" w:cs="Arial" w:eastAsia="Arial" w:hAnsi="Arial"/>
                <w:sz w:val="14"/>
                <w:szCs w:val="14"/>
                <w:color w:val="auto"/>
              </w:rPr>
              <w:t>Mar. 31,</w:t>
            </w:r>
          </w:p>
        </w:tc>
        <w:tc>
          <w:tcPr>
            <w:tcW w:w="5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color w:val="auto"/>
              </w:rPr>
              <w:t>2024</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Sequential</w:t>
            </w:r>
          </w:p>
        </w:tc>
        <w:tc>
          <w:tcPr>
            <w:tcW w:w="3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Year-on-year</w:t>
            </w: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3"/>
              </w:rPr>
              <w:t>9,139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8,707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8,099</w:t>
            </w: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9"/>
              </w:rPr>
              <w:t>5%</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13%</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1,421</w:t>
            </w:r>
          </w:p>
        </w:tc>
        <w:tc>
          <w:tcPr>
            <w:tcW w:w="3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1,357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1,293</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920" w:type="dxa"/>
            <w:vAlign w:val="bottom"/>
            <w:gridSpan w:val="2"/>
          </w:tcPr>
          <w:p>
            <w:pPr>
              <w:jc w:val="center"/>
              <w:ind w:left="272"/>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8"/>
              <w:spacing w:after="0" w:line="202" w:lineRule="exact"/>
              <w:rPr>
                <w:sz w:val="20"/>
                <w:szCs w:val="20"/>
                <w:color w:val="auto"/>
              </w:rPr>
            </w:pPr>
            <w:r>
              <w:rPr>
                <w:rFonts w:ascii="Arial" w:cs="Arial" w:eastAsia="Arial" w:hAnsi="Arial"/>
                <w:sz w:val="18"/>
                <w:szCs w:val="18"/>
                <w:b w:val="1"/>
                <w:bCs w:val="1"/>
                <w:color w:val="auto"/>
              </w:rPr>
              <w:t>15.5%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16.0%</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-4 bps</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-42 bps</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1,112</w:t>
            </w:r>
          </w:p>
        </w:tc>
        <w:tc>
          <w:tcPr>
            <w:tcW w:w="3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1,068</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1,033</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920" w:type="dxa"/>
            <w:vAlign w:val="bottom"/>
            <w:gridSpan w:val="2"/>
          </w:tcPr>
          <w:p>
            <w:pPr>
              <w:jc w:val="center"/>
              <w:ind w:left="292"/>
              <w:spacing w:after="0" w:line="202" w:lineRule="exact"/>
              <w:rPr>
                <w:sz w:val="20"/>
                <w:szCs w:val="20"/>
                <w:color w:val="auto"/>
              </w:rPr>
            </w:pPr>
            <w:r>
              <w:rPr>
                <w:rFonts w:ascii="Arial" w:cs="Arial" w:eastAsia="Arial" w:hAnsi="Arial"/>
                <w:sz w:val="18"/>
                <w:szCs w:val="18"/>
                <w:color w:val="auto"/>
                <w:w w:val="99"/>
              </w:rPr>
              <w:t>8%</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0.77</w:t>
            </w: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0.72</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920" w:type="dxa"/>
            <w:vAlign w:val="bottom"/>
            <w:gridSpan w:val="2"/>
            <w:shd w:val="clear" w:color="auto" w:fill="CCEEFF"/>
          </w:tcPr>
          <w:p>
            <w:pPr>
              <w:jc w:val="center"/>
              <w:ind w:left="292"/>
              <w:spacing w:after="0" w:line="202" w:lineRule="exact"/>
              <w:rPr>
                <w:sz w:val="20"/>
                <w:szCs w:val="20"/>
                <w:color w:val="auto"/>
              </w:rPr>
            </w:pPr>
            <w:r>
              <w:rPr>
                <w:rFonts w:ascii="Arial" w:cs="Arial" w:eastAsia="Arial" w:hAnsi="Arial"/>
                <w:sz w:val="18"/>
                <w:szCs w:val="18"/>
                <w:color w:val="auto"/>
                <w:w w:val="99"/>
              </w:rPr>
              <w:t>7%</w:t>
            </w:r>
          </w:p>
        </w:tc>
      </w:tr>
      <w:tr>
        <w:trPr>
          <w:trHeight w:val="310"/>
        </w:trPr>
        <w:tc>
          <w:tcPr>
            <w:tcW w:w="434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2,288</w:t>
            </w:r>
          </w:p>
        </w:tc>
        <w:tc>
          <w:tcPr>
            <w:tcW w:w="3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2,057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1,962</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11%</w:t>
            </w:r>
          </w:p>
        </w:tc>
        <w:tc>
          <w:tcPr>
            <w:tcW w:w="1920" w:type="dxa"/>
            <w:vAlign w:val="bottom"/>
            <w:gridSpan w:val="2"/>
          </w:tcPr>
          <w:p>
            <w:pPr>
              <w:jc w:val="center"/>
              <w:ind w:left="272"/>
              <w:spacing w:after="0"/>
              <w:rPr>
                <w:sz w:val="20"/>
                <w:szCs w:val="20"/>
                <w:color w:val="auto"/>
              </w:rPr>
            </w:pPr>
            <w:r>
              <w:rPr>
                <w:rFonts w:ascii="Arial" w:cs="Arial" w:eastAsia="Arial" w:hAnsi="Arial"/>
                <w:sz w:val="18"/>
                <w:szCs w:val="18"/>
                <w:color w:val="auto"/>
                <w:w w:val="99"/>
              </w:rPr>
              <w:t>17%</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8"/>
              <w:spacing w:after="0" w:line="202" w:lineRule="exact"/>
              <w:rPr>
                <w:sz w:val="20"/>
                <w:szCs w:val="20"/>
                <w:color w:val="auto"/>
              </w:rPr>
            </w:pPr>
            <w:r>
              <w:rPr>
                <w:rFonts w:ascii="Arial" w:cs="Arial" w:eastAsia="Arial" w:hAnsi="Arial"/>
                <w:sz w:val="18"/>
                <w:szCs w:val="18"/>
                <w:b w:val="1"/>
                <w:bCs w:val="1"/>
                <w:color w:val="auto"/>
              </w:rPr>
              <w:t>25.0%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24.2%</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142 bps</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81 bps</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1,854</w:t>
            </w:r>
          </w:p>
        </w:tc>
        <w:tc>
          <w:tcPr>
            <w:tcW w:w="3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1,649</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1,581</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1920" w:type="dxa"/>
            <w:vAlign w:val="bottom"/>
            <w:gridSpan w:val="2"/>
          </w:tcPr>
          <w:p>
            <w:pPr>
              <w:jc w:val="center"/>
              <w:ind w:left="272"/>
              <w:spacing w:after="0" w:line="202" w:lineRule="exact"/>
              <w:rPr>
                <w:sz w:val="20"/>
                <w:szCs w:val="20"/>
                <w:color w:val="auto"/>
              </w:rPr>
            </w:pPr>
            <w:r>
              <w:rPr>
                <w:rFonts w:ascii="Arial" w:cs="Arial" w:eastAsia="Arial" w:hAnsi="Arial"/>
                <w:sz w:val="18"/>
                <w:szCs w:val="18"/>
                <w:color w:val="auto"/>
                <w:w w:val="99"/>
              </w:rPr>
              <w:t>17%</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8"/>
              <w:spacing w:after="0" w:line="202" w:lineRule="exact"/>
              <w:rPr>
                <w:sz w:val="20"/>
                <w:szCs w:val="20"/>
                <w:color w:val="auto"/>
              </w:rPr>
            </w:pPr>
            <w:r>
              <w:rPr>
                <w:rFonts w:ascii="Arial" w:cs="Arial" w:eastAsia="Arial" w:hAnsi="Arial"/>
                <w:sz w:val="18"/>
                <w:szCs w:val="18"/>
                <w:b w:val="1"/>
                <w:bCs w:val="1"/>
                <w:color w:val="auto"/>
              </w:rPr>
              <w:t>20.3%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19.5%</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135 bps</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76 bps</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1,224</w:t>
            </w:r>
          </w:p>
        </w:tc>
        <w:tc>
          <w:tcPr>
            <w:tcW w:w="3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1,082</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1,033</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1920" w:type="dxa"/>
            <w:vAlign w:val="bottom"/>
            <w:gridSpan w:val="2"/>
          </w:tcPr>
          <w:p>
            <w:pPr>
              <w:jc w:val="center"/>
              <w:ind w:left="272"/>
              <w:spacing w:after="0" w:line="202" w:lineRule="exact"/>
              <w:rPr>
                <w:sz w:val="20"/>
                <w:szCs w:val="20"/>
                <w:color w:val="auto"/>
              </w:rPr>
            </w:pPr>
            <w:r>
              <w:rPr>
                <w:rFonts w:ascii="Arial" w:cs="Arial" w:eastAsia="Arial" w:hAnsi="Arial"/>
                <w:sz w:val="18"/>
                <w:szCs w:val="18"/>
                <w:color w:val="auto"/>
                <w:w w:val="99"/>
              </w:rPr>
              <w:t>19%</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0.85</w:t>
            </w: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0.72</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13%</w:t>
            </w:r>
          </w:p>
        </w:tc>
        <w:tc>
          <w:tcPr>
            <w:tcW w:w="1920" w:type="dxa"/>
            <w:vAlign w:val="bottom"/>
            <w:gridSpan w:val="2"/>
            <w:shd w:val="clear" w:color="auto" w:fill="CCEEFF"/>
          </w:tcPr>
          <w:p>
            <w:pPr>
              <w:jc w:val="center"/>
              <w:ind w:left="272"/>
              <w:spacing w:after="0" w:line="202" w:lineRule="exact"/>
              <w:rPr>
                <w:sz w:val="20"/>
                <w:szCs w:val="20"/>
                <w:color w:val="auto"/>
              </w:rPr>
            </w:pPr>
            <w:r>
              <w:rPr>
                <w:rFonts w:ascii="Arial" w:cs="Arial" w:eastAsia="Arial" w:hAnsi="Arial"/>
                <w:sz w:val="18"/>
                <w:szCs w:val="18"/>
                <w:color w:val="auto"/>
                <w:w w:val="99"/>
              </w:rPr>
              <w:t>18%</w:t>
            </w:r>
          </w:p>
        </w:tc>
      </w:tr>
      <w:tr>
        <w:trPr>
          <w:trHeight w:val="310"/>
        </w:trPr>
        <w:tc>
          <w:tcPr>
            <w:tcW w:w="434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7,452</w:t>
            </w:r>
          </w:p>
        </w:tc>
        <w:tc>
          <w:tcPr>
            <w:tcW w:w="3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7"/>
              </w:rPr>
              <w:t>7,056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7"/>
              </w:rPr>
              <w:t>6,297</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920" w:type="dxa"/>
            <w:vAlign w:val="bottom"/>
            <w:gridSpan w:val="2"/>
            <w:shd w:val="clear" w:color="auto" w:fill="CCEEFF"/>
          </w:tcPr>
          <w:p>
            <w:pPr>
              <w:jc w:val="center"/>
              <w:ind w:left="272"/>
              <w:spacing w:after="0" w:line="202" w:lineRule="exact"/>
              <w:rPr>
                <w:sz w:val="20"/>
                <w:szCs w:val="20"/>
                <w:color w:val="auto"/>
              </w:rPr>
            </w:pPr>
            <w:r>
              <w:rPr>
                <w:rFonts w:ascii="Arial" w:cs="Arial" w:eastAsia="Arial" w:hAnsi="Arial"/>
                <w:sz w:val="18"/>
                <w:szCs w:val="18"/>
                <w:color w:val="auto"/>
                <w:w w:val="99"/>
              </w:rPr>
              <w:t>18%</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97"/>
              </w:rPr>
              <w:t>1,644</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1,598</w:t>
            </w:r>
          </w:p>
        </w:tc>
        <w:tc>
          <w:tcPr>
            <w:tcW w:w="100" w:type="dxa"/>
            <w:vAlign w:val="bottom"/>
          </w:tcPr>
          <w:p>
            <w:pPr>
              <w:spacing w:after="0"/>
              <w:rPr>
                <w:sz w:val="17"/>
                <w:szCs w:val="17"/>
                <w:color w:val="auto"/>
              </w:rPr>
            </w:pPr>
          </w:p>
        </w:tc>
        <w:tc>
          <w:tcPr>
            <w:tcW w:w="10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7"/>
              </w:rPr>
              <w:t>1,746</w:t>
            </w:r>
          </w:p>
        </w:tc>
        <w:tc>
          <w:tcPr>
            <w:tcW w:w="13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920" w:type="dxa"/>
            <w:vAlign w:val="bottom"/>
            <w:gridSpan w:val="2"/>
          </w:tcPr>
          <w:p>
            <w:pPr>
              <w:jc w:val="center"/>
              <w:ind w:left="272"/>
              <w:spacing w:after="0" w:line="202" w:lineRule="exact"/>
              <w:rPr>
                <w:sz w:val="20"/>
                <w:szCs w:val="20"/>
                <w:color w:val="auto"/>
              </w:rPr>
            </w:pPr>
            <w:r>
              <w:rPr>
                <w:rFonts w:ascii="Arial" w:cs="Arial" w:eastAsia="Arial" w:hAnsi="Arial"/>
                <w:sz w:val="18"/>
                <w:szCs w:val="18"/>
                <w:color w:val="auto"/>
                <w:w w:val="99"/>
              </w:rPr>
              <w:t>-6%</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56</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r>
      <w:tr>
        <w:trPr>
          <w:trHeight w:val="209"/>
        </w:trPr>
        <w:tc>
          <w:tcPr>
            <w:tcW w:w="4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9,139</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8,707</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8,099</w:t>
            </w:r>
          </w:p>
        </w:tc>
        <w:tc>
          <w:tcPr>
            <w:tcW w:w="5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3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13%</w:t>
            </w: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24"/>
          </w:cols>
          <w:pgMar w:left="436" w:top="122"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60"/>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Jun. 30,</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1,050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953</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947</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4"/>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1,819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1,725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1,643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4"/>
              </w:rPr>
              <w:t>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3,411</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3,368</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3,362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3,025</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2,818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2,313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(157)</w:t>
            </w:r>
          </w:p>
        </w:tc>
        <w:tc>
          <w:tcPr>
            <w:tcW w:w="10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(166)</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9,139</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8,707</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8,099</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325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322</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28%</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376</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339</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306</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11%</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742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731</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473</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400</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278</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18%</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1,854</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1,649</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1,581</w:t>
            </w:r>
          </w:p>
        </w:tc>
        <w:tc>
          <w:tcPr>
            <w:tcW w:w="4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31.0%</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34.0%</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435 bps</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-304 bps</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98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205 bps</w:t>
            </w: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20.5%</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21.7%</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125 bps</w:t>
            </w:r>
          </w:p>
        </w:tc>
        <w:tc>
          <w:tcPr>
            <w:tcW w:w="240" w:type="dxa"/>
            <w:vAlign w:val="bottom"/>
          </w:tcPr>
          <w:p>
            <w:pPr>
              <w:spacing w:after="0"/>
              <w:rPr>
                <w:sz w:val="17"/>
                <w:szCs w:val="17"/>
                <w:color w:val="auto"/>
              </w:rPr>
            </w:pPr>
          </w:p>
        </w:tc>
        <w:tc>
          <w:tcPr>
            <w:tcW w:w="9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0 bps</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15.6%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146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361 bps</w:t>
            </w: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n/m</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n/m</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n/m</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135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76 bps</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40"/>
        <w:spacing w:after="0" w:line="247" w:lineRule="auto"/>
        <w:rPr>
          <w:sz w:val="20"/>
          <w:szCs w:val="20"/>
          <w:color w:val="auto"/>
        </w:rPr>
      </w:pPr>
      <w:r>
        <w:rPr>
          <w:rFonts w:ascii="Arial" w:cs="Arial" w:eastAsia="Arial" w:hAnsi="Arial"/>
          <w:sz w:val="18"/>
          <w:szCs w:val="18"/>
          <w:color w:val="auto"/>
        </w:rPr>
        <w:t>SLB acquired the Aker subsea business during the fourth quarter of 2023 in connection with the formation of the OneSubsea joint venture. The acquired business generated revenue of $485 million during the second quarter of 2024. Excluding the impact of this accquisition, SLB’s global second-quarter 2024 revenue increased 7% year on year; international second-quarter 2024 revenue increased 11% year on year; and Production Systems second-quarter 2024 revenue increased 10% year on year.</w:t>
      </w:r>
    </w:p>
    <w:p>
      <w:pPr>
        <w:spacing w:after="0" w:line="201" w:lineRule="exact"/>
        <w:rPr>
          <w:sz w:val="20"/>
          <w:szCs w:val="20"/>
          <w:color w:val="auto"/>
        </w:rPr>
      </w:pPr>
    </w:p>
    <w:p>
      <w:pPr>
        <w:ind w:left="4" w:right="1640" w:hanging="4"/>
        <w:spacing w:after="0" w:line="522"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“Divisions” and Supplementary Information for details. n/m = not meaningful</w:t>
      </w:r>
    </w:p>
    <w:p>
      <w:pPr>
        <w:spacing w:after="0" w:line="4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Broad-Based Growth Driven by the International Markets</w:t>
      </w:r>
    </w:p>
    <w:p>
      <w:pPr>
        <w:spacing w:after="0" w:line="104" w:lineRule="exact"/>
        <w:rPr>
          <w:sz w:val="20"/>
          <w:szCs w:val="20"/>
          <w:color w:val="auto"/>
        </w:rPr>
      </w:pPr>
    </w:p>
    <w:p>
      <w:pPr>
        <w:ind w:left="4" w:right="200"/>
        <w:spacing w:after="0" w:line="244" w:lineRule="auto"/>
        <w:rPr>
          <w:sz w:val="20"/>
          <w:szCs w:val="20"/>
          <w:color w:val="auto"/>
        </w:rPr>
      </w:pPr>
      <w:r>
        <w:rPr>
          <w:rFonts w:ascii="Arial" w:cs="Arial" w:eastAsia="Arial" w:hAnsi="Arial"/>
          <w:sz w:val="18"/>
          <w:szCs w:val="18"/>
          <w:color w:val="auto"/>
        </w:rPr>
        <w:t>SLB CEO Olivier Le Peuch commented, “We achieved solid second-quarter results, with broad-based international revenue growth and margin expansion across all Divisions. Our Core business continued to build on its positive momentum and our digital business accelerated, resulting in our highest quarterly international revenue since 2014. These results demonstrate SLB’s strong position in key, resilient markets, as we continue to benefit from elevated activity in the Middle East &amp; Asia, particularly in gas, and our clients’ increased investments in deepwater basins, exploration, and digital.</w:t>
      </w:r>
    </w:p>
    <w:p>
      <w:pPr>
        <w:spacing w:after="0" w:line="176" w:lineRule="exact"/>
        <w:rPr>
          <w:sz w:val="20"/>
          <w:szCs w:val="20"/>
          <w:color w:val="auto"/>
        </w:rPr>
      </w:pPr>
    </w:p>
    <w:p>
      <w:pPr>
        <w:ind w:left="4"/>
        <w:spacing w:after="0" w:line="247" w:lineRule="auto"/>
        <w:rPr>
          <w:sz w:val="20"/>
          <w:szCs w:val="20"/>
          <w:color w:val="auto"/>
        </w:rPr>
      </w:pPr>
      <w:r>
        <w:rPr>
          <w:rFonts w:ascii="Arial" w:cs="Arial" w:eastAsia="Arial" w:hAnsi="Arial"/>
          <w:sz w:val="18"/>
          <w:szCs w:val="18"/>
          <w:color w:val="auto"/>
        </w:rPr>
        <w:t>“Sequentially, revenue grew 5%, led by the Middle East &amp; Asia, which increased 6%. The increase in this area was driven by capacity expansions, gas development projects, and production and recovery, with a majority of GeoUnits in the area achieving record revenue. We also continued to benefit from our enhanced offshore exposure, particularly in deepwater basins across Latin America, Europe &amp; Africa, and in the US Gulf of Mexico.</w:t>
      </w:r>
    </w:p>
    <w:p>
      <w:pPr>
        <w:sectPr>
          <w:pgSz w:w="11900" w:h="16838" w:orient="portrait"/>
          <w:cols w:equalWidth="0" w:num="1">
            <w:col w:w="11024"/>
          </w:cols>
          <w:pgMar w:left="436" w:top="27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 Reservoir Performance, and Digital Lead the Way</w:t>
      </w:r>
    </w:p>
    <w:p>
      <w:pPr>
        <w:spacing w:after="0" w:line="1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Core Divisions—Reservoir Performance, Well Construction, and Production Systems—grew combined revenue by 4% sequentially and expanded pretax segment operating margin by 120 basis points (bps). This strong performance was driven by the international markets, where revenue once again reached a new cycle high.</w:t>
      </w:r>
    </w:p>
    <w:p>
      <w:pPr>
        <w:spacing w:after="0" w:line="16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“Sequentially, Production Systems grew by 7% and Reservoir Performance increased by 5%, with growth led by subsea production systems and with artificial lift, valves, surface production systems, intervention, and stimulation each posting their highest quarterly revenue of the cycle. This was the result of strong activity in Europe &amp; Africa, Latin America, and the Middle East &amp; Asia, stemming from the combination of long-cycle development activity and the acceleration of production and recovery investments. Meanwhile, Well Construction also grew sequentially with measurements and fluids each posting cycle-high quarterly revenue. This was supported by land activity and offshore developments in the Middle East &amp; Asia and Latin America, partially offset by lower drilling in US land.</w:t>
      </w:r>
    </w:p>
    <w:p>
      <w:pPr>
        <w:spacing w:after="0" w:line="179"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“Our Digital &amp; Integration Division also performed well, with revenue increasing 10% sequentially. This was entirely driven by high-margin growth in digital, where revenue reached a new quarterly high and remains on track to achieve our high-teens growth ambition for the full year. Our strong results were fueled by exploration data license sales and the increased adoption of our Cloud, AI, and Edge technology platforms.</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“Overall, our financial performance in the second quarter was strong as our adjusted EBITDA margin expanded 142 bps sequentially, cash flow from operations was $1.44 billion, and free cash flow was $776 million.</w:t>
      </w:r>
    </w:p>
    <w:p>
      <w:pPr>
        <w:spacing w:after="0" w:line="15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“Additionally, during the first half of the year, we returned $1.49 billion to shareholders through stock repurchases and dividends, and we are on track to return $3.0 billion to shareholders in 2024.</w:t>
      </w:r>
    </w:p>
    <w:p>
      <w:pPr>
        <w:spacing w:after="0" w:line="154"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“Thank you to the SLB team for delivering such a strong performance this quarter. I look forward to building on these positive results throughout the rest of the year.”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Enhancing Margins with Further Opportunities Ahead</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“Throughout the cycle, SLB has consistently achieved industry-leading financial results by leveraging our differentiated operating footprint and leading technical and digital offerings. As we continue to navigate this cycle, we are poised to capture quality revenue growth and unlock further margin expansion through increased technology deployment and digital adoption, as well as a heightened focus on operating efficiency and the optimization of our support structure.</w:t>
      </w:r>
    </w:p>
    <w:p>
      <w:pPr>
        <w:spacing w:after="0" w:line="174" w:lineRule="exact"/>
        <w:rPr>
          <w:sz w:val="20"/>
          <w:szCs w:val="20"/>
          <w:color w:val="auto"/>
        </w:rPr>
      </w:pPr>
    </w:p>
    <w:p>
      <w:pPr>
        <w:jc w:val="both"/>
        <w:ind w:right="300"/>
        <w:spacing w:after="0" w:line="301" w:lineRule="auto"/>
        <w:rPr>
          <w:sz w:val="20"/>
          <w:szCs w:val="20"/>
          <w:color w:val="auto"/>
        </w:rPr>
      </w:pPr>
      <w:r>
        <w:rPr>
          <w:rFonts w:ascii="Arial" w:cs="Arial" w:eastAsia="Arial" w:hAnsi="Arial"/>
          <w:sz w:val="17"/>
          <w:szCs w:val="17"/>
          <w:color w:val="auto"/>
        </w:rPr>
        <w:t>“Looking ahead to the second half of the year, we expect ongoing momentum in the international markets, strong digital sales, and our cost efficiency programs will enable us to expand margins and deliver our ambition to grow full-year adjusted EBITDA in the mid-teens.</w:t>
      </w:r>
    </w:p>
    <w:p>
      <w:pPr>
        <w:sectPr>
          <w:pgSz w:w="11900" w:h="16838" w:orient="portrait"/>
          <w:cols w:equalWidth="0" w:num="1">
            <w:col w:w="11000"/>
          </w:cols>
          <w:pgMar w:left="440" w:top="269" w:right="459" w:bottom="1440" w:gutter="0" w:footer="0" w:header="0"/>
        </w:sectPr>
      </w:pPr>
    </w:p>
    <w:bookmarkStart w:id="6" w:name="page7"/>
    <w:bookmarkEnd w:id="6"/>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“Beyond 2024, the fundamentals of this cycle remain in place, and there is a long tailwind of growth opportunities, including long-cycle gas and deepwater projects, production and recovery activity, and the secular trends of digital and decarbonization. This represents a strong backdrop to continue our margin expansion and cash generation journey.</w:t>
      </w:r>
    </w:p>
    <w:p>
      <w:pPr>
        <w:spacing w:after="0" w:line="1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strategy across our three engines of growth—Core, Digital, and New Energy—is built to harness each of these opportunities, and we are only becoming stronger through our elevated digital offerings, the additional capabilities of OneSubsea, and the announced pending acquisition of ChampionX. </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“This business environment favors SLB’s strengths. With our continued performance and ongoing emphasis on capital discipline and cost efficiency, we remain well positioned to outperform the market and deliver on our commitment to returns to shareholders.”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During the quarter, SLB repurchased 9.9 million shares of its common stock for a total purchase price of $465 million. For the first half of the year, SLB repurchased a total of 15.3 million shares of its common stock for a total purchase price of $735 million.</w:t>
      </w:r>
    </w:p>
    <w:p>
      <w:pPr>
        <w:spacing w:after="0" w:line="15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On May 29, 2024, SLB issued $500 million of 5.000% Senior Notes due 2027, $500 million of 5.000% Senior Notes due 2029, and $500 million of 5.000% Senior Notes due 2034.</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14, 2024, SLB and Aker Carbon Capture (ACC) announced the closing of their previously announced joint venture. The new company combines technology portfolios, expertise, and operations platforms to support accelerated carbon capture adoption for industrial decarbonization at scale. Following the transaction, SLB owns 80% of the combined business and ACC owns 20%.</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July 18, 2024, SLB’s Board of Directors approved a quarterly cash dividend of $0.275 per share of outstanding common stock, payable on October 10, 2024, to stockholders of record on September 4, 2024.</w:t>
      </w:r>
    </w:p>
    <w:p>
      <w:pPr>
        <w:sectPr>
          <w:pgSz w:w="11900" w:h="16838" w:orient="portrait"/>
          <w:cols w:equalWidth="0" w:num="1">
            <w:col w:w="11000"/>
          </w:cols>
          <w:pgMar w:left="440" w:top="269"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Second-Quarter Revenue by Geographical Area</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Jun. 30,</w:t>
            </w:r>
          </w:p>
        </w:tc>
        <w:tc>
          <w:tcPr>
            <w:tcW w:w="74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color w:val="auto"/>
              </w:rPr>
              <w:t>Mar. 31,</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Jun. 30,</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$1,644</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$1,598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$1,746</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3%</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1,742</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1,654</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1,624</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3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2,442</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2,322</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2,031</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3,268</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3,080</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2,642</w:t>
            </w:r>
          </w:p>
        </w:tc>
        <w:tc>
          <w:tcPr>
            <w:tcW w:w="122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9,139</w:t>
            </w:r>
          </w:p>
        </w:tc>
        <w:tc>
          <w:tcPr>
            <w:tcW w:w="3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8,707</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8,099</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$7,452</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8"/>
              </w:rPr>
              <w:t>$7,056</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$6,297</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Arial" w:cs="Arial" w:eastAsia="Arial" w:hAnsi="Arial"/>
                <w:sz w:val="18"/>
                <w:szCs w:val="18"/>
                <w:color w:val="auto"/>
              </w:rPr>
              <w:t>North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$1,644</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$1,598</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$1,746</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
        <w:spacing w:after="0" w:line="247" w:lineRule="auto"/>
        <w:rPr>
          <w:sz w:val="20"/>
          <w:szCs w:val="20"/>
          <w:color w:val="auto"/>
        </w:rPr>
      </w:pPr>
      <w:r>
        <w:rPr>
          <w:rFonts w:ascii="Arial" w:cs="Arial" w:eastAsia="Arial" w:hAnsi="Arial"/>
          <w:sz w:val="18"/>
          <w:szCs w:val="18"/>
          <w:color w:val="auto"/>
        </w:rPr>
        <w:t>SLB acquired the Aker subsea business during the fourth quarter of 2023 in connection with the formation of the OneSubsea joint venture. The acquired business generated revenue of $485 million during the second quarter of 2024. Excluding the impact of this accquisition, SLB’s global second-quarter 2024 revenue increased 7% year on year and international second-quarter 2024 revenue increased 11% year on year.</w:t>
      </w:r>
    </w:p>
    <w:p>
      <w:pPr>
        <w:spacing w:after="0" w:line="201" w:lineRule="exact"/>
        <w:rPr>
          <w:sz w:val="20"/>
          <w:szCs w:val="20"/>
          <w:color w:val="auto"/>
        </w:rPr>
      </w:pPr>
    </w:p>
    <w:p>
      <w:pPr>
        <w:ind w:left="4" w:right="7620" w:hanging="4"/>
        <w:spacing w:after="0" w:line="522"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Russia and the Caspian region n/m = not meaningful</w:t>
      </w:r>
    </w:p>
    <w:p>
      <w:pPr>
        <w:spacing w:after="0" w:line="4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left="4" w:right="300"/>
        <w:spacing w:after="0" w:line="247"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$1.74 billion increased 5% sequentially due to higher sales of production systems in Brazil and robust stimulation and intervention activity in Argentina. Digital revenue grew in the double digits, offset by lower Asset Performance Solutions (APS) revenue. Year on year, revenue increased 7% due to higher sales of production systems in Brazil and robust drilling activity in Argentina, partially offset by lower drilling revenue in Mexico.</w:t>
      </w:r>
    </w:p>
    <w:p>
      <w:pPr>
        <w:spacing w:after="0" w:line="174" w:lineRule="exact"/>
        <w:rPr>
          <w:sz w:val="20"/>
          <w:szCs w:val="20"/>
          <w:color w:val="auto"/>
        </w:rPr>
      </w:pPr>
    </w:p>
    <w:p>
      <w:pPr>
        <w:ind w:left="4" w:right="160"/>
        <w:spacing w:after="0" w:line="244"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revenue of $2.44 billion increased 5% sequentially due to higher sales of production systems in Scandinavia and</w:t>
      </w:r>
      <w:r>
        <w:rPr>
          <w:rFonts w:ascii="Arial" w:cs="Arial" w:eastAsia="Arial" w:hAnsi="Arial"/>
          <w:sz w:val="18"/>
          <w:szCs w:val="18"/>
          <w:b w:val="1"/>
          <w:bCs w:val="1"/>
          <w:color w:val="auto"/>
        </w:rPr>
        <w:t xml:space="preserve"> </w:t>
      </w:r>
      <w:r>
        <w:rPr>
          <w:rFonts w:ascii="Arial" w:cs="Arial" w:eastAsia="Arial" w:hAnsi="Arial"/>
          <w:sz w:val="18"/>
          <w:szCs w:val="18"/>
          <w:color w:val="auto"/>
        </w:rPr>
        <w:t>West Africa and increased artificial lift revenue in North Africa from new projects. Sequential growth was boosted by a more than 20% increase in digital revenue. Year on year, revenue increased 20% driven by the acquired Aker subsea business, primarily in Scandinavia, and increased offshore exploration, drilling, and production activity in Angola, Central and East Africa. Double-digit growth in digital revenue also contributed to the year-on-year growth.</w:t>
      </w:r>
    </w:p>
    <w:p>
      <w:pPr>
        <w:spacing w:after="0" w:line="176" w:lineRule="exact"/>
        <w:rPr>
          <w:sz w:val="20"/>
          <w:szCs w:val="20"/>
          <w:color w:val="auto"/>
        </w:rPr>
      </w:pPr>
    </w:p>
    <w:p>
      <w:pPr>
        <w:ind w:left="4" w:right="60"/>
        <w:spacing w:after="0" w:line="242"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$3.27 billion increased 6% sequentially due to increased sales of production systems and increased intervention and evaluation activity in Saudi Arabia. Higher digital revenue across the area and increased drilling in Iraq, United Arab Emirates, China, and East Asia also contributed to the sequential growth. Year on year, revenue increased 24% due to higher drilling, intervention, and evaluation activity as well as increased sales of production systems in Saudi Arabia. Higher drilling in United Arab Emirates, Egypt, East Asia, Indonesia, and China, as well as the acquired Aker subsea business in Australia, also contributed to the year-on-year growth.</w:t>
      </w:r>
    </w:p>
    <w:p>
      <w:pPr>
        <w:sectPr>
          <w:pgSz w:w="11900" w:h="16838" w:orient="portrait"/>
          <w:cols w:equalWidth="0" w:num="1">
            <w:col w:w="11024"/>
          </w:cols>
          <w:pgMar w:left="436" w:top="26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North America</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$ 1.64 billion increased 3% sequentially due to higher revenue in North America offshore driven by higher</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revenue, mainly sales of exploration data licenses and increased drilling. The sequential growth was partially offset by lower drilling revenue in US land and lower sales of production systems in the US Gulf of Mexico. Year on year, revenue declined 6% due to lower drilling in US land and reduced sales of production systems in the US Gulf of Mexico.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90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Jun. 30,</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Mar. 31,</w:t>
            </w:r>
          </w:p>
        </w:tc>
        <w:tc>
          <w:tcPr>
            <w:tcW w:w="52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rPr>
              <w:t>Jun. 30,</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2024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Arial" w:cs="Arial" w:eastAsia="Arial" w:hAnsi="Arial"/>
                <w:sz w:val="14"/>
                <w:szCs w:val="14"/>
                <w:color w:val="auto"/>
                <w:w w:val="96"/>
              </w:rPr>
              <w:t>2024</w:t>
            </w:r>
          </w:p>
        </w:tc>
        <w:tc>
          <w:tcPr>
            <w:tcW w:w="480" w:type="dxa"/>
            <w:vAlign w:val="bottom"/>
          </w:tcPr>
          <w:p>
            <w:pPr>
              <w:spacing w:after="0"/>
              <w:rPr>
                <w:sz w:val="14"/>
                <w:szCs w:val="14"/>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3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20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2140" w:type="dxa"/>
            <w:vAlign w:val="bottom"/>
            <w:gridSpan w:val="2"/>
          </w:tcPr>
          <w:p>
            <w:pPr>
              <w:ind w:left="2020"/>
              <w:spacing w:after="0" w:line="202" w:lineRule="exact"/>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248"/>
              <w:spacing w:after="0" w:line="202" w:lineRule="exact"/>
              <w:rPr>
                <w:sz w:val="20"/>
                <w:szCs w:val="20"/>
                <w:color w:val="auto"/>
              </w:rPr>
            </w:pPr>
            <w:r>
              <w:rPr>
                <w:rFonts w:ascii="Arial" w:cs="Arial" w:eastAsia="Arial" w:hAnsi="Arial"/>
                <w:sz w:val="18"/>
                <w:szCs w:val="18"/>
                <w:b w:val="1"/>
                <w:bCs w:val="1"/>
                <w:color w:val="auto"/>
              </w:rPr>
              <w:t>757</w:t>
            </w:r>
          </w:p>
        </w:tc>
        <w:tc>
          <w:tcPr>
            <w:tcW w:w="26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717</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712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160" w:type="dxa"/>
            <w:vAlign w:val="bottom"/>
            <w:gridSpan w:val="2"/>
          </w:tcPr>
          <w:p>
            <w:pPr>
              <w:jc w:val="center"/>
              <w:ind w:left="295"/>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23%</w:t>
            </w:r>
          </w:p>
        </w:tc>
        <w:tc>
          <w:tcPr>
            <w:tcW w:w="1160" w:type="dxa"/>
            <w:vAlign w:val="bottom"/>
            <w:gridSpan w:val="2"/>
            <w:shd w:val="clear" w:color="auto" w:fill="CCEEFF"/>
          </w:tcPr>
          <w:p>
            <w:pPr>
              <w:jc w:val="center"/>
              <w:ind w:left="275"/>
              <w:spacing w:after="0" w:line="202" w:lineRule="exact"/>
              <w:rPr>
                <w:sz w:val="20"/>
                <w:szCs w:val="20"/>
                <w:color w:val="auto"/>
              </w:rPr>
            </w:pPr>
            <w:r>
              <w:rPr>
                <w:rFonts w:ascii="Arial" w:cs="Arial" w:eastAsia="Arial" w:hAnsi="Arial"/>
                <w:sz w:val="18"/>
                <w:szCs w:val="18"/>
                <w:color w:val="auto"/>
                <w:w w:val="99"/>
              </w:rPr>
              <w:t>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— </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1,050</w:t>
            </w:r>
          </w:p>
        </w:tc>
        <w:tc>
          <w:tcPr>
            <w:tcW w:w="3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947</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1160" w:type="dxa"/>
            <w:vAlign w:val="bottom"/>
            <w:gridSpan w:val="2"/>
            <w:shd w:val="clear" w:color="auto" w:fill="CCEEFF"/>
          </w:tcPr>
          <w:p>
            <w:pPr>
              <w:jc w:val="center"/>
              <w:ind w:left="295"/>
              <w:spacing w:after="0" w:line="202" w:lineRule="exact"/>
              <w:rPr>
                <w:sz w:val="20"/>
                <w:szCs w:val="20"/>
                <w:color w:val="auto"/>
              </w:rPr>
            </w:pPr>
            <w:r>
              <w:rPr>
                <w:rFonts w:ascii="Arial" w:cs="Arial" w:eastAsia="Arial" w:hAnsi="Arial"/>
                <w:sz w:val="18"/>
                <w:szCs w:val="18"/>
                <w:color w:val="auto"/>
                <w:w w:val="94"/>
              </w:rPr>
              <w:t>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254</w:t>
            </w:r>
          </w:p>
        </w:tc>
        <w:tc>
          <w:tcPr>
            <w:tcW w:w="48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322</w:t>
            </w:r>
          </w:p>
        </w:tc>
        <w:tc>
          <w:tcPr>
            <w:tcW w:w="4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28%</w:t>
            </w:r>
          </w:p>
        </w:tc>
        <w:tc>
          <w:tcPr>
            <w:tcW w:w="3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2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b w:val="1"/>
                <w:bCs w:val="1"/>
                <w:color w:val="auto"/>
              </w:rPr>
              <w:t>31.0%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435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-304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Digital &amp; Integration revenue of $1.05 billion increased 10% sequentially due to higher digital revenue while APS revenue was flat. Growth in digital revenue was driven by the increased adoption of our Cloud, AI, and Edge technology platforms and higher exploration data license sales. Year on year, revenue increased 11% due to digital growing in line with our ambition of full-year growth in the high-teens while APS revenue was flat.</w:t>
      </w:r>
    </w:p>
    <w:p>
      <w:pPr>
        <w:spacing w:after="0" w:line="17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Digital &amp; Integration pretax operating margin of 31% expanded 435 bps sequentially, mostly due to improved profitability in digital following strong exploration data license sales and higher uptake of digital solutions. Year on year, pretax operating margin contracted 304 bps due to lower profitability in APS from the effects of higher APS amortization expense and lower gas prices.</w:t>
      </w:r>
    </w:p>
    <w:p>
      <w:pPr>
        <w:sectPr>
          <w:pgSz w:w="11900" w:h="16838" w:orient="portrait"/>
          <w:cols w:equalWidth="0" w:num="1">
            <w:col w:w="11020"/>
          </w:cols>
          <w:pgMar w:left="440" w:top="269"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Jun. 30,</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1,684</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1,592</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1,512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4"/>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134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1,819</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1,725</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1,643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4"/>
              </w:rPr>
              <w:t>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376</w:t>
            </w:r>
          </w:p>
        </w:tc>
        <w:tc>
          <w:tcPr>
            <w:tcW w:w="4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339</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306</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11%</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98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205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Reservoir Performance revenue of $1.82 billion grew 5% sequentially due to increased intervention and stimulation activity across all geographic areas. While approximately 70% of the revenue growth came from the Middle East &amp; Asia, this growth was widespread across land and offshore and generally from production activity. Year on year, revenue increased 11% due to increased stimulation and intervention activity, with approximately 80% of the revenue growth coming from the Middle East &amp; Asia.</w:t>
      </w:r>
    </w:p>
    <w:p>
      <w:pPr>
        <w:spacing w:after="0" w:line="1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Reservoir Performance pretax operating margin of 21% expanded 98 bps sequentially with profitability improving across the international markets driven by higher activity. Year on year, pretax operating margin expanded 205 bps on improved profitability in the international markets driven by higher activity and improved pricing from increased technology intensity.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(Stated in milions)</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Jun. 30,</w:t>
            </w:r>
          </w:p>
        </w:tc>
        <w:tc>
          <w:tcPr>
            <w:tcW w:w="10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2024</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2"/>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w w:val="97"/>
              </w:rPr>
              <w:t>2,768</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3"/>
              </w:rPr>
              <w:t>2,707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2,582</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160" w:type="dxa"/>
            <w:vAlign w:val="bottom"/>
            <w:gridSpan w:val="2"/>
          </w:tcPr>
          <w:p>
            <w:pPr>
              <w:jc w:val="center"/>
              <w:ind w:left="335"/>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592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721</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160" w:type="dxa"/>
            <w:vAlign w:val="bottom"/>
            <w:gridSpan w:val="2"/>
            <w:shd w:val="clear" w:color="auto" w:fill="CCEEFF"/>
          </w:tcPr>
          <w:p>
            <w:pPr>
              <w:jc w:val="center"/>
              <w:ind w:left="335"/>
              <w:spacing w:after="0" w:line="202" w:lineRule="exact"/>
              <w:rPr>
                <w:sz w:val="20"/>
                <w:szCs w:val="20"/>
                <w:color w:val="auto"/>
              </w:rPr>
            </w:pPr>
            <w:r>
              <w:rPr>
                <w:rFonts w:ascii="Arial" w:cs="Arial" w:eastAsia="Arial" w:hAnsi="Arial"/>
                <w:sz w:val="18"/>
                <w:szCs w:val="18"/>
                <w:color w:val="auto"/>
                <w:w w:val="99"/>
              </w:rPr>
              <w:t>-18%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59</w:t>
            </w:r>
          </w:p>
        </w:tc>
        <w:tc>
          <w:tcPr>
            <w:tcW w:w="740" w:type="dxa"/>
            <w:vAlign w:val="bottom"/>
          </w:tcPr>
          <w:p>
            <w:pPr>
              <w:jc w:val="right"/>
              <w:ind w:right="95"/>
              <w:spacing w:after="0" w:line="202" w:lineRule="exact"/>
              <w:rPr>
                <w:sz w:val="20"/>
                <w:szCs w:val="20"/>
                <w:color w:val="auto"/>
              </w:rPr>
            </w:pPr>
            <w:r>
              <w:rPr>
                <w:rFonts w:ascii="Arial" w:cs="Arial" w:eastAsia="Arial" w:hAnsi="Arial"/>
                <w:sz w:val="18"/>
                <w:szCs w:val="18"/>
                <w:b w:val="1"/>
                <w:bCs w:val="1"/>
                <w:color w:val="auto"/>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3,411</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3"/>
              </w:rPr>
              <w:t>3,368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3,362</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160" w:type="dxa"/>
            <w:vAlign w:val="bottom"/>
            <w:gridSpan w:val="2"/>
            <w:shd w:val="clear" w:color="auto" w:fill="CCEEFF"/>
          </w:tcPr>
          <w:p>
            <w:pPr>
              <w:jc w:val="center"/>
              <w:ind w:left="335"/>
              <w:spacing w:after="0" w:line="202" w:lineRule="exact"/>
              <w:rPr>
                <w:sz w:val="20"/>
                <w:szCs w:val="20"/>
                <w:color w:val="auto"/>
              </w:rPr>
            </w:pPr>
            <w:r>
              <w:rPr>
                <w:rFonts w:ascii="Arial" w:cs="Arial" w:eastAsia="Arial" w:hAnsi="Arial"/>
                <w:sz w:val="18"/>
                <w:szCs w:val="18"/>
                <w:color w:val="auto"/>
                <w:w w:val="99"/>
              </w:rPr>
              <w:t>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742</w:t>
            </w:r>
          </w:p>
        </w:tc>
        <w:tc>
          <w:tcPr>
            <w:tcW w:w="4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690</w:t>
            </w:r>
          </w:p>
        </w:tc>
        <w:tc>
          <w:tcPr>
            <w:tcW w:w="5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731</w:t>
            </w:r>
          </w:p>
        </w:tc>
        <w:tc>
          <w:tcPr>
            <w:tcW w:w="4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7%</w:t>
            </w:r>
          </w:p>
        </w:tc>
        <w:tc>
          <w:tcPr>
            <w:tcW w:w="320" w:type="dxa"/>
            <w:vAlign w:val="bottom"/>
          </w:tcPr>
          <w:p>
            <w:pPr>
              <w:spacing w:after="0"/>
              <w:rPr>
                <w:sz w:val="17"/>
                <w:szCs w:val="17"/>
                <w:color w:val="auto"/>
              </w:rPr>
            </w:pPr>
          </w:p>
        </w:tc>
        <w:tc>
          <w:tcPr>
            <w:tcW w:w="840" w:type="dxa"/>
            <w:vAlign w:val="bottom"/>
          </w:tcPr>
          <w:p>
            <w:pPr>
              <w:jc w:val="center"/>
              <w:ind w:left="15"/>
              <w:spacing w:after="0" w:line="196" w:lineRule="exact"/>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21.7%</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21.7%</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125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Well Construction revenue of $ 3.41 billion increased 1% sequentially and year on year with record quarterly revenue in measurements and fluids. This was supported by ongoing land activity and offshore developments in the Middle East &amp; Asia and Latin America, partially offset by lower drilling in US land.</w:t>
      </w:r>
    </w:p>
    <w:p>
      <w:pPr>
        <w:sectPr>
          <w:pgSz w:w="11900" w:h="16838" w:orient="portrait"/>
          <w:cols w:equalWidth="0" w:num="1">
            <w:col w:w="11020"/>
          </w:cols>
          <w:pgMar w:left="440" w:top="269" w:right="439" w:bottom="1440" w:gutter="0" w:footer="0" w:header="0"/>
        </w:sectPr>
      </w:pPr>
    </w:p>
    <w:bookmarkStart w:id="10" w:name="page11"/>
    <w:bookmarkEnd w:id="10"/>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 Construction pretax operating margin of 22% expanded 125 bps sequentially due to international activity increases in measurements and fluids. Year on year, pretax operating margin was flat as improved profitability internationally was offset by margin contraction in North America as a result of lower drilling activity.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Jun. 30,</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2,378</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2,164</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1,628</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10%</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640</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679</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7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3,025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2,818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2,313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473</w:t>
            </w:r>
          </w:p>
        </w:tc>
        <w:tc>
          <w:tcPr>
            <w:tcW w:w="4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400</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278</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18%</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15.6%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361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SLB acquired the Aker subsea business during the fourth quarter of 2023 in connection with the formation of the OneSubsea joint venture. The acquired business generated revenue of $485 million during the second quarter of 2024. Excluding the impact of this accquisition, SLB’s global second-quarter 2024 revenue increased 7% year on year and Production Systems second-quarter 2024 revenue increased 10% year on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Production Systems revenue of $3.03 billion increased 7% sequentially with growth led by subsea production systems and with artificial lift, valves, and surface production systems posting record quarterly revenue in this cycle. Sequential growth was driven by the international markets with strong activity in Europe &amp; Africa, followed by Latin America and the Middle East &amp; Asia. Year on year, revenue grew 31%, mainly due to the acquisition of the Aker subsea business. Excluding the effects of the Aker subsea acquisition, revenue grew 10% year on year driven by a 16% increase in international sales. Organic year-on-year growth was led by strong international sales of artificial lift, surface production systems, completions, and valves, partially offset by reduced sales of midstream production systems.</w:t>
      </w:r>
    </w:p>
    <w:p>
      <w:pPr>
        <w:spacing w:after="0" w:line="165" w:lineRule="exact"/>
        <w:rPr>
          <w:sz w:val="20"/>
          <w:szCs w:val="20"/>
          <w:color w:val="auto"/>
        </w:rPr>
      </w:pPr>
    </w:p>
    <w:p>
      <w:pPr>
        <w:jc w:val="both"/>
        <w:ind w:right="520"/>
        <w:spacing w:after="0" w:line="247" w:lineRule="auto"/>
        <w:rPr>
          <w:sz w:val="20"/>
          <w:szCs w:val="20"/>
          <w:color w:val="auto"/>
        </w:rPr>
      </w:pPr>
      <w:r>
        <w:rPr>
          <w:rFonts w:ascii="Arial" w:cs="Arial" w:eastAsia="Arial" w:hAnsi="Arial"/>
          <w:sz w:val="18"/>
          <w:szCs w:val="18"/>
          <w:color w:val="auto"/>
        </w:rPr>
        <w:t>Production Systems pretax operating margin of 16% expanded 146 bps sequentially with improved profitability in subsea production systems and artificial lift. Year on year, pretax operating margin expanded 361 bps due to improved profitability in subsea production systems, artificial lift, and surface production systems. The margin expansions were driven by activity mix, execution efficiency, and conversion of improved-price backlog.</w:t>
      </w:r>
    </w:p>
    <w:p>
      <w:pPr>
        <w:sectPr>
          <w:pgSz w:w="11900" w:h="16838" w:orient="portrait"/>
          <w:cols w:equalWidth="0" w:num="1">
            <w:col w:w="11020"/>
          </w:cols>
          <w:pgMar w:left="440" w:top="269"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SLB continues to win new contract awards that align with SLB’s core strengths, particularly in the international and offshore basins.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highlights include the following:</w:t>
      </w:r>
    </w:p>
    <w:p>
      <w:pPr>
        <w:spacing w:after="0" w:line="99" w:lineRule="exact"/>
        <w:rPr>
          <w:sz w:val="20"/>
          <w:szCs w:val="20"/>
          <w:color w:val="auto"/>
        </w:rPr>
      </w:pPr>
    </w:p>
    <w:p>
      <w:pPr>
        <w:ind w:left="424" w:right="40" w:hanging="424"/>
        <w:spacing w:after="0" w:line="21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Kingdom of Saudi Arabia, Saudi Aramco awarded SLB a long-term contract for unconventional gas directional drilling services and drilling bits, in support of Aramco’s strategic goal to increase gas production by more than 60% by 2030, compared to 2021 levels. SLB will provide innovative fit-for-basin technologies, services, and best-in-class practices developed in collaboration with Aramco. Cutting edge technologies, including the NeoSteer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at-bit-rotary-steerable system and unique drilling bits developed and manufactured in Saudi Arabia, complemented with Performance Live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advanced drilling automation will continue to deliver record-breaking performances and mitigate operation risks.</w:t>
      </w:r>
    </w:p>
    <w:p>
      <w:pPr>
        <w:spacing w:after="0" w:line="88" w:lineRule="exact"/>
        <w:rPr>
          <w:rFonts w:ascii="Arial" w:cs="Arial" w:eastAsia="Arial" w:hAnsi="Arial"/>
          <w:sz w:val="18"/>
          <w:szCs w:val="18"/>
          <w:color w:val="auto"/>
        </w:rPr>
      </w:pPr>
    </w:p>
    <w:p>
      <w:pPr>
        <w:ind w:left="424" w:right="20" w:hanging="424"/>
        <w:spacing w:after="0" w:line="20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Qatar, a customer awarded SLB a five-year contract for directional drilling, measurement-while-drilling, and logging-while-drilling services. The contract will extend the deployment of the GeoSphere HD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high-definition reservoir mapping-while-drilling service and the GeoSphere 360</w:t>
      </w:r>
      <w:r>
        <w:rPr>
          <w:rFonts w:ascii="Arial" w:cs="Arial" w:eastAsia="Arial" w:hAnsi="Arial"/>
          <w:sz w:val="26"/>
          <w:szCs w:val="26"/>
          <w:color w:val="auto"/>
          <w:vertAlign w:val="superscript"/>
        </w:rPr>
        <w:t>™</w:t>
      </w:r>
      <w:r>
        <w:rPr>
          <w:rFonts w:ascii="Arial" w:cs="Arial" w:eastAsia="Arial" w:hAnsi="Arial"/>
          <w:sz w:val="18"/>
          <w:szCs w:val="18"/>
          <w:color w:val="auto"/>
        </w:rPr>
        <w:t xml:space="preserve"> 3D reservoir mapping-while-drilling service for proactive steering, waterfront identification, and acquisition of valuable information for subsurface modeling.</w:t>
      </w:r>
    </w:p>
    <w:p>
      <w:pPr>
        <w:spacing w:after="0" w:line="88" w:lineRule="exact"/>
        <w:rPr>
          <w:rFonts w:ascii="Arial" w:cs="Arial" w:eastAsia="Arial" w:hAnsi="Arial"/>
          <w:sz w:val="18"/>
          <w:szCs w:val="18"/>
          <w:color w:val="auto"/>
        </w:rPr>
      </w:pPr>
    </w:p>
    <w:p>
      <w:pPr>
        <w:ind w:left="424" w:right="20" w:hanging="424"/>
        <w:spacing w:after="0" w:line="21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Egypt, SLB received a contract to integrate well construction solutions and technologies for the exploration and appraisal of five wells targeting the eastern Mediterranean hub with opportunity to expand the contract to include more wells. SLB will provide leading shoe-to-shoe solutions, which include the use of the AxeBlade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ridged diamond element bit cutter technology, Rhino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multicycle hydraulic underreamers, SonicScope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multipole sonic-while-drilling service, StethoScope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formation pressure-while-drilling service, and Orbit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rising stem ball valves.</w:t>
      </w:r>
    </w:p>
    <w:p>
      <w:pPr>
        <w:spacing w:after="0" w:line="4" w:lineRule="exact"/>
        <w:rPr>
          <w:rFonts w:ascii="Arial" w:cs="Arial" w:eastAsia="Arial" w:hAnsi="Arial"/>
          <w:sz w:val="18"/>
          <w:szCs w:val="18"/>
          <w:color w:val="auto"/>
        </w:rPr>
      </w:pPr>
    </w:p>
    <w:p>
      <w:pPr>
        <w:ind w:left="424" w:hanging="424"/>
        <w:spacing w:after="0" w:line="239"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Offshore Norway, Equinor awarded SLB OneSubsea a contract for the front-end engineering design of a 12-well, all-electric subsea production systems project in the Fram Sør Field. The project will fast-track wide-scale global adoption of electric subsea technology, setting new standards for increased operator control, subsea operational efficiency, and reduced offshore emissions. As part of the agreement, future engineering, procurement, and construction will be directly awarded to SLB OneSubsea conditional on a final investment decision.</w:t>
      </w:r>
    </w:p>
    <w:p>
      <w:pPr>
        <w:spacing w:after="0" w:line="85" w:lineRule="exact"/>
        <w:rPr>
          <w:rFonts w:ascii="Arial" w:cs="Arial" w:eastAsia="Arial" w:hAnsi="Arial"/>
          <w:sz w:val="18"/>
          <w:szCs w:val="18"/>
          <w:color w:val="auto"/>
        </w:rPr>
      </w:pPr>
    </w:p>
    <w:p>
      <w:pPr>
        <w:ind w:left="424" w:right="40" w:hanging="424"/>
        <w:spacing w:after="0" w:line="244"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offshore Norway, Equinor awarded SLB OneSubsea a contract for the execution of the second stage of Phase 3 for Equinor’s Troll project in the North Sea. To accelerate field delivery of the subsea tieback to existing infrastructure, SLB OneSubsea will leverage configurable solutions compliant with NCS2017+ for standardized subsea production systems for application in the Norwegian Continental Shelf. The objective for Troll Phase 3, Stage 2 is to accelerate production from the reservoir of approximately 55 billion standard cubic meters of gas.</w:t>
      </w:r>
    </w:p>
    <w:p>
      <w:pPr>
        <w:spacing w:after="0" w:line="81" w:lineRule="exact"/>
        <w:rPr>
          <w:rFonts w:ascii="Arial" w:cs="Arial" w:eastAsia="Arial" w:hAnsi="Arial"/>
          <w:sz w:val="18"/>
          <w:szCs w:val="18"/>
          <w:color w:val="auto"/>
        </w:rPr>
      </w:pPr>
    </w:p>
    <w:p>
      <w:pPr>
        <w:ind w:left="424" w:right="300" w:hanging="424"/>
        <w:spacing w:after="0" w:line="275"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Also offshore Norway, OKEA awarded SLB OneSubsea and Subsea7 an integrated engineering, procurement, construction, and installation contract. The alliance will develop the Bestla (formerly known as Brasse) Project in the North Sea, offshore Norway, specifically to accelerate the subsea tieback delivery to aging platforms for profitable and sustainable marginal field development.</w:t>
      </w:r>
    </w:p>
    <w:p>
      <w:pPr>
        <w:sectPr>
          <w:pgSz w:w="11900" w:h="16838" w:orient="portrait"/>
          <w:cols w:equalWidth="0" w:num="1">
            <w:col w:w="10984"/>
          </w:cols>
          <w:pgMar w:left="436" w:top="269" w:right="479" w:bottom="1440" w:gutter="0" w:footer="0" w:header="0"/>
        </w:sectPr>
      </w:pPr>
    </w:p>
    <w:bookmarkStart w:id="12" w:name="page13"/>
    <w:bookmarkEnd w:id="12"/>
    <w:p>
      <w:pPr>
        <w:ind w:left="424" w:right="40" w:hanging="424"/>
        <w:spacing w:after="0" w:line="244"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Offshore Angola, TotalEnergies awarded SLB OneSubsea a contract for a 13-well subsea production system scope, including associated equipment and services, in the development of the Kaminho project. The project will be developed by TotalEnergies and its Block 20/11 partners in two phases for the Cameia and Golfinho discoveries. During the Kaminho project’s first phase of development for the Cameia field, SLB OneSubsea will collaborate with TotalEnergies to deploy a highly configurable subsea production platform with standardized vertical monobore subsea tree, wellhead, and controls system.</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Technology and Performance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technology introductions and deployment in the quarter include the following:</w:t>
      </w:r>
    </w:p>
    <w:p>
      <w:pPr>
        <w:spacing w:after="0" w:line="117" w:lineRule="exact"/>
        <w:rPr>
          <w:sz w:val="20"/>
          <w:szCs w:val="20"/>
          <w:color w:val="auto"/>
        </w:rPr>
      </w:pPr>
    </w:p>
    <w:p>
      <w:pPr>
        <w:ind w:left="424" w:hanging="424"/>
        <w:spacing w:after="0" w:line="225"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US Gulf of Mexico (GOM), SLB and Shell Offshore Inc. deployed Wellbore Insights on Delfi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platform to enable record-setting formation flowback volumes for deep reading pressure transients on wireline. The solution enables cloud-based, wellbore dynamics modeling workflows and prejob planning in addition to real-time updates from the wellsite. Shell was able to significantly increase the volume of reservoir fluid that could be safely introduced during the sampling and testing operation, improving accuracy and enhancing the radius of investigation. Shell received a better forecast of reservoir production and avoided a costly wiper trip, which eliminated more than 400 metric tons of CO</w:t>
      </w:r>
      <w:r>
        <w:rPr>
          <w:rFonts w:ascii="Arial" w:cs="Arial" w:eastAsia="Arial" w:hAnsi="Arial"/>
          <w:sz w:val="13"/>
          <w:szCs w:val="13"/>
          <w:color w:val="auto"/>
        </w:rPr>
        <w:t>2</w:t>
      </w:r>
      <w:r>
        <w:rPr>
          <w:rFonts w:ascii="Arial" w:cs="Arial" w:eastAsia="Arial" w:hAnsi="Arial"/>
          <w:sz w:val="18"/>
          <w:szCs w:val="18"/>
          <w:color w:val="auto"/>
        </w:rPr>
        <w:t>e and saved 72 hours of rig-time costs.</w:t>
      </w:r>
    </w:p>
    <w:p>
      <w:pPr>
        <w:spacing w:after="0" w:line="85" w:lineRule="exact"/>
        <w:rPr>
          <w:rFonts w:ascii="Arial" w:cs="Arial" w:eastAsia="Arial" w:hAnsi="Arial"/>
          <w:sz w:val="18"/>
          <w:szCs w:val="18"/>
          <w:color w:val="auto"/>
        </w:rPr>
      </w:pPr>
    </w:p>
    <w:p>
      <w:pPr>
        <w:ind w:left="424" w:right="240" w:hanging="424"/>
        <w:spacing w:after="0" w:line="20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Mexico, SLB and Pemex deployed OpenPath Flex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customizable acid stimulation service for the first time in its strategic fields that target deep, hot, and heterogeneous carbonate reservoirs. The initial implementation of the technology, in a well with</w:t>
      </w:r>
    </w:p>
    <w:p>
      <w:pPr>
        <w:spacing w:after="0" w:line="1" w:lineRule="exact"/>
        <w:rPr>
          <w:rFonts w:ascii="Arial" w:cs="Arial" w:eastAsia="Arial" w:hAnsi="Arial"/>
          <w:sz w:val="18"/>
          <w:szCs w:val="18"/>
          <w:color w:val="auto"/>
        </w:rPr>
      </w:pPr>
    </w:p>
    <w:p>
      <w:pPr>
        <w:ind w:left="424" w:right="500"/>
        <w:spacing w:after="0" w:line="242" w:lineRule="auto"/>
        <w:rPr>
          <w:rFonts w:ascii="Arial" w:cs="Arial" w:eastAsia="Arial" w:hAnsi="Arial"/>
          <w:sz w:val="18"/>
          <w:szCs w:val="18"/>
          <w:color w:val="auto"/>
        </w:rPr>
      </w:pPr>
      <w:r>
        <w:rPr>
          <w:rFonts w:ascii="Arial" w:cs="Arial" w:eastAsia="Arial" w:hAnsi="Arial"/>
          <w:sz w:val="18"/>
          <w:szCs w:val="18"/>
          <w:color w:val="auto"/>
        </w:rPr>
        <w:t>365-degrees-Fahrenheit bottomhole static temperature, resulted in a 3.6-fold production increase. Based on these results and additional successful treatments, Pemex has transitioned to OpenPath Flex service as the preferred stimulation system in its strategic fields.</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Decarbonization</w:t>
      </w:r>
    </w:p>
    <w:p>
      <w:pPr>
        <w:spacing w:after="0" w:line="104" w:lineRule="exact"/>
        <w:rPr>
          <w:sz w:val="20"/>
          <w:szCs w:val="20"/>
          <w:color w:val="auto"/>
        </w:rPr>
      </w:pPr>
    </w:p>
    <w:p>
      <w:pPr>
        <w:ind w:left="4" w:right="640"/>
        <w:spacing w:after="0" w:line="271" w:lineRule="auto"/>
        <w:rPr>
          <w:sz w:val="20"/>
          <w:szCs w:val="20"/>
          <w:color w:val="auto"/>
        </w:rPr>
      </w:pPr>
      <w:r>
        <w:rPr>
          <w:rFonts w:ascii="Arial" w:cs="Arial" w:eastAsia="Arial" w:hAnsi="Arial"/>
          <w:sz w:val="18"/>
          <w:szCs w:val="18"/>
          <w:color w:val="auto"/>
        </w:rPr>
        <w:t>SLB is focused on developing and implementing technologies that can reduce emissions and environmental impact with practical, quantifiably proven solutions. Highlights include the following:</w:t>
      </w:r>
    </w:p>
    <w:p>
      <w:pPr>
        <w:spacing w:after="0" w:line="59" w:lineRule="exact"/>
        <w:rPr>
          <w:sz w:val="20"/>
          <w:szCs w:val="20"/>
          <w:color w:val="auto"/>
        </w:rPr>
      </w:pPr>
    </w:p>
    <w:p>
      <w:pPr>
        <w:ind w:left="424" w:right="100" w:hanging="424"/>
        <w:spacing w:after="0" w:line="22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Morocco, Eni used SLB aqueous fluid solutions to positively impact both performance and sustainability goals for a recent challenging exploration well. Deploying HydraGlyde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high-performance water-based drilling fluid system, SLB ensured 18 days of well stability in a high-temperature 12.25-inch section, which saved time in operations and enabled 100% of the fluid to be recycled between sections.</w:t>
      </w:r>
    </w:p>
    <w:p>
      <w:pPr>
        <w:spacing w:after="0" w:line="88" w:lineRule="exact"/>
        <w:rPr>
          <w:rFonts w:ascii="Arial" w:cs="Arial" w:eastAsia="Arial" w:hAnsi="Arial"/>
          <w:sz w:val="18"/>
          <w:szCs w:val="18"/>
          <w:color w:val="auto"/>
        </w:rPr>
      </w:pPr>
    </w:p>
    <w:p>
      <w:pPr>
        <w:ind w:left="424" w:right="260" w:hanging="424"/>
        <w:spacing w:after="0" w:line="225"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United Arab Emirates, SLB and Abu Dhabi National Oil Company (ADNOC) Onshore successfully deployed the EcoShield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low-carbon geopolymer cement-free system, paving the way to decarbonize cementing operations. This first deployment in Abu Dhabi eliminated conventional Class G cement and used sustainable, locally sourced materials during the cementing of conductor casing. This operation achieved an estimated 85% reduction in CO</w:t>
      </w:r>
      <w:r>
        <w:rPr>
          <w:rFonts w:ascii="Arial" w:cs="Arial" w:eastAsia="Arial" w:hAnsi="Arial"/>
          <w:sz w:val="13"/>
          <w:szCs w:val="13"/>
          <w:color w:val="auto"/>
        </w:rPr>
        <w:t>2</w:t>
      </w:r>
      <w:r>
        <w:rPr>
          <w:rFonts w:ascii="Arial" w:cs="Arial" w:eastAsia="Arial" w:hAnsi="Arial"/>
          <w:sz w:val="18"/>
          <w:szCs w:val="18"/>
          <w:color w:val="auto"/>
        </w:rPr>
        <w:t xml:space="preserve"> emissions compared with conventional conductor casing cement and represents a major milestone on the oil and gas industry’s path to net zero. Because of this success, ADNOC and SLB are looking to expand technology application in surface casing jobs and beyond.</w:t>
      </w:r>
    </w:p>
    <w:p>
      <w:pPr>
        <w:sectPr>
          <w:pgSz w:w="11900" w:h="16838" w:orient="portrait"/>
          <w:cols w:equalWidth="0" w:num="1">
            <w:col w:w="10924"/>
          </w:cols>
          <w:pgMar w:left="436" w:top="269" w:right="5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DIGITAL</w:t>
      </w:r>
    </w:p>
    <w:p>
      <w:pPr>
        <w:spacing w:after="0" w:line="104" w:lineRule="exact"/>
        <w:rPr>
          <w:sz w:val="20"/>
          <w:szCs w:val="20"/>
          <w:color w:val="auto"/>
        </w:rPr>
      </w:pPr>
    </w:p>
    <w:p>
      <w:pPr>
        <w:ind w:left="4" w:right="120"/>
        <w:spacing w:after="0" w:line="271" w:lineRule="auto"/>
        <w:rPr>
          <w:sz w:val="20"/>
          <w:szCs w:val="20"/>
          <w:color w:val="auto"/>
        </w:rPr>
      </w:pPr>
      <w:r>
        <w:rPr>
          <w:rFonts w:ascii="Arial" w:cs="Arial" w:eastAsia="Arial" w:hAnsi="Arial"/>
          <w:sz w:val="18"/>
          <w:szCs w:val="18"/>
          <w:color w:val="auto"/>
        </w:rPr>
        <w:t>SLB is deploying digital technology at scale, partnering with customers to migrate their technology and workflows into the cloud, embrace new AI-enabled capabilities, and leverage insights to elevate their performance. Notable highlights include the following:</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117" w:lineRule="exact"/>
        <w:rPr>
          <w:sz w:val="20"/>
          <w:szCs w:val="20"/>
          <w:color w:val="auto"/>
        </w:rPr>
      </w:pPr>
    </w:p>
    <w:p>
      <w:pPr>
        <w:ind w:left="424" w:right="300" w:hanging="424"/>
        <w:spacing w:after="0" w:line="226"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SLB and TotalEnergies announced a 10-year partnership to codevelop scalable digital solutions for enabling access to energy resources, with improved performance and efficiency. The partnership establishes a flexible framework for the companies to work together on addressing key challenges across the energy value chain, including carbon capture, utilization, and sequestration (CCUS). The companies will integrate advanced digital capabilities, including AI, with new and existing applications on SLB’s extensible Delfi digital platform, adhering to the Open Group’s OSDU</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Technical Standard, and will initially focus on subsurface digital solutions for reservoir engineering and geoscience modeling and interpretation, leveraging Delfi on-demand reservoir simulation.</w:t>
      </w:r>
    </w:p>
    <w:p>
      <w:pPr>
        <w:spacing w:after="0" w:line="87" w:lineRule="exact"/>
        <w:rPr>
          <w:rFonts w:ascii="Arial" w:cs="Arial" w:eastAsia="Arial" w:hAnsi="Arial"/>
          <w:sz w:val="18"/>
          <w:szCs w:val="18"/>
          <w:color w:val="auto"/>
        </w:rPr>
      </w:pPr>
    </w:p>
    <w:p>
      <w:pPr>
        <w:ind w:left="424" w:right="240" w:hanging="424"/>
        <w:spacing w:after="0" w:line="22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Norway, Aker BP has awarded SLB a digital transformation contract to codevelop a digital platform. This long-term partnership aims to digitally transform Aker BP’s subsurface workflows, reducing costs, shortening planning cycles, and increasing production. The Delfi digital platform and Open Group’s OSDU</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Technical Standard will be used as key enablers for the transformation of the company’s subsurface workflows.</w:t>
      </w:r>
    </w:p>
    <w:p>
      <w:pPr>
        <w:spacing w:after="0" w:line="88" w:lineRule="exact"/>
        <w:rPr>
          <w:rFonts w:ascii="Arial" w:cs="Arial" w:eastAsia="Arial" w:hAnsi="Arial"/>
          <w:sz w:val="18"/>
          <w:szCs w:val="18"/>
          <w:color w:val="auto"/>
        </w:rPr>
      </w:pPr>
    </w:p>
    <w:p>
      <w:pPr>
        <w:ind w:left="424" w:right="40" w:hanging="424"/>
        <w:spacing w:after="0" w:line="22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Azerbaijan, an operator awarded SLB a contract for 3D and 4D ocean-bottom node seismic processing over one of the production assets in the Caspian Sea. The scope includes the seismic processing of baseline and monitoring surveys that will be acquired from 2024 to 2028. The Omega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geophysical data processing software, supported by cloud-compute scalability, will be used to deliver high-quality 4D insights in short turnaround times to allow bp to monitor asset production.</w:t>
      </w:r>
    </w:p>
    <w:p>
      <w:pPr>
        <w:spacing w:after="0" w:line="88" w:lineRule="exact"/>
        <w:rPr>
          <w:rFonts w:ascii="Arial" w:cs="Arial" w:eastAsia="Arial" w:hAnsi="Arial"/>
          <w:sz w:val="18"/>
          <w:szCs w:val="18"/>
          <w:color w:val="auto"/>
        </w:rPr>
      </w:pPr>
    </w:p>
    <w:p>
      <w:pPr>
        <w:ind w:left="424" w:right="80" w:hanging="424"/>
        <w:spacing w:after="0" w:line="24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Offshore Eastern Canada, Hibernia Management and Development Company Ltd. (HMDC) and ExxonMobil Canada awarded SLB contracts for the Hibernia and Hebron 3D and 4D seismic processing projects. The results from this project are anticipated to maximize value from both fields. In these projects, SLB’s innovative and collaborative science-based solutions will help progress the energy sector.</w:t>
      </w:r>
    </w:p>
    <w:p>
      <w:pPr>
        <w:spacing w:after="0" w:line="79" w:lineRule="exact"/>
        <w:rPr>
          <w:rFonts w:ascii="Arial" w:cs="Arial" w:eastAsia="Arial" w:hAnsi="Arial"/>
          <w:sz w:val="18"/>
          <w:szCs w:val="18"/>
          <w:color w:val="auto"/>
        </w:rPr>
      </w:pPr>
    </w:p>
    <w:p>
      <w:pPr>
        <w:ind w:left="424" w:hanging="424"/>
        <w:spacing w:after="0" w:line="231"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Oman, ARA Petroleum Exploration and Production (ARA), part of the wider Zubair Corporation, awarded SLB a five-year contract to enhance ARA’s reservoir engineering capabilities. Aligning with its strategic goals to boost efficiency and productivity, SLB will help to maximize production from small fields with future discovery technologies. The partnership will integrate technologies to support business growth, provide insights on field development plans, and evaluate new discoveries. Advanced wellbore imaging in the Techlog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wellbore software will increase subsurface understanding,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subsurface software machine learning will improve modeling, and Intersect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high-resolution reservoir simulator will deliver precise forecasting.</w:t>
      </w:r>
    </w:p>
    <w:p>
      <w:pPr>
        <w:sectPr>
          <w:pgSz w:w="11900" w:h="16838" w:orient="portrait"/>
          <w:cols w:equalWidth="0" w:num="1">
            <w:col w:w="11004"/>
          </w:cols>
          <w:pgMar w:left="436" w:top="269" w:right="45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ENERGY</w:t>
      </w:r>
    </w:p>
    <w:p>
      <w:pPr>
        <w:spacing w:after="0" w:line="104" w:lineRule="exact"/>
        <w:rPr>
          <w:sz w:val="20"/>
          <w:szCs w:val="20"/>
          <w:color w:val="auto"/>
        </w:rPr>
      </w:pPr>
    </w:p>
    <w:p>
      <w:pPr>
        <w:ind w:left="4" w:right="98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424" w:right="480" w:hanging="424"/>
        <w:spacing w:after="0" w:line="232"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Indonesia, SLB has secured a contract from INPEX Masela, Ltd., a subsidiary of INPEX Corporation, to support the national strategic project for carbon capture and sequestration in Abadi Field. SLB will deploy a suite of its subsurface and production software—including Olga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dynamic multiphase flow simulator, Intersect high-resolution reservoir simulator, and Visage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finite-element geomechanics simulator—to help identify the reservoir’s compaction, caprock integrity, and surface subsidence risks.</w:t>
      </w:r>
    </w:p>
    <w:p>
      <w:pPr>
        <w:spacing w:after="0" w:line="86" w:lineRule="exact"/>
        <w:rPr>
          <w:rFonts w:ascii="Arial" w:cs="Arial" w:eastAsia="Arial" w:hAnsi="Arial"/>
          <w:sz w:val="17"/>
          <w:szCs w:val="17"/>
          <w:color w:val="auto"/>
        </w:rPr>
      </w:pPr>
    </w:p>
    <w:p>
      <w:pPr>
        <w:ind w:left="424" w:right="60" w:hanging="424"/>
        <w:spacing w:after="0" w:line="244"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Australia, SLB was awarded a contract by Chevron Australia for wireline evaluation services to support a project to optimize the Gorgon Carbon Capture and Storage (CCS) system on Barrow Island. The project aims to expand the system’s capacity to manage water found within the reservoir where carbon dioxide is stored, reducing reservoir pressure and enabling increased carbon dioxide injection rates. Gorgon CCS is one of the world’s largest operational CCS projects and, as of July 2024, has safely stored more than 9.7 million tons of CO2e.</w:t>
      </w:r>
    </w:p>
    <w:p>
      <w:pPr>
        <w:spacing w:after="0" w:line="81" w:lineRule="exact"/>
        <w:rPr>
          <w:rFonts w:ascii="Arial" w:cs="Arial" w:eastAsia="Arial" w:hAnsi="Arial"/>
          <w:sz w:val="18"/>
          <w:szCs w:val="18"/>
          <w:color w:val="auto"/>
        </w:rPr>
      </w:pPr>
    </w:p>
    <w:p>
      <w:pPr>
        <w:ind w:left="424" w:right="60" w:hanging="424"/>
        <w:spacing w:after="0" w:line="242"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Pakistan, Oil and Gas Development Company Limited (OGDCL) has partnered with SLB to develop a strategy for utilizing geothermal resources in hydrocarbon fields across Pakistan. As part of the collaboration, SLB will help OGDCL develop a plan for evaluation of the geothermal potential of 25 fields in the northern, southern, and central fields in Pakistan. SLB experts together with the OGDCL team will assess surface, subsurface, and well data of the fields to identify focus areas. The scope of the initial OGDCL pilot project includes screening, evaluation, and selection of nine fields for detailed analysis, estimation of geothermal potential, wellbore modeling, and determination of next steps.</w:t>
      </w:r>
    </w:p>
    <w:p>
      <w:pPr>
        <w:spacing w:after="0" w:line="84" w:lineRule="exact"/>
        <w:rPr>
          <w:rFonts w:ascii="Arial" w:cs="Arial" w:eastAsia="Arial" w:hAnsi="Arial"/>
          <w:sz w:val="18"/>
          <w:szCs w:val="18"/>
          <w:color w:val="auto"/>
        </w:rPr>
      </w:pPr>
    </w:p>
    <w:p>
      <w:pPr>
        <w:ind w:left="424" w:right="520" w:hanging="424"/>
        <w:spacing w:after="0" w:line="25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Indonesia, a geothermal operator has awarded SLB a four-year integrated drilling well services contract for geothermal development. SLB will provide integrated project management, well construction, and third-party services, including air drilling, fishing, and liner adapters.</w:t>
      </w:r>
    </w:p>
    <w:p>
      <w:pPr>
        <w:spacing w:after="0" w:line="74" w:lineRule="exact"/>
        <w:rPr>
          <w:rFonts w:ascii="Arial" w:cs="Arial" w:eastAsia="Arial" w:hAnsi="Arial"/>
          <w:sz w:val="18"/>
          <w:szCs w:val="18"/>
          <w:color w:val="auto"/>
        </w:rPr>
      </w:pPr>
    </w:p>
    <w:p>
      <w:pPr>
        <w:ind w:left="424" w:right="60" w:hanging="424"/>
        <w:spacing w:after="0" w:line="242"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United States, SLB and Ormat Technologies, Inc. have partnered to develop and deliver integrated geothermal projects that offer operators a comprehensive suite of solutions, from exploration and resource assessment to power plant commissioning and operation. This strategic collaboration combines the SLB industry-leading expertise in reservoir characterization, well completion, and production technologies with Ormat’s industry-leading expertise in geothermal fields and project development; power plant design; manufacturing; operations; and engineering, procurement, and construction capabilities. The focus will be on both traditional geothermal systems and enhanced geothermal systems.</w:t>
      </w:r>
    </w:p>
    <w:p>
      <w:pPr>
        <w:spacing w:after="0" w:line="84" w:lineRule="exact"/>
        <w:rPr>
          <w:rFonts w:ascii="Arial" w:cs="Arial" w:eastAsia="Arial" w:hAnsi="Arial"/>
          <w:sz w:val="18"/>
          <w:szCs w:val="18"/>
          <w:color w:val="auto"/>
        </w:rPr>
      </w:pPr>
    </w:p>
    <w:p>
      <w:pPr>
        <w:ind w:left="424" w:hanging="424"/>
        <w:spacing w:after="0" w:line="244"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Also in the United States, SLB New Energy launched a new commercially available 3D basin model report of the Smackover lithium formation in Arkansas and Texas, covering an area of more than 17 million-acres and focusing on the Smackover carbonate ramp for lithium sweet spots of close to six million acres. The Smackover report was created reviewing more than 6,800 well logs. This is the first lithium basin report developed through a combination of SLB subsurface expertise and lithium-brine knowledge using advanced digital technology for modeling and simulation, such as Petromod basin modeling software</w:t>
      </w:r>
    </w:p>
    <w:p>
      <w:pPr>
        <w:sectPr>
          <w:pgSz w:w="11900" w:h="16838" w:orient="portrait"/>
          <w:cols w:equalWidth="0" w:num="1">
            <w:col w:w="10984"/>
          </w:cols>
          <w:pgMar w:left="436" w:top="269" w:right="479" w:bottom="1440" w:gutter="0" w:footer="0" w:header="0"/>
        </w:sectPr>
      </w:pPr>
    </w:p>
    <w:bookmarkStart w:id="15" w:name="page16"/>
    <w:bookmarkEnd w:id="15"/>
    <w:p>
      <w:pPr>
        <w:ind w:left="424"/>
        <w:spacing w:after="0" w:line="21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subsurface software, and innovative proprietary workflows for lithium resources characterization. This multiclient report combines public data—well logs, porosity data, temperature, geochemistry—to generate models of the estimated lithium resources in place to accelerate, optimize, and derisk the exploration workflow and Smackover projects development.</w:t>
      </w:r>
    </w:p>
    <w:p>
      <w:pPr>
        <w:spacing w:after="0" w:line="87" w:lineRule="exact"/>
        <w:rPr>
          <w:sz w:val="20"/>
          <w:szCs w:val="20"/>
          <w:color w:val="auto"/>
        </w:rPr>
      </w:pPr>
    </w:p>
    <w:p>
      <w:pPr>
        <w:ind w:left="424" w:right="20" w:hanging="424"/>
        <w:spacing w:after="0" w:line="244"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Also in the United States, SLB and Pantera Minerals partnered to advance the previously identified leads and multiple reentry wells into drill-ready prospects in the Smackover lithium asset in Arkansas. Using industry-leading subsurface expertise and digital technology, SLB will combine 2D seismic, gravity, and magnetic data to create a 3D static model that defines the extent of the Upper Smackover Formation and the location of faults. The model will identify optimal well locations for future well planning and designs, as well as provide resource estimation in the Arkansas Smackover formation.</w:t>
      </w:r>
    </w:p>
    <w:p>
      <w:pPr>
        <w:sectPr>
          <w:pgSz w:w="11900" w:h="16838" w:orient="portrait"/>
          <w:cols w:equalWidth="0" w:num="1">
            <w:col w:w="11004"/>
          </w:cols>
          <w:pgMar w:left="436" w:top="269" w:right="45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000" w:type="dxa"/>
            <w:vAlign w:val="bottom"/>
            <w:gridSpan w:val="14"/>
          </w:tcPr>
          <w:p>
            <w:pPr>
              <w:ind w:left="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1540" w:type="dxa"/>
            <w:vAlign w:val="bottom"/>
            <w:vMerge w:val="restart"/>
          </w:tcPr>
          <w:p>
            <w:pPr>
              <w:spacing w:after="0"/>
              <w:rPr>
                <w:sz w:val="20"/>
                <w:szCs w:val="20"/>
                <w:color w:val="auto"/>
              </w:rPr>
            </w:pPr>
            <w:r>
              <w:rPr>
                <w:rFonts w:ascii="Arial" w:cs="Arial" w:eastAsia="Arial" w:hAnsi="Arial"/>
                <w:sz w:val="14"/>
                <w:szCs w:val="14"/>
                <w:color w:val="auto"/>
              </w:rPr>
              <w:t>Periods Ended June 30,</w:t>
            </w:r>
          </w:p>
        </w:tc>
        <w:tc>
          <w:tcPr>
            <w:tcW w:w="64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spacing w:after="0"/>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14"/>
                <w:szCs w:val="14"/>
                <w:color w:val="auto"/>
              </w:rPr>
            </w:pPr>
          </w:p>
        </w:tc>
        <w:tc>
          <w:tcPr>
            <w:tcW w:w="1440" w:type="dxa"/>
            <w:vAlign w:val="bottom"/>
            <w:gridSpan w:val="6"/>
          </w:tcPr>
          <w:p>
            <w:pPr>
              <w:ind w:left="28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96"/>
              </w:rPr>
              <w:t>2023</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9,139</w:t>
            </w: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8,099</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8"/>
              </w:rPr>
              <w:t>17,846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15,835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7,262</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6,502</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14,270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12,787</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188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7"/>
                <w:szCs w:val="17"/>
                <w:color w:val="auto"/>
              </w:rPr>
            </w:pPr>
          </w:p>
        </w:tc>
        <w:tc>
          <w:tcPr>
            <w:tcW w:w="6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Restructuring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1,293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7"/>
              </w:rPr>
              <w:t>1,145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1,047</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SLB </w:t>
            </w:r>
            <w:r>
              <w:rPr>
                <w:rFonts w:ascii="Arial" w:cs="Arial" w:eastAsia="Arial" w:hAnsi="Arial"/>
                <w:sz w:val="22"/>
                <w:szCs w:val="22"/>
                <w:color w:val="auto"/>
                <w:vertAlign w:val="superscript"/>
              </w:rPr>
              <w:t>(1)</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0.77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1,428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1,423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1,443</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1,442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6"/>
                <w:szCs w:val="26"/>
                <w:color w:val="auto"/>
                <w:vertAlign w:val="superscript"/>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631</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561</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See section entitled “Charges &amp; Credits” for details.</w:t>
      </w:r>
    </w:p>
    <w:p>
      <w:pPr>
        <w:ind w:left="424" w:hanging="424"/>
        <w:spacing w:after="0" w:line="183" w:lineRule="auto"/>
        <w:tabs>
          <w:tab w:leader="none" w:pos="424"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Jun. 30,</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8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52"/>
              <w:spacing w:after="0" w:line="158" w:lineRule="exact"/>
              <w:rPr>
                <w:sz w:val="20"/>
                <w:szCs w:val="20"/>
                <w:color w:val="auto"/>
              </w:rPr>
            </w:pPr>
            <w:r>
              <w:rPr>
                <w:rFonts w:ascii="Arial" w:cs="Arial" w:eastAsia="Arial" w:hAnsi="Arial"/>
                <w:sz w:val="14"/>
                <w:szCs w:val="14"/>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4,003</w:t>
            </w:r>
          </w:p>
        </w:tc>
        <w:tc>
          <w:tcPr>
            <w:tcW w:w="44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8,605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4,504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1,405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18,517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1,678</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7,335</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14,530</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3,198</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4,115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49,373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 and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10,099</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10,904</w:t>
            </w:r>
          </w:p>
        </w:tc>
        <w:tc>
          <w:tcPr>
            <w:tcW w:w="0" w:type="dxa"/>
            <w:vAlign w:val="bottom"/>
          </w:tcPr>
          <w:p>
            <w:pPr>
              <w:spacing w:after="0"/>
              <w:rPr>
                <w:sz w:val="1"/>
                <w:szCs w:val="1"/>
                <w:color w:val="auto"/>
              </w:rPr>
            </w:pPr>
          </w:p>
        </w:tc>
      </w:tr>
      <w:tr>
        <w:trPr>
          <w:trHeight w:val="203"/>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867</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1,033</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9"/>
        </w:trPr>
        <w:tc>
          <w:tcPr>
            <w:tcW w:w="86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 w:type="dxa"/>
            <w:vAlign w:val="bottom"/>
            <w:shd w:val="clear" w:color="auto" w:fill="CCEEFF"/>
          </w:tcPr>
          <w:p>
            <w:pPr>
              <w:spacing w:after="0"/>
              <w:rPr>
                <w:sz w:val="17"/>
                <w:szCs w:val="17"/>
                <w:color w:val="auto"/>
              </w:rPr>
            </w:pPr>
          </w:p>
        </w:tc>
        <w:tc>
          <w:tcPr>
            <w:tcW w:w="8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12,409</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13,395</w:t>
            </w:r>
          </w:p>
        </w:tc>
        <w:tc>
          <w:tcPr>
            <w:tcW w:w="0" w:type="dxa"/>
            <w:vAlign w:val="bottom"/>
          </w:tcPr>
          <w:p>
            <w:pPr>
              <w:spacing w:after="0"/>
              <w:rPr>
                <w:sz w:val="1"/>
                <w:szCs w:val="1"/>
                <w:color w:val="auto"/>
              </w:rPr>
            </w:pPr>
          </w:p>
        </w:tc>
      </w:tr>
      <w:tr>
        <w:trPr>
          <w:trHeight w:val="203"/>
        </w:trPr>
        <w:tc>
          <w:tcPr>
            <w:tcW w:w="864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12,156</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2,528</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27,093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22,280</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21,359</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49,373</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9"/>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440" w:type="dxa"/>
            <w:vAlign w:val="bottom"/>
            <w:vMerge w:val="restart"/>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color w:val="auto"/>
              </w:rPr>
              <w:t>Components of Liquidity</w:t>
            </w:r>
          </w:p>
        </w:tc>
        <w:tc>
          <w:tcPr>
            <w:tcW w:w="4020" w:type="dxa"/>
            <w:vAlign w:val="bottom"/>
            <w:gridSpan w:val="2"/>
            <w:vMerge w:val="restart"/>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Jun.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01"/>
              <w:spacing w:after="0"/>
              <w:rPr>
                <w:sz w:val="20"/>
                <w:szCs w:val="20"/>
                <w:color w:val="auto"/>
              </w:rPr>
            </w:pPr>
            <w:r>
              <w:rPr>
                <w:rFonts w:ascii="Arial" w:cs="Arial" w:eastAsia="Arial" w:hAnsi="Arial"/>
                <w:sz w:val="14"/>
                <w:szCs w:val="14"/>
                <w:color w:val="auto"/>
                <w:w w:val="97"/>
              </w:rPr>
              <w:t>Mar. 31,</w:t>
            </w:r>
          </w:p>
        </w:tc>
        <w:tc>
          <w:tcPr>
            <w:tcW w:w="3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Jun. 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5"/>
          </w:tcPr>
          <w:p>
            <w:pPr>
              <w:jc w:val="right"/>
              <w:ind w:right="141"/>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40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21"/>
              <w:spacing w:after="0" w:line="158" w:lineRule="exact"/>
              <w:rPr>
                <w:sz w:val="20"/>
                <w:szCs w:val="20"/>
                <w:color w:val="auto"/>
              </w:rPr>
            </w:pPr>
            <w:r>
              <w:rPr>
                <w:rFonts w:ascii="Arial" w:cs="Arial" w:eastAsia="Arial" w:hAnsi="Arial"/>
                <w:sz w:val="14"/>
                <w:szCs w:val="14"/>
                <w:color w:val="auto"/>
              </w:rPr>
              <w:t>2024</w:t>
            </w:r>
          </w:p>
        </w:tc>
        <w:tc>
          <w:tcPr>
            <w:tcW w:w="80" w:type="dxa"/>
            <w:vAlign w:val="bottom"/>
          </w:tcPr>
          <w:p>
            <w:pPr>
              <w:spacing w:after="0"/>
              <w:rPr>
                <w:sz w:val="15"/>
                <w:szCs w:val="15"/>
                <w:color w:val="auto"/>
              </w:rPr>
            </w:pPr>
          </w:p>
        </w:tc>
        <w:tc>
          <w:tcPr>
            <w:tcW w:w="960" w:type="dxa"/>
            <w:vAlign w:val="bottom"/>
            <w:gridSpan w:val="3"/>
          </w:tcPr>
          <w:p>
            <w:pPr>
              <w:jc w:val="right"/>
              <w:ind w:right="41"/>
              <w:spacing w:after="0" w:line="158" w:lineRule="exact"/>
              <w:rPr>
                <w:sz w:val="20"/>
                <w:szCs w:val="20"/>
                <w:color w:val="auto"/>
              </w:rPr>
            </w:pPr>
            <w:r>
              <w:rPr>
                <w:rFonts w:ascii="Arial" w:cs="Arial" w:eastAsia="Arial" w:hAnsi="Arial"/>
                <w:sz w:val="14"/>
                <w:szCs w:val="14"/>
                <w:color w:val="auto"/>
              </w:rPr>
              <w:t>2023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558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4,003</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3,491</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  3,194</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3,989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580" w:type="dxa"/>
            <w:vAlign w:val="bottom"/>
            <w:gridSpan w:val="4"/>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1"/>
              <w:spacing w:after="0" w:line="202" w:lineRule="exact"/>
              <w:rPr>
                <w:sz w:val="20"/>
                <w:szCs w:val="20"/>
                <w:color w:val="auto"/>
              </w:rPr>
            </w:pPr>
            <w:r>
              <w:rPr>
                <w:rFonts w:ascii="Arial" w:cs="Arial" w:eastAsia="Arial" w:hAnsi="Arial"/>
                <w:sz w:val="18"/>
                <w:szCs w:val="18"/>
                <w:b w:val="1"/>
                <w:bCs w:val="1"/>
                <w:color w:val="auto"/>
              </w:rPr>
              <w:t>(1,033)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(1,430)</w:t>
            </w:r>
          </w:p>
        </w:tc>
        <w:tc>
          <w:tcPr>
            <w:tcW w:w="11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(1,993)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5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b w:val="1"/>
                <w:bCs w:val="1"/>
                <w:color w:val="auto"/>
                <w:w w:val="98"/>
              </w:rPr>
              <w:t>(12,156)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(10,740)</w:t>
            </w:r>
          </w:p>
        </w:tc>
        <w:tc>
          <w:tcPr>
            <w:tcW w:w="112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(11,342)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(10,842)</w:t>
            </w:r>
          </w:p>
        </w:tc>
        <w:tc>
          <w:tcPr>
            <w:tcW w:w="0" w:type="dxa"/>
            <w:vAlign w:val="bottom"/>
          </w:tcPr>
          <w:p>
            <w:pPr>
              <w:spacing w:after="0"/>
              <w:rPr>
                <w:sz w:val="1"/>
                <w:szCs w:val="1"/>
                <w:color w:val="auto"/>
              </w:rPr>
            </w:pPr>
          </w:p>
        </w:tc>
      </w:tr>
      <w:tr>
        <w:trPr>
          <w:trHeight w:val="209"/>
        </w:trPr>
        <w:tc>
          <w:tcPr>
            <w:tcW w:w="6020" w:type="dxa"/>
            <w:vAlign w:val="bottom"/>
            <w:gridSpan w:val="5"/>
          </w:tcPr>
          <w:p>
            <w:pPr>
              <w:ind w:left="440"/>
              <w:spacing w:after="0" w:line="210" w:lineRule="exact"/>
              <w:rPr>
                <w:sz w:val="20"/>
                <w:szCs w:val="20"/>
                <w:color w:val="auto"/>
              </w:rPr>
            </w:pPr>
            <w:r>
              <w:rPr>
                <w:rFonts w:ascii="Arial" w:cs="Arial" w:eastAsia="Arial" w:hAnsi="Arial"/>
                <w:sz w:val="17"/>
                <w:szCs w:val="17"/>
                <w:color w:val="auto"/>
              </w:rPr>
              <w:t xml:space="preserve">Net Debt </w:t>
            </w:r>
            <w:r>
              <w:rPr>
                <w:rFonts w:ascii="Arial" w:cs="Arial" w:eastAsia="Arial" w:hAnsi="Arial"/>
                <w:sz w:val="24"/>
                <w:szCs w:val="24"/>
                <w:color w:val="auto"/>
                <w:vertAlign w:val="superscript"/>
              </w:rPr>
              <w:t>(1)</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(9,186</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(8,679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(10,141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20" w:type="dxa"/>
            <w:vAlign w:val="bottom"/>
            <w:gridSpan w:val="5"/>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02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Six</w:t>
            </w:r>
          </w:p>
        </w:tc>
        <w:tc>
          <w:tcPr>
            <w:tcW w:w="960" w:type="dxa"/>
            <w:vAlign w:val="bottom"/>
            <w:gridSpan w:val="3"/>
          </w:tcPr>
          <w:p>
            <w:pPr>
              <w:jc w:val="center"/>
              <w:ind w:right="281"/>
              <w:spacing w:after="0"/>
              <w:rPr>
                <w:sz w:val="20"/>
                <w:szCs w:val="20"/>
                <w:color w:val="auto"/>
              </w:rPr>
            </w:pPr>
            <w:r>
              <w:rPr>
                <w:rFonts w:ascii="Arial" w:cs="Arial" w:eastAsia="Arial" w:hAnsi="Arial"/>
                <w:sz w:val="14"/>
                <w:szCs w:val="14"/>
                <w:b w:val="1"/>
                <w:bCs w:val="1"/>
                <w:color w:val="auto"/>
              </w:rPr>
              <w:t>Second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Six</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40" w:type="dxa"/>
            <w:vAlign w:val="bottom"/>
            <w:vMerge w:val="restart"/>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color w:val="auto"/>
              </w:rPr>
              <w:t>Periods Ended June 30,</w:t>
            </w:r>
          </w:p>
        </w:tc>
        <w:tc>
          <w:tcPr>
            <w:tcW w:w="360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Months</w:t>
            </w:r>
          </w:p>
        </w:tc>
        <w:tc>
          <w:tcPr>
            <w:tcW w:w="960" w:type="dxa"/>
            <w:vAlign w:val="bottom"/>
            <w:gridSpan w:val="3"/>
          </w:tcPr>
          <w:p>
            <w:pPr>
              <w:jc w:val="center"/>
              <w:ind w:right="281"/>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6"/>
          </w:tcPr>
          <w:p>
            <w:pPr>
              <w:jc w:val="right"/>
              <w:ind w:right="601"/>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4"/>
          </w:tcPr>
          <w:p>
            <w:pPr>
              <w:jc w:val="right"/>
              <w:ind w:right="72"/>
              <w:spacing w:after="0" w:line="158" w:lineRule="exact"/>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2023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6"/>
              </w:rPr>
              <w:t>$ 2,243</w:t>
            </w: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9"/>
              </w:rPr>
              <w:t>$ 1,145</w:t>
            </w:r>
          </w:p>
        </w:tc>
        <w:tc>
          <w:tcPr>
            <w:tcW w:w="3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1,990</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Charges and credits, net of tax </w:t>
            </w:r>
            <w:r>
              <w:rPr>
                <w:rFonts w:ascii="Arial" w:cs="Arial" w:eastAsia="Arial" w:hAnsi="Arial"/>
                <w:sz w:val="23"/>
                <w:szCs w:val="23"/>
                <w:color w:val="auto"/>
                <w:vertAlign w:val="superscript"/>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139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120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2,382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1,265</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1,231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631</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173</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73</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Change in working capital</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5"/>
          </w:tcPr>
          <w:p>
            <w:pPr>
              <w:jc w:val="right"/>
              <w:ind w:right="161"/>
              <w:spacing w:after="0" w:line="202" w:lineRule="exact"/>
              <w:rPr>
                <w:sz w:val="20"/>
                <w:szCs w:val="20"/>
                <w:color w:val="auto"/>
              </w:rPr>
            </w:pPr>
            <w:r>
              <w:rPr>
                <w:rFonts w:ascii="Arial" w:cs="Arial" w:eastAsia="Arial" w:hAnsi="Arial"/>
                <w:sz w:val="18"/>
                <w:szCs w:val="18"/>
                <w:b w:val="1"/>
                <w:bCs w:val="1"/>
                <w:color w:val="auto"/>
              </w:rPr>
              <w:t>(2,044)</w:t>
            </w:r>
          </w:p>
        </w:tc>
        <w:tc>
          <w:tcPr>
            <w:tcW w:w="80" w:type="dxa"/>
            <w:vAlign w:val="bottom"/>
          </w:tcPr>
          <w:p>
            <w:pPr>
              <w:spacing w:after="0"/>
              <w:rPr>
                <w:sz w:val="17"/>
                <w:szCs w:val="17"/>
                <w:color w:val="auto"/>
              </w:rPr>
            </w:pPr>
          </w:p>
        </w:tc>
        <w:tc>
          <w:tcPr>
            <w:tcW w:w="960" w:type="dxa"/>
            <w:vAlign w:val="bottom"/>
            <w:gridSpan w:val="3"/>
          </w:tcPr>
          <w:p>
            <w:pPr>
              <w:jc w:val="right"/>
              <w:ind w:right="201"/>
              <w:spacing w:after="0" w:line="202" w:lineRule="exact"/>
              <w:rPr>
                <w:sz w:val="20"/>
                <w:szCs w:val="20"/>
                <w:color w:val="auto"/>
              </w:rPr>
            </w:pPr>
            <w:r>
              <w:rPr>
                <w:rFonts w:ascii="Arial" w:cs="Arial" w:eastAsia="Arial" w:hAnsi="Arial"/>
                <w:sz w:val="18"/>
                <w:szCs w:val="18"/>
                <w:b w:val="1"/>
                <w:bCs w:val="1"/>
                <w:color w:val="auto"/>
              </w:rPr>
              <w:t>(558)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(1,286)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5580" w:type="dxa"/>
            <w:vAlign w:val="bottom"/>
            <w:gridSpan w:val="4"/>
          </w:tcPr>
          <w:p>
            <w:pPr>
              <w:ind w:left="440"/>
              <w:spacing w:after="0"/>
              <w:rPr>
                <w:sz w:val="20"/>
                <w:szCs w:val="20"/>
                <w:color w:val="auto"/>
              </w:rPr>
            </w:pPr>
            <w:r>
              <w:rPr>
                <w:rFonts w:ascii="Arial" w:cs="Arial" w:eastAsia="Arial" w:hAnsi="Arial"/>
                <w:sz w:val="18"/>
                <w:szCs w:val="18"/>
                <w:b w:val="1"/>
                <w:bCs w:val="1"/>
                <w:color w:val="auto"/>
              </w:rPr>
              <w:t>Cash flow from operations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1,763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1,436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(862)</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(463)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(881)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APS investments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5"/>
          </w:tcPr>
          <w:p>
            <w:pPr>
              <w:jc w:val="right"/>
              <w:ind w:right="161"/>
              <w:spacing w:after="0" w:line="202" w:lineRule="exact"/>
              <w:rPr>
                <w:sz w:val="20"/>
                <w:szCs w:val="20"/>
                <w:color w:val="auto"/>
              </w:rPr>
            </w:pPr>
            <w:r>
              <w:rPr>
                <w:rFonts w:ascii="Arial" w:cs="Arial" w:eastAsia="Arial" w:hAnsi="Arial"/>
                <w:sz w:val="18"/>
                <w:szCs w:val="18"/>
                <w:b w:val="1"/>
                <w:bCs w:val="1"/>
                <w:color w:val="auto"/>
              </w:rPr>
              <w:t>(256)</w:t>
            </w:r>
          </w:p>
        </w:tc>
        <w:tc>
          <w:tcPr>
            <w:tcW w:w="80" w:type="dxa"/>
            <w:vAlign w:val="bottom"/>
          </w:tcPr>
          <w:p>
            <w:pPr>
              <w:spacing w:after="0"/>
              <w:rPr>
                <w:sz w:val="17"/>
                <w:szCs w:val="17"/>
                <w:color w:val="auto"/>
              </w:rPr>
            </w:pPr>
          </w:p>
        </w:tc>
        <w:tc>
          <w:tcPr>
            <w:tcW w:w="960" w:type="dxa"/>
            <w:vAlign w:val="bottom"/>
            <w:gridSpan w:val="3"/>
          </w:tcPr>
          <w:p>
            <w:pPr>
              <w:jc w:val="right"/>
              <w:ind w:right="201"/>
              <w:spacing w:after="0" w:line="202" w:lineRule="exact"/>
              <w:rPr>
                <w:sz w:val="20"/>
                <w:szCs w:val="20"/>
                <w:color w:val="auto"/>
              </w:rPr>
            </w:pPr>
            <w:r>
              <w:rPr>
                <w:rFonts w:ascii="Arial" w:cs="Arial" w:eastAsia="Arial" w:hAnsi="Arial"/>
                <w:sz w:val="18"/>
                <w:szCs w:val="18"/>
                <w:b w:val="1"/>
                <w:bCs w:val="1"/>
                <w:color w:val="auto"/>
              </w:rPr>
              <w:t>(135)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(253)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(91)</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(62)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5580" w:type="dxa"/>
            <w:vAlign w:val="bottom"/>
            <w:gridSpan w:val="4"/>
          </w:tcPr>
          <w:p>
            <w:pPr>
              <w:ind w:left="440"/>
              <w:spacing w:after="0" w:line="210" w:lineRule="exact"/>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24"/>
                <w:szCs w:val="24"/>
                <w:b w:val="1"/>
                <w:bCs w:val="1"/>
                <w:color w:val="auto"/>
                <w:vertAlign w:val="superscript"/>
              </w:rPr>
              <w:t>(4)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554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776</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(751)</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(394)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(605)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Stock repurchase program</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5"/>
          </w:tcPr>
          <w:p>
            <w:pPr>
              <w:jc w:val="right"/>
              <w:ind w:right="161"/>
              <w:spacing w:after="0" w:line="202" w:lineRule="exact"/>
              <w:rPr>
                <w:sz w:val="20"/>
                <w:szCs w:val="20"/>
                <w:color w:val="auto"/>
              </w:rPr>
            </w:pPr>
            <w:r>
              <w:rPr>
                <w:rFonts w:ascii="Arial" w:cs="Arial" w:eastAsia="Arial" w:hAnsi="Arial"/>
                <w:sz w:val="18"/>
                <w:szCs w:val="18"/>
                <w:b w:val="1"/>
                <w:bCs w:val="1"/>
                <w:color w:val="auto"/>
              </w:rPr>
              <w:t>(735)</w:t>
            </w:r>
          </w:p>
        </w:tc>
        <w:tc>
          <w:tcPr>
            <w:tcW w:w="80" w:type="dxa"/>
            <w:vAlign w:val="bottom"/>
          </w:tcPr>
          <w:p>
            <w:pPr>
              <w:spacing w:after="0"/>
              <w:rPr>
                <w:sz w:val="17"/>
                <w:szCs w:val="17"/>
                <w:color w:val="auto"/>
              </w:rPr>
            </w:pPr>
          </w:p>
        </w:tc>
        <w:tc>
          <w:tcPr>
            <w:tcW w:w="960" w:type="dxa"/>
            <w:vAlign w:val="bottom"/>
            <w:gridSpan w:val="3"/>
          </w:tcPr>
          <w:p>
            <w:pPr>
              <w:jc w:val="right"/>
              <w:ind w:right="201"/>
              <w:spacing w:after="0" w:line="202" w:lineRule="exact"/>
              <w:rPr>
                <w:sz w:val="20"/>
                <w:szCs w:val="20"/>
                <w:color w:val="auto"/>
              </w:rPr>
            </w:pPr>
            <w:r>
              <w:rPr>
                <w:rFonts w:ascii="Arial" w:cs="Arial" w:eastAsia="Arial" w:hAnsi="Arial"/>
                <w:sz w:val="18"/>
                <w:szCs w:val="18"/>
                <w:b w:val="1"/>
                <w:bCs w:val="1"/>
                <w:color w:val="auto"/>
              </w:rPr>
              <w:t>(465)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(443)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120</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5"/>
          </w:tcPr>
          <w:p>
            <w:pPr>
              <w:jc w:val="right"/>
              <w:ind w:right="161"/>
              <w:spacing w:after="0" w:line="202" w:lineRule="exact"/>
              <w:rPr>
                <w:sz w:val="20"/>
                <w:szCs w:val="20"/>
                <w:color w:val="auto"/>
              </w:rPr>
            </w:pPr>
            <w:r>
              <w:rPr>
                <w:rFonts w:ascii="Arial" w:cs="Arial" w:eastAsia="Arial" w:hAnsi="Arial"/>
                <w:sz w:val="18"/>
                <w:szCs w:val="18"/>
                <w:b w:val="1"/>
                <w:bCs w:val="1"/>
                <w:color w:val="auto"/>
              </w:rPr>
              <w:t>(505)</w:t>
            </w:r>
          </w:p>
        </w:tc>
        <w:tc>
          <w:tcPr>
            <w:tcW w:w="80" w:type="dxa"/>
            <w:vAlign w:val="bottom"/>
          </w:tcPr>
          <w:p>
            <w:pPr>
              <w:spacing w:after="0"/>
              <w:rPr>
                <w:sz w:val="17"/>
                <w:szCs w:val="17"/>
                <w:color w:val="auto"/>
              </w:rPr>
            </w:pPr>
          </w:p>
        </w:tc>
        <w:tc>
          <w:tcPr>
            <w:tcW w:w="960" w:type="dxa"/>
            <w:vAlign w:val="bottom"/>
            <w:gridSpan w:val="3"/>
          </w:tcPr>
          <w:p>
            <w:pPr>
              <w:jc w:val="right"/>
              <w:ind w:right="201"/>
              <w:spacing w:after="0" w:line="202" w:lineRule="exact"/>
              <w:rPr>
                <w:sz w:val="20"/>
                <w:szCs w:val="20"/>
                <w:color w:val="auto"/>
              </w:rPr>
            </w:pPr>
            <w:r>
              <w:rPr>
                <w:rFonts w:ascii="Arial" w:cs="Arial" w:eastAsia="Arial" w:hAnsi="Arial"/>
                <w:sz w:val="18"/>
                <w:szCs w:val="18"/>
                <w:b w:val="1"/>
                <w:bCs w:val="1"/>
                <w:color w:val="auto"/>
              </w:rPr>
              <w:t>(478)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(262)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(76)</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(24)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Blue Chip Swap securities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Liberty shares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41"/>
              <w:spacing w:after="0" w:line="202" w:lineRule="exact"/>
              <w:rPr>
                <w:sz w:val="20"/>
                <w:szCs w:val="20"/>
                <w:color w:val="auto"/>
              </w:rPr>
            </w:pPr>
            <w:r>
              <w:rPr>
                <w:rFonts w:ascii="Arial" w:cs="Arial" w:eastAsia="Arial" w:hAnsi="Arial"/>
                <w:sz w:val="18"/>
                <w:szCs w:val="18"/>
                <w:b w:val="1"/>
                <w:bCs w:val="1"/>
                <w:color w:val="auto"/>
                <w:w w:val="96"/>
              </w:rPr>
              <w:t>— </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01"/>
              <w:spacing w:after="0" w:line="202" w:lineRule="exact"/>
              <w:rPr>
                <w:sz w:val="20"/>
                <w:szCs w:val="20"/>
                <w:color w:val="auto"/>
              </w:rPr>
            </w:pPr>
            <w:r>
              <w:rPr>
                <w:rFonts w:ascii="Arial" w:cs="Arial" w:eastAsia="Arial" w:hAnsi="Arial"/>
                <w:sz w:val="18"/>
                <w:szCs w:val="18"/>
                <w:b w:val="1"/>
                <w:bCs w:val="1"/>
                <w:color w:val="auto"/>
                <w:w w:val="88"/>
              </w:rPr>
              <w:t>— </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1"/>
              <w:spacing w:after="0" w:line="202" w:lineRule="exact"/>
              <w:rPr>
                <w:sz w:val="20"/>
                <w:szCs w:val="20"/>
                <w:color w:val="auto"/>
              </w:rPr>
            </w:pPr>
            <w:r>
              <w:rPr>
                <w:rFonts w:ascii="Arial" w:cs="Arial" w:eastAsia="Arial" w:hAnsi="Arial"/>
                <w:sz w:val="18"/>
                <w:szCs w:val="18"/>
                <w:b w:val="1"/>
                <w:bCs w:val="1"/>
                <w:color w:val="auto"/>
              </w:rPr>
              <w:t>(78)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gridSpan w:val="2"/>
          </w:tcPr>
          <w:p>
            <w:pPr>
              <w:jc w:val="right"/>
              <w:ind w:right="301"/>
              <w:spacing w:after="0" w:line="202" w:lineRule="exact"/>
              <w:rPr>
                <w:sz w:val="20"/>
                <w:szCs w:val="20"/>
                <w:color w:val="auto"/>
              </w:rPr>
            </w:pPr>
            <w:r>
              <w:rPr>
                <w:rFonts w:ascii="Arial" w:cs="Arial" w:eastAsia="Arial" w:hAnsi="Arial"/>
                <w:sz w:val="18"/>
                <w:szCs w:val="18"/>
                <w:b w:val="1"/>
                <w:bCs w:val="1"/>
                <w:color w:val="auto"/>
                <w:w w:val="88"/>
              </w:rPr>
              <w:t>— 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4"/>
          </w:tcPr>
          <w:p>
            <w:pPr>
              <w:jc w:val="right"/>
              <w:ind w:right="41"/>
              <w:spacing w:after="0" w:line="202" w:lineRule="exact"/>
              <w:rPr>
                <w:sz w:val="20"/>
                <w:szCs w:val="20"/>
                <w:color w:val="auto"/>
              </w:rPr>
            </w:pPr>
            <w:r>
              <w:rPr>
                <w:rFonts w:ascii="Arial" w:cs="Arial" w:eastAsia="Arial" w:hAnsi="Arial"/>
                <w:sz w:val="18"/>
                <w:szCs w:val="18"/>
                <w:color w:val="auto"/>
              </w:rPr>
              <w:t>(144)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(19)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(128)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6840" w:type="dxa"/>
            <w:vAlign w:val="bottom"/>
            <w:gridSpan w:val="8"/>
          </w:tcPr>
          <w:p>
            <w:pPr>
              <w:ind w:left="440"/>
              <w:spacing w:after="0" w:line="191" w:lineRule="exact"/>
              <w:rPr>
                <w:sz w:val="20"/>
                <w:szCs w:val="20"/>
                <w:color w:val="auto"/>
              </w:rPr>
            </w:pPr>
            <w:r>
              <w:rPr>
                <w:rFonts w:ascii="Arial" w:cs="Arial" w:eastAsia="Arial" w:hAnsi="Arial"/>
                <w:sz w:val="18"/>
                <w:szCs w:val="18"/>
                <w:b w:val="1"/>
                <w:bCs w:val="1"/>
                <w:color w:val="auto"/>
              </w:rPr>
              <w:t>Increase in net debt before impact of changes in foreign exchange</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40" w:type="dxa"/>
            <w:vAlign w:val="bottom"/>
            <w:gridSpan w:val="3"/>
          </w:tcPr>
          <w:p>
            <w:pPr>
              <w:ind w:left="180"/>
              <w:spacing w:after="0"/>
              <w:rPr>
                <w:sz w:val="20"/>
                <w:szCs w:val="20"/>
                <w:color w:val="auto"/>
              </w:rPr>
            </w:pPr>
            <w:r>
              <w:rPr>
                <w:rFonts w:ascii="Arial" w:cs="Arial" w:eastAsia="Arial" w:hAnsi="Arial"/>
                <w:sz w:val="18"/>
                <w:szCs w:val="18"/>
                <w:b w:val="1"/>
                <w:bCs w:val="1"/>
                <w:color w:val="auto"/>
              </w:rPr>
              <w:t>rates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5"/>
          </w:tcPr>
          <w:p>
            <w:pPr>
              <w:jc w:val="right"/>
              <w:ind w:right="161"/>
              <w:spacing w:after="0"/>
              <w:rPr>
                <w:sz w:val="20"/>
                <w:szCs w:val="20"/>
                <w:color w:val="auto"/>
              </w:rPr>
            </w:pPr>
            <w:r>
              <w:rPr>
                <w:rFonts w:ascii="Arial" w:cs="Arial" w:eastAsia="Arial" w:hAnsi="Arial"/>
                <w:sz w:val="18"/>
                <w:szCs w:val="18"/>
                <w:b w:val="1"/>
                <w:bCs w:val="1"/>
                <w:color w:val="auto"/>
              </w:rPr>
              <w:t>(1,381)</w:t>
            </w:r>
          </w:p>
        </w:tc>
        <w:tc>
          <w:tcPr>
            <w:tcW w:w="80" w:type="dxa"/>
            <w:vAlign w:val="bottom"/>
          </w:tcPr>
          <w:p>
            <w:pPr>
              <w:spacing w:after="0"/>
              <w:rPr>
                <w:sz w:val="19"/>
                <w:szCs w:val="19"/>
                <w:color w:val="auto"/>
              </w:rPr>
            </w:pPr>
          </w:p>
        </w:tc>
        <w:tc>
          <w:tcPr>
            <w:tcW w:w="96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rPr>
              <w:t>(582)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4"/>
          </w:tcPr>
          <w:p>
            <w:pPr>
              <w:jc w:val="right"/>
              <w:ind w:right="41"/>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171</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75</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(170)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80" w:type="dxa"/>
            <w:vAlign w:val="bottom"/>
            <w:gridSpan w:val="4"/>
          </w:tcPr>
          <w:p>
            <w:pPr>
              <w:ind w:left="440"/>
              <w:spacing w:after="0"/>
              <w:rPr>
                <w:sz w:val="20"/>
                <w:szCs w:val="20"/>
                <w:color w:val="auto"/>
              </w:rPr>
            </w:pPr>
            <w:r>
              <w:rPr>
                <w:rFonts w:ascii="Arial" w:cs="Arial" w:eastAsia="Arial" w:hAnsi="Arial"/>
                <w:sz w:val="18"/>
                <w:szCs w:val="18"/>
                <w:b w:val="1"/>
                <w:bCs w:val="1"/>
                <w:color w:val="auto"/>
              </w:rPr>
              <w:t>Increase in Net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161"/>
              <w:spacing w:after="0" w:line="202" w:lineRule="exact"/>
              <w:rPr>
                <w:sz w:val="20"/>
                <w:szCs w:val="20"/>
                <w:color w:val="auto"/>
              </w:rPr>
            </w:pPr>
            <w:r>
              <w:rPr>
                <w:rFonts w:ascii="Arial" w:cs="Arial" w:eastAsia="Arial" w:hAnsi="Arial"/>
                <w:sz w:val="18"/>
                <w:szCs w:val="18"/>
                <w:b w:val="1"/>
                <w:bCs w:val="1"/>
                <w:color w:val="auto"/>
              </w:rPr>
              <w:t>(7,976)</w:t>
            </w: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b w:val="1"/>
                <w:bCs w:val="1"/>
                <w:color w:val="auto"/>
              </w:rPr>
              <w:t>(8,679)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(9,332)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580" w:type="dxa"/>
            <w:vAlign w:val="bottom"/>
            <w:gridSpan w:val="4"/>
          </w:tcPr>
          <w:p>
            <w:pPr>
              <w:ind w:left="440"/>
              <w:spacing w:after="0"/>
              <w:rPr>
                <w:sz w:val="20"/>
                <w:szCs w:val="20"/>
                <w:color w:val="auto"/>
              </w:rPr>
            </w:pPr>
            <w:r>
              <w:rPr>
                <w:rFonts w:ascii="Arial" w:cs="Arial" w:eastAsia="Arial" w:hAnsi="Arial"/>
                <w:sz w:val="18"/>
                <w:szCs w:val="18"/>
                <w:b w:val="1"/>
                <w:bCs w:val="1"/>
                <w:color w:val="auto"/>
              </w:rPr>
              <w:t>Net Debt, end of period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(9,186</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(9,186</w:t>
            </w:r>
          </w:p>
        </w:tc>
        <w:tc>
          <w:tcPr>
            <w:tcW w:w="340" w:type="dxa"/>
            <w:vAlign w:val="bottom"/>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8"/>
                <w:szCs w:val="18"/>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(10,141</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13"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5"/>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80" w:hanging="424"/>
        <w:spacing w:after="0" w:line="221" w:lineRule="auto"/>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04"/>
          </w:cols>
          <w:pgMar w:left="436" w:top="269" w:right="45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104" w:lineRule="exact"/>
        <w:rPr>
          <w:sz w:val="20"/>
          <w:szCs w:val="20"/>
          <w:color w:val="auto"/>
        </w:rPr>
      </w:pPr>
    </w:p>
    <w:p>
      <w:pPr>
        <w:ind w:left="4" w:right="10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second-quarter 2024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2"/>
          </w:tcPr>
          <w:p>
            <w:pPr>
              <w:jc w:val="center"/>
              <w:ind w:right="440"/>
              <w:spacing w:after="0"/>
              <w:rPr>
                <w:sz w:val="20"/>
                <w:szCs w:val="20"/>
                <w:color w:val="auto"/>
              </w:rPr>
            </w:pPr>
            <w:r>
              <w:rPr>
                <w:rFonts w:ascii="Arial" w:cs="Arial" w:eastAsia="Arial" w:hAnsi="Arial"/>
                <w:sz w:val="14"/>
                <w:szCs w:val="14"/>
                <w:b w:val="1"/>
                <w:bCs w:val="1"/>
                <w:color w:val="auto"/>
              </w:rPr>
              <w:t>Second Quarter 2024</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jc w:val="center"/>
              <w:ind w:right="100"/>
              <w:spacing w:after="0" w:line="147" w:lineRule="exact"/>
              <w:rPr>
                <w:sz w:val="20"/>
                <w:szCs w:val="20"/>
                <w:color w:val="auto"/>
              </w:rPr>
            </w:pPr>
            <w:r>
              <w:rPr>
                <w:rFonts w:ascii="Arial" w:cs="Arial" w:eastAsia="Arial" w:hAnsi="Arial"/>
                <w:sz w:val="14"/>
                <w:szCs w:val="14"/>
                <w:color w:val="auto"/>
                <w:w w:val="99"/>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1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$1,421</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$276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89"/>
              </w:rPr>
              <w:t>$ 1,112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$0.77</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Cost-out program </w:t>
            </w:r>
            <w:r>
              <w:rPr>
                <w:rFonts w:ascii="Arial" w:cs="Arial" w:eastAsia="Arial" w:hAnsi="Arial"/>
                <w:sz w:val="23"/>
                <w:szCs w:val="23"/>
                <w:color w:val="auto"/>
                <w:vertAlign w:val="superscript"/>
              </w:rPr>
              <w:t>(1)</w:t>
            </w:r>
          </w:p>
        </w:tc>
        <w:tc>
          <w:tcPr>
            <w:tcW w:w="260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111</w:t>
            </w:r>
          </w:p>
        </w:tc>
        <w:tc>
          <w:tcPr>
            <w:tcW w:w="68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94</w:t>
            </w: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528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(2)</w:t>
            </w:r>
          </w:p>
        </w:tc>
        <w:tc>
          <w:tcPr>
            <w:tcW w:w="260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w:t>
            </w:r>
          </w:p>
        </w:tc>
        <w:tc>
          <w:tcPr>
            <w:tcW w:w="6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0.85</w:t>
            </w:r>
          </w:p>
        </w:tc>
        <w:tc>
          <w:tcPr>
            <w:tcW w:w="1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5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2"/>
          </w:tcPr>
          <w:p>
            <w:pPr>
              <w:jc w:val="center"/>
              <w:ind w:right="440"/>
              <w:spacing w:after="0"/>
              <w:rPr>
                <w:sz w:val="20"/>
                <w:szCs w:val="20"/>
                <w:color w:val="auto"/>
              </w:rPr>
            </w:pPr>
            <w:r>
              <w:rPr>
                <w:rFonts w:ascii="Arial" w:cs="Arial" w:eastAsia="Arial" w:hAnsi="Arial"/>
                <w:sz w:val="14"/>
                <w:szCs w:val="14"/>
                <w:b w:val="1"/>
                <w:bCs w:val="1"/>
                <w:color w:val="auto"/>
              </w:rPr>
              <w:t>First Quarter 2024</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jc w:val="center"/>
              <w:ind w:right="100"/>
              <w:spacing w:after="0" w:line="147" w:lineRule="exact"/>
              <w:rPr>
                <w:sz w:val="20"/>
                <w:szCs w:val="20"/>
                <w:color w:val="auto"/>
              </w:rPr>
            </w:pPr>
            <w:r>
              <w:rPr>
                <w:rFonts w:ascii="Arial" w:cs="Arial" w:eastAsia="Arial" w:hAnsi="Arial"/>
                <w:sz w:val="14"/>
                <w:szCs w:val="14"/>
                <w:color w:val="auto"/>
                <w:w w:val="99"/>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1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$1,357</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$1,068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$0.74</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2000" w:type="dxa"/>
            <w:vAlign w:val="bottom"/>
            <w:gridSpan w:val="2"/>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880" w:type="dxa"/>
            <w:vAlign w:val="bottom"/>
            <w:gridSpan w:val="4"/>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7"/>
        </w:trPr>
        <w:tc>
          <w:tcPr>
            <w:tcW w:w="5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2000" w:type="dxa"/>
            <w:vAlign w:val="bottom"/>
            <w:gridSpan w:val="2"/>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1,382</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4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265</w:t>
            </w:r>
          </w:p>
        </w:tc>
        <w:tc>
          <w:tcPr>
            <w:tcW w:w="3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w:t>
            </w:r>
          </w:p>
        </w:tc>
        <w:tc>
          <w:tcPr>
            <w:tcW w:w="88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1,082</w:t>
            </w: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0.75</w:t>
            </w:r>
          </w:p>
        </w:tc>
      </w:tr>
      <w:tr>
        <w:trPr>
          <w:trHeight w:val="20"/>
        </w:trPr>
        <w:tc>
          <w:tcPr>
            <w:tcW w:w="5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5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0"/>
          </w:tcPr>
          <w:p>
            <w:pPr>
              <w:jc w:val="center"/>
              <w:ind w:right="680"/>
              <w:spacing w:after="0"/>
              <w:rPr>
                <w:sz w:val="20"/>
                <w:szCs w:val="20"/>
                <w:color w:val="auto"/>
              </w:rPr>
            </w:pPr>
            <w:r>
              <w:rPr>
                <w:rFonts w:ascii="Arial" w:cs="Arial" w:eastAsia="Arial" w:hAnsi="Arial"/>
                <w:sz w:val="14"/>
                <w:szCs w:val="14"/>
                <w:b w:val="1"/>
                <w:bCs w:val="1"/>
                <w:color w:val="auto"/>
              </w:rPr>
              <w:t>Six Months 2024</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4"/>
          </w:tcPr>
          <w:p>
            <w:pPr>
              <w:jc w:val="center"/>
              <w:ind w:right="100"/>
              <w:spacing w:after="0" w:line="147" w:lineRule="exact"/>
              <w:rPr>
                <w:sz w:val="20"/>
                <w:szCs w:val="20"/>
                <w:color w:val="auto"/>
              </w:rPr>
            </w:pPr>
            <w:r>
              <w:rPr>
                <w:rFonts w:ascii="Arial" w:cs="Arial" w:eastAsia="Arial" w:hAnsi="Arial"/>
                <w:sz w:val="14"/>
                <w:szCs w:val="14"/>
                <w:color w:val="auto"/>
                <w:w w:val="99"/>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4"/>
          </w:tcPr>
          <w:p>
            <w:pPr>
              <w:jc w:val="center"/>
              <w:ind w:right="10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1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$2,778</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$535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$2,180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$1.51</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Cost-out program </w:t>
            </w:r>
            <w:r>
              <w:rPr>
                <w:rFonts w:ascii="Arial" w:cs="Arial" w:eastAsia="Arial" w:hAnsi="Arial"/>
                <w:sz w:val="23"/>
                <w:szCs w:val="23"/>
                <w:color w:val="auto"/>
                <w:vertAlign w:val="superscript"/>
              </w:rPr>
              <w:t>(1)</w:t>
            </w:r>
          </w:p>
        </w:tc>
        <w:tc>
          <w:tcPr>
            <w:tcW w:w="260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111</w:t>
            </w:r>
          </w:p>
        </w:tc>
        <w:tc>
          <w:tcPr>
            <w:tcW w:w="68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   94</w:t>
            </w: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528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(3)</w:t>
            </w:r>
          </w:p>
        </w:tc>
        <w:tc>
          <w:tcPr>
            <w:tcW w:w="260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6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880" w:type="dxa"/>
            <w:vAlign w:val="bottom"/>
            <w:gridSpan w:val="4"/>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w:t>
            </w:r>
          </w:p>
        </w:tc>
        <w:tc>
          <w:tcPr>
            <w:tcW w:w="6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0.02</w:t>
            </w: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2,306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1.60</w:t>
            </w:r>
          </w:p>
        </w:tc>
        <w:tc>
          <w:tcPr>
            <w:tcW w:w="1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5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2"/>
          </w:tcPr>
          <w:p>
            <w:pPr>
              <w:jc w:val="right"/>
              <w:ind w:right="840"/>
              <w:spacing w:after="0"/>
              <w:rPr>
                <w:sz w:val="20"/>
                <w:szCs w:val="20"/>
                <w:color w:val="auto"/>
              </w:rPr>
            </w:pPr>
            <w:r>
              <w:rPr>
                <w:rFonts w:ascii="Arial" w:cs="Arial" w:eastAsia="Arial" w:hAnsi="Arial"/>
                <w:sz w:val="14"/>
                <w:szCs w:val="14"/>
                <w:b w:val="1"/>
                <w:bCs w:val="1"/>
                <w:color w:val="auto"/>
              </w:rPr>
              <w:t>Six Months 2023</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5"/>
          </w:tcPr>
          <w:p>
            <w:pPr>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4"/>
          </w:tcPr>
          <w:p>
            <w:pPr>
              <w:jc w:val="center"/>
              <w:ind w:right="30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660" w:type="dxa"/>
            <w:vAlign w:val="bottom"/>
            <w:gridSpan w:val="4"/>
          </w:tcPr>
          <w:p>
            <w:pPr>
              <w:jc w:val="right"/>
              <w:ind w:right="340"/>
              <w:spacing w:after="0"/>
              <w:rPr>
                <w:sz w:val="20"/>
                <w:szCs w:val="20"/>
                <w:color w:val="auto"/>
              </w:rPr>
            </w:pPr>
            <w:r>
              <w:rPr>
                <w:rFonts w:ascii="Arial" w:cs="Arial" w:eastAsia="Arial" w:hAnsi="Arial"/>
                <w:sz w:val="14"/>
                <w:szCs w:val="14"/>
                <w:color w:val="auto"/>
              </w:rPr>
              <w:t>Tax</w:t>
            </w:r>
          </w:p>
        </w:tc>
        <w:tc>
          <w:tcPr>
            <w:tcW w:w="80" w:type="dxa"/>
            <w:vAlign w:val="bottom"/>
          </w:tcPr>
          <w:p>
            <w:pPr>
              <w:spacing w:after="0"/>
              <w:rPr>
                <w:sz w:val="14"/>
                <w:szCs w:val="14"/>
                <w:color w:val="auto"/>
              </w:rPr>
            </w:pPr>
          </w:p>
        </w:tc>
        <w:tc>
          <w:tcPr>
            <w:tcW w:w="840" w:type="dxa"/>
            <w:vAlign w:val="bottom"/>
            <w:gridSpan w:val="5"/>
          </w:tcPr>
          <w:p>
            <w:pPr>
              <w:ind w:left="20"/>
              <w:spacing w:after="0"/>
              <w:rPr>
                <w:sz w:val="20"/>
                <w:szCs w:val="20"/>
                <w:color w:val="auto"/>
              </w:rPr>
            </w:pPr>
            <w:r>
              <w:rPr>
                <w:rFonts w:ascii="Arial" w:cs="Arial" w:eastAsia="Arial" w:hAnsi="Arial"/>
                <w:sz w:val="14"/>
                <w:szCs w:val="14"/>
                <w:color w:val="auto"/>
              </w:rPr>
              <w:t>Interests</w:t>
            </w:r>
          </w:p>
        </w:tc>
        <w:tc>
          <w:tcPr>
            <w:tcW w:w="880" w:type="dxa"/>
            <w:vAlign w:val="bottom"/>
            <w:gridSpan w:val="4"/>
          </w:tcPr>
          <w:p>
            <w:pPr>
              <w:jc w:val="right"/>
              <w:ind w:right="500"/>
              <w:spacing w:after="0"/>
              <w:rPr>
                <w:sz w:val="20"/>
                <w:szCs w:val="20"/>
                <w:color w:val="auto"/>
              </w:rPr>
            </w:pPr>
            <w:r>
              <w:rPr>
                <w:rFonts w:ascii="Arial" w:cs="Arial" w:eastAsia="Arial" w:hAnsi="Arial"/>
                <w:sz w:val="14"/>
                <w:szCs w:val="14"/>
                <w:color w:val="auto"/>
              </w:rPr>
              <w:t>Net</w:t>
            </w: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EPS</w:t>
            </w: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17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$2,454</w:t>
            </w: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$464</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ind w:left="10"/>
              <w:spacing w:after="0" w:line="196" w:lineRule="exact"/>
              <w:rPr>
                <w:sz w:val="20"/>
                <w:szCs w:val="20"/>
                <w:color w:val="auto"/>
              </w:rPr>
            </w:pPr>
            <w:r>
              <w:rPr>
                <w:rFonts w:ascii="Arial" w:cs="Arial" w:eastAsia="Arial" w:hAnsi="Arial"/>
                <w:sz w:val="18"/>
                <w:szCs w:val="18"/>
                <w:color w:val="auto"/>
                <w:w w:val="99"/>
              </w:rPr>
              <w:t>23</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$1,967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$ 1.36</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03"/>
        </w:trPr>
        <w:tc>
          <w:tcPr>
            <w:tcW w:w="528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Gain on sale of Liberty shares </w:t>
            </w:r>
            <w:r>
              <w:rPr>
                <w:rFonts w:ascii="Arial" w:cs="Arial" w:eastAsia="Arial" w:hAnsi="Arial"/>
                <w:sz w:val="23"/>
                <w:szCs w:val="23"/>
                <w:color w:val="auto"/>
                <w:vertAlign w:val="superscript"/>
              </w:rPr>
              <w:t>(4)</w:t>
            </w:r>
          </w:p>
        </w:tc>
        <w:tc>
          <w:tcPr>
            <w:tcW w:w="1720" w:type="dxa"/>
            <w:vAlign w:val="bottom"/>
          </w:tcPr>
          <w:p>
            <w:pPr>
              <w:spacing w:after="0"/>
              <w:rPr>
                <w:sz w:val="17"/>
                <w:szCs w:val="17"/>
                <w:color w:val="auto"/>
              </w:rPr>
            </w:pPr>
          </w:p>
        </w:tc>
        <w:tc>
          <w:tcPr>
            <w:tcW w:w="8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660" w:type="dxa"/>
            <w:vAlign w:val="bottom"/>
            <w:gridSpan w:val="4"/>
          </w:tcPr>
          <w:p>
            <w:pPr>
              <w:jc w:val="right"/>
              <w:ind w:right="88"/>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(0.02)</w:t>
            </w:r>
          </w:p>
        </w:tc>
        <w:tc>
          <w:tcPr>
            <w:tcW w:w="120" w:type="dxa"/>
            <w:vAlign w:val="bottom"/>
          </w:tcPr>
          <w:p>
            <w:pPr>
              <w:spacing w:after="0"/>
              <w:rPr>
                <w:sz w:val="17"/>
                <w:szCs w:val="17"/>
                <w:color w:val="auto"/>
              </w:rPr>
            </w:pPr>
          </w:p>
        </w:tc>
      </w:tr>
      <w:tr>
        <w:trPr>
          <w:trHeight w:val="27"/>
        </w:trPr>
        <w:tc>
          <w:tcPr>
            <w:tcW w:w="5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SLB net income, excluding charges &amp; credits</w:t>
            </w:r>
          </w:p>
        </w:tc>
        <w:tc>
          <w:tcPr>
            <w:tcW w:w="17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2,418</w:t>
            </w:r>
          </w:p>
        </w:tc>
        <w:tc>
          <w:tcPr>
            <w:tcW w:w="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148"/>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w:t>
            </w: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9"/>
              </w:rPr>
              <w:t>23</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1,939</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$ 1.34</w:t>
            </w:r>
          </w:p>
        </w:tc>
        <w:tc>
          <w:tcPr>
            <w:tcW w:w="120" w:type="dxa"/>
            <w:vAlign w:val="bottom"/>
            <w:tcBorders>
              <w:left w:val="single" w:sz="8" w:color="CCEEFF"/>
            </w:tcBorders>
            <w:shd w:val="clear" w:color="auto" w:fill="CCEEFF"/>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w:t>
      </w:r>
    </w:p>
    <w:p>
      <w:pPr>
        <w:ind w:left="424" w:right="640" w:hanging="424"/>
        <w:spacing w:after="0" w:line="187"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 xml:space="preserve">$15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w:t>
      </w:r>
      <w:r>
        <w:rPr>
          <w:rFonts w:ascii="Arial" w:cs="Arial" w:eastAsia="Arial" w:hAnsi="Arial"/>
          <w:sz w:val="18"/>
          <w:szCs w:val="18"/>
          <w:color w:val="auto"/>
        </w:rPr>
        <w:t xml:space="preserve"> with the remaining $16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right="640" w:hanging="424"/>
        <w:spacing w:after="0" w:line="187" w:lineRule="auto"/>
        <w:tabs>
          <w:tab w:leader="none" w:pos="424"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 xml:space="preserve">$29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w:t>
      </w:r>
      <w:r>
        <w:rPr>
          <w:rFonts w:ascii="Arial" w:cs="Arial" w:eastAsia="Arial" w:hAnsi="Arial"/>
          <w:sz w:val="18"/>
          <w:szCs w:val="18"/>
          <w:color w:val="auto"/>
        </w:rPr>
        <w:t xml:space="preserve"> with the remaining $27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hanging="424"/>
        <w:spacing w:after="0" w:line="184" w:lineRule="auto"/>
        <w:tabs>
          <w:tab w:leader="none" w:pos="424" w:val="left"/>
        </w:tabs>
        <w:numPr>
          <w:ilvl w:val="0"/>
          <w:numId w:val="16"/>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Interest &amp; other income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were no charges or credits during the second quarter of 2023.</w:t>
      </w:r>
    </w:p>
    <w:p>
      <w:pPr>
        <w:sectPr>
          <w:pgSz w:w="11900" w:h="16838" w:orient="portrait"/>
          <w:cols w:equalWidth="0" w:num="1">
            <w:col w:w="11024"/>
          </w:cols>
          <w:pgMar w:left="436" w:top="269"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127"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10"/>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1500" w:type="dxa"/>
            <w:vAlign w:val="bottom"/>
            <w:gridSpan w:val="8"/>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10"/>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gridSpan w:val="7"/>
          </w:tcPr>
          <w:p>
            <w:pPr>
              <w:jc w:val="right"/>
              <w:ind w:right="360"/>
              <w:spacing w:after="0" w:line="155" w:lineRule="exact"/>
              <w:rPr>
                <w:sz w:val="20"/>
                <w:szCs w:val="20"/>
                <w:color w:val="auto"/>
              </w:rPr>
            </w:pPr>
            <w:r>
              <w:rPr>
                <w:rFonts w:ascii="Arial" w:cs="Arial" w:eastAsia="Arial" w:hAnsi="Arial"/>
                <w:sz w:val="14"/>
                <w:szCs w:val="14"/>
                <w:b w:val="1"/>
                <w:bCs w:val="1"/>
                <w:color w:val="auto"/>
              </w:rPr>
              <w:t>Jun. 30, 2024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8"/>
          </w:tcPr>
          <w:p>
            <w:pPr>
              <w:jc w:val="center"/>
              <w:ind w:right="340"/>
              <w:spacing w:after="0" w:line="155" w:lineRule="exact"/>
              <w:rPr>
                <w:sz w:val="20"/>
                <w:szCs w:val="20"/>
                <w:color w:val="auto"/>
              </w:rPr>
            </w:pPr>
            <w:r>
              <w:rPr>
                <w:rFonts w:ascii="Arial" w:cs="Arial" w:eastAsia="Arial" w:hAnsi="Arial"/>
                <w:sz w:val="14"/>
                <w:szCs w:val="14"/>
                <w:color w:val="auto"/>
              </w:rPr>
              <w:t>Mar. 31, 2024</w:t>
            </w:r>
          </w:p>
        </w:tc>
        <w:tc>
          <w:tcPr>
            <w:tcW w:w="20" w:type="dxa"/>
            <w:vAlign w:val="bottom"/>
          </w:tcPr>
          <w:p>
            <w:pPr>
              <w:spacing w:after="0"/>
              <w:rPr>
                <w:sz w:val="13"/>
                <w:szCs w:val="13"/>
                <w:color w:val="auto"/>
              </w:rPr>
            </w:pPr>
          </w:p>
        </w:tc>
        <w:tc>
          <w:tcPr>
            <w:tcW w:w="1380" w:type="dxa"/>
            <w:vAlign w:val="bottom"/>
            <w:gridSpan w:val="7"/>
          </w:tcPr>
          <w:p>
            <w:pPr>
              <w:jc w:val="right"/>
              <w:ind w:right="170"/>
              <w:spacing w:after="0" w:line="155" w:lineRule="exact"/>
              <w:rPr>
                <w:sz w:val="20"/>
                <w:szCs w:val="20"/>
                <w:color w:val="auto"/>
              </w:rPr>
            </w:pPr>
            <w:r>
              <w:rPr>
                <w:rFonts w:ascii="Arial" w:cs="Arial" w:eastAsia="Arial" w:hAnsi="Arial"/>
                <w:sz w:val="14"/>
                <w:szCs w:val="14"/>
                <w:color w:val="auto"/>
              </w:rPr>
              <w:t>Jun. 30, 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Before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5"/>
          </w:tcPr>
          <w:p>
            <w:pPr>
              <w:jc w:val="center"/>
              <w:ind w:right="220"/>
              <w:spacing w:after="0"/>
              <w:rPr>
                <w:sz w:val="20"/>
                <w:szCs w:val="20"/>
                <w:color w:val="auto"/>
              </w:rPr>
            </w:pPr>
            <w:r>
              <w:rPr>
                <w:rFonts w:ascii="Arial" w:cs="Arial" w:eastAsia="Arial" w:hAnsi="Arial"/>
                <w:sz w:val="14"/>
                <w:szCs w:val="14"/>
                <w:color w:val="auto"/>
              </w:rPr>
              <w:t>Before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Revenue</w:t>
            </w:r>
          </w:p>
        </w:tc>
        <w:tc>
          <w:tcPr>
            <w:tcW w:w="16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Taxes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4"/>
                <w:szCs w:val="14"/>
                <w:color w:val="auto"/>
              </w:rPr>
            </w:pPr>
          </w:p>
        </w:tc>
        <w:tc>
          <w:tcPr>
            <w:tcW w:w="680" w:type="dxa"/>
            <w:vAlign w:val="bottom"/>
            <w:gridSpan w:val="4"/>
          </w:tcPr>
          <w:p>
            <w:pPr>
              <w:jc w:val="center"/>
              <w:ind w:right="320"/>
              <w:spacing w:after="0"/>
              <w:rPr>
                <w:sz w:val="20"/>
                <w:szCs w:val="20"/>
                <w:color w:val="auto"/>
              </w:rPr>
            </w:pPr>
            <w:r>
              <w:rPr>
                <w:rFonts w:ascii="Arial" w:cs="Arial" w:eastAsia="Arial" w:hAnsi="Arial"/>
                <w:sz w:val="14"/>
                <w:szCs w:val="14"/>
                <w:color w:val="auto"/>
                <w:w w:val="94"/>
              </w:rPr>
              <w:t>Taxes</w:t>
            </w:r>
          </w:p>
        </w:tc>
        <w:tc>
          <w:tcPr>
            <w:tcW w:w="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0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$ 1,050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325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953</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947</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Reservoir Performance</w:t>
            </w:r>
          </w:p>
        </w:tc>
        <w:tc>
          <w:tcPr>
            <w:tcW w:w="2080" w:type="dxa"/>
            <w:vAlign w:val="bottom"/>
            <w:gridSpan w:val="4"/>
          </w:tcPr>
          <w:p>
            <w:pPr>
              <w:jc w:val="right"/>
              <w:ind w:right="80"/>
              <w:spacing w:after="0" w:line="202" w:lineRule="exact"/>
              <w:rPr>
                <w:sz w:val="20"/>
                <w:szCs w:val="20"/>
                <w:color w:val="auto"/>
              </w:rPr>
            </w:pPr>
            <w:r>
              <w:rPr>
                <w:rFonts w:ascii="Arial" w:cs="Arial" w:eastAsia="Arial" w:hAnsi="Arial"/>
                <w:sz w:val="18"/>
                <w:szCs w:val="18"/>
                <w:b w:val="1"/>
                <w:bCs w:val="1"/>
                <w:color w:val="auto"/>
              </w:rPr>
              <w:t>1,819</w:t>
            </w:r>
          </w:p>
        </w:tc>
        <w:tc>
          <w:tcPr>
            <w:tcW w:w="82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rPr>
              <w:t>376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w w:val="93"/>
              </w:rPr>
              <w:t>1,725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339</w:t>
            </w:r>
          </w:p>
        </w:tc>
        <w:tc>
          <w:tcPr>
            <w:tcW w:w="20" w:type="dxa"/>
            <w:vAlign w:val="bottom"/>
          </w:tcPr>
          <w:p>
            <w:pPr>
              <w:spacing w:after="0"/>
              <w:rPr>
                <w:sz w:val="17"/>
                <w:szCs w:val="17"/>
                <w:color w:val="auto"/>
              </w:rPr>
            </w:pPr>
          </w:p>
        </w:tc>
        <w:tc>
          <w:tcPr>
            <w:tcW w:w="6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1,643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0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3,411</w:t>
            </w:r>
          </w:p>
        </w:tc>
        <w:tc>
          <w:tcPr>
            <w:tcW w:w="8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742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3"/>
              </w:rPr>
              <w:t>3,368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690</w:t>
            </w:r>
          </w:p>
        </w:tc>
        <w:tc>
          <w:tcPr>
            <w:tcW w:w="2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3,362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2"/>
        </w:trPr>
        <w:tc>
          <w:tcPr>
            <w:tcW w:w="4880" w:type="dxa"/>
            <w:vAlign w:val="bottom"/>
            <w:gridSpan w:val="2"/>
          </w:tcPr>
          <w:p>
            <w:pPr>
              <w:spacing w:after="0" w:line="202" w:lineRule="exact"/>
              <w:rPr>
                <w:sz w:val="20"/>
                <w:szCs w:val="20"/>
                <w:color w:val="auto"/>
              </w:rPr>
            </w:pPr>
            <w:r>
              <w:rPr>
                <w:rFonts w:ascii="Arial" w:cs="Arial" w:eastAsia="Arial" w:hAnsi="Arial"/>
                <w:sz w:val="18"/>
                <w:szCs w:val="18"/>
                <w:color w:val="auto"/>
              </w:rPr>
              <w:t>Production Systems</w:t>
            </w:r>
          </w:p>
        </w:tc>
        <w:tc>
          <w:tcPr>
            <w:tcW w:w="2080" w:type="dxa"/>
            <w:vAlign w:val="bottom"/>
            <w:gridSpan w:val="4"/>
          </w:tcPr>
          <w:p>
            <w:pPr>
              <w:jc w:val="right"/>
              <w:ind w:right="80"/>
              <w:spacing w:after="0" w:line="202" w:lineRule="exact"/>
              <w:rPr>
                <w:sz w:val="20"/>
                <w:szCs w:val="20"/>
                <w:color w:val="auto"/>
              </w:rPr>
            </w:pPr>
            <w:r>
              <w:rPr>
                <w:rFonts w:ascii="Arial" w:cs="Arial" w:eastAsia="Arial" w:hAnsi="Arial"/>
                <w:sz w:val="18"/>
                <w:szCs w:val="18"/>
                <w:b w:val="1"/>
                <w:bCs w:val="1"/>
                <w:color w:val="auto"/>
              </w:rPr>
              <w:t>3,025</w:t>
            </w:r>
          </w:p>
        </w:tc>
        <w:tc>
          <w:tcPr>
            <w:tcW w:w="82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rPr>
              <w:t>473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w w:val="93"/>
              </w:rPr>
              <w:t>2,818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400</w:t>
            </w:r>
          </w:p>
        </w:tc>
        <w:tc>
          <w:tcPr>
            <w:tcW w:w="20" w:type="dxa"/>
            <w:vAlign w:val="bottom"/>
          </w:tcPr>
          <w:p>
            <w:pPr>
              <w:spacing w:after="0"/>
              <w:rPr>
                <w:sz w:val="17"/>
                <w:szCs w:val="17"/>
                <w:color w:val="auto"/>
              </w:rPr>
            </w:pPr>
          </w:p>
        </w:tc>
        <w:tc>
          <w:tcPr>
            <w:tcW w:w="6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2,313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0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(166)</w:t>
            </w:r>
          </w:p>
        </w:tc>
        <w:tc>
          <w:tcPr>
            <w:tcW w:w="8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(62)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Pretax segment operating income</w:t>
            </w: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1,581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(191)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(191)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rPr>
              <w:t>29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(129)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5"/>
              </w:rPr>
              <w:t>(110)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(142)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$ 9,139</w:t>
            </w:r>
          </w:p>
        </w:tc>
        <w:tc>
          <w:tcPr>
            <w:tcW w:w="8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1,421</w:t>
            </w:r>
          </w:p>
        </w:tc>
        <w:tc>
          <w:tcPr>
            <w:tcW w:w="940" w:type="dxa"/>
            <w:vAlign w:val="bottom"/>
            <w:gridSpan w:val="6"/>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$ 8,707</w:t>
            </w:r>
          </w:p>
        </w:tc>
        <w:tc>
          <w:tcPr>
            <w:tcW w:w="76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1,357</w:t>
            </w:r>
          </w:p>
        </w:tc>
        <w:tc>
          <w:tcPr>
            <w:tcW w:w="2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6"/>
              </w:rPr>
              <w:t>$ 8,099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7"/>
              </w:rPr>
              <w:t>1,293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12"/>
          </w:tcPr>
          <w:p>
            <w:pPr>
              <w:jc w:val="right"/>
              <w:ind w:right="5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6"/>
          </w:tcPr>
          <w:p>
            <w:pPr>
              <w:ind w:left="20"/>
              <w:spacing w:after="0" w:line="155" w:lineRule="exact"/>
              <w:rPr>
                <w:sz w:val="20"/>
                <w:szCs w:val="20"/>
                <w:color w:val="auto"/>
              </w:rPr>
            </w:pPr>
            <w:r>
              <w:rPr>
                <w:rFonts w:ascii="Arial" w:cs="Arial" w:eastAsia="Arial" w:hAnsi="Arial"/>
                <w:sz w:val="14"/>
                <w:szCs w:val="14"/>
                <w:b w:val="1"/>
                <w:bCs w:val="1"/>
                <w:color w:val="auto"/>
              </w:rPr>
              <w:t>Jun. 30, 2024</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7"/>
          </w:tcPr>
          <w:p>
            <w:pPr>
              <w:ind w:left="280"/>
              <w:spacing w:after="0" w:line="155" w:lineRule="exact"/>
              <w:rPr>
                <w:sz w:val="20"/>
                <w:szCs w:val="20"/>
                <w:color w:val="auto"/>
              </w:rPr>
            </w:pPr>
            <w:r>
              <w:rPr>
                <w:rFonts w:ascii="Arial" w:cs="Arial" w:eastAsia="Arial" w:hAnsi="Arial"/>
                <w:sz w:val="14"/>
                <w:szCs w:val="14"/>
                <w:color w:val="auto"/>
              </w:rPr>
              <w:t>Jun. 30, 2023</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Income</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4"/>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rPr>
              <w:t>Before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4"/>
          </w:tcPr>
          <w:p>
            <w:pPr>
              <w:jc w:val="center"/>
              <w:spacing w:after="0"/>
              <w:rPr>
                <w:sz w:val="20"/>
                <w:szCs w:val="20"/>
                <w:color w:val="auto"/>
              </w:rPr>
            </w:pPr>
            <w:r>
              <w:rPr>
                <w:rFonts w:ascii="Arial" w:cs="Arial" w:eastAsia="Arial" w:hAnsi="Arial"/>
                <w:sz w:val="14"/>
                <w:szCs w:val="14"/>
                <w:color w:val="auto"/>
              </w:rPr>
              <w:t>Before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Taxes</w:t>
            </w:r>
          </w:p>
        </w:tc>
        <w:tc>
          <w:tcPr>
            <w:tcW w:w="100" w:type="dxa"/>
            <w:vAlign w:val="bottom"/>
          </w:tcPr>
          <w:p>
            <w:pPr>
              <w:spacing w:after="0"/>
              <w:rPr>
                <w:sz w:val="14"/>
                <w:szCs w:val="14"/>
                <w:color w:val="auto"/>
              </w:rPr>
            </w:pPr>
          </w:p>
        </w:tc>
        <w:tc>
          <w:tcPr>
            <w:tcW w:w="680" w:type="dxa"/>
            <w:vAlign w:val="bottom"/>
            <w:gridSpan w:val="4"/>
          </w:tcPr>
          <w:p>
            <w:pPr>
              <w:ind w:left="40"/>
              <w:spacing w:after="0"/>
              <w:rPr>
                <w:sz w:val="20"/>
                <w:szCs w:val="20"/>
                <w:color w:val="auto"/>
              </w:rPr>
            </w:pPr>
            <w:r>
              <w:rPr>
                <w:rFonts w:ascii="Arial" w:cs="Arial" w:eastAsia="Arial" w:hAnsi="Arial"/>
                <w:sz w:val="14"/>
                <w:szCs w:val="14"/>
                <w:color w:val="auto"/>
              </w:rPr>
              <w:t>Revenue</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4"/>
          </w:tcPr>
          <w:p>
            <w:pPr>
              <w:jc w:val="center"/>
              <w:spacing w:after="0"/>
              <w:rPr>
                <w:sz w:val="20"/>
                <w:szCs w:val="20"/>
                <w:color w:val="auto"/>
              </w:rPr>
            </w:pPr>
            <w:r>
              <w:rPr>
                <w:rFonts w:ascii="Arial" w:cs="Arial" w:eastAsia="Arial" w:hAnsi="Arial"/>
                <w:sz w:val="14"/>
                <w:szCs w:val="14"/>
                <w:color w:val="auto"/>
                <w:w w:val="94"/>
              </w:rPr>
              <w:t>Taxes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19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2,003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4"/>
              <w:spacing w:after="0" w:line="196" w:lineRule="exact"/>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579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1,840</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587</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rPr>
              <w:t>3,544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715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3,146</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w w:val="99"/>
              </w:rPr>
              <w:t>548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6,779</w:t>
            </w: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1,432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6,623</w:t>
            </w:r>
          </w:p>
        </w:tc>
        <w:tc>
          <w:tcPr>
            <w:tcW w:w="1060" w:type="dxa"/>
            <w:vAlign w:val="bottom"/>
            <w:gridSpan w:val="7"/>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1,403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rPr>
              <w:t>5,843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873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4,520</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w w:val="99"/>
              </w:rPr>
              <w:t>483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(323)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(97)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3,502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5"/>
              </w:rPr>
              <w:t>(382)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5"/>
              </w:rPr>
              <w:t>(238)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5"/>
              </w:rPr>
              <w:t>(167)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2800" w:type="dxa"/>
            <w:vAlign w:val="bottom"/>
            <w:gridSpan w:val="7"/>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17,846</w:t>
            </w: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2,778</w:t>
            </w:r>
          </w:p>
        </w:tc>
        <w:tc>
          <w:tcPr>
            <w:tcW w:w="2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15,835</w:t>
            </w:r>
          </w:p>
        </w:tc>
        <w:tc>
          <w:tcPr>
            <w:tcW w:w="1060" w:type="dxa"/>
            <w:vAlign w:val="bottom"/>
            <w:gridSpan w:val="7"/>
            <w:shd w:val="clear" w:color="auto" w:fill="CCEEFF"/>
          </w:tcPr>
          <w:p>
            <w:pPr>
              <w:jc w:val="right"/>
              <w:ind w:right="3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4" w:lineRule="auto"/>
        <w:tabs>
          <w:tab w:leader="none" w:pos="424"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See section entitled “Charges &amp; Credits” for details.</w:t>
      </w:r>
    </w:p>
    <w:p>
      <w:pPr>
        <w:sectPr>
          <w:pgSz w:w="11900" w:h="16838" w:orient="portrait"/>
          <w:cols w:equalWidth="0" w:num="1">
            <w:col w:w="11024"/>
          </w:cols>
          <w:pgMar w:left="436" w:top="269"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2024?</w:t>
      </w:r>
    </w:p>
    <w:p>
      <w:pPr>
        <w:spacing w:after="0" w:line="103" w:lineRule="exact"/>
        <w:rPr>
          <w:rFonts w:ascii="Arial" w:cs="Arial" w:eastAsia="Arial" w:hAnsi="Arial"/>
          <w:sz w:val="18"/>
          <w:szCs w:val="18"/>
          <w:b w:val="1"/>
          <w:bCs w:val="1"/>
          <w:color w:val="auto"/>
        </w:rPr>
      </w:pPr>
    </w:p>
    <w:p>
      <w:pPr>
        <w:ind w:left="444" w:right="5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2024 is expected to be approximately $2.6 billion, which is the same level as full-year 2023.</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second quarter of 2024?</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second quarter of 2024 was $1.4 billion and free cash flow was $776 million.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second quarter of 2024?</w:t>
      </w:r>
    </w:p>
    <w:p>
      <w:pPr>
        <w:spacing w:after="0" w:line="103" w:lineRule="exact"/>
        <w:rPr>
          <w:rFonts w:ascii="Arial" w:cs="Arial" w:eastAsia="Arial" w:hAnsi="Arial"/>
          <w:sz w:val="18"/>
          <w:szCs w:val="18"/>
          <w:b w:val="1"/>
          <w:bCs w:val="1"/>
          <w:color w:val="auto"/>
        </w:rPr>
      </w:pPr>
    </w:p>
    <w:p>
      <w:pPr>
        <w:ind w:left="444" w:right="6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second quarter of 2024 was $85 million. This consisted of interest income of $38 million and earnings of equity method investments of $47 million.</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2024?</w:t>
      </w:r>
    </w:p>
    <w:p>
      <w:pPr>
        <w:spacing w:after="0" w:line="103" w:lineRule="exact"/>
        <w:rPr>
          <w:rFonts w:ascii="Arial" w:cs="Arial" w:eastAsia="Arial" w:hAnsi="Arial"/>
          <w:sz w:val="18"/>
          <w:szCs w:val="18"/>
          <w:b w:val="1"/>
          <w:bCs w:val="1"/>
          <w:color w:val="auto"/>
        </w:rPr>
      </w:pPr>
    </w:p>
    <w:p>
      <w:pPr>
        <w:ind w:left="444" w:right="6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$38 million for the second quarter of 2024 was flat sequentially. Interest expense of $132 million increased $19 million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2024?</w:t>
      </w:r>
    </w:p>
    <w:p>
      <w:pPr>
        <w:spacing w:after="0" w:line="103" w:lineRule="exact"/>
        <w:rPr>
          <w:rFonts w:ascii="Arial" w:cs="Arial" w:eastAsia="Arial" w:hAnsi="Arial"/>
          <w:sz w:val="18"/>
          <w:szCs w:val="18"/>
          <w:b w:val="1"/>
          <w:bCs w:val="1"/>
          <w:color w:val="auto"/>
        </w:rPr>
      </w:pPr>
    </w:p>
    <w:p>
      <w:pPr>
        <w:ind w:left="444" w:right="40"/>
        <w:spacing w:after="0" w:line="301" w:lineRule="auto"/>
        <w:rPr>
          <w:rFonts w:ascii="Arial" w:cs="Arial" w:eastAsia="Arial" w:hAnsi="Arial"/>
          <w:sz w:val="18"/>
          <w:szCs w:val="18"/>
          <w:b w:val="1"/>
          <w:bCs w:val="1"/>
          <w:color w:val="auto"/>
        </w:rPr>
      </w:pPr>
      <w:r>
        <w:rPr>
          <w:rFonts w:ascii="Arial" w:cs="Arial" w:eastAsia="Arial" w:hAnsi="Arial"/>
          <w:sz w:val="17"/>
          <w:szCs w:val="17"/>
          <w:color w:val="auto"/>
        </w:rPr>
        <w:t>The ETR for the second quarter of 2024, calculated in accordance with GAAP, was 19.4% as compared to 19.1% for the first quarter of 2024. Excluding charges and credits, the ETR for both the second quarter of 2024 and for the first quarter of 2024 was 19.1%.</w:t>
      </w:r>
    </w:p>
    <w:p>
      <w:pPr>
        <w:spacing w:after="0" w:line="36" w:lineRule="exact"/>
        <w:rPr>
          <w:rFonts w:ascii="Arial" w:cs="Arial" w:eastAsia="Arial" w:hAnsi="Arial"/>
          <w:sz w:val="18"/>
          <w:szCs w:val="18"/>
          <w:b w:val="1"/>
          <w:bCs w:val="1"/>
          <w:color w:val="auto"/>
        </w:rPr>
      </w:pPr>
    </w:p>
    <w:p>
      <w:pPr>
        <w:ind w:left="424" w:right="380" w:hanging="424"/>
        <w:spacing w:after="0" w:line="281"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June 30, 2024,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6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1.420 billion shares of common stock outstanding as of June 30, 2024, and 1.429 billion shares outstanding as of March 31, 2024.</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March 31, 2024</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repurchase program</w:t>
            </w:r>
          </w:p>
        </w:tc>
        <w:tc>
          <w:tcPr>
            <w:tcW w:w="13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Shares outstanding at June 30, 2024</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424" w:right="40" w:hanging="424"/>
        <w:spacing w:after="0" w:line="257"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second quarter of 2024 and first quarter of 2024?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1.428 billion during the second quarter of 2024 and 1.431 billion during the first quarter of 2024. The following is a reconciliation of the weighted average shares outstanding to the average number of shares outstanding, assuming dilution, used in the calculation of diluted earnings per share.</w:t>
      </w:r>
    </w:p>
    <w:p>
      <w:pPr>
        <w:sectPr>
          <w:pgSz w:w="11900" w:h="16838" w:orient="portrait"/>
          <w:cols w:equalWidth="0" w:num="1">
            <w:col w:w="10984"/>
          </w:cols>
          <w:pgMar w:left="436" w:top="269" w:right="479" w:bottom="1440" w:gutter="0" w:footer="0" w:header="0"/>
        </w:sectPr>
      </w:pPr>
    </w:p>
    <w:bookmarkStart w:id="22" w:name="page23"/>
    <w:bookmarkEnd w:id="22"/>
    <w:tbl>
      <w:tblPr>
        <w:tblLayout w:type="fixed"/>
        <w:tblInd w:w="1764"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color w:val="auto"/>
              </w:rPr>
              <w:t>(Stated in millions)</w:t>
            </w:r>
          </w:p>
        </w:tc>
      </w:tr>
      <w:tr>
        <w:trPr>
          <w:trHeight w:val="162"/>
        </w:trPr>
        <w:tc>
          <w:tcPr>
            <w:tcW w:w="44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rPr>
              <w:t>First Quarter</w:t>
            </w:r>
          </w:p>
        </w:tc>
      </w:tr>
      <w:tr>
        <w:trPr>
          <w:trHeight w:val="171"/>
        </w:trPr>
        <w:tc>
          <w:tcPr>
            <w:tcW w:w="44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60" w:type="dxa"/>
            <w:vAlign w:val="bottom"/>
            <w:tcBorders>
              <w:bottom w:val="single" w:sz="8" w:color="CCEEFF"/>
            </w:tcBorders>
          </w:tcPr>
          <w:p>
            <w:pPr>
              <w:spacing w:after="0"/>
              <w:rPr>
                <w:sz w:val="14"/>
                <w:szCs w:val="14"/>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1,428</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1,431</w:t>
            </w:r>
          </w:p>
        </w:tc>
        <w:tc>
          <w:tcPr>
            <w:tcW w:w="60" w:type="dxa"/>
            <w:vAlign w:val="bottom"/>
            <w:shd w:val="clear" w:color="auto" w:fill="CCEEFF"/>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14</w:t>
            </w:r>
          </w:p>
        </w:tc>
        <w:tc>
          <w:tcPr>
            <w:tcW w:w="7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191"/>
        </w:trPr>
        <w:tc>
          <w:tcPr>
            <w:tcW w:w="4420" w:type="dxa"/>
            <w:vAlign w:val="bottom"/>
          </w:tcPr>
          <w:p>
            <w:pPr>
              <w:spacing w:after="0" w:line="191" w:lineRule="exact"/>
              <w:rPr>
                <w:sz w:val="20"/>
                <w:szCs w:val="20"/>
                <w:color w:val="auto"/>
              </w:rPr>
            </w:pPr>
            <w:r>
              <w:rPr>
                <w:rFonts w:ascii="Arial" w:cs="Arial" w:eastAsia="Arial" w:hAnsi="Arial"/>
                <w:sz w:val="18"/>
                <w:szCs w:val="18"/>
                <w:color w:val="auto"/>
              </w:rPr>
              <w:t>Average shares outstanding, assuming</w:t>
            </w: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4420" w:type="dxa"/>
            <w:vAlign w:val="bottom"/>
          </w:tcPr>
          <w:p>
            <w:pPr>
              <w:ind w:left="180"/>
              <w:spacing w:after="0"/>
              <w:rPr>
                <w:sz w:val="20"/>
                <w:szCs w:val="20"/>
                <w:color w:val="auto"/>
              </w:rPr>
            </w:pPr>
            <w:r>
              <w:rPr>
                <w:rFonts w:ascii="Arial" w:cs="Arial" w:eastAsia="Arial" w:hAnsi="Arial"/>
                <w:sz w:val="18"/>
                <w:szCs w:val="18"/>
                <w:color w:val="auto"/>
              </w:rPr>
              <w:t>dilution</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1,443</w:t>
            </w:r>
          </w:p>
        </w:tc>
        <w:tc>
          <w:tcPr>
            <w:tcW w:w="7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1,447</w:t>
            </w:r>
          </w:p>
        </w:tc>
      </w:tr>
      <w:tr>
        <w:trPr>
          <w:trHeight w:val="20"/>
        </w:trPr>
        <w:tc>
          <w:tcPr>
            <w:tcW w:w="4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260" w:hanging="424"/>
        <w:spacing w:after="0" w:line="281"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SLB’s adjusted EBITDA in the second quarter of 2024, the first quarter of 2024, the second quarter of 2023, the first six months of 2024, and the first six months of 2023?</w:t>
      </w:r>
    </w:p>
    <w:p>
      <w:pPr>
        <w:spacing w:after="0" w:line="28"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$2.288 billion in the second quarter of 2024, $2.057 billion in the first quarter of 2024, and $1.962 billion in the second quarter of 2023,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right"/>
              <w:ind w:right="14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00" w:type="dxa"/>
            <w:vAlign w:val="bottom"/>
            <w:gridSpan w:val="4"/>
          </w:tcPr>
          <w:p>
            <w:pPr>
              <w:ind w:left="460"/>
              <w:spacing w:after="0"/>
              <w:rPr>
                <w:sz w:val="20"/>
                <w:szCs w:val="20"/>
                <w:color w:val="auto"/>
              </w:rPr>
            </w:pPr>
            <w:r>
              <w:rPr>
                <w:rFonts w:ascii="Arial" w:cs="Arial" w:eastAsia="Arial" w:hAnsi="Arial"/>
                <w:sz w:val="14"/>
                <w:szCs w:val="14"/>
                <w:b w:val="1"/>
                <w:bCs w:val="1"/>
                <w:color w:val="auto"/>
              </w:rPr>
              <w:t>Second Quarter</w:t>
            </w:r>
          </w:p>
        </w:tc>
        <w:tc>
          <w:tcPr>
            <w:tcW w:w="1400" w:type="dxa"/>
            <w:vAlign w:val="bottom"/>
            <w:gridSpan w:val="4"/>
          </w:tcPr>
          <w:p>
            <w:pPr>
              <w:ind w:left="320"/>
              <w:spacing w:after="0"/>
              <w:rPr>
                <w:sz w:val="20"/>
                <w:szCs w:val="20"/>
                <w:color w:val="auto"/>
              </w:rPr>
            </w:pPr>
            <w:r>
              <w:rPr>
                <w:rFonts w:ascii="Arial" w:cs="Arial" w:eastAsia="Arial" w:hAnsi="Arial"/>
                <w:sz w:val="14"/>
                <w:szCs w:val="14"/>
                <w:color w:val="auto"/>
              </w:rPr>
              <w:t>First Quarter</w:t>
            </w:r>
          </w:p>
        </w:tc>
        <w:tc>
          <w:tcPr>
            <w:tcW w:w="1560" w:type="dxa"/>
            <w:vAlign w:val="bottom"/>
            <w:gridSpan w:val="4"/>
          </w:tcPr>
          <w:p>
            <w:pPr>
              <w:ind w:left="400"/>
              <w:spacing w:after="0"/>
              <w:rPr>
                <w:sz w:val="20"/>
                <w:szCs w:val="20"/>
                <w:color w:val="auto"/>
              </w:rPr>
            </w:pPr>
            <w:r>
              <w:rPr>
                <w:rFonts w:ascii="Arial" w:cs="Arial" w:eastAsia="Arial" w:hAnsi="Arial"/>
                <w:sz w:val="14"/>
                <w:szCs w:val="14"/>
                <w:color w:val="auto"/>
              </w:rPr>
              <w:t>Second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1,112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1,068</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4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276</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1,421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631</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rPr>
              <w:t>(38)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2,288</w:t>
            </w:r>
          </w:p>
        </w:tc>
        <w:tc>
          <w:tcPr>
            <w:tcW w:w="3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2,057</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SLB’s adjusted EBITDA was $4.344 billion for the six months ended June 30, 2024, and $3.749 billion for the six months ended</w:t>
      </w:r>
    </w:p>
    <w:p>
      <w:pPr>
        <w:spacing w:after="0" w:line="1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June 30, 2023, calculated as follows:</w:t>
      </w:r>
    </w:p>
    <w:p>
      <w:pPr>
        <w:spacing w:after="0" w:line="23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160" w:type="dxa"/>
            <w:vAlign w:val="bottom"/>
            <w:gridSpan w:val="4"/>
          </w:tcPr>
          <w:p>
            <w:pPr>
              <w:ind w:left="1060"/>
              <w:spacing w:after="0"/>
              <w:rPr>
                <w:sz w:val="20"/>
                <w:szCs w:val="20"/>
                <w:color w:val="auto"/>
              </w:rPr>
            </w:pPr>
            <w:r>
              <w:rPr>
                <w:rFonts w:ascii="Arial" w:cs="Arial" w:eastAsia="Arial" w:hAnsi="Arial"/>
                <w:sz w:val="14"/>
                <w:szCs w:val="14"/>
                <w:b w:val="1"/>
                <w:bCs w:val="1"/>
                <w:color w:val="auto"/>
              </w:rPr>
              <w:t>Six Months</w:t>
            </w:r>
          </w:p>
        </w:tc>
        <w:tc>
          <w:tcPr>
            <w:tcW w:w="1320" w:type="dxa"/>
            <w:vAlign w:val="bottom"/>
            <w:gridSpan w:val="4"/>
          </w:tcPr>
          <w:p>
            <w:pPr>
              <w:jc w:val="right"/>
              <w:ind w:right="340"/>
              <w:spacing w:after="0"/>
              <w:rPr>
                <w:sz w:val="20"/>
                <w:szCs w:val="20"/>
                <w:color w:val="auto"/>
              </w:rPr>
            </w:pPr>
            <w:r>
              <w:rPr>
                <w:rFonts w:ascii="Arial" w:cs="Arial" w:eastAsia="Arial" w:hAnsi="Arial"/>
                <w:sz w:val="14"/>
                <w:szCs w:val="14"/>
                <w:color w:val="auto"/>
              </w:rPr>
              <w:t>Six Months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2,180</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1,967</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10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0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2,454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167</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1,231</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1,124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(77)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4,344</w:t>
            </w:r>
          </w:p>
        </w:tc>
        <w:tc>
          <w:tcPr>
            <w:tcW w:w="3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3,749</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4"/>
          </w:cols>
          <w:pgMar w:left="436" w:top="279" w:right="479" w:bottom="1440" w:gutter="0" w:footer="0" w:header="0"/>
        </w:sectPr>
      </w:pPr>
    </w:p>
    <w:bookmarkStart w:id="23" w:name="page24"/>
    <w:bookmarkEnd w:id="23"/>
    <w:p>
      <w:pPr>
        <w:ind w:left="444"/>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84" w:lineRule="exact"/>
        <w:rPr>
          <w:sz w:val="20"/>
          <w:szCs w:val="20"/>
          <w:color w:val="auto"/>
        </w:rPr>
      </w:pPr>
    </w:p>
    <w:p>
      <w:pPr>
        <w:ind w:left="424" w:right="340" w:hanging="424"/>
        <w:spacing w:after="0" w:line="281" w:lineRule="auto"/>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depreciation and amortization expense for the second quarter of 2024, the first quarter of 2024, and the second quarter of 2023?</w:t>
      </w:r>
    </w:p>
    <w:p>
      <w:pPr>
        <w:spacing w:after="0" w:line="28" w:lineRule="exact"/>
        <w:rPr>
          <w:rFonts w:ascii="Arial" w:cs="Arial" w:eastAsia="Arial" w:hAnsi="Arial"/>
          <w:sz w:val="18"/>
          <w:szCs w:val="18"/>
          <w:b w:val="1"/>
          <w:bCs w:val="1"/>
          <w:color w:val="auto"/>
        </w:rPr>
      </w:pPr>
    </w:p>
    <w:p>
      <w:pPr>
        <w:ind w:left="444" w:right="1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second quarter of 2024, the first quarter of 2024, and the second quarter of 2023 were as follows:</w:t>
      </w:r>
    </w:p>
    <w:p>
      <w:pPr>
        <w:sectPr>
          <w:pgSz w:w="11900" w:h="16838" w:orient="portrait"/>
          <w:cols w:equalWidth="0" w:num="1">
            <w:col w:w="10984"/>
          </w:cols>
          <w:pgMar w:left="436" w:top="26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600" w:type="dxa"/>
            <w:vAlign w:val="bottom"/>
            <w:gridSpan w:val="3"/>
          </w:tcPr>
          <w:p>
            <w:pPr>
              <w:ind w:left="780"/>
              <w:spacing w:after="0"/>
              <w:rPr>
                <w:sz w:val="20"/>
                <w:szCs w:val="20"/>
                <w:color w:val="auto"/>
              </w:rPr>
            </w:pPr>
            <w:r>
              <w:rPr>
                <w:rFonts w:ascii="Arial" w:cs="Arial" w:eastAsia="Arial" w:hAnsi="Arial"/>
                <w:sz w:val="14"/>
                <w:szCs w:val="14"/>
                <w:color w:val="auto"/>
              </w:rPr>
              <w:t>First Quarter</w:t>
            </w:r>
          </w:p>
        </w:tc>
        <w:tc>
          <w:tcPr>
            <w:tcW w:w="1800" w:type="dxa"/>
            <w:vAlign w:val="bottom"/>
            <w:gridSpan w:val="3"/>
          </w:tcPr>
          <w:p>
            <w:pPr>
              <w:ind w:left="780"/>
              <w:spacing w:after="0"/>
              <w:rPr>
                <w:sz w:val="20"/>
                <w:szCs w:val="20"/>
                <w:color w:val="auto"/>
              </w:rPr>
            </w:pPr>
            <w:r>
              <w:rPr>
                <w:rFonts w:ascii="Arial" w:cs="Arial" w:eastAsia="Arial" w:hAnsi="Arial"/>
                <w:sz w:val="14"/>
                <w:szCs w:val="14"/>
                <w:color w:val="auto"/>
              </w:rPr>
              <w:t>Second Quarter</w:t>
            </w: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2024</w:t>
            </w: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2024</w:t>
            </w: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2023</w:t>
            </w:r>
          </w:p>
        </w:tc>
      </w:tr>
      <w:tr>
        <w:trPr>
          <w:trHeight w:val="177"/>
        </w:trPr>
        <w:tc>
          <w:tcPr>
            <w:tcW w:w="20" w:type="dxa"/>
            <w:vAlign w:val="bottom"/>
          </w:tcPr>
          <w:p>
            <w:pPr>
              <w:spacing w:after="0"/>
              <w:rPr>
                <w:sz w:val="15"/>
                <w:szCs w:val="15"/>
                <w:color w:val="auto"/>
              </w:rPr>
            </w:pPr>
          </w:p>
        </w:tc>
        <w:tc>
          <w:tcPr>
            <w:tcW w:w="22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384</w:t>
            </w:r>
          </w:p>
        </w:tc>
        <w:tc>
          <w:tcPr>
            <w:tcW w:w="78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7" w:lineRule="exact"/>
              <w:rPr>
                <w:sz w:val="20"/>
                <w:szCs w:val="20"/>
                <w:color w:val="auto"/>
              </w:rPr>
            </w:pPr>
            <w:r>
              <w:rPr>
                <w:rFonts w:ascii="Arial" w:cs="Arial" w:eastAsia="Arial" w:hAnsi="Arial"/>
                <w:sz w:val="18"/>
                <w:szCs w:val="18"/>
                <w:color w:val="auto"/>
              </w:rPr>
              <w:t>377</w:t>
            </w:r>
          </w:p>
        </w:tc>
        <w:tc>
          <w:tcPr>
            <w:tcW w:w="780" w:type="dxa"/>
            <w:vAlign w:val="bottom"/>
          </w:tcPr>
          <w:p>
            <w:pPr>
              <w:spacing w:after="0"/>
              <w:rPr>
                <w:sz w:val="15"/>
                <w:szCs w:val="15"/>
                <w:color w:val="auto"/>
              </w:rPr>
            </w:pPr>
          </w:p>
        </w:tc>
        <w:tc>
          <w:tcPr>
            <w:tcW w:w="22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353</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21"/>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-693420</wp:posOffset>
            </wp:positionV>
            <wp:extent cx="587184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-427990</wp:posOffset>
            </wp:positionV>
            <wp:extent cx="587184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-153670</wp:posOffset>
            </wp:positionV>
            <wp:extent cx="587184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ectPr>
          <w:pgSz w:w="11900" w:h="16838" w:orient="portrait"/>
          <w:cols w:equalWidth="0" w:num="2">
            <w:col w:w="4884" w:space="720"/>
            <w:col w:w="5380"/>
          </w:cols>
          <w:pgMar w:left="436" w:top="269" w:right="479" w:bottom="1440" w:gutter="0" w:footer="0" w:header="0"/>
          <w:type w:val="continuous"/>
        </w:sectPr>
      </w:pPr>
    </w:p>
    <w:bookmarkStart w:id="24" w:name="page25"/>
    <w:bookmarkEnd w:id="24"/>
    <w:p>
      <w:pPr>
        <w:ind w:left="424" w:right="340" w:hanging="424"/>
        <w:spacing w:after="0" w:line="281" w:lineRule="auto"/>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Divisions comprise SLB’s Core business and what were their revenue and pretax operating income for the second quarter of 2024, the first quarter of 2024, and the second quarter of 2023?</w:t>
      </w:r>
    </w:p>
    <w:p>
      <w:pPr>
        <w:spacing w:after="0" w:line="28" w:lineRule="exact"/>
        <w:rPr>
          <w:rFonts w:ascii="Arial" w:cs="Arial" w:eastAsia="Arial" w:hAnsi="Arial"/>
          <w:sz w:val="18"/>
          <w:szCs w:val="18"/>
          <w:b w:val="1"/>
          <w:bCs w:val="1"/>
          <w:color w:val="auto"/>
        </w:rPr>
      </w:pPr>
    </w:p>
    <w:p>
      <w:pPr>
        <w:ind w:left="444" w:right="1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SLB’s Core business comprises the Reservoir Performance, Well Construction, and Production Systems Divisions. SLB’s Core business revenue and pretax operating income for the second quarter of 2024, first quarter of 2024, and the second quarter of 2023 are calculated as follows: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4"/>
          </w:tcPr>
          <w:p>
            <w:pPr>
              <w:ind w:lef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300"/>
              <w:spacing w:after="0" w:line="147" w:lineRule="exact"/>
              <w:rPr>
                <w:sz w:val="20"/>
                <w:szCs w:val="20"/>
                <w:color w:val="auto"/>
              </w:rPr>
            </w:pPr>
            <w:r>
              <w:rPr>
                <w:rFonts w:ascii="Arial" w:cs="Arial" w:eastAsia="Arial" w:hAnsi="Arial"/>
                <w:sz w:val="14"/>
                <w:szCs w:val="14"/>
                <w:b w:val="1"/>
                <w:bCs w:val="1"/>
                <w:color w:val="auto"/>
                <w:w w:val="99"/>
              </w:rPr>
              <w:t>Jun. 30,</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2023</w:t>
            </w:r>
          </w:p>
        </w:tc>
        <w:tc>
          <w:tcPr>
            <w:tcW w:w="4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Sequential</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Year-on-year</w:t>
            </w:r>
          </w:p>
        </w:tc>
        <w:tc>
          <w:tcPr>
            <w:tcW w:w="0" w:type="dxa"/>
            <w:vAlign w:val="bottom"/>
          </w:tcPr>
          <w:p>
            <w:pPr>
              <w:spacing w:after="0"/>
              <w:rPr>
                <w:sz w:val="1"/>
                <w:szCs w:val="1"/>
                <w:color w:val="auto"/>
              </w:rPr>
            </w:pPr>
          </w:p>
        </w:tc>
      </w:tr>
      <w:tr>
        <w:trPr>
          <w:trHeight w:val="183"/>
        </w:trPr>
        <w:tc>
          <w:tcPr>
            <w:tcW w:w="4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20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1,819</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1,725</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1,643</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3,411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3,368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3,362</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3,025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2,818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2,313</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w w:val="97"/>
              </w:rPr>
              <w:t>8,255</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7"/>
              </w:rPr>
              <w:t>7,911</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7,318</w:t>
            </w:r>
          </w:p>
        </w:tc>
        <w:tc>
          <w:tcPr>
            <w:tcW w:w="74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376</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339</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306</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742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731</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278</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1,591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1,315</w:t>
            </w:r>
          </w:p>
        </w:tc>
        <w:tc>
          <w:tcPr>
            <w:tcW w:w="4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18.6%</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21.7%</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12.0%</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18.0%</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120 bps</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 bps</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0"/>
          <w:szCs w:val="20"/>
          <w:color w:val="auto"/>
        </w:rPr>
      </w:pPr>
    </w:p>
    <w:p>
      <w:pPr>
        <w:ind w:left="4" w:right="22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ind w:left="4" w:right="80"/>
        <w:spacing w:after="0" w:line="259" w:lineRule="auto"/>
        <w:rPr>
          <w:sz w:val="20"/>
          <w:szCs w:val="20"/>
          <w:color w:val="auto"/>
        </w:rPr>
      </w:pPr>
      <w:r>
        <w:rPr>
          <w:rFonts w:ascii="Arial" w:cs="Arial" w:eastAsia="Arial" w:hAnsi="Arial"/>
          <w:sz w:val="17"/>
          <w:szCs w:val="17"/>
          <w:color w:val="auto"/>
        </w:rPr>
        <w:t>SLB will hold a conference call to discuss the earnings press release and business outlook on Friday, July 19, 2024. The call is scheduled to begin at 9:30 a.m. US Eastern time. To access the call, which is open to the public, please contact the conference call operator at</w:t>
      </w:r>
    </w:p>
    <w:p>
      <w:pPr>
        <w:spacing w:after="0" w:line="1" w:lineRule="exact"/>
        <w:rPr>
          <w:sz w:val="20"/>
          <w:szCs w:val="20"/>
          <w:color w:val="auto"/>
        </w:rPr>
      </w:pPr>
    </w:p>
    <w:p>
      <w:pPr>
        <w:ind w:left="4" w:right="20"/>
        <w:spacing w:after="0" w:line="239" w:lineRule="auto"/>
        <w:rPr>
          <w:sz w:val="20"/>
          <w:szCs w:val="20"/>
          <w:color w:val="auto"/>
        </w:rPr>
      </w:pPr>
      <w:r>
        <w:rPr>
          <w:rFonts w:ascii="Arial" w:cs="Arial" w:eastAsia="Arial" w:hAnsi="Arial"/>
          <w:sz w:val="18"/>
          <w:szCs w:val="18"/>
          <w:color w:val="auto"/>
        </w:rPr>
        <w:t>+1 (844) 721-7241 within North America, or +1 (409) 207-6955 outside North America, approximately 10 minutes prior to the call’s scheduled start time, and provide the access code 8858313. At the conclusion of the conference call, an audio replay will be available until August 19, 2024, by dialing +1 (866) 207-1041 within North America, or +1 (402) 970-0847 outside North America, and providing the access code 1906897. The conference call will be webcast simultaneously at www.slb.com/irwebcast on a listen-only basis. A replay of the webcast will also be available at the same website until August 19, 2024.</w:t>
      </w:r>
    </w:p>
    <w:p>
      <w:pPr>
        <w:sectPr>
          <w:pgSz w:w="11900" w:h="16838" w:orient="portrait"/>
          <w:cols w:equalWidth="0" w:num="1">
            <w:col w:w="11024"/>
          </w:cols>
          <w:pgMar w:left="436" w:top="269"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Joy V. Domingo – Director of Investor Relations, SLB</w:t>
      </w:r>
    </w:p>
    <w:p>
      <w:pPr>
        <w:ind w:left="4"/>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Byerly – Vice President of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pacing w:after="0" w:line="200" w:lineRule="exact"/>
        <w:rPr>
          <w:sz w:val="20"/>
          <w:szCs w:val="20"/>
          <w:color w:val="auto"/>
        </w:rPr>
      </w:pPr>
    </w:p>
    <w:p>
      <w:pPr>
        <w:sectPr>
          <w:pgSz w:w="11900" w:h="16838" w:orient="portrait"/>
          <w:cols w:equalWidth="0" w:num="2">
            <w:col w:w="5544" w:space="200"/>
            <w:col w:w="5280"/>
          </w:cols>
          <w:pgMar w:left="436" w:top="269" w:right="439" w:bottom="1440" w:gutter="0" w:footer="0" w:header="0"/>
          <w:type w:val="continuous"/>
        </w:sectPr>
      </w:pP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024"/>
          </w:cols>
          <w:pgMar w:left="436" w:top="269" w:right="4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second-quarter 2024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pacing w:after="0" w:line="18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w:t>
      </w:r>
    </w:p>
    <w:p>
      <w:pPr>
        <w:sectPr>
          <w:pgSz w:w="11900" w:h="16838" w:orient="portrait"/>
          <w:cols w:equalWidth="0" w:num="1">
            <w:col w:w="11000"/>
          </w:cols>
          <w:pgMar w:left="440" w:top="269" w:right="459" w:bottom="1440" w:gutter="0" w:footer="0" w:header="0"/>
        </w:sectPr>
      </w:pPr>
    </w:p>
    <w:bookmarkStart w:id="26" w:name="page27"/>
    <w:bookmarkEnd w:id="26"/>
    <w:p>
      <w:pPr>
        <w:ind w:right="4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with ChampionX and Where to Find It</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1"/>
      <w:numFmt w:val="decimal"/>
      <w:start w:val="99"/>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8"/>
    </w:lvl>
  </w:abstractNum>
  <w:abstractNum w:abstractNumId="19">
    <w:nsid w:val="628C895D"/>
    <w:multiLevelType w:val="hybridMultilevel"/>
    <w:lvl w:ilvl="0">
      <w:lvlJc w:val="left"/>
      <w:lvlText w:val="%1)"/>
      <w:numFmt w:val="decimal"/>
      <w:start w:val="9"/>
    </w:lvl>
  </w:abstractNum>
  <w:abstractNum w:abstractNumId="20">
    <w:nsid w:val="333AB105"/>
    <w:multiLevelType w:val="hybridMultilevel"/>
    <w:lvl w:ilvl="0">
      <w:lvlJc w:val="left"/>
      <w:lvlText w:val="%1)"/>
      <w:numFmt w:val="decimal"/>
      <w:start w:val="10"/>
    </w:lvl>
  </w:abstractNum>
  <w:abstractNum w:abstractNumId="21">
    <w:nsid w:val="721DA31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2024-07-19T06:08:04Z</dcterms:created>
  <dcterms:modified xsi:type="dcterms:W3CDTF">2024-07-19T06:08:04Z</dcterms:modified>
</cp:coreProperties>
</file>