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817067d425.htm"/>
      <w:bookmarkStart w:id="1" w:name="ksd817067d425"/>
      <w:bookmarkStart w:id="2" w:name="d817067d425.htm"/>
      <w:bookmarkStart w:id="3" w:name="ksd817067d425"/>
      <w:bookmarkEnd w:id="2"/>
      <w:bookmarkEnd w:id="3"/>
    </w:p>
    <w:tbl>
      <w:tblPr>
        <w:tblW w:w="5000" w:type="pct"/>
        <w:jc w:val="center"/>
        <w:tblInd w:w="0" w:type="dxa"/>
        <w:tblLayout w:type="fixed"/>
        <w:tblCellMar>
          <w:top w:w="0" w:type="dxa"/>
          <w:left w:w="0" w:type="dxa"/>
          <w:bottom w:w="0" w:type="dxa"/>
          <w:right w:w="0" w:type="dxa"/>
        </w:tblCellMar>
      </w:tblPr>
      <w:tblGrid>
        <w:gridCol w:w="5612"/>
        <w:gridCol w:w="102"/>
        <w:gridCol w:w="4491"/>
      </w:tblGrid>
      <w:tr>
        <w:trPr/>
        <w:tc>
          <w:tcPr>
            <w:tcW w:w="56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0"/>
              <w:jc w:val="left"/>
              <w:rPr>
                <w:rFonts w:ascii="ARIAL" w:hAnsi="ARIAL"/>
                <w:sz w:val="20"/>
              </w:rPr>
            </w:pPr>
            <w:r>
              <w:rPr>
                <w:rFonts w:ascii="ARIAL" w:hAnsi="ARIAL"/>
                <w:sz w:val="20"/>
              </w:rPr>
              <w:t>Filed by Schlumberger N.V.</w:t>
            </w:r>
          </w:p>
          <w:p>
            <w:pPr>
              <w:pStyle w:val="TableContents"/>
              <w:bidi w:val="0"/>
              <w:spacing w:before="0" w:after="0"/>
              <w:jc w:val="left"/>
              <w:rPr>
                <w:rFonts w:ascii="ARIAL" w:hAnsi="ARIAL"/>
                <w:sz w:val="20"/>
              </w:rPr>
            </w:pPr>
            <w:r>
              <w:rPr>
                <w:rFonts w:ascii="ARIAL" w:hAnsi="ARIAL"/>
                <w:sz w:val="20"/>
              </w:rPr>
              <w:t>pursuant to Rule 425 under the Securities Act of 1933</w:t>
            </w:r>
          </w:p>
          <w:p>
            <w:pPr>
              <w:pStyle w:val="TableContents"/>
              <w:bidi w:val="0"/>
              <w:spacing w:before="0" w:after="0"/>
              <w:jc w:val="left"/>
              <w:rPr>
                <w:rFonts w:ascii="ARIAL" w:hAnsi="ARIAL"/>
                <w:sz w:val="20"/>
              </w:rPr>
            </w:pPr>
            <w:r>
              <w:rPr>
                <w:rFonts w:ascii="ARIAL" w:hAnsi="ARIAL"/>
                <w:sz w:val="20"/>
              </w:rPr>
              <w:t>and deemed filed pursuant to Rule 14a-12</w:t>
            </w:r>
          </w:p>
          <w:p>
            <w:pPr>
              <w:pStyle w:val="TableContents"/>
              <w:bidi w:val="0"/>
              <w:spacing w:before="0" w:after="0"/>
              <w:jc w:val="left"/>
              <w:rPr>
                <w:rFonts w:ascii="ARIAL" w:hAnsi="ARIAL"/>
                <w:sz w:val="20"/>
              </w:rPr>
            </w:pPr>
            <w:r>
              <w:rPr>
                <w:rFonts w:ascii="ARIAL" w:hAnsi="ARIAL"/>
                <w:sz w:val="20"/>
              </w:rPr>
              <w:t>under the Securities Exchange Act of 1934</w:t>
            </w:r>
          </w:p>
          <w:p>
            <w:pPr>
              <w:pStyle w:val="TableContents"/>
              <w:bidi w:val="0"/>
              <w:spacing w:before="0" w:after="0"/>
              <w:jc w:val="left"/>
              <w:rPr>
                <w:rFonts w:ascii="ARIAL" w:hAnsi="ARIAL"/>
                <w:sz w:val="20"/>
              </w:rPr>
            </w:pPr>
            <w:r>
              <w:rPr>
                <w:rFonts w:ascii="ARIAL" w:hAnsi="ARIAL"/>
                <w:sz w:val="20"/>
              </w:rPr>
              <w:t>Subject Company: ChampionX Corporation</w:t>
            </w:r>
          </w:p>
          <w:p>
            <w:pPr>
              <w:pStyle w:val="TableContents"/>
              <w:bidi w:val="0"/>
              <w:spacing w:before="0" w:after="0"/>
              <w:jc w:val="left"/>
              <w:rPr>
                <w:rFonts w:ascii="ARIAL" w:hAnsi="ARIAL"/>
                <w:sz w:val="20"/>
              </w:rPr>
            </w:pPr>
            <w:r>
              <w:rPr>
                <w:rFonts w:ascii="ARIAL" w:hAnsi="ARIAL"/>
                <w:sz w:val="20"/>
              </w:rPr>
              <w:t>Filers SEC File No.: 001-38441</w:t>
            </w:r>
          </w:p>
          <w:p>
            <w:pPr>
              <w:pStyle w:val="TableContents"/>
              <w:bidi w:val="0"/>
              <w:spacing w:before="0" w:after="20"/>
              <w:jc w:val="left"/>
              <w:rPr>
                <w:rFonts w:ascii="ARIAL" w:hAnsi="ARIAL"/>
                <w:sz w:val="20"/>
              </w:rPr>
            </w:pPr>
            <w:r>
              <w:rPr>
                <w:rFonts w:ascii="ARIAL" w:hAnsi="ARIAL"/>
                <w:sz w:val="20"/>
              </w:rPr>
              <w:t>Date: April 2, 2024</w:t>
            </w:r>
          </w:p>
        </w:tc>
      </w:tr>
    </w:tbl>
    <w:p>
      <w:pPr>
        <w:pStyle w:val="TextBody"/>
        <w:bidi w:val="0"/>
        <w:spacing w:before="240" w:after="0"/>
        <w:jc w:val="left"/>
        <w:rPr>
          <w:rFonts w:ascii="ARIAL" w:hAnsi="ARIAL"/>
          <w:b/>
          <w:color w:val="0214DC"/>
          <w:sz w:val="20"/>
        </w:rPr>
      </w:pPr>
      <w:r>
        <w:rPr>
          <w:rFonts w:ascii="ARIAL" w:hAnsi="ARIAL"/>
          <w:b/>
          <w:color w:val="0214DC"/>
          <w:sz w:val="20"/>
        </w:rPr>
        <w:t xml:space="preserve">FAQs </w:t>
      </w:r>
    </w:p>
    <w:p>
      <w:pPr>
        <w:pStyle w:val="TextBody"/>
        <w:bidi w:val="0"/>
        <w:spacing w:before="120" w:after="0"/>
        <w:jc w:val="left"/>
        <w:rPr>
          <w:rFonts w:ascii="ARIAL" w:hAnsi="ARIAL"/>
          <w:color w:val="0214DC"/>
          <w:sz w:val="20"/>
        </w:rPr>
      </w:pPr>
      <w:r>
        <w:rPr>
          <w:rFonts w:ascii="ARIAL" w:hAnsi="ARIAL"/>
          <w:color w:val="0214DC"/>
          <w:sz w:val="20"/>
        </w:rPr>
        <w:t xml:space="preserve">Central FAQs </w:t>
      </w:r>
    </w:p>
    <w:p>
      <w:pPr>
        <w:pStyle w:val="TextBody"/>
        <w:bidi w:val="0"/>
        <w:spacing w:before="120" w:after="0"/>
        <w:jc w:val="left"/>
        <w:rPr>
          <w:rFonts w:ascii="ARIAL" w:hAnsi="ARIAL"/>
          <w:b/>
          <w:color w:val="0214DC"/>
          <w:sz w:val="20"/>
        </w:rPr>
      </w:pPr>
      <w:r>
        <w:rPr>
          <w:rFonts w:ascii="ARIAL" w:hAnsi="ARIAL"/>
          <w:b/>
          <w:color w:val="0214DC"/>
          <w:sz w:val="20"/>
        </w:rPr>
        <w:t xml:space="preserve">General Questions </w:t>
      </w:r>
    </w:p>
    <w:p>
      <w:pPr>
        <w:pStyle w:val="TextBody"/>
        <w:bidi w:val="0"/>
        <w:spacing w:before="120" w:after="0"/>
        <w:jc w:val="left"/>
        <w:rPr>
          <w:rFonts w:ascii="ARIAL" w:hAnsi="ARIAL"/>
          <w:sz w:val="20"/>
        </w:rPr>
      </w:pPr>
      <w:r>
        <w:rPr>
          <w:rFonts w:ascii="ARIAL" w:hAnsi="ARIAL"/>
          <w:sz w:val="20"/>
        </w:rPr>
        <w:t xml:space="preserve">How does this acquisition fit within SLBs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SLBs core oil and gas business will continue to be a key engine of growth. Deliberately increasing our exposure to the production and recovery space will align us with a growing and resilient OpEx spend category into the next decade.</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Energy customers are constantly looking to drive more efficient performance and recovery in the production phase of their operations. There is an opportunity to improve and enhance production operations holistically, from increasing digital adoption to lowering costs to lowering carbon intensity.</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The combined portfolio will allow for greater innovation, market reach and customer choice and value.</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What are the key offerings of ChampionX?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Production ChemicalsProvides oil and natural gas production and midstream markets with solutions to manage and control corrosion, oil and water separation, flow assurance, sour gas treatment and a host of water-related issues.</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Production and Automation TechDesigns, manufactures, markets and services a full range of artificial lift equipment, end-to-end digital automation solutions, and other production equipment and asset monitoring technologies; sold under a collection of brands.</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Drilling TechnologiesDesigns, manufactures and markets polycrystalline diamond cutters and bearings for use in oil and gas drill bits under the U.S. Synthetic brand.</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Reservoir ChemicalsManufactures specialty products that support well stimulation, construction (including drilling and cementing) and remediation needs in the oil and natural gas industry.</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What are the general financial terms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ChampionX shareholders will receive 0.735 shares of SLB in exchange for each share of ChampionX stock.</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The agreement places a value of $40.59 per ChampionX share, which represents a 14.7% premium based on the closing price of April 1, 2024.</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Upon closing, ChampionX shareholders will collectively own approximately 9% of SLB outstanding shares.</w:t>
            </w:r>
            <w:r>
              <w:rPr>
                <w:rFonts w:ascii="ARIAL" w:hAnsi="ARIAL"/>
                <w:color w:val="0214DC"/>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When do you expect the transaction to 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The anticipated close date is before the end of 2024 and is subject to customary closing terms and conditions and regulatory requirements.</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Both companies will continue to run their businesses independently and separately (business as usual) until the transaction is closed.</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How will customers benefit from this proposed deal?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Customers will benefit from the enhanced portfolio, geographical reach and technology innovation. SLBs comprehensive production and recovery portfolio will provide solutions throughout the full lifecycle of the well to increase customer production, reduce overall cost of ownership and lower carbon emissions.</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This will help our global customers drive efficiency and longevity of producing assets.</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What are the synergies from this acquisition?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SLB expects annual pre-tax synergies to reach approximately $400 million within three years, with 70-80% realized in 2026 and the remainder in 2027. These synergies consist primarily of reduced operating costs, supply chain optimization and G&amp;A savings, as well as the benefits from revenue synergies that are expected to grow considerably in future years. The revenue synergies come primarily from new technology innovation leveraging the combined offering and expanding ChampionXs reach via SLBs international presence.</w:t>
            </w:r>
            <w:r>
              <w:rPr>
                <w:rFonts w:ascii="ARIAL" w:hAnsi="ARIAL"/>
                <w:color w:val="0214DC"/>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A dedicated integration team will start immediately and will work across both companies until closing and beyond, utilizing best practices and lessons learned from other acquisitions.</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How does this acquisition impact SLBs geographical mix?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This move will strengthen our international offering while driving innovation and efficiency in North America through SLBs and ChampionXs complementary footprints. At closing, SLBs geographical mix will be 75% international and 25% North America. Post-acquisition, we expect the international revenue mix to climb.</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ChampionXs artificial lift portfolio includes certain products that SLB divested a few years back. Do you intend to keep those when the transaction closes or if you keep them, why would they now be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ChampionXs artificial lift portfolio, comprising ESP, Rod Lift, PCP and Gas Lift, is an integrated offering supported by digital capabilities that help customers optimize their lift solutions throughout the life of the well. This business is notably different from the businesses we divested back in 2020, as ChampionXs integrated offering has strong customer recognition in North America and generates superior margins. Post acquisition, we fully intend to preserve this business and expand internationally.</w:t>
            </w:r>
            <w:r>
              <w:rPr>
                <w:rFonts w:ascii="ARIAL" w:hAnsi="ARIAL"/>
                <w:color w:val="0214DC"/>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color w:val="0214DC"/>
          <w:sz w:val="20"/>
        </w:rPr>
      </w:pPr>
      <w:r>
        <w:rPr>
          <w:rFonts w:ascii="ARIAL" w:hAnsi="ARIAL"/>
          <w:b/>
          <w:color w:val="0214DC"/>
          <w:sz w:val="20"/>
        </w:rPr>
        <w:t xml:space="preserve">Operational and Organizational Questions </w:t>
      </w:r>
    </w:p>
    <w:p>
      <w:pPr>
        <w:pStyle w:val="TextBody"/>
        <w:bidi w:val="0"/>
        <w:spacing w:before="120" w:after="0"/>
        <w:jc w:val="left"/>
        <w:rPr>
          <w:rFonts w:ascii="ARIAL" w:hAnsi="ARIAL"/>
          <w:sz w:val="20"/>
        </w:rPr>
      </w:pPr>
      <w:r>
        <w:rPr>
          <w:rFonts w:ascii="ARIAL" w:hAnsi="ARIAL"/>
          <w:sz w:val="20"/>
        </w:rPr>
        <w:t xml:space="preserve">How will ChampionX be run inside SLB?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Our intention is to leverage the best aspects of both organizations. We will preserve the agility and customer relationships in North America, which ChampionX is known for, and we will maximize the benefit from SLBs market reach internationally. A joint integration team from both organizations will focus on this during the course of the next few months leading to closing.</w:t>
            </w:r>
            <w:r>
              <w:rPr>
                <w:rFonts w:ascii="ARIAL" w:hAnsi="ARIAL"/>
                <w:color w:val="0214DC"/>
                <w:sz w:val="20"/>
              </w:rPr>
              <w:t xml:space="preserve"> </w:t>
            </w:r>
          </w:p>
        </w:tc>
      </w:tr>
    </w:tbl>
    <w:p>
      <w:pPr>
        <w:pStyle w:val="TextBody"/>
        <w:bidi w:val="0"/>
        <w:spacing w:before="360" w:after="0"/>
        <w:jc w:val="left"/>
        <w:rPr>
          <w:rFonts w:ascii="ARIAL" w:hAnsi="ARIAL"/>
          <w:sz w:val="20"/>
        </w:rPr>
      </w:pPr>
      <w:r>
        <w:rPr>
          <w:rFonts w:ascii="ARIAL" w:hAnsi="ARIAL"/>
          <w:sz w:val="20"/>
        </w:rPr>
        <w:t xml:space="preserve">How many ChampionX people will transfer to SLB?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0214DC"/>
              </w:rPr>
            </w:pPr>
            <w:r>
              <w:rPr>
                <w:color w:val="0214DC"/>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All of ChampionXs employees will become SLB employees.</w:t>
            </w:r>
            <w:r>
              <w:rPr>
                <w:rFonts w:ascii="ARIAL" w:hAnsi="ARIAL"/>
                <w:color w:val="0214DC"/>
                <w:sz w:val="20"/>
              </w:rPr>
              <w:t xml:space="preserve"> </w:t>
            </w:r>
          </w:p>
        </w:tc>
      </w:tr>
    </w:tbl>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rFonts w:ascii="ARIAL" w:hAnsi="ARIAL"/>
          <w:sz w:val="20"/>
        </w:rPr>
      </w:pPr>
      <w:r>
        <w:rPr>
          <w:rFonts w:ascii="ARIAL" w:hAnsi="ARIAL"/>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w:t>
        <w:br/>
        <w:t>(https://www.sec.gov/ix?doc=/Archives/edgar/data/1723089/000172308923000073/championx-20230327.htm),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w:t>
        <w:br/>
        <w:t xml:space="preserve">(https://www.sec.gov/ix?doc=/Archives/edgar/data/1723089/000172308924000011/championx-20231231.htm),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2906</Words>
  <Characters>15905</Characters>
  <CharactersWithSpaces>18581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