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2005</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154305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4340" w:type="dxa"/>
            <w:vAlign w:val="bottom"/>
          </w:tcPr>
          <w:p>
            <w:pPr>
              <w:jc w:val="center"/>
              <w:ind w:right="2006"/>
              <w:spacing w:after="0"/>
              <w:rPr>
                <w:sz w:val="20"/>
                <w:szCs w:val="20"/>
                <w:color w:val="auto"/>
              </w:rPr>
            </w:pPr>
            <w:r>
              <w:rPr>
                <w:rFonts w:ascii="Arial" w:cs="Arial" w:eastAsia="Arial" w:hAnsi="Arial"/>
                <w:sz w:val="18"/>
                <w:szCs w:val="18"/>
                <w:b w:val="1"/>
                <w:bCs w:val="1"/>
                <w:color w:val="auto"/>
                <w:w w:val="98"/>
              </w:rPr>
              <w:t>NETHERLANDS ANTILLES</w:t>
            </w:r>
          </w:p>
        </w:tc>
        <w:tc>
          <w:tcPr>
            <w:tcW w:w="3140" w:type="dxa"/>
            <w:vAlign w:val="bottom"/>
          </w:tcPr>
          <w:p>
            <w:pPr>
              <w:jc w:val="center"/>
              <w:ind w:left="1986"/>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340" w:type="dxa"/>
            <w:vAlign w:val="bottom"/>
          </w:tcPr>
          <w:p>
            <w:pPr>
              <w:jc w:val="center"/>
              <w:ind w:right="202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140" w:type="dxa"/>
            <w:vAlign w:val="bottom"/>
          </w:tcPr>
          <w:p>
            <w:pPr>
              <w:jc w:val="center"/>
              <w:ind w:left="200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340" w:type="dxa"/>
            <w:vAlign w:val="bottom"/>
          </w:tcPr>
          <w:p>
            <w:pPr>
              <w:jc w:val="center"/>
              <w:ind w:right="2026"/>
              <w:spacing w:after="0"/>
              <w:rPr>
                <w:sz w:val="20"/>
                <w:szCs w:val="20"/>
                <w:color w:val="auto"/>
              </w:rPr>
            </w:pPr>
            <w:r>
              <w:rPr>
                <w:rFonts w:ascii="Arial" w:cs="Arial" w:eastAsia="Arial" w:hAnsi="Arial"/>
                <w:sz w:val="14"/>
                <w:szCs w:val="14"/>
                <w:b w:val="1"/>
                <w:bCs w:val="1"/>
                <w:color w:val="auto"/>
                <w:w w:val="88"/>
              </w:rPr>
              <w:t>incorporation or organization)</w:t>
            </w:r>
          </w:p>
        </w:tc>
        <w:tc>
          <w:tcPr>
            <w:tcW w:w="3140" w:type="dxa"/>
            <w:vAlign w:val="bottom"/>
          </w:tcPr>
          <w:p>
            <w:pPr>
              <w:jc w:val="center"/>
              <w:ind w:left="200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35" w:lineRule="exact"/>
        <w:rPr>
          <w:sz w:val="24"/>
          <w:szCs w:val="24"/>
          <w:color w:val="auto"/>
        </w:rPr>
      </w:pPr>
    </w:p>
    <w:p>
      <w:pPr>
        <w:sectPr>
          <w:pgSz w:w="11900" w:h="16838" w:orient="portrait"/>
          <w:cols w:equalWidth="0" w:num="1">
            <w:col w:w="11420"/>
          </w:cols>
          <w:pgMar w:left="240" w:top="355" w:right="239" w:bottom="1440" w:gutter="0" w:footer="0" w:header="0"/>
        </w:sectPr>
      </w:pPr>
    </w:p>
    <w:p>
      <w:pPr>
        <w:ind w:left="1540"/>
        <w:spacing w:after="0"/>
        <w:rPr>
          <w:sz w:val="20"/>
          <w:szCs w:val="20"/>
          <w:color w:val="auto"/>
        </w:rPr>
      </w:pPr>
      <w:r>
        <w:rPr>
          <w:rFonts w:ascii="Arial" w:cs="Arial" w:eastAsia="Arial" w:hAnsi="Arial"/>
          <w:sz w:val="16"/>
          <w:szCs w:val="16"/>
          <w:b w:val="1"/>
          <w:bCs w:val="1"/>
          <w:color w:val="auto"/>
        </w:rPr>
        <w:t>153 EAST 53</w:t>
      </w:r>
      <w:r>
        <w:rPr>
          <w:rFonts w:ascii="Arial" w:cs="Arial" w:eastAsia="Arial" w:hAnsi="Arial"/>
          <w:sz w:val="20"/>
          <w:szCs w:val="20"/>
          <w:b w:val="1"/>
          <w:bCs w:val="1"/>
          <w:color w:val="auto"/>
          <w:vertAlign w:val="superscript"/>
        </w:rPr>
        <w:t>rd</w:t>
      </w:r>
      <w:r>
        <w:rPr>
          <w:rFonts w:ascii="Arial" w:cs="Arial" w:eastAsia="Arial" w:hAnsi="Arial"/>
          <w:sz w:val="16"/>
          <w:szCs w:val="16"/>
          <w:b w:val="1"/>
          <w:bCs w:val="1"/>
          <w:color w:val="auto"/>
        </w:rPr>
        <w:t xml:space="preserve"> STREET, 57</w:t>
      </w:r>
      <w:r>
        <w:rPr>
          <w:rFonts w:ascii="Arial" w:cs="Arial" w:eastAsia="Arial" w:hAnsi="Arial"/>
          <w:sz w:val="20"/>
          <w:szCs w:val="20"/>
          <w:b w:val="1"/>
          <w:bCs w:val="1"/>
          <w:color w:val="auto"/>
          <w:vertAlign w:val="superscript"/>
        </w:rPr>
        <w:t>th</w:t>
      </w:r>
      <w:r>
        <w:rPr>
          <w:rFonts w:ascii="Arial" w:cs="Arial" w:eastAsia="Arial" w:hAnsi="Arial"/>
          <w:sz w:val="16"/>
          <w:szCs w:val="16"/>
          <w:b w:val="1"/>
          <w:bCs w:val="1"/>
          <w:color w:val="auto"/>
        </w:rPr>
        <w:t xml:space="preserve"> Floor</w:t>
      </w:r>
    </w:p>
    <w:p>
      <w:pPr>
        <w:spacing w:after="0" w:line="6"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NEW YORK, NEW YORK, U.S.A.</w:t>
      </w:r>
    </w:p>
    <w:p>
      <w:pPr>
        <w:spacing w:after="0" w:line="242"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42, RUE SAINT-DOMINIQUE</w:t>
      </w:r>
    </w:p>
    <w:p>
      <w:pPr>
        <w:spacing w:after="0" w:line="21"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PARIS, FRANCE</w:t>
      </w:r>
    </w:p>
    <w:p>
      <w:pPr>
        <w:spacing w:after="0" w:line="226"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PARKSTRAAT 83</w:t>
      </w:r>
    </w:p>
    <w:p>
      <w:pPr>
        <w:spacing w:after="0" w:line="21"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THE HAGUE,</w:t>
      </w:r>
    </w:p>
    <w:p>
      <w:pPr>
        <w:spacing w:after="0" w:line="9"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THE NETHERLANDS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10022</w:t>
      </w:r>
    </w:p>
    <w:p>
      <w:pPr>
        <w:spacing w:after="0" w:line="200" w:lineRule="exact"/>
        <w:rPr>
          <w:sz w:val="24"/>
          <w:szCs w:val="24"/>
          <w:color w:val="auto"/>
        </w:rPr>
      </w:pPr>
    </w:p>
    <w:p>
      <w:pPr>
        <w:spacing w:after="0" w:line="255"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75007</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2514 JG</w:t>
      </w:r>
    </w:p>
    <w:p>
      <w:pPr>
        <w:spacing w:after="0" w:line="44" w:lineRule="exact"/>
        <w:rPr>
          <w:sz w:val="24"/>
          <w:szCs w:val="24"/>
          <w:color w:val="auto"/>
        </w:rPr>
      </w:pPr>
    </w:p>
    <w:p>
      <w:pPr>
        <w:sectPr>
          <w:pgSz w:w="11900" w:h="16838" w:orient="portrait"/>
          <w:cols w:equalWidth="0" w:num="2">
            <w:col w:w="7660" w:space="720"/>
            <w:col w:w="3040"/>
          </w:cols>
          <w:pgMar w:left="240" w:top="355" w:right="239" w:bottom="1440" w:gutter="0" w:footer="0" w:header="0"/>
          <w:type w:val="continuous"/>
        </w:sectPr>
      </w:pPr>
    </w:p>
    <w:p>
      <w:pPr>
        <w:ind w:left="1700"/>
        <w:spacing w:after="0"/>
        <w:tabs>
          <w:tab w:leader="none" w:pos="8320" w:val="left"/>
        </w:tabs>
        <w:rPr>
          <w:sz w:val="20"/>
          <w:szCs w:val="20"/>
          <w:color w:val="auto"/>
        </w:rPr>
      </w:pPr>
      <w:r>
        <w:rPr>
          <w:rFonts w:ascii="Arial" w:cs="Arial" w:eastAsia="Arial" w:hAnsi="Arial"/>
          <w:sz w:val="14"/>
          <w:szCs w:val="14"/>
          <w:b w:val="1"/>
          <w:bCs w:val="1"/>
          <w:color w:val="auto"/>
        </w:rPr>
        <w:t>(Addresses of principal executive offices)</w:t>
      </w:r>
      <w:r>
        <w:rPr>
          <w:sz w:val="20"/>
          <w:szCs w:val="20"/>
          <w:color w:val="auto"/>
        </w:rPr>
        <w:tab/>
      </w:r>
      <w:r>
        <w:rPr>
          <w:rFonts w:ascii="Arial" w:cs="Arial" w:eastAsia="Arial" w:hAnsi="Arial"/>
          <w:sz w:val="12"/>
          <w:szCs w:val="12"/>
          <w:b w:val="1"/>
          <w:bCs w:val="1"/>
          <w:color w:val="auto"/>
        </w:rPr>
        <w:t>(Zip Codes)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 the United States, including area code: (212) 350-9400</w:t>
      </w:r>
    </w:p>
    <w:p>
      <w:pPr>
        <w:spacing w:after="0" w:line="1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Registrant (1) has filed all reports required to be filed by Section 13 or 15(d) of the Securities Exchange Act of 1934 during the</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7400" w:type="dxa"/>
            <w:vAlign w:val="bottom"/>
            <w:gridSpan w:val="3"/>
          </w:tcPr>
          <w:p>
            <w:pPr>
              <w:spacing w:after="0" w:line="207" w:lineRule="exact"/>
              <w:rPr>
                <w:sz w:val="20"/>
                <w:szCs w:val="20"/>
                <w:color w:val="auto"/>
              </w:rPr>
            </w:pPr>
            <w:r>
              <w:rPr>
                <w:rFonts w:ascii="Arial" w:cs="Arial" w:eastAsia="Arial" w:hAnsi="Arial"/>
                <w:sz w:val="18"/>
                <w:szCs w:val="18"/>
                <w:color w:val="auto"/>
                <w:w w:val="89"/>
              </w:rPr>
              <w:t xml:space="preserve">preceding 12 months and (2) has been subject to such filing requirements for the past 90 days.  YES </w:t>
            </w:r>
            <w:r>
              <w:rPr>
                <w:rFonts w:ascii="MS PGothic" w:cs="MS PGothic" w:eastAsia="MS PGothic" w:hAnsi="MS PGothic"/>
                <w:sz w:val="18"/>
                <w:szCs w:val="18"/>
                <w:color w:val="auto"/>
                <w:w w:val="89"/>
              </w:rPr>
              <w:t>☒</w:t>
            </w:r>
          </w:p>
        </w:tc>
        <w:tc>
          <w:tcPr>
            <w:tcW w:w="140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11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326"/>
        </w:trPr>
        <w:tc>
          <w:tcPr>
            <w:tcW w:w="8800" w:type="dxa"/>
            <w:vAlign w:val="bottom"/>
            <w:gridSpan w:val="4"/>
          </w:tcPr>
          <w:p>
            <w:pPr>
              <w:spacing w:after="0"/>
              <w:rPr>
                <w:sz w:val="20"/>
                <w:szCs w:val="20"/>
                <w:color w:val="auto"/>
              </w:rPr>
            </w:pPr>
            <w:r>
              <w:rPr>
                <w:rFonts w:ascii="Arial" w:cs="Arial" w:eastAsia="Arial" w:hAnsi="Arial"/>
                <w:sz w:val="18"/>
                <w:szCs w:val="18"/>
                <w:color w:val="auto"/>
                <w:w w:val="90"/>
              </w:rPr>
              <w:t>Indicate by check mark whether the Registrant is an accelerated filer (as defined in Rule 12b-2 of the Exchange Act).  YES</w:t>
            </w:r>
          </w:p>
        </w:tc>
        <w:tc>
          <w:tcPr>
            <w:tcW w:w="1160" w:type="dxa"/>
            <w:vAlign w:val="bottom"/>
          </w:tcPr>
          <w:p>
            <w:pPr>
              <w:jc w:val="center"/>
              <w:ind w:right="192"/>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1460" w:type="dxa"/>
            <w:vAlign w:val="bottom"/>
          </w:tcPr>
          <w:p>
            <w:pPr>
              <w:spacing w:after="0"/>
              <w:rPr>
                <w:sz w:val="24"/>
                <w:szCs w:val="24"/>
                <w:color w:val="auto"/>
              </w:rPr>
            </w:pPr>
          </w:p>
        </w:tc>
      </w:tr>
      <w:tr>
        <w:trPr>
          <w:trHeight w:val="365"/>
        </w:trPr>
        <w:tc>
          <w:tcPr>
            <w:tcW w:w="8800" w:type="dxa"/>
            <w:vAlign w:val="bottom"/>
            <w:gridSpan w:val="4"/>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1160" w:type="dxa"/>
            <w:vAlign w:val="bottom"/>
          </w:tcPr>
          <w:p>
            <w:pPr>
              <w:jc w:val="center"/>
              <w:ind w:right="252"/>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1460" w:type="dxa"/>
            <w:vAlign w:val="bottom"/>
          </w:tcPr>
          <w:p>
            <w:pPr>
              <w:spacing w:after="0"/>
              <w:rPr>
                <w:sz w:val="24"/>
                <w:szCs w:val="24"/>
                <w:color w:val="auto"/>
              </w:rPr>
            </w:pPr>
          </w:p>
        </w:tc>
      </w:tr>
      <w:tr>
        <w:trPr>
          <w:trHeight w:val="345"/>
        </w:trPr>
        <w:tc>
          <w:tcPr>
            <w:tcW w:w="8800" w:type="dxa"/>
            <w:vAlign w:val="bottom"/>
            <w:gridSpan w:val="4"/>
          </w:tcPr>
          <w:p>
            <w:pPr>
              <w:spacing w:after="0"/>
              <w:rPr>
                <w:sz w:val="20"/>
                <w:szCs w:val="20"/>
                <w:color w:val="auto"/>
              </w:rPr>
            </w:pPr>
            <w:r>
              <w:rPr>
                <w:rFonts w:ascii="Arial" w:cs="Arial" w:eastAsia="Arial" w:hAnsi="Arial"/>
                <w:sz w:val="18"/>
                <w:szCs w:val="18"/>
                <w:color w:val="auto"/>
                <w:w w:val="88"/>
              </w:rPr>
              <w:t>Indicate the number of shares outstanding of each of the issuer’s classes of common stock, as of the latest practicable date.</w:t>
            </w: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2"/>
        </w:trPr>
        <w:tc>
          <w:tcPr>
            <w:tcW w:w="2660" w:type="dxa"/>
            <w:vAlign w:val="bottom"/>
          </w:tcPr>
          <w:p>
            <w:pPr>
              <w:spacing w:after="0"/>
              <w:rPr>
                <w:sz w:val="24"/>
                <w:szCs w:val="24"/>
                <w:color w:val="auto"/>
              </w:rPr>
            </w:pPr>
          </w:p>
        </w:tc>
        <w:tc>
          <w:tcPr>
            <w:tcW w:w="4740" w:type="dxa"/>
            <w:vAlign w:val="bottom"/>
            <w:gridSpan w:val="2"/>
          </w:tcPr>
          <w:p>
            <w:pPr>
              <w:jc w:val="center"/>
              <w:ind w:right="4320"/>
              <w:spacing w:after="0"/>
              <w:rPr>
                <w:sz w:val="20"/>
                <w:szCs w:val="20"/>
                <w:color w:val="auto"/>
              </w:rPr>
            </w:pPr>
            <w:r>
              <w:rPr>
                <w:rFonts w:ascii="Arial" w:cs="Arial" w:eastAsia="Arial" w:hAnsi="Arial"/>
                <w:sz w:val="14"/>
                <w:szCs w:val="14"/>
                <w:b w:val="1"/>
                <w:bCs w:val="1"/>
                <w:color w:val="auto"/>
                <w:w w:val="80"/>
              </w:rPr>
              <w:t>Class</w:t>
            </w:r>
          </w:p>
        </w:tc>
        <w:tc>
          <w:tcPr>
            <w:tcW w:w="2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Outstanding at September 30, 2005</w:t>
            </w:r>
          </w:p>
        </w:tc>
        <w:tc>
          <w:tcPr>
            <w:tcW w:w="1460" w:type="dxa"/>
            <w:vAlign w:val="bottom"/>
          </w:tcPr>
          <w:p>
            <w:pPr>
              <w:spacing w:after="0"/>
              <w:rPr>
                <w:sz w:val="24"/>
                <w:szCs w:val="24"/>
                <w:color w:val="auto"/>
              </w:rPr>
            </w:pPr>
          </w:p>
        </w:tc>
      </w:tr>
      <w:tr>
        <w:trPr>
          <w:trHeight w:val="95"/>
        </w:trPr>
        <w:tc>
          <w:tcPr>
            <w:tcW w:w="26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2560" w:type="dxa"/>
            <w:vAlign w:val="bottom"/>
            <w:tcBorders>
              <w:bottom w:val="single" w:sz="8" w:color="auto"/>
            </w:tcBorders>
            <w:gridSpan w:val="2"/>
          </w:tcPr>
          <w:p>
            <w:pPr>
              <w:spacing w:after="0"/>
              <w:rPr>
                <w:sz w:val="8"/>
                <w:szCs w:val="8"/>
                <w:color w:val="auto"/>
              </w:rPr>
            </w:pPr>
          </w:p>
        </w:tc>
        <w:tc>
          <w:tcPr>
            <w:tcW w:w="1460" w:type="dxa"/>
            <w:vAlign w:val="bottom"/>
          </w:tcPr>
          <w:p>
            <w:pPr>
              <w:spacing w:after="0"/>
              <w:rPr>
                <w:sz w:val="8"/>
                <w:szCs w:val="8"/>
                <w:color w:val="auto"/>
              </w:rPr>
            </w:pPr>
          </w:p>
        </w:tc>
      </w:tr>
      <w:tr>
        <w:trPr>
          <w:trHeight w:val="316"/>
        </w:trPr>
        <w:tc>
          <w:tcPr>
            <w:tcW w:w="7400" w:type="dxa"/>
            <w:vAlign w:val="bottom"/>
            <w:gridSpan w:val="3"/>
          </w:tcPr>
          <w:p>
            <w:pPr>
              <w:jc w:val="center"/>
              <w:ind w:right="1660"/>
              <w:spacing w:after="0"/>
              <w:rPr>
                <w:sz w:val="20"/>
                <w:szCs w:val="20"/>
                <w:color w:val="auto"/>
              </w:rPr>
            </w:pPr>
            <w:r>
              <w:rPr>
                <w:rFonts w:ascii="Arial" w:cs="Arial" w:eastAsia="Arial" w:hAnsi="Arial"/>
                <w:sz w:val="18"/>
                <w:szCs w:val="18"/>
                <w:b w:val="1"/>
                <w:bCs w:val="1"/>
                <w:color w:val="auto"/>
                <w:w w:val="95"/>
              </w:rPr>
              <w:t>COMMON STOCK, $0.01 PAR VALUE</w:t>
            </w:r>
          </w:p>
        </w:tc>
        <w:tc>
          <w:tcPr>
            <w:tcW w:w="2560" w:type="dxa"/>
            <w:vAlign w:val="bottom"/>
            <w:gridSpan w:val="2"/>
          </w:tcPr>
          <w:p>
            <w:pPr>
              <w:jc w:val="right"/>
              <w:ind w:right="752"/>
              <w:spacing w:after="0"/>
              <w:rPr>
                <w:sz w:val="20"/>
                <w:szCs w:val="20"/>
                <w:color w:val="auto"/>
              </w:rPr>
            </w:pPr>
            <w:r>
              <w:rPr>
                <w:rFonts w:ascii="Arial" w:cs="Arial" w:eastAsia="Arial" w:hAnsi="Arial"/>
                <w:sz w:val="18"/>
                <w:szCs w:val="18"/>
                <w:b w:val="1"/>
                <w:bCs w:val="1"/>
                <w:color w:val="auto"/>
              </w:rPr>
              <w:t>589,088,349</w:t>
            </w:r>
          </w:p>
        </w:tc>
        <w:tc>
          <w:tcPr>
            <w:tcW w:w="1460" w:type="dxa"/>
            <w:vAlign w:val="bottom"/>
          </w:tcPr>
          <w:p>
            <w:pPr>
              <w:spacing w:after="0"/>
              <w:rPr>
                <w:sz w:val="24"/>
                <w:szCs w:val="24"/>
                <w:color w:val="auto"/>
              </w:rPr>
            </w:pPr>
          </w:p>
        </w:tc>
      </w:tr>
      <w:tr>
        <w:trPr>
          <w:trHeight w:val="201"/>
        </w:trPr>
        <w:tc>
          <w:tcPr>
            <w:tcW w:w="26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(Stated 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89"/>
              </w:rPr>
              <w:t>Period Ended September 30,</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22"/>
                <w:szCs w:val="22"/>
                <w:color w:val="auto"/>
              </w:rPr>
            </w:pPr>
          </w:p>
        </w:tc>
        <w:tc>
          <w:tcPr>
            <w:tcW w:w="19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3,698,093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2,905,927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10,285,836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8,412,495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Interest &amp;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80,101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314,874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Cost of goods sold &amp; services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2,757,310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2,301,238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7,711,496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6,653,279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128,266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371,121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11,828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34,086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89,850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266,167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Debt extinguishment costs</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147,636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 and minority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740,303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2,070,204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Taxes on income</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174,953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74,390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474,772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195,924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minority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565,350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1,595,432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(24,547)</w:t>
            </w: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(8,519)</w:t>
            </w:r>
          </w:p>
        </w:tc>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(56,991)</w:t>
            </w:r>
          </w:p>
        </w:tc>
        <w:tc>
          <w:tcPr>
            <w:tcW w:w="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(19,645)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540,803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1,538,441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220" w:type="dxa"/>
            <w:vAlign w:val="bottom"/>
            <w:gridSpan w:val="3"/>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20,240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7,972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231,444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540,803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1,546,413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0.92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2.61</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0.89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589,820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589,936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589,298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589,186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Assuming dilution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615,923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614,223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-2299970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-2299970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-2299970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-2299970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-2299970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-2299970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-2299970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-2299970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-2299970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-2299970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-2299970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-2299970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-1442085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-1442085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-1442085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-1442085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-1442085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-1442085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-1442085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-1442085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-1442085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-1442085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-1442085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-1442085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-584835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-584835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-584835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-584835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-584835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-584835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-584835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-584835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-584835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-584835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-584835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-584835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Amounts may not add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60"/>
              <w:spacing w:after="0"/>
              <w:rPr>
                <w:sz w:val="20"/>
                <w:szCs w:val="20"/>
                <w:color w:val="auto"/>
              </w:rPr>
            </w:pPr>
            <w:r>
              <w:rPr>
                <w:rFonts w:ascii="Arial" w:cs="Arial" w:eastAsia="Arial" w:hAnsi="Arial"/>
                <w:sz w:val="14"/>
                <w:szCs w:val="14"/>
                <w:b w:val="1"/>
                <w:bCs w:val="1"/>
                <w:i w:val="1"/>
                <w:iCs w:val="1"/>
                <w:color w:val="auto"/>
              </w:rPr>
              <w:t>(Stated in thousands)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1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8"/>
              </w:rPr>
              <w:t>Sept. 30, 2005</w:t>
            </w:r>
          </w:p>
        </w:tc>
        <w:tc>
          <w:tcPr>
            <w:tcW w:w="1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28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183,821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2,819,171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2,773,922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less allowance for doubtful accounts (2005 - $95,980; 2004 - $114,403)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3,260,056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2,663,642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974,253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819,745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180,488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354,537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7,772,326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7,059,749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8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378,702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203,750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AFFILIATED COMPANIES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920,414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4,020,664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3,761,729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245,264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2,922,220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2,789,048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351,567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327,025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297,374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17,235,556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16,000,777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LIABILITIES &amp; STOCKHOLDERS’ EQUITY</w:t>
            </w:r>
          </w:p>
        </w:tc>
        <w:tc>
          <w:tcPr>
            <w:tcW w:w="5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928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3,121,868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2,980,790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951,298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858,785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124,737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Long-term debt - current portion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121,681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&amp; short-term loans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552,594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Liabilities held for sale</w:t>
            </w: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4,872,178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4,701,200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8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3,743,847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3,944,180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710,088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162,861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151,457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9,488,974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9,467,602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470,465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2,681,466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2,454,219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retained for use in the business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7,463,073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6,287,905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Treasury stock at cost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(1,956,045)</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(1,684,394)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(912,377)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(940,993)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7,276,117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6,116,737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17,235,556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16,000,777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900" w:type="dxa"/>
            <w:vAlign w:val="bottom"/>
          </w:tcPr>
          <w:p>
            <w:pPr>
              <w:ind w:left="640"/>
              <w:spacing w:after="0"/>
              <w:rPr>
                <w:sz w:val="20"/>
                <w:szCs w:val="20"/>
                <w:color w:val="auto"/>
              </w:rPr>
            </w:pPr>
            <w:r>
              <w:rPr>
                <w:rFonts w:ascii="Arial" w:cs="Arial" w:eastAsia="Arial" w:hAnsi="Arial"/>
                <w:sz w:val="18"/>
                <w:szCs w:val="18"/>
                <w:color w:val="auto"/>
              </w:rPr>
              <w:t>See Notes to Consolidated 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80" w:type="dxa"/>
            <w:vAlign w:val="bottom"/>
            <w:gridSpan w:val="4"/>
          </w:tcPr>
          <w:p>
            <w:pPr>
              <w:ind w:left="562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-4613910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-4613910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-4613910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-4613910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-4613910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-4613910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-557530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-557530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-557530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-557530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-557530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4"/>
                <w:szCs w:val="14"/>
                <w:b w:val="1"/>
                <w:bCs w:val="1"/>
                <w:i w:val="1"/>
                <w:iCs w:val="1"/>
                <w:color w:val="auto"/>
                <w:w w:val="82"/>
              </w:rPr>
              <w:t>(Stated in thousands)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Nine Months Ended Sept.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1,538,441</w:t>
            </w: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662,654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Adjustments to reconcile income from continuing operations to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86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992,088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968,629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860"/>
              <w:spacing w:after="0" w:line="217" w:lineRule="exact"/>
              <w:rPr>
                <w:sz w:val="20"/>
                <w:szCs w:val="20"/>
                <w:color w:val="auto"/>
              </w:rPr>
            </w:pPr>
            <w:r>
              <w:rPr>
                <w:rFonts w:ascii="Arial" w:cs="Arial" w:eastAsia="Arial" w:hAnsi="Arial"/>
                <w:sz w:val="18"/>
                <w:szCs w:val="18"/>
                <w:color w:val="auto"/>
              </w:rPr>
              <w:t xml:space="preserve">Credits and charges, net of tax &amp; minority interest </w:t>
            </w:r>
            <w:r>
              <w:rPr>
                <w:rFonts w:ascii="Arial" w:cs="Arial" w:eastAsia="Arial" w:hAnsi="Arial"/>
                <w:sz w:val="22"/>
                <w:szCs w:val="22"/>
                <w:color w:val="auto"/>
                <w:vertAlign w:val="superscript"/>
              </w:rPr>
              <w:t>(2)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(152,157)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860"/>
              <w:spacing w:after="0"/>
              <w:rPr>
                <w:sz w:val="20"/>
                <w:szCs w:val="20"/>
                <w:color w:val="auto"/>
              </w:rPr>
            </w:pPr>
            <w:r>
              <w:rPr>
                <w:rFonts w:ascii="Arial" w:cs="Arial" w:eastAsia="Arial" w:hAnsi="Arial"/>
                <w:sz w:val="18"/>
                <w:szCs w:val="18"/>
                <w:color w:val="auto"/>
              </w:rPr>
              <w:t>Earnings of companies carried at equity, less dividends received</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(51,500)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Deferred taxes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36,613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860"/>
              <w:spacing w:after="0"/>
              <w:rPr>
                <w:sz w:val="20"/>
                <w:szCs w:val="20"/>
                <w:color w:val="auto"/>
              </w:rPr>
            </w:pPr>
            <w:r>
              <w:rPr>
                <w:rFonts w:ascii="Arial" w:cs="Arial" w:eastAsia="Arial" w:hAnsi="Arial"/>
                <w:sz w:val="18"/>
                <w:szCs w:val="18"/>
                <w:color w:val="auto"/>
              </w:rPr>
              <w:t>Stock based compensation expense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29,237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Provision for losses on accounts receivable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17,374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rPr>
              <w:t>Change in operating assets and liabilities excluding acquisitions/divestitures: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Increase in receivables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(555,060)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860"/>
              <w:spacing w:after="0"/>
              <w:rPr>
                <w:sz w:val="20"/>
                <w:szCs w:val="20"/>
                <w:color w:val="auto"/>
              </w:rPr>
            </w:pPr>
            <w:r>
              <w:rPr>
                <w:rFonts w:ascii="Arial" w:cs="Arial" w:eastAsia="Arial" w:hAnsi="Arial"/>
                <w:sz w:val="18"/>
                <w:szCs w:val="18"/>
                <w:color w:val="auto"/>
              </w:rPr>
              <w:t>Increase in inventories</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(143,015)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Increase in other current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(80,482)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860"/>
              <w:spacing w:after="0"/>
              <w:rPr>
                <w:sz w:val="20"/>
                <w:szCs w:val="20"/>
                <w:color w:val="auto"/>
              </w:rPr>
            </w:pPr>
            <w:r>
              <w:rPr>
                <w:rFonts w:ascii="Arial" w:cs="Arial" w:eastAsia="Arial" w:hAnsi="Arial"/>
                <w:sz w:val="18"/>
                <w:szCs w:val="18"/>
                <w:color w:val="auto"/>
              </w:rPr>
              <w:t>Increase in accounts payable and accrued liabilities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34,358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Increase in estimated liability for taxes on income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129,299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860"/>
              <w:spacing w:after="0"/>
              <w:rPr>
                <w:sz w:val="20"/>
                <w:szCs w:val="20"/>
                <w:color w:val="auto"/>
              </w:rPr>
            </w:pPr>
            <w:r>
              <w:rPr>
                <w:rFonts w:ascii="Arial" w:cs="Arial" w:eastAsia="Arial" w:hAnsi="Arial"/>
                <w:sz w:val="18"/>
                <w:szCs w:val="18"/>
                <w:color w:val="auto"/>
              </w:rPr>
              <w:t>Increase in postretirement benefits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39,145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Other -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1,896,641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1,195,961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rPr>
              <w:t>Purchase of fixed assets</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(1,098,986)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(797,980)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Multiclient seismic data capitalized</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(36,512)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rPr>
              <w:t>Capitalization of intangible assets</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(26,641)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Sale of Atos shares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1,164,662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rPr>
              <w:t>Sale of Axalto shares</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98,851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Business acquisitions, net of cash acquired</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(93,487)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rPr>
              <w:t>Proceeds from business divestitures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21,871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1,729,085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Sale of Montrouge facility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229,801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rPr>
              <w:t>(Purchase) sale of investments, net</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(236,177)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556,237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67,955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PROVIDED BY INVESTING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(1,172,176)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2,646,810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rPr>
              <w:t>Dividends paid</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(357,642)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Distribution to joint venture partner</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48,343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158,553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rPr>
              <w:t>Stock repurchase program</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(407,604)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(236,556)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844,668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rPr>
              <w:t>Debt extinguishment costs</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Settlement of US Interest Rate Swap</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420"/>
              <w:spacing w:after="0"/>
              <w:rPr>
                <w:sz w:val="20"/>
                <w:szCs w:val="20"/>
                <w:color w:val="auto"/>
              </w:rPr>
            </w:pPr>
            <w:r>
              <w:rPr>
                <w:rFonts w:ascii="Arial" w:cs="Arial" w:eastAsia="Arial" w:hAnsi="Arial"/>
                <w:sz w:val="18"/>
                <w:szCs w:val="18"/>
                <w:color w:val="auto"/>
              </w:rPr>
              <w:t>Payments of principal on long-term debt</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(1,021,539)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(3,503,626)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Net (decrease) increase in short-term debt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(19,916)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BY FINANCING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(770,137)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(3,653,748)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7,972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(decrease) increase in cash before translation</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(37,700)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Translation effect on cash</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223,503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183,821</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-172720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-172720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-172720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-172720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multiclient seismic data costs.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 xml:space="preserve">See Note 2 – </w:t>
      </w:r>
      <w:r>
        <w:rPr>
          <w:rFonts w:ascii="Arial" w:cs="Arial" w:eastAsia="Arial" w:hAnsi="Arial"/>
          <w:sz w:val="18"/>
          <w:szCs w:val="18"/>
          <w:i w:val="1"/>
          <w:iCs w:val="1"/>
          <w:color w:val="auto"/>
        </w:rPr>
        <w:t>Charges and Credits</w:t>
      </w:r>
      <w:r>
        <w:rPr>
          <w:rFonts w:ascii="Arial" w:cs="Arial" w:eastAsia="Arial" w:hAnsi="Arial"/>
          <w:sz w:val="18"/>
          <w:szCs w:val="18"/>
          <w:color w:val="auto"/>
        </w:rPr>
        <w:t xml:space="preserve"> – </w:t>
      </w:r>
      <w:r>
        <w:rPr>
          <w:rFonts w:ascii="Arial" w:cs="Arial" w:eastAsia="Arial" w:hAnsi="Arial"/>
          <w:sz w:val="18"/>
          <w:szCs w:val="18"/>
          <w:i w:val="1"/>
          <w:iCs w:val="1"/>
          <w:color w:val="auto"/>
        </w:rPr>
        <w:t>Continuing Operations</w:t>
      </w:r>
      <w:r>
        <w:rPr>
          <w:rFonts w:ascii="Arial" w:cs="Arial" w:eastAsia="Arial" w:hAnsi="Arial"/>
          <w:sz w:val="18"/>
          <w:szCs w:val="18"/>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w:t>
      </w:r>
    </w:p>
    <w:p>
      <w:pPr>
        <w:sectPr>
          <w:pgSz w:w="11900" w:h="16838" w:orient="portrait"/>
          <w:cols w:equalWidth="0" w:num="1">
            <w:col w:w="11420"/>
          </w:cols>
          <w:pgMar w:left="240" w:top="274"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00" w:type="dxa"/>
            <w:vAlign w:val="bottom"/>
            <w:gridSpan w:val="8"/>
          </w:tcPr>
          <w:p>
            <w:pPr>
              <w:jc w:val="right"/>
              <w:ind w:right="60"/>
              <w:spacing w:after="0"/>
              <w:rPr>
                <w:sz w:val="20"/>
                <w:szCs w:val="20"/>
                <w:color w:val="auto"/>
              </w:rPr>
            </w:pPr>
            <w:r>
              <w:rPr>
                <w:rFonts w:ascii="Arial" w:cs="Arial" w:eastAsia="Arial" w:hAnsi="Arial"/>
                <w:sz w:val="14"/>
                <w:szCs w:val="14"/>
                <w:b w:val="1"/>
                <w:bCs w:val="1"/>
                <w:i w:val="1"/>
                <w:iCs w:val="1"/>
                <w:color w:val="auto"/>
              </w:rPr>
              <w:t>(Stated in thousands)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1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20" w:type="dxa"/>
            <w:vAlign w:val="bottom"/>
            <w:gridSpan w:val="14"/>
          </w:tcPr>
          <w:p>
            <w:pPr>
              <w:ind w:left="60"/>
              <w:spacing w:after="0"/>
              <w:rPr>
                <w:sz w:val="20"/>
                <w:szCs w:val="20"/>
                <w:color w:val="auto"/>
              </w:rPr>
            </w:pPr>
            <w:r>
              <w:rPr>
                <w:rFonts w:ascii="Arial" w:cs="Arial" w:eastAsia="Arial" w:hAnsi="Arial"/>
                <w:sz w:val="14"/>
                <w:szCs w:val="14"/>
                <w:b w:val="1"/>
                <w:bCs w:val="1"/>
                <w:color w:val="auto"/>
                <w:w w:val="99"/>
              </w:rPr>
              <w:t>Accumulated Other Comprehensive Income (Loss)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Marked to</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Pension</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4"/>
          </w:tcPr>
          <w:p>
            <w:pPr>
              <w:ind w:left="40"/>
              <w:spacing w:after="0"/>
              <w:rPr>
                <w:sz w:val="20"/>
                <w:szCs w:val="20"/>
                <w:color w:val="auto"/>
              </w:rPr>
            </w:pPr>
            <w:r>
              <w:rPr>
                <w:rFonts w:ascii="Arial" w:cs="Arial" w:eastAsia="Arial" w:hAnsi="Arial"/>
                <w:sz w:val="14"/>
                <w:szCs w:val="14"/>
                <w:b w:val="1"/>
                <w:bCs w:val="1"/>
                <w:color w:val="auto"/>
              </w:rPr>
              <w:t>Translation</w:t>
            </w: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00" w:type="dxa"/>
            <w:vAlign w:val="bottom"/>
            <w:gridSpan w:val="3"/>
          </w:tcPr>
          <w:p>
            <w:pPr>
              <w:ind w:left="220"/>
              <w:spacing w:after="0"/>
              <w:rPr>
                <w:sz w:val="20"/>
                <w:szCs w:val="20"/>
                <w:color w:val="auto"/>
              </w:rPr>
            </w:pPr>
            <w:r>
              <w:rPr>
                <w:rFonts w:ascii="Arial" w:cs="Arial" w:eastAsia="Arial" w:hAnsi="Arial"/>
                <w:sz w:val="14"/>
                <w:szCs w:val="14"/>
                <w:b w:val="1"/>
                <w:bCs w:val="1"/>
                <w:color w:val="auto"/>
              </w:rPr>
              <w:t>Issued</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 Treasury</w:t>
            </w: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Liability</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4"/>
          </w:tcPr>
          <w:p>
            <w:pPr>
              <w:ind w:left="20"/>
              <w:spacing w:after="0"/>
              <w:rPr>
                <w:sz w:val="20"/>
                <w:szCs w:val="20"/>
                <w:color w:val="auto"/>
              </w:rPr>
            </w:pPr>
            <w:r>
              <w:rPr>
                <w:rFonts w:ascii="Arial" w:cs="Arial" w:eastAsia="Arial" w:hAnsi="Arial"/>
                <w:sz w:val="14"/>
                <w:szCs w:val="14"/>
                <w:b w:val="1"/>
                <w:bCs w:val="1"/>
                <w:color w:val="auto"/>
              </w:rPr>
              <w:t>Adjustment</w:t>
            </w: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Income (Loss)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$2,454,219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$(1,684,394)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$6,287,905</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(235,271)</w:t>
            </w:r>
          </w:p>
        </w:tc>
        <w:tc>
          <w:tcPr>
            <w:tcW w:w="4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(758,495)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1,546,413</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1,546,413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Hanover stock marked to market, net of tax</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Hanover stock - partial sale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Derivatives marked to market, net of tax</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Translation adjustment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28,429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Sale of Essentis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Minimum pension liability</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71,870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71,870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Tax benefit on minimum pension liability</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(27,874)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Dividends declared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(371,245)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plan</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(407,604)</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49,499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28,484</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shares sold to optionees less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exchanged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77,120</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81,433</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Shares granted to Directors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cost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29,237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Tax benefit on stock options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16,934</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on conversion of debentures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Purchase of PetroAlliance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53,438</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25,550</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$2,681,466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$(1,956,045)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$7,463,073</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(191,275)</w:t>
            </w:r>
          </w:p>
        </w:tc>
        <w:tc>
          <w:tcPr>
            <w:tcW w:w="4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(737,109)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1,575,029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300" w:type="dxa"/>
            <w:vAlign w:val="bottom"/>
            <w:gridSpan w:val="9"/>
          </w:tcPr>
          <w:p>
            <w:pPr>
              <w:jc w:val="right"/>
              <w:ind w:right="40"/>
              <w:spacing w:after="0"/>
              <w:rPr>
                <w:sz w:val="20"/>
                <w:szCs w:val="20"/>
                <w:color w:val="auto"/>
              </w:rPr>
            </w:pPr>
            <w:r>
              <w:rPr>
                <w:rFonts w:ascii="Arial" w:cs="Arial" w:eastAsia="Arial" w:hAnsi="Arial"/>
                <w:sz w:val="18"/>
                <w:szCs w:val="18"/>
                <w:b w:val="1"/>
                <w:bCs w:val="1"/>
                <w:color w:val="auto"/>
              </w:rPr>
              <w:t>SHARES OF COMMON STOCK</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gridSpan w:val="4"/>
          </w:tcPr>
          <w:p>
            <w:pPr>
              <w:jc w:val="right"/>
              <w:ind w:right="760"/>
              <w:spacing w:after="0"/>
              <w:rPr>
                <w:sz w:val="20"/>
                <w:szCs w:val="20"/>
                <w:color w:val="auto"/>
              </w:rPr>
            </w:pPr>
            <w:r>
              <w:rPr>
                <w:rFonts w:ascii="Arial" w:cs="Arial" w:eastAsia="Arial" w:hAnsi="Arial"/>
                <w:sz w:val="18"/>
                <w:szCs w:val="18"/>
                <w:b w:val="1"/>
                <w:bCs w:val="1"/>
                <w:color w:val="auto"/>
              </w:rPr>
              <w:t>(Unaudited)</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ind w:left="300"/>
              <w:spacing w:after="0"/>
              <w:rPr>
                <w:sz w:val="20"/>
                <w:szCs w:val="20"/>
                <w:color w:val="auto"/>
              </w:rPr>
            </w:pPr>
            <w:r>
              <w:rPr>
                <w:rFonts w:ascii="Arial" w:cs="Arial" w:eastAsia="Arial" w:hAnsi="Arial"/>
                <w:sz w:val="14"/>
                <w:szCs w:val="14"/>
                <w:b w:val="1"/>
                <w:bCs w:val="1"/>
                <w:color w:val="auto"/>
              </w:rPr>
              <w:t>Issued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In Treasury</w:t>
            </w: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2005</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667,106,015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(78,604,352)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588,501,663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Stock repurchase plan</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(5,506,600)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(5,506,600)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1,308,749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1,308,749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Shares sold to optionees less shares exchanged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3,612,147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3,612,147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Shares issued on conversion of debentures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4"/>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Purchase of PetroAlliance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1,150,323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1,150,323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2005</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667,106,082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(78,017,733)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589,088,349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2361565</wp:posOffset>
            </wp:positionH>
            <wp:positionV relativeFrom="paragraph">
              <wp:posOffset>-2233295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-2233295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-2233295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-2233295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-2233295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-2233295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-2233295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-2233295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-2233295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-2233295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-2233295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-2233295</wp:posOffset>
            </wp:positionV>
            <wp:extent cx="10420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420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-2233295</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-2233295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-2233295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-2233295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8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(“Schlumberger”) and its subsidiaries,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consisting only of normal and recurring adjustments, considered necessary for a fair presentation have been included in the accompanying unaudited financial statements. All intercompany transactions and balances have been eliminated in consolidation. Operating results for the nine month period ended September 30, 2005 are not necessarily indicative of the results that may be expected for the full year ending December 31, 2005. The December 31, 2004 balance sheet information has been derived from the audited 2004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Schlumberger’s Annual Report on Form 10-K for the fiscal year ended December 31, 2004, filed with the Securities and Exchange Commission on March 4, 2005.</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Certain items from prior year have been reclassified to conform to the current year presentation.</w:t>
      </w:r>
    </w:p>
    <w:p>
      <w:pPr>
        <w:spacing w:after="0" w:line="152" w:lineRule="exact"/>
        <w:rPr>
          <w:sz w:val="20"/>
          <w:szCs w:val="20"/>
          <w:color w:val="auto"/>
        </w:rPr>
      </w:pPr>
    </w:p>
    <w:p>
      <w:pPr>
        <w:ind w:right="7760" w:firstLine="8"/>
        <w:spacing w:after="0" w:line="332" w:lineRule="auto"/>
        <w:tabs>
          <w:tab w:leader="none" w:pos="17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Charges and Credits – Continuing Operations </w:t>
      </w:r>
      <w:r>
        <w:rPr>
          <w:rFonts w:ascii="Arial" w:cs="Arial" w:eastAsia="Arial" w:hAnsi="Arial"/>
          <w:sz w:val="18"/>
          <w:szCs w:val="18"/>
          <w:b w:val="1"/>
          <w:bCs w:val="1"/>
          <w:color w:val="auto"/>
        </w:rPr>
        <w:t>2005</w:t>
      </w:r>
    </w:p>
    <w:p>
      <w:pPr>
        <w:ind w:left="20"/>
        <w:spacing w:after="0"/>
        <w:rPr>
          <w:rFonts w:ascii="Arial" w:cs="Arial" w:eastAsia="Arial" w:hAnsi="Arial"/>
          <w:sz w:val="18"/>
          <w:szCs w:val="18"/>
          <w:b w:val="1"/>
          <w:bCs w:val="1"/>
          <w:color w:val="auto"/>
        </w:rPr>
      </w:pPr>
      <w:r>
        <w:rPr>
          <w:rFonts w:ascii="Arial" w:cs="Arial" w:eastAsia="Arial" w:hAnsi="Arial"/>
          <w:sz w:val="18"/>
          <w:szCs w:val="18"/>
          <w:color w:val="auto"/>
        </w:rPr>
        <w:t>Third quarter of 2005:</w:t>
      </w:r>
    </w:p>
    <w:p>
      <w:pPr>
        <w:spacing w:after="0" w:line="7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 xml:space="preserve">In the third quarter of 2005, Schlumberger recorded a pretax and after-tax gain of approximately $18 million relating to the resolution of a contingency associated with the March 2005 sale of its facility in Montrouge, France. This gain is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First quarter of 2005:</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In March 2005, Schlumberger sold its facility in Montrouge, France to a third party for $230 million, resulting in a pretax and after-tax gain of approximately</w:t>
      </w:r>
    </w:p>
    <w:p>
      <w:pPr>
        <w:spacing w:after="0" w:line="38" w:lineRule="exact"/>
        <w:rPr>
          <w:sz w:val="20"/>
          <w:szCs w:val="20"/>
          <w:color w:val="auto"/>
        </w:rPr>
      </w:pPr>
    </w:p>
    <w:p>
      <w:pPr>
        <w:ind w:right="100"/>
        <w:spacing w:after="0" w:line="361" w:lineRule="auto"/>
        <w:rPr>
          <w:sz w:val="20"/>
          <w:szCs w:val="20"/>
          <w:color w:val="auto"/>
        </w:rPr>
      </w:pPr>
      <w:r>
        <w:rPr>
          <w:rFonts w:ascii="Arial" w:cs="Arial" w:eastAsia="Arial" w:hAnsi="Arial"/>
          <w:sz w:val="15"/>
          <w:szCs w:val="15"/>
          <w:color w:val="auto"/>
        </w:rPr>
        <w:t xml:space="preserve">$146 million, which is classified in </w:t>
      </w:r>
      <w:r>
        <w:rPr>
          <w:rFonts w:ascii="Arial" w:cs="Arial" w:eastAsia="Arial" w:hAnsi="Arial"/>
          <w:sz w:val="15"/>
          <w:szCs w:val="15"/>
          <w:i w:val="1"/>
          <w:iCs w:val="1"/>
          <w:color w:val="auto"/>
        </w:rPr>
        <w:t>Interest &amp; other income</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Schlumberger also recorded other real estate related pretax charges of approximately $12 million ($11 million after-tax), which are classified in </w:t>
      </w:r>
      <w:r>
        <w:rPr>
          <w:rFonts w:ascii="Arial" w:cs="Arial" w:eastAsia="Arial" w:hAnsi="Arial"/>
          <w:sz w:val="15"/>
          <w:szCs w:val="15"/>
          <w:i w:val="1"/>
          <w:iCs w:val="1"/>
          <w:color w:val="auto"/>
        </w:rPr>
        <w:t>Cost of goods sold &amp; services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Debt Extinguishment Costs</w:t>
      </w:r>
    </w:p>
    <w:p>
      <w:pPr>
        <w:spacing w:after="0" w:line="77"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In June 2004, Schlumberger Technology Corporation bought back and retired $351 million of its outstanding $1 billion 6.5% Notes due 2012. As a result, Schlumberger recorded a pretax charge of $37 million ($23 million after-tax), which included market premium and transaction costs.</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March 2004, Schlumberger plc (SPLC) accepted tenders for the outstanding £175 million SPLC 6.50% Guaranteed Bonds due 2032. In addition, Schlumberger SA (SSA) bought back €25 million of the outstanding €274 million SSA 5.25% Guaranteed Bonds due 2008 and €7 million of the outstanding €259 million SSA 5.875% Guaranteed Bonds due 2011. As a result, Schlumberger recorded a pretax and after-tax charge of $77 million, which included market and tender premiums, and transaction costs.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The above pretax charges are classified in </w:t>
      </w:r>
      <w:r>
        <w:rPr>
          <w:rFonts w:ascii="Arial" w:cs="Arial" w:eastAsia="Arial" w:hAnsi="Arial"/>
          <w:sz w:val="18"/>
          <w:szCs w:val="18"/>
          <w:i w:val="1"/>
          <w:iCs w:val="1"/>
          <w:color w:val="auto"/>
        </w:rPr>
        <w:t>Debt extinguishment costs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5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-6-</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Charges and Credits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2004:</w:t>
      </w:r>
    </w:p>
    <w:p>
      <w:pPr>
        <w:spacing w:after="0" w:line="77" w:lineRule="exact"/>
        <w:rPr>
          <w:sz w:val="20"/>
          <w:szCs w:val="20"/>
          <w:color w:val="auto"/>
        </w:rPr>
      </w:pPr>
    </w:p>
    <w:p>
      <w:pPr>
        <w:ind w:left="760" w:right="160" w:hanging="326"/>
        <w:spacing w:after="0" w:line="325"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In connection with its ongoing restructuring program in order to reduce overhead, Schlumberger recorded a pretax and after-tax charge of $3 million related to employee severance. This charge is classified in </w:t>
      </w:r>
      <w:r>
        <w:rPr>
          <w:rFonts w:ascii="Arial" w:cs="Arial" w:eastAsia="Arial" w:hAnsi="Arial"/>
          <w:sz w:val="16"/>
          <w:szCs w:val="16"/>
          <w:i w:val="1"/>
          <w:iCs w:val="1"/>
          <w:color w:val="auto"/>
        </w:rPr>
        <w:t>Cost of goods sold &amp;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760" w:hanging="326"/>
        <w:spacing w:after="0" w:line="26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Schlumberger recorded a pretax charge of $11 million ($10 million after-tax) related to an intellectual property settlement which is classified in </w:t>
      </w:r>
      <w:r>
        <w:rPr>
          <w:rFonts w:ascii="Arial" w:cs="Arial" w:eastAsia="Arial" w:hAnsi="Arial"/>
          <w:sz w:val="18"/>
          <w:szCs w:val="18"/>
          <w:i w:val="1"/>
          <w:iCs w:val="1"/>
          <w:color w:val="auto"/>
        </w:rPr>
        <w:t>Cost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goods sold &amp; 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2004:</w:t>
      </w:r>
    </w:p>
    <w:p>
      <w:pPr>
        <w:spacing w:after="0" w:line="77" w:lineRule="exact"/>
        <w:rPr>
          <w:sz w:val="20"/>
          <w:szCs w:val="20"/>
          <w:color w:val="auto"/>
        </w:rPr>
      </w:pPr>
    </w:p>
    <w:p>
      <w:pPr>
        <w:jc w:val="both"/>
        <w:ind w:left="760" w:right="180" w:hanging="326"/>
        <w:spacing w:after="0" w:line="256"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Schlumberger sold 9.7 million ordinary shares of Atos Origin SA at a price of €48.50 per share. The net proceeds for the sale were $551 million and Schlumberger recorded a pretax and after-tax loss of $7 million on this transaction, which reflects both banking fees and currency effect. The pretax charge is classified in </w:t>
      </w:r>
      <w:r>
        <w:rPr>
          <w:rFonts w:ascii="Arial" w:cs="Arial" w:eastAsia="Arial" w:hAnsi="Arial"/>
          <w:sz w:val="18"/>
          <w:szCs w:val="18"/>
          <w:i w:val="1"/>
          <w:iCs w:val="1"/>
          <w:color w:val="auto"/>
        </w:rPr>
        <w:t>Interest &amp;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As a result of this transaction, Schlumberger does not have any remaining ownership interest in Atos Origin SA.</w:t>
      </w:r>
    </w:p>
    <w:p>
      <w:pPr>
        <w:spacing w:after="0" w:line="48" w:lineRule="exact"/>
        <w:rPr>
          <w:rFonts w:ascii="Arial" w:cs="Arial" w:eastAsia="Arial" w:hAnsi="Arial"/>
          <w:sz w:val="18"/>
          <w:szCs w:val="18"/>
          <w:color w:val="auto"/>
        </w:rPr>
      </w:pPr>
    </w:p>
    <w:p>
      <w:pPr>
        <w:ind w:left="760" w:right="80" w:hanging="326"/>
        <w:spacing w:after="0" w:line="325"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In connection with its restructuring program in order to reduce overhead, Schlumberger recorded a pretax and after-tax charge of $4 million related to employee terminations. This charge is classified in </w:t>
      </w:r>
      <w:r>
        <w:rPr>
          <w:rFonts w:ascii="Arial" w:cs="Arial" w:eastAsia="Arial" w:hAnsi="Arial"/>
          <w:sz w:val="16"/>
          <w:szCs w:val="16"/>
          <w:i w:val="1"/>
          <w:iCs w:val="1"/>
          <w:color w:val="auto"/>
        </w:rPr>
        <w:t>Cost of goods sold &amp;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760" w:right="400" w:hanging="326"/>
        <w:spacing w:after="0" w:line="268"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Schlumberger Technology Corporation settled its US Interest Rate Swaps resulting in a pretax gain of $10 million ($6 million after-tax), which is classified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760" w:right="140" w:hanging="326"/>
        <w:spacing w:after="0" w:line="268"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charge of $11 million related to a vacated leased facility in the UK, which is classified in </w:t>
      </w:r>
      <w:r>
        <w:rPr>
          <w:rFonts w:ascii="Arial" w:cs="Arial" w:eastAsia="Arial" w:hAnsi="Arial"/>
          <w:sz w:val="18"/>
          <w:szCs w:val="18"/>
          <w:i w:val="1"/>
          <w:iCs w:val="1"/>
          <w:color w:val="auto"/>
        </w:rPr>
        <w:t>Cost of goods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sold &amp; 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760" w:right="340" w:hanging="326"/>
        <w:spacing w:after="0" w:line="268"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credit of $5 million related to the release of a litigation reserve that was no longer required, which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2004:</w:t>
      </w:r>
    </w:p>
    <w:p>
      <w:pPr>
        <w:spacing w:after="0" w:line="77" w:lineRule="exact"/>
        <w:rPr>
          <w:sz w:val="20"/>
          <w:szCs w:val="20"/>
          <w:color w:val="auto"/>
        </w:rPr>
      </w:pPr>
    </w:p>
    <w:p>
      <w:pPr>
        <w:ind w:left="760" w:hanging="326"/>
        <w:spacing w:after="0" w:line="25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Schlumberger Technology Corporation paid off its commercial paper program in the US. As a result, the $500 million US interest-rate swaps that were designated as cash-flow hedges became ineffective. Schlumberger recorded a pretax non-cash charge of $73 million ($46 million after-tax) to recognize unrealized losses previously recorded in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xml:space="preserve"> The pretax charge is classified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ind w:left="760" w:right="120" w:hanging="326"/>
        <w:spacing w:after="0" w:line="25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Schlumberger sold 9.6 million ordinary shares of Atos Origin SA at a price of €52.95 per share. The net proceeds for the sale were $625 million and Schlumberger recorded a pretax and after-tax loss of $14 million on this transaction, which reflects both banking fees and currency effect. The pretax charge is classified in </w:t>
      </w:r>
      <w:r>
        <w:rPr>
          <w:rFonts w:ascii="Arial" w:cs="Arial" w:eastAsia="Arial" w:hAnsi="Arial"/>
          <w:sz w:val="18"/>
          <w:szCs w:val="18"/>
          <w:i w:val="1"/>
          <w:iCs w:val="1"/>
          <w:color w:val="auto"/>
        </w:rPr>
        <w:t>Interest &amp;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jc w:val="both"/>
        <w:ind w:left="760" w:right="200" w:hanging="326"/>
        <w:spacing w:after="0" w:line="25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Schlumberger commenced a restructuring program in order to reduce overhead. Consequently, a pretax charge of $20 million ($14 million after-tax) was taken in the quarter related to a voluntary early retirement program in the United States and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1360"/>
          </w:cols>
          <w:pgMar w:left="260" w:top="280" w:right="27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summary of the above 2004 charges: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6"/>
          </w:tcPr>
          <w:p>
            <w:pPr>
              <w:ind w:left="160"/>
              <w:spacing w:after="0"/>
              <w:rPr>
                <w:sz w:val="20"/>
                <w:szCs w:val="20"/>
                <w:color w:val="auto"/>
              </w:rPr>
            </w:pPr>
            <w:r>
              <w:rPr>
                <w:rFonts w:ascii="Arial" w:cs="Arial" w:eastAsia="Arial" w:hAnsi="Arial"/>
                <w:sz w:val="14"/>
                <w:szCs w:val="14"/>
                <w:b w:val="1"/>
                <w:bCs w:val="1"/>
                <w:i w:val="1"/>
                <w:iCs w:val="1"/>
                <w:color w:val="auto"/>
                <w:w w:val="88"/>
              </w:rPr>
              <w:t>( Stated in millions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Pretax</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Tax</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 Debt extinguishment costs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 Restructuring program charges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 Loss on sale of Atos Origin shares</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 US interest-rate swap settlement gain</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 Vacated leased facility charge</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 Litigation reserve release</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 Intellectual property settlement charge</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 Loss recognized on interest-rate swaps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26162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Divestitures – Discontinued Operations</w:t>
      </w:r>
    </w:p>
    <w:p>
      <w:pPr>
        <w:spacing w:after="0" w:line="83"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 xml:space="preserve">During the second quarter of 2005, Credence Systems Corporation, the current owners of Schlumberger’s former NPTest semiconductor testing business, agreed to settle an outstanding contingent liability by paying Schlumberger $4 million in cash and 615,157 shares of common stock valued at approximately $5 million. Schlumberger sold its NPTest semiconductor testing business in July 2003 and reported it as a discontinued operation. This $9 million pretax and after-tax gain is reported as </w:t>
      </w:r>
      <w:r>
        <w:rPr>
          <w:rFonts w:ascii="Arial" w:cs="Arial" w:eastAsia="Arial" w:hAnsi="Arial"/>
          <w:sz w:val="16"/>
          <w:szCs w:val="16"/>
          <w:i w:val="1"/>
          <w:iCs w:val="1"/>
          <w:color w:val="auto"/>
        </w:rPr>
        <w:t>Income from Discontinued Operations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in the second quarter of 2005.</w:t>
      </w:r>
    </w:p>
    <w:p>
      <w:pPr>
        <w:spacing w:after="0" w:line="99"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 xml:space="preserve">During the first quarter of 2005, Schlumberger completed the sales of its Global Tel*Link, Public Phones and Essentis businesses for $18 million in cash. At December 31, 2004, the assets and liabilities of these businesses that were subsequently eliminated from Schlumberger’s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were aggregated and presented as </w:t>
      </w:r>
      <w:r>
        <w:rPr>
          <w:rFonts w:ascii="Arial" w:cs="Arial" w:eastAsia="Arial" w:hAnsi="Arial"/>
          <w:sz w:val="16"/>
          <w:szCs w:val="16"/>
          <w:i w:val="1"/>
          <w:iCs w:val="1"/>
          <w:color w:val="auto"/>
        </w:rPr>
        <w:t>Assets held for sale</w:t>
      </w:r>
      <w:r>
        <w:rPr>
          <w:rFonts w:ascii="Arial" w:cs="Arial" w:eastAsia="Arial" w:hAnsi="Arial"/>
          <w:sz w:val="16"/>
          <w:szCs w:val="16"/>
          <w:color w:val="auto"/>
        </w:rPr>
        <w:t xml:space="preserve"> ($65 million) and </w:t>
      </w:r>
      <w:r>
        <w:rPr>
          <w:rFonts w:ascii="Arial" w:cs="Arial" w:eastAsia="Arial" w:hAnsi="Arial"/>
          <w:sz w:val="16"/>
          <w:szCs w:val="16"/>
          <w:i w:val="1"/>
          <w:iCs w:val="1"/>
          <w:color w:val="auto"/>
        </w:rPr>
        <w:t>Liabilities held for sale</w:t>
      </w:r>
      <w:r>
        <w:rPr>
          <w:rFonts w:ascii="Arial" w:cs="Arial" w:eastAsia="Arial" w:hAnsi="Arial"/>
          <w:sz w:val="16"/>
          <w:szCs w:val="16"/>
          <w:color w:val="auto"/>
        </w:rPr>
        <w:t xml:space="preserve"> ($35 million).</w:t>
      </w:r>
    </w:p>
    <w:p>
      <w:pPr>
        <w:spacing w:after="0" w:line="9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During 2004, Schlumberger completed the sales of the following businesses: SchlumbergerSema, Telecom Billing Software, Infodata, Business Continuity, Axalto, Electricity Metering North America and Telecom Messaging.</w:t>
      </w:r>
    </w:p>
    <w:p>
      <w:pPr>
        <w:spacing w:after="0" w:line="37"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During the first quarter of 2004, Schlumberger recognized gains, net of taxes, related to the divestitures of SchlumbergerSema, Telecom Billing Software and Infodata of $26 million, $17 million and $48 million, respectively.</w:t>
      </w:r>
    </w:p>
    <w:p>
      <w:pPr>
        <w:spacing w:after="0" w:line="37" w:lineRule="exact"/>
        <w:rPr>
          <w:sz w:val="20"/>
          <w:szCs w:val="20"/>
          <w:color w:val="auto"/>
        </w:rPr>
      </w:pPr>
    </w:p>
    <w:p>
      <w:pPr>
        <w:ind w:left="460" w:right="100"/>
        <w:spacing w:after="0" w:line="298" w:lineRule="auto"/>
        <w:rPr>
          <w:sz w:val="20"/>
          <w:szCs w:val="20"/>
          <w:color w:val="auto"/>
        </w:rPr>
      </w:pPr>
      <w:r>
        <w:rPr>
          <w:rFonts w:ascii="Arial" w:cs="Arial" w:eastAsia="Arial" w:hAnsi="Arial"/>
          <w:sz w:val="16"/>
          <w:szCs w:val="16"/>
          <w:color w:val="auto"/>
        </w:rPr>
        <w:t>During the second quarter of 2004, Schlumberger recognized gains, net of taxes, related to the divestitures of SchlumbergerSema and Business Continuity of $15 million and $48 million, respectively, and losses, net of taxes, related to the divestitures of Axalto and Electricity Metering North America of $7 million and $24 million, respectively. In addition, the sale of Electricity Metering North America allowed for the recognition of a deferred tax asset of $49 million, which was previously offset by a valuation allowance, related to a tax loss carryforward associated with the sale of SchlumbergerSema.</w:t>
      </w:r>
    </w:p>
    <w:p>
      <w:pPr>
        <w:spacing w:after="0" w:line="18"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color w:val="auto"/>
        </w:rPr>
        <w:t>During the third quarter of 2004, Schlumberger recognized a loss, net of taxes, related to the divestiture of its Telecom Messaging business of $4 million and gains, net of taxes, related to the divestitures of Axalto and Telecom Billing Software of $18 million and $7 million, respectively. The $18 million gain related to Axalto consisted of a $9 million gain on the sale of Schlumberger’s residual investment of 5.1 million shares in Axalto and a $9 million reversal of a liability related to the divestiture. The $7 million gain associated with the Telecom Billing Software divestiture was the result of the receipt of additional cash proceeds in the third quarter of 2004 relating to this transaction.</w:t>
      </w:r>
    </w:p>
    <w:p>
      <w:pPr>
        <w:spacing w:after="0" w:line="21"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 xml:space="preserve">The results of all of the previously mentioned divested business, including the related gain or loss on disposal, are reported as </w:t>
      </w:r>
      <w:r>
        <w:rPr>
          <w:rFonts w:ascii="Arial" w:cs="Arial" w:eastAsia="Arial" w:hAnsi="Arial"/>
          <w:sz w:val="18"/>
          <w:szCs w:val="18"/>
          <w:i w:val="1"/>
          <w:iCs w:val="1"/>
          <w:color w:val="auto"/>
        </w:rPr>
        <w:t>Income from 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420"/>
          </w:cols>
          <w:pgMar w:left="240" w:top="280" w:right="23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summarizes the results of these discontinued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8"/>
          </w:tcPr>
          <w:p>
            <w:pPr>
              <w:jc w:val="right"/>
              <w:ind w:right="160"/>
              <w:spacing w:after="0"/>
              <w:rPr>
                <w:sz w:val="20"/>
                <w:szCs w:val="20"/>
                <w:color w:val="auto"/>
              </w:rPr>
            </w:pPr>
            <w:r>
              <w:rPr>
                <w:rFonts w:ascii="Arial" w:cs="Arial" w:eastAsia="Arial" w:hAnsi="Arial"/>
                <w:sz w:val="14"/>
                <w:szCs w:val="14"/>
                <w:b w:val="1"/>
                <w:bCs w:val="1"/>
                <w:i w:val="1"/>
                <w:iCs w:val="1"/>
                <w:color w:val="auto"/>
                <w:w w:val="83"/>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Third Quarter</w:t>
            </w:r>
          </w:p>
        </w:tc>
        <w:tc>
          <w:tcPr>
            <w:tcW w:w="140" w:type="dxa"/>
            <w:vAlign w:val="bottom"/>
          </w:tcPr>
          <w:p>
            <w:pPr>
              <w:spacing w:after="0"/>
              <w:rPr>
                <w:sz w:val="22"/>
                <w:szCs w:val="22"/>
                <w:color w:val="auto"/>
              </w:rPr>
            </w:pPr>
          </w:p>
        </w:tc>
        <w:tc>
          <w:tcPr>
            <w:tcW w:w="1220" w:type="dxa"/>
            <w:vAlign w:val="bottom"/>
            <w:gridSpan w:val="8"/>
          </w:tcPr>
          <w:p>
            <w:pPr>
              <w:ind w:left="16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2"/>
                <w:szCs w:val="22"/>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2004</w:t>
            </w:r>
          </w:p>
        </w:tc>
        <w:tc>
          <w:tcPr>
            <w:tcW w:w="32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2"/>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 —</w:t>
            </w:r>
          </w:p>
        </w:tc>
        <w:tc>
          <w:tcPr>
            <w:tcW w:w="400" w:type="dxa"/>
            <w:vAlign w:val="bottom"/>
            <w:gridSpan w:val="3"/>
            <w:shd w:val="clear" w:color="auto" w:fill="CCEEFF"/>
          </w:tcPr>
          <w:p>
            <w:pPr>
              <w:jc w:val="center"/>
              <w:ind w:left="20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2"/>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(1)</w:t>
            </w:r>
          </w:p>
        </w:tc>
        <w:tc>
          <w:tcPr>
            <w:tcW w:w="400" w:type="dxa"/>
            <w:vAlign w:val="bottom"/>
            <w:gridSpan w:val="3"/>
            <w:shd w:val="clear" w:color="auto" w:fill="CCEEFF"/>
          </w:tcPr>
          <w:p>
            <w:pPr>
              <w:jc w:val="center"/>
              <w:ind w:left="20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6"/>
          </w:tcPr>
          <w:p>
            <w:pPr>
              <w:spacing w:after="0"/>
              <w:rPr>
                <w:sz w:val="20"/>
                <w:szCs w:val="20"/>
                <w:color w:val="auto"/>
              </w:rPr>
            </w:pPr>
            <w:r>
              <w:rPr>
                <w:rFonts w:ascii="Arial" w:cs="Arial" w:eastAsia="Arial" w:hAnsi="Arial"/>
                <w:sz w:val="18"/>
                <w:szCs w:val="18"/>
                <w:color w:val="auto"/>
              </w:rPr>
              <w:t>Tax expense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0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420" w:type="dxa"/>
            <w:vAlign w:val="bottom"/>
            <w:gridSpan w:val="3"/>
          </w:tcPr>
          <w:p>
            <w:pPr>
              <w:jc w:val="right"/>
              <w:ind w:right="1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Gains on disposal, net of tax</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2"/>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center"/>
              <w:ind w:left="20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0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4. Earnings Per Share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5040" w:type="dxa"/>
            <w:vAlign w:val="bottom"/>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740" w:type="dxa"/>
            <w:vAlign w:val="bottom"/>
            <w:gridSpan w:val="1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9400" w:type="dxa"/>
            <w:vAlign w:val="bottom"/>
            <w:gridSpan w:val="22"/>
          </w:tcPr>
          <w:p>
            <w:pPr>
              <w:spacing w:after="0"/>
              <w:rPr>
                <w:sz w:val="20"/>
                <w:szCs w:val="20"/>
                <w:color w:val="auto"/>
              </w:rPr>
            </w:pPr>
            <w:r>
              <w:rPr>
                <w:rFonts w:ascii="Arial" w:cs="Arial" w:eastAsia="Arial" w:hAnsi="Arial"/>
                <w:sz w:val="18"/>
                <w:szCs w:val="18"/>
                <w:color w:val="auto"/>
                <w:w w:val="99"/>
              </w:rPr>
              <w:t>The following is a reconciliation from basic earnings per share to diluted earnings per share from continuing operations: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14"/>
          </w:tcPr>
          <w:p>
            <w:pPr>
              <w:jc w:val="right"/>
              <w:ind w:right="20"/>
              <w:spacing w:after="0"/>
              <w:rPr>
                <w:sz w:val="20"/>
                <w:szCs w:val="20"/>
                <w:color w:val="auto"/>
              </w:rPr>
            </w:pPr>
            <w:r>
              <w:rPr>
                <w:rFonts w:ascii="Arial" w:cs="Arial" w:eastAsia="Arial" w:hAnsi="Arial"/>
                <w:sz w:val="14"/>
                <w:szCs w:val="14"/>
                <w:b w:val="1"/>
                <w:bCs w:val="1"/>
                <w:i w:val="1"/>
                <w:iCs w:val="1"/>
                <w:color w:val="auto"/>
                <w:w w:val="84"/>
              </w:rPr>
              <w:t>(Stated in thousands except per share amounts)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68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Earnings Per</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7"/>
              </w:rPr>
              <w:t>Earnings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Income from</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Share from</w:t>
            </w:r>
          </w:p>
        </w:tc>
        <w:tc>
          <w:tcPr>
            <w:tcW w:w="114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Income from</w:t>
            </w:r>
          </w:p>
        </w:tc>
        <w:tc>
          <w:tcPr>
            <w:tcW w:w="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Continuing</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Continuing</w:t>
            </w:r>
          </w:p>
        </w:tc>
        <w:tc>
          <w:tcPr>
            <w:tcW w:w="1140" w:type="dxa"/>
            <w:vAlign w:val="bottom"/>
            <w:gridSpan w:val="4"/>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Continuing</w:t>
            </w:r>
          </w:p>
        </w:tc>
        <w:tc>
          <w:tcPr>
            <w:tcW w:w="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Continuing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Operations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Operations</w:t>
            </w:r>
          </w:p>
        </w:tc>
        <w:tc>
          <w:tcPr>
            <w:tcW w:w="80" w:type="dxa"/>
            <w:vAlign w:val="bottom"/>
          </w:tcPr>
          <w:p>
            <w:pPr>
              <w:spacing w:after="0"/>
              <w:rPr>
                <w:sz w:val="15"/>
                <w:szCs w:val="15"/>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6"/>
              </w:rPr>
              <w:t>Operations</w:t>
            </w: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6"/>
              </w:rPr>
              <w:t>Operations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7"/>
              </w:rPr>
              <w:t>Third Quarter</w:t>
            </w:r>
          </w:p>
        </w:tc>
        <w:tc>
          <w:tcPr>
            <w:tcW w:w="4060" w:type="dxa"/>
            <w:vAlign w:val="bottom"/>
            <w:tcBorders>
              <w:bottom w:val="single" w:sz="8" w:color="CCEEFF"/>
            </w:tcBorders>
            <w:gridSpan w:val="3"/>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5040" w:type="dxa"/>
            <w:vAlign w:val="bottom"/>
            <w:gridSpan w:val="7"/>
          </w:tcPr>
          <w:p>
            <w:pPr>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540,803</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589,820</w:t>
            </w:r>
          </w:p>
        </w:tc>
        <w:tc>
          <w:tcPr>
            <w:tcW w:w="500" w:type="dxa"/>
            <w:vAlign w:val="bottom"/>
            <w:gridSpan w:val="3"/>
          </w:tcPr>
          <w:p>
            <w:pPr>
              <w:ind w:left="3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0.92</w:t>
            </w: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297,965</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589,936</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Dilutive effect of convertible debentures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7,197</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19,105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19,105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gridSpan w:val="6"/>
          </w:tcPr>
          <w:p>
            <w:pPr>
              <w:spacing w:after="0"/>
              <w:rPr>
                <w:sz w:val="20"/>
                <w:szCs w:val="20"/>
                <w:color w:val="auto"/>
              </w:rPr>
            </w:pPr>
            <w:r>
              <w:rPr>
                <w:rFonts w:ascii="Arial" w:cs="Arial" w:eastAsia="Arial" w:hAnsi="Arial"/>
                <w:sz w:val="18"/>
                <w:szCs w:val="18"/>
                <w:color w:val="auto"/>
              </w:rPr>
              <w:t>Dilutive effect of options</w:t>
            </w:r>
          </w:p>
        </w:tc>
        <w:tc>
          <w:tcPr>
            <w:tcW w:w="140" w:type="dxa"/>
            <w:vAlign w:val="bottom"/>
          </w:tcPr>
          <w:p>
            <w:pPr>
              <w:spacing w:after="0"/>
              <w:rPr>
                <w:sz w:val="19"/>
                <w:szCs w:val="19"/>
                <w:color w:val="auto"/>
              </w:rPr>
            </w:pPr>
          </w:p>
        </w:tc>
        <w:tc>
          <w:tcPr>
            <w:tcW w:w="960" w:type="dxa"/>
            <w:vAlign w:val="bottom"/>
            <w:gridSpan w:val="3"/>
          </w:tcPr>
          <w:p>
            <w:pPr>
              <w:ind w:left="38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6,998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4,746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3"/>
          </w:tcPr>
          <w:p>
            <w:pPr>
              <w:spacing w:after="0"/>
              <w:rPr>
                <w:sz w:val="8"/>
                <w:szCs w:val="8"/>
                <w:color w:val="auto"/>
              </w:rPr>
            </w:pPr>
          </w:p>
        </w:tc>
        <w:tc>
          <w:tcPr>
            <w:tcW w:w="3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548,000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615,923</w:t>
            </w:r>
          </w:p>
        </w:tc>
        <w:tc>
          <w:tcPr>
            <w:tcW w:w="50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0.89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305,162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613,787</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auto"/>
            </w:tcBorders>
            <w:gridSpan w:val="6"/>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Earnings Per</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7"/>
              </w:rPr>
              <w:t>Earnings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Income from</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Share from</w:t>
            </w:r>
          </w:p>
        </w:tc>
        <w:tc>
          <w:tcPr>
            <w:tcW w:w="114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Income from</w:t>
            </w:r>
          </w:p>
        </w:tc>
        <w:tc>
          <w:tcPr>
            <w:tcW w:w="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Continuing</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Continuing</w:t>
            </w:r>
          </w:p>
        </w:tc>
        <w:tc>
          <w:tcPr>
            <w:tcW w:w="1140" w:type="dxa"/>
            <w:vAlign w:val="bottom"/>
            <w:gridSpan w:val="4"/>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Continuing</w:t>
            </w:r>
          </w:p>
        </w:tc>
        <w:tc>
          <w:tcPr>
            <w:tcW w:w="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Continuing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Operations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Operations</w:t>
            </w:r>
          </w:p>
        </w:tc>
        <w:tc>
          <w:tcPr>
            <w:tcW w:w="80" w:type="dxa"/>
            <w:vAlign w:val="bottom"/>
          </w:tcPr>
          <w:p>
            <w:pPr>
              <w:spacing w:after="0"/>
              <w:rPr>
                <w:sz w:val="15"/>
                <w:szCs w:val="15"/>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6"/>
              </w:rPr>
              <w:t>Operations</w:t>
            </w: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6"/>
              </w:rPr>
              <w:t>Operations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2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Nine Months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040" w:type="dxa"/>
            <w:vAlign w:val="bottom"/>
            <w:gridSpan w:val="7"/>
          </w:tcPr>
          <w:p>
            <w:pPr>
              <w:spacing w:after="0"/>
              <w:rPr>
                <w:sz w:val="20"/>
                <w:szCs w:val="20"/>
                <w:color w:val="auto"/>
              </w:rPr>
            </w:pPr>
            <w:r>
              <w:rPr>
                <w:rFonts w:ascii="Arial" w:cs="Arial" w:eastAsia="Arial" w:hAnsi="Arial"/>
                <w:sz w:val="18"/>
                <w:szCs w:val="18"/>
                <w:color w:val="auto"/>
              </w:rPr>
              <w:t>Basic</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4"/>
              </w:rPr>
              <w:t>$1,538,441</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589,298</w:t>
            </w:r>
          </w:p>
        </w:tc>
        <w:tc>
          <w:tcPr>
            <w:tcW w:w="500" w:type="dxa"/>
            <w:vAlign w:val="bottom"/>
            <w:gridSpan w:val="3"/>
          </w:tcPr>
          <w:p>
            <w:pPr>
              <w:ind w:left="3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2.61</w:t>
            </w: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662,654</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589,186</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Dilutive effect of convertible debentures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21,591</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19,105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21,591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19,105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gridSpan w:val="6"/>
          </w:tcPr>
          <w:p>
            <w:pPr>
              <w:spacing w:after="0"/>
              <w:rPr>
                <w:sz w:val="20"/>
                <w:szCs w:val="20"/>
                <w:color w:val="auto"/>
              </w:rPr>
            </w:pPr>
            <w:r>
              <w:rPr>
                <w:rFonts w:ascii="Arial" w:cs="Arial" w:eastAsia="Arial" w:hAnsi="Arial"/>
                <w:sz w:val="18"/>
                <w:szCs w:val="18"/>
                <w:color w:val="auto"/>
              </w:rPr>
              <w:t>Dilutive effect of options</w:t>
            </w:r>
          </w:p>
        </w:tc>
        <w:tc>
          <w:tcPr>
            <w:tcW w:w="140" w:type="dxa"/>
            <w:vAlign w:val="bottom"/>
          </w:tcPr>
          <w:p>
            <w:pPr>
              <w:spacing w:after="0"/>
              <w:rPr>
                <w:sz w:val="19"/>
                <w:szCs w:val="19"/>
                <w:color w:val="auto"/>
              </w:rPr>
            </w:pPr>
          </w:p>
        </w:tc>
        <w:tc>
          <w:tcPr>
            <w:tcW w:w="960" w:type="dxa"/>
            <w:vAlign w:val="bottom"/>
            <w:gridSpan w:val="3"/>
          </w:tcPr>
          <w:p>
            <w:pPr>
              <w:ind w:left="38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5,820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4,718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3"/>
          </w:tcPr>
          <w:p>
            <w:pPr>
              <w:spacing w:after="0"/>
              <w:rPr>
                <w:sz w:val="8"/>
                <w:szCs w:val="8"/>
                <w:color w:val="auto"/>
              </w:rPr>
            </w:pPr>
          </w:p>
        </w:tc>
        <w:tc>
          <w:tcPr>
            <w:tcW w:w="3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Diluted</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$1,560,032</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614,223</w:t>
            </w:r>
          </w:p>
        </w:tc>
        <w:tc>
          <w:tcPr>
            <w:tcW w:w="50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684,245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613,009</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-4574540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-4574540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-4574540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-4574540</wp:posOffset>
            </wp:positionV>
            <wp:extent cx="23558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-4574540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-4574540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-4574540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-4574540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-4574540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-4574540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-2636520</wp:posOffset>
            </wp:positionV>
            <wp:extent cx="49276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-2636520</wp:posOffset>
            </wp:positionV>
            <wp:extent cx="56134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-1915795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-1915795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-1915795</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-1915795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-1915795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-1915795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-1915795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-1915795</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-1915795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-1915795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-1915795</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-1915795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-1915795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-1915795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-1915795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-1915795</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-749300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-749300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-749300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-749300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-749300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-749300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-29210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56134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1340" cy="29845"/>
                    </a:xfrm>
                    <a:prstGeom prst="rect">
                      <a:avLst/>
                    </a:prstGeom>
                    <a:noFill/>
                  </pic:spPr>
                </pic:pic>
              </a:graphicData>
            </a:graphic>
          </wp:anchor>
        </w:drawing>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number of outstanding options to purchase shares of common stock which were not included in the computation of diluted earnings per share because to do so would have had an antidilutive effect, were as follows:</w:t>
      </w:r>
    </w:p>
    <w:p>
      <w:pPr>
        <w:spacing w:after="0" w:line="116" w:lineRule="exact"/>
        <w:rPr>
          <w:sz w:val="20"/>
          <w:szCs w:val="20"/>
          <w:color w:val="auto"/>
        </w:rPr>
      </w:pPr>
    </w:p>
    <w:tbl>
      <w:tblPr>
        <w:tblLayout w:type="fixed"/>
        <w:tblInd w:w="28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4"/>
                <w:szCs w:val="14"/>
                <w:b w:val="1"/>
                <w:bCs w:val="1"/>
                <w:i w:val="1"/>
                <w:iCs w:val="1"/>
                <w:color w:val="auto"/>
                <w:w w:val="90"/>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440" w:type="dxa"/>
            <w:vAlign w:val="bottom"/>
          </w:tcPr>
          <w:p>
            <w:pPr>
              <w:jc w:val="right"/>
              <w:ind w:right="2"/>
              <w:spacing w:after="0"/>
              <w:rPr>
                <w:sz w:val="20"/>
                <w:szCs w:val="20"/>
                <w:color w:val="auto"/>
              </w:rPr>
            </w:pPr>
            <w:r>
              <w:rPr>
                <w:rFonts w:ascii="Arial" w:cs="Arial" w:eastAsia="Arial" w:hAnsi="Arial"/>
                <w:sz w:val="14"/>
                <w:szCs w:val="14"/>
                <w:b w:val="1"/>
                <w:bCs w:val="1"/>
                <w:color w:val="auto"/>
              </w:rPr>
              <w:t>2005</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4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22"/>
        </w:trPr>
        <w:tc>
          <w:tcPr>
            <w:tcW w:w="4540" w:type="dxa"/>
            <w:vAlign w:val="bottom"/>
            <w:gridSpan w:val="2"/>
          </w:tcPr>
          <w:p>
            <w:pPr>
              <w:spacing w:after="0"/>
              <w:rPr>
                <w:sz w:val="20"/>
                <w:szCs w:val="20"/>
                <w:color w:val="auto"/>
              </w:rPr>
            </w:pPr>
            <w:r>
              <w:rPr>
                <w:rFonts w:ascii="Arial" w:cs="Arial" w:eastAsia="Arial" w:hAnsi="Arial"/>
                <w:sz w:val="18"/>
                <w:szCs w:val="18"/>
                <w:color w:val="auto"/>
              </w:rPr>
              <w:t>Nine months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83"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On December 9, 2003, Schlumberger announced that it had signed an agreement to acquire PetroAlliance Services Company Limited (“PetroAlliance Services”) over a 3-year period. Schlumberger acquired 26% of PetroAlliance Services in the second quarter of 2004 for $12 million in cash and 421,870 shares of</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common stock valued at $24 million. During the second quarter of 2005, Schlumberger acquired an additional 25% of PetroAlliance Services for $40 million in cash and 1,150,323 shares of Schlumberger common stock valued at $79 million bringing its total ownership interest to 51%.</w:t>
      </w:r>
    </w:p>
    <w:p>
      <w:pPr>
        <w:spacing w:after="0" w:line="7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Under the terms of the agreement, the remaining 49% interest may be acquired in the second quarter of 2006, subject to performance requirements and other customary conditions. The acquisition price will continue to be determined by a performance-based formula, and paid one-third in cash and two-thirds in Schlumberger stock.</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Schlumberger began consolidating the results of PetroAlliance Services in the second quarter of 2005. This investment had previously been accounted under the equity method.</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$119 million purchase price paid in the second quarter of 2005 has been allocated to the assets acquired and the liabilities assumed according to their fair value at the date of the transaction as follows:</w:t>
      </w:r>
    </w:p>
    <w:p>
      <w:pPr>
        <w:spacing w:after="0" w:line="116"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280" w:type="dxa"/>
            <w:vAlign w:val="bottom"/>
            <w:gridSpan w:val="5"/>
          </w:tcPr>
          <w:p>
            <w:pPr>
              <w:ind w:left="1140"/>
              <w:spacing w:after="0"/>
              <w:rPr>
                <w:sz w:val="20"/>
                <w:szCs w:val="20"/>
                <w:color w:val="auto"/>
              </w:rPr>
            </w:pPr>
            <w:r>
              <w:rPr>
                <w:rFonts w:ascii="Arial" w:cs="Arial" w:eastAsia="Arial" w:hAnsi="Arial"/>
                <w:sz w:val="14"/>
                <w:szCs w:val="14"/>
                <w:b w:val="1"/>
                <w:bCs w:val="1"/>
                <w:i w:val="1"/>
                <w:iCs w:val="1"/>
                <w:color w:val="auto"/>
                <w:w w:val="89"/>
              </w:rPr>
              <w:t>(Stated in millions)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assets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assets acquired</w:t>
            </w:r>
          </w:p>
        </w:tc>
        <w:tc>
          <w:tcPr>
            <w:tcW w:w="160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6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w:t>
            </w:r>
          </w:p>
        </w:tc>
        <w:tc>
          <w:tcPr>
            <w:tcW w:w="1600" w:type="dxa"/>
            <w:vAlign w:val="bottom"/>
            <w:gridSpan w:val="3"/>
          </w:tcPr>
          <w:p>
            <w:pPr>
              <w:ind w:left="1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 current portion</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Long-term debt</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liabilities acquired</w:t>
            </w:r>
          </w:p>
        </w:tc>
        <w:tc>
          <w:tcPr>
            <w:tcW w:w="160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6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1600" w:type="dxa"/>
            <w:vAlign w:val="bottom"/>
            <w:gridSpan w:val="3"/>
          </w:tcPr>
          <w:p>
            <w:pPr>
              <w:ind w:left="1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proportionate share of net assets previously held through equity investment</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160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Approximately $99 million has been allocated to goodwill, which represents the excess of the purchase price over the fair value of the net assets acquired. This goodwill is not tax deductible. The amounts allocated to other intangible assets primarily relate to customer relationships, which will be amortized on a straight line basis over a 12 year period.</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PetroAlliance Services’ revenue during the year ended December 31, 2004 was approximately $218 million.</w:t>
      </w:r>
    </w:p>
    <w:p>
      <w:pPr>
        <w:spacing w:after="0" w:line="15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During 2005, Schlumberger made certain acquisitions and minority interest investments, none of which were significant on an individual basis, for approximately $41 million in cash. Under the terms of one of the transactions, Schlumberger may acquire the remaining interest based upon a performance-based formula, payable in Schlumberger common stock, subject to performance requirements, regulatory approval and other customary conditions.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 forma results pertaining to these acquisitions are not presented as the impact was not significant.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Schlumberger also made payments of approximately $21 million during 2005 with respect to certain transactions that were consummated in prior years.</w:t>
      </w:r>
    </w:p>
    <w:p>
      <w:pPr>
        <w:spacing w:after="0" w:line="17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in Affiliated Companies</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Schlumberger and Smith International Inc. operate a drilling fluids joint venture of which Schlumberger owns a 40% interest and records income using the equity method of accounting. Schlumberger’s investment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w:t>
      </w:r>
    </w:p>
    <w:p>
      <w:pPr>
        <w:sectPr>
          <w:pgSz w:w="11900" w:h="16838" w:orient="portrait"/>
          <w:cols w:equalWidth="0" w:num="1">
            <w:col w:w="11380"/>
          </w:cols>
          <w:pgMar w:left="240" w:top="280" w:right="279" w:bottom="1440" w:gutter="0" w:footer="0" w:header="0"/>
        </w:sectPr>
      </w:pPr>
    </w:p>
    <w:bookmarkStart w:id="10" w:name="page11"/>
    <w:bookmarkEnd w:id="10"/>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on September 30, 2005 was $776 million and on December 31, 2004 was $716 million. Schlumberger’s equity income from this joint venture, which is included in </w:t>
      </w:r>
      <w:r>
        <w:rPr>
          <w:rFonts w:ascii="Arial" w:cs="Arial" w:eastAsia="Arial" w:hAnsi="Arial"/>
          <w:sz w:val="18"/>
          <w:szCs w:val="18"/>
          <w:i w:val="1"/>
          <w:iCs w:val="1"/>
          <w:color w:val="auto"/>
        </w:rPr>
        <w:t>Interest &amp;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was $23 million in the third quarter of 2005 ($17 million in the third quarter of 2004) and $63 million in the nine months ended September 30, 2005 ($49 million in the nine months ended September 30, 2004). During the third quarter of 2005, Schlumberger received a cash distribution of $28 million from the joint venture operation.</w:t>
      </w:r>
    </w:p>
    <w:p>
      <w:pPr>
        <w:spacing w:after="0" w:line="124"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Securitization</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 wholly owned subsidiary of Schlumberger has an agreement to sell, on an ongoing basis, up to $250 million of an undivided interest in its accounts receivable. The amount currently drawn under this agreement totaled $194 million at September 30, 2005. The previous agreement was extended in September 2005 for a further 12 months and now expires in September 2006. Schlumberger does not have any retained interest in the accounts receivable sold under this agreement.</w:t>
      </w:r>
    </w:p>
    <w:p>
      <w:pPr>
        <w:spacing w:after="0" w:line="8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Inventory</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inventory follows:</w:t>
      </w:r>
    </w:p>
    <w:p>
      <w:pPr>
        <w:spacing w:after="0" w:line="158" w:lineRule="exact"/>
        <w:rPr>
          <w:sz w:val="20"/>
          <w:szCs w:val="20"/>
          <w:color w:val="auto"/>
        </w:rPr>
      </w:pPr>
    </w:p>
    <w:p>
      <w:pPr>
        <w:ind w:left="8820"/>
        <w:spacing w:after="0"/>
        <w:rPr>
          <w:sz w:val="20"/>
          <w:szCs w:val="20"/>
          <w:color w:val="auto"/>
        </w:rPr>
      </w:pPr>
      <w:r>
        <w:rPr>
          <w:rFonts w:ascii="Arial" w:cs="Arial" w:eastAsia="Arial" w:hAnsi="Arial"/>
          <w:sz w:val="18"/>
          <w:szCs w:val="18"/>
          <w:b w:val="1"/>
          <w:bCs w:val="1"/>
          <w:i w:val="1"/>
          <w:iCs w:val="1"/>
          <w:color w:val="auto"/>
        </w:rPr>
        <w:t>(Stated in millions)</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Sept.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37"/>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7"/>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944</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Work in Process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Reserves</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974</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-29210</wp:posOffset>
            </wp:positionV>
            <wp:extent cx="46736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Assets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fixed assets follows:</w:t>
      </w:r>
    </w:p>
    <w:p>
      <w:pPr>
        <w:spacing w:after="0" w:line="158" w:lineRule="exact"/>
        <w:rPr>
          <w:sz w:val="20"/>
          <w:szCs w:val="20"/>
          <w:color w:val="auto"/>
        </w:rPr>
      </w:pPr>
    </w:p>
    <w:p>
      <w:pPr>
        <w:ind w:left="8900"/>
        <w:spacing w:after="0"/>
        <w:rPr>
          <w:sz w:val="20"/>
          <w:szCs w:val="20"/>
          <w:color w:val="auto"/>
        </w:rPr>
      </w:pPr>
      <w:r>
        <w:rPr>
          <w:rFonts w:ascii="Arial" w:cs="Arial" w:eastAsia="Arial" w:hAnsi="Arial"/>
          <w:sz w:val="18"/>
          <w:szCs w:val="18"/>
          <w:b w:val="1"/>
          <w:bCs w:val="1"/>
          <w:i w:val="1"/>
          <w:iCs w:val="1"/>
          <w:color w:val="auto"/>
        </w:rPr>
        <w:t>(Stated in millions</w:t>
      </w:r>
      <w:r>
        <w:rPr>
          <w:rFonts w:ascii="Arial" w:cs="Arial" w:eastAsia="Arial" w:hAnsi="Arial"/>
          <w:sz w:val="18"/>
          <w:szCs w:val="18"/>
          <w:color w:val="auto"/>
        </w:rPr>
        <w: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 30</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tcPr>
          <w:p>
            <w:pPr>
              <w:ind w:left="12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vMerge w:val="restart"/>
          </w:tcPr>
          <w:p>
            <w:pPr>
              <w:spacing w:after="0"/>
              <w:rPr>
                <w:sz w:val="8"/>
                <w:szCs w:val="8"/>
                <w:color w:val="auto"/>
              </w:rPr>
            </w:pPr>
          </w:p>
        </w:tc>
        <w:tc>
          <w:tcPr>
            <w:tcW w:w="88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w w:val="83"/>
              </w:rPr>
              <w:t>11,539</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3"/>
              </w:rPr>
              <w:t>11,069</w:t>
            </w: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ind w:left="200"/>
              <w:spacing w:after="0"/>
              <w:rPr>
                <w:sz w:val="20"/>
                <w:szCs w:val="20"/>
                <w:color w:val="auto"/>
              </w:rPr>
            </w:pPr>
            <w:r>
              <w:rPr>
                <w:rFonts w:ascii="Arial" w:cs="Arial" w:eastAsia="Arial" w:hAnsi="Arial"/>
                <w:sz w:val="18"/>
                <w:szCs w:val="18"/>
                <w:b w:val="1"/>
                <w:bCs w:val="1"/>
                <w:color w:val="auto"/>
                <w:w w:val="84"/>
              </w:rPr>
              <w:t>7,518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center"/>
              <w:ind w:left="117"/>
              <w:spacing w:after="0"/>
              <w:rPr>
                <w:sz w:val="20"/>
                <w:szCs w:val="20"/>
                <w:color w:val="auto"/>
              </w:rPr>
            </w:pPr>
            <w:r>
              <w:rPr>
                <w:rFonts w:ascii="Arial" w:cs="Arial" w:eastAsia="Arial" w:hAnsi="Arial"/>
                <w:sz w:val="18"/>
                <w:szCs w:val="18"/>
                <w:color w:val="auto"/>
                <w:w w:val="88"/>
              </w:rPr>
              <w:t>7,307</w:t>
            </w:r>
          </w:p>
        </w:tc>
        <w:tc>
          <w:tcPr>
            <w:tcW w:w="0" w:type="dxa"/>
            <w:vAlign w:val="bottom"/>
          </w:tcPr>
          <w:p>
            <w:pPr>
              <w:spacing w:after="0"/>
              <w:rPr>
                <w:sz w:val="1"/>
                <w:szCs w:val="1"/>
                <w:color w:val="auto"/>
              </w:rPr>
            </w:pPr>
          </w:p>
        </w:tc>
      </w:tr>
      <w:tr>
        <w:trPr>
          <w:trHeight w:val="96"/>
        </w:trPr>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w w:val="84"/>
              </w:rPr>
              <w:t>4,021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center"/>
              <w:ind w:left="117"/>
              <w:spacing w:after="0"/>
              <w:rPr>
                <w:sz w:val="20"/>
                <w:szCs w:val="20"/>
                <w:color w:val="auto"/>
              </w:rPr>
            </w:pPr>
            <w:r>
              <w:rPr>
                <w:rFonts w:ascii="Arial" w:cs="Arial" w:eastAsia="Arial" w:hAnsi="Arial"/>
                <w:sz w:val="18"/>
                <w:szCs w:val="18"/>
                <w:color w:val="auto"/>
                <w:w w:val="88"/>
              </w:rPr>
              <w:t>3,762</w:t>
            </w:r>
          </w:p>
        </w:tc>
        <w:tc>
          <w:tcPr>
            <w:tcW w:w="0" w:type="dxa"/>
            <w:vAlign w:val="bottom"/>
          </w:tcPr>
          <w:p>
            <w:pPr>
              <w:spacing w:after="0"/>
              <w:rPr>
                <w:sz w:val="1"/>
                <w:szCs w:val="1"/>
                <w:color w:val="auto"/>
              </w:rPr>
            </w:pPr>
          </w:p>
        </w:tc>
      </w:tr>
      <w:tr>
        <w:trPr>
          <w:trHeight w:val="132"/>
        </w:trPr>
        <w:tc>
          <w:tcPr>
            <w:tcW w:w="54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10. Multiclient Seismic Data</w:t>
            </w:r>
          </w:p>
        </w:tc>
        <w:tc>
          <w:tcPr>
            <w:tcW w:w="3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5460" w:type="dxa"/>
            <w:vAlign w:val="bottom"/>
            <w:gridSpan w:val="4"/>
            <w:vMerge w:val="continue"/>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460" w:type="dxa"/>
            <w:vAlign w:val="bottom"/>
            <w:gridSpan w:val="4"/>
          </w:tcPr>
          <w:p>
            <w:pPr>
              <w:ind w:left="20"/>
              <w:spacing w:after="0"/>
              <w:rPr>
                <w:sz w:val="20"/>
                <w:szCs w:val="20"/>
                <w:color w:val="auto"/>
              </w:rPr>
            </w:pPr>
            <w:r>
              <w:rPr>
                <w:rFonts w:ascii="Arial" w:cs="Arial" w:eastAsia="Arial" w:hAnsi="Arial"/>
                <w:sz w:val="18"/>
                <w:szCs w:val="18"/>
                <w:color w:val="auto"/>
                <w:w w:val="91"/>
              </w:rPr>
              <w:t>The change in the carrying amount of multiclient seismic data is as follows:</w:t>
            </w: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5"/>
          </w:tcPr>
          <w:p>
            <w:pPr>
              <w:ind w:left="80"/>
              <w:spacing w:after="0"/>
              <w:rPr>
                <w:sz w:val="20"/>
                <w:szCs w:val="20"/>
                <w:color w:val="auto"/>
              </w:rPr>
            </w:pPr>
            <w:r>
              <w:rPr>
                <w:rFonts w:ascii="Arial" w:cs="Arial" w:eastAsia="Arial" w:hAnsi="Arial"/>
                <w:sz w:val="18"/>
                <w:szCs w:val="18"/>
                <w:b w:val="1"/>
                <w:bCs w:val="1"/>
                <w:i w:val="1"/>
                <w:iCs w:val="1"/>
                <w:color w:val="auto"/>
                <w:w w:val="89"/>
              </w:rPr>
              <w:t>(Stated in millions)</w:t>
            </w:r>
          </w:p>
        </w:tc>
        <w:tc>
          <w:tcPr>
            <w:tcW w:w="0" w:type="dxa"/>
            <w:vAlign w:val="bottom"/>
          </w:tcPr>
          <w:p>
            <w:pPr>
              <w:spacing w:after="0"/>
              <w:rPr>
                <w:sz w:val="1"/>
                <w:szCs w:val="1"/>
                <w:color w:val="auto"/>
              </w:rPr>
            </w:pPr>
          </w:p>
        </w:tc>
      </w:tr>
      <w:tr>
        <w:trPr>
          <w:trHeight w:val="110"/>
        </w:trPr>
        <w:tc>
          <w:tcPr>
            <w:tcW w:w="280" w:type="dxa"/>
            <w:vAlign w:val="bottom"/>
            <w:vMerge w:val="restart"/>
          </w:tcPr>
          <w:p>
            <w:pPr>
              <w:spacing w:after="0"/>
              <w:rPr>
                <w:sz w:val="9"/>
                <w:szCs w:val="9"/>
                <w:color w:val="auto"/>
              </w:rPr>
            </w:pPr>
          </w:p>
        </w:tc>
        <w:tc>
          <w:tcPr>
            <w:tcW w:w="88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177"/>
              <w:spacing w:after="0"/>
              <w:rPr>
                <w:sz w:val="20"/>
                <w:szCs w:val="20"/>
                <w:color w:val="auto"/>
              </w:rPr>
            </w:pPr>
            <w:r>
              <w:rPr>
                <w:rFonts w:ascii="Arial" w:cs="Arial" w:eastAsia="Arial" w:hAnsi="Arial"/>
                <w:sz w:val="18"/>
                <w:szCs w:val="18"/>
                <w:color w:val="auto"/>
                <w:w w:val="93"/>
              </w:rPr>
              <w:t>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Capitalized in period</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Charged to cost of goods sold &amp; services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97"/>
              <w:spacing w:after="0"/>
              <w:rPr>
                <w:sz w:val="20"/>
                <w:szCs w:val="20"/>
                <w:color w:val="auto"/>
              </w:rPr>
            </w:pPr>
            <w:r>
              <w:rPr>
                <w:rFonts w:ascii="Arial" w:cs="Arial" w:eastAsia="Arial" w:hAnsi="Arial"/>
                <w:sz w:val="18"/>
                <w:szCs w:val="18"/>
                <w:color w:val="auto"/>
                <w:w w:val="90"/>
              </w:rPr>
              <w:t>(139)</w:t>
            </w: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0" w:type="dxa"/>
            <w:vAlign w:val="bottom"/>
            <w:vMerge w:val="restart"/>
          </w:tcPr>
          <w:p>
            <w:pPr>
              <w:spacing w:after="0"/>
              <w:rPr>
                <w:sz w:val="8"/>
                <w:szCs w:val="8"/>
                <w:color w:val="auto"/>
              </w:rPr>
            </w:pPr>
          </w:p>
        </w:tc>
        <w:tc>
          <w:tcPr>
            <w:tcW w:w="88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2005</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177"/>
              <w:spacing w:after="0"/>
              <w:rPr>
                <w:sz w:val="20"/>
                <w:szCs w:val="20"/>
                <w:color w:val="auto"/>
              </w:rPr>
            </w:pPr>
            <w:r>
              <w:rPr>
                <w:rFonts w:ascii="Arial" w:cs="Arial" w:eastAsia="Arial" w:hAnsi="Arial"/>
                <w:sz w:val="18"/>
                <w:szCs w:val="18"/>
                <w:color w:val="auto"/>
                <w:w w:val="93"/>
              </w:rPr>
              <w:t>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3060" w:type="dxa"/>
            <w:vAlign w:val="bottom"/>
            <w:vMerge w:val="restart"/>
          </w:tcPr>
          <w:p>
            <w:pPr>
              <w:jc w:val="right"/>
              <w:ind w:right="2572"/>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-1895475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-1895475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-1895475</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-1895475</wp:posOffset>
            </wp:positionV>
            <wp:extent cx="45847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-325755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-325755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40"/>
          </w:cols>
          <w:pgMar w:left="240" w:top="280" w:right="319" w:bottom="1440" w:gutter="0" w:footer="0" w:header="0"/>
        </w:sectPr>
      </w:pPr>
    </w:p>
    <w:bookmarkStart w:id="11" w:name="page12"/>
    <w:bookmarkEnd w:id="11"/>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Goodwill</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for the nine months ended September 30, 2005 are as follows:</w:t>
      </w:r>
    </w:p>
    <w:p>
      <w:pPr>
        <w:spacing w:after="0" w:line="158" w:lineRule="exact"/>
        <w:rPr>
          <w:sz w:val="20"/>
          <w:szCs w:val="20"/>
          <w:color w:val="auto"/>
        </w:rPr>
      </w:pPr>
    </w:p>
    <w:p>
      <w:pPr>
        <w:ind w:left="9400"/>
        <w:spacing w:after="0"/>
        <w:rPr>
          <w:sz w:val="20"/>
          <w:szCs w:val="20"/>
          <w:color w:val="auto"/>
        </w:rPr>
      </w:pPr>
      <w:r>
        <w:rPr>
          <w:rFonts w:ascii="Arial" w:cs="Arial" w:eastAsia="Arial" w:hAnsi="Arial"/>
          <w:sz w:val="18"/>
          <w:szCs w:val="18"/>
          <w:b w:val="1"/>
          <w:bCs w:val="1"/>
          <w:i w:val="1"/>
          <w:iCs w:val="1"/>
          <w:color w:val="auto"/>
        </w:rPr>
        <w:t>(Stated in millions)</w:t>
      </w:r>
    </w:p>
    <w:p>
      <w:pPr>
        <w:spacing w:after="0" w:line="10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Oilfield</w:t>
            </w:r>
          </w:p>
        </w:tc>
        <w:tc>
          <w:tcPr>
            <w:tcW w:w="700" w:type="dxa"/>
            <w:vAlign w:val="bottom"/>
            <w:gridSpan w:val="4"/>
          </w:tcPr>
          <w:p>
            <w:pPr>
              <w:ind w:left="200"/>
              <w:spacing w:after="0"/>
              <w:rPr>
                <w:sz w:val="20"/>
                <w:szCs w:val="20"/>
                <w:color w:val="auto"/>
              </w:rPr>
            </w:pPr>
            <w:r>
              <w:rPr>
                <w:rFonts w:ascii="Arial" w:cs="Arial" w:eastAsia="Arial" w:hAnsi="Arial"/>
                <w:sz w:val="14"/>
                <w:szCs w:val="14"/>
                <w:b w:val="1"/>
                <w:bCs w:val="1"/>
                <w:color w:val="auto"/>
                <w:w w:val="86"/>
              </w:rPr>
              <w:t>Western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79"/>
              </w:rPr>
              <w:t>Services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79"/>
              </w:rPr>
              <w:t>Geco</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Additions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Impact of change in exchange rates</w:t>
            </w:r>
          </w:p>
        </w:tc>
        <w:tc>
          <w:tcPr>
            <w:tcW w:w="34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2005</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31305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34734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Intangible Assets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intangible assets follows:</w:t>
      </w:r>
    </w:p>
    <w:p>
      <w:pPr>
        <w:spacing w:after="0" w:line="158" w:lineRule="exact"/>
        <w:rPr>
          <w:sz w:val="20"/>
          <w:szCs w:val="20"/>
          <w:color w:val="auto"/>
        </w:rPr>
      </w:pPr>
    </w:p>
    <w:p>
      <w:pPr>
        <w:ind w:left="9460"/>
        <w:spacing w:after="0"/>
        <w:rPr>
          <w:sz w:val="20"/>
          <w:szCs w:val="20"/>
          <w:color w:val="auto"/>
        </w:rPr>
      </w:pPr>
      <w:r>
        <w:rPr>
          <w:rFonts w:ascii="Arial" w:cs="Arial" w:eastAsia="Arial" w:hAnsi="Arial"/>
          <w:sz w:val="18"/>
          <w:szCs w:val="18"/>
          <w:b w:val="1"/>
          <w:bCs w:val="1"/>
          <w:i w:val="1"/>
          <w:iCs w:val="1"/>
          <w:color w:val="auto"/>
        </w:rPr>
        <w:t>(Stated in millions)</w:t>
      </w:r>
    </w:p>
    <w:p>
      <w:pPr>
        <w:spacing w:after="0" w:line="10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Sept. 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0"/>
              <w:spacing w:after="0"/>
              <w:rPr>
                <w:sz w:val="20"/>
                <w:szCs w:val="20"/>
                <w:color w:val="auto"/>
              </w:rPr>
            </w:pPr>
            <w:r>
              <w:rPr>
                <w:rFonts w:ascii="Arial" w:cs="Arial" w:eastAsia="Arial" w:hAnsi="Arial"/>
                <w:sz w:val="14"/>
                <w:szCs w:val="14"/>
                <w:b w:val="1"/>
                <w:bCs w:val="1"/>
                <w:color w:val="auto"/>
                <w:w w:val="89"/>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Gross book value</w:t>
            </w:r>
          </w:p>
        </w:tc>
        <w:tc>
          <w:tcPr>
            <w:tcW w:w="3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292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-29210</wp:posOffset>
            </wp:positionV>
            <wp:extent cx="43307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Amortization expense was $18 million and $56 million for the three and nine months ended September 30, 2005, respectively, and $18 million and $57 million for the three and nine months ended September 30, 2004,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2005, the gross book value, accumulated amortization and amortization periods of intangible assets were as follows: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51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w w:val="90"/>
              </w:rPr>
              <w:t>(Stated in millions)</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510" w:type="dxa"/>
            <w:vAlign w:val="bottom"/>
          </w:tcPr>
          <w:p>
            <w:pPr>
              <w:jc w:val="right"/>
              <w:ind w:right="76"/>
              <w:spacing w:after="0"/>
              <w:rPr>
                <w:sz w:val="20"/>
                <w:szCs w:val="20"/>
                <w:color w:val="auto"/>
              </w:rPr>
            </w:pPr>
            <w:r>
              <w:rPr>
                <w:rFonts w:ascii="Arial" w:cs="Arial" w:eastAsia="Arial" w:hAnsi="Arial"/>
                <w:sz w:val="14"/>
                <w:szCs w:val="14"/>
                <w:b w:val="1"/>
                <w:bCs w:val="1"/>
                <w:color w:val="auto"/>
                <w:w w:val="78"/>
              </w:rPr>
              <w:t>Gross</w:t>
            </w: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Book Value</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Amortization</w:t>
            </w:r>
          </w:p>
        </w:tc>
        <w:tc>
          <w:tcPr>
            <w:tcW w:w="20" w:type="dxa"/>
            <w:vAlign w:val="bottom"/>
          </w:tcPr>
          <w:p>
            <w:pPr>
              <w:spacing w:after="0"/>
              <w:rPr>
                <w:sz w:val="15"/>
                <w:szCs w:val="15"/>
                <w:color w:val="auto"/>
              </w:rPr>
            </w:pPr>
          </w:p>
        </w:tc>
        <w:tc>
          <w:tcPr>
            <w:tcW w:w="1940" w:type="dxa"/>
            <w:vAlign w:val="bottom"/>
            <w:gridSpan w:val="2"/>
          </w:tcPr>
          <w:p>
            <w:pPr>
              <w:jc w:val="center"/>
              <w:ind w:left="592"/>
              <w:spacing w:after="0"/>
              <w:rPr>
                <w:sz w:val="20"/>
                <w:szCs w:val="20"/>
                <w:color w:val="auto"/>
              </w:rPr>
            </w:pPr>
            <w:r>
              <w:rPr>
                <w:rFonts w:ascii="Arial" w:cs="Arial" w:eastAsia="Arial" w:hAnsi="Arial"/>
                <w:sz w:val="14"/>
                <w:szCs w:val="14"/>
                <w:b w:val="1"/>
                <w:bCs w:val="1"/>
                <w:color w:val="auto"/>
                <w:w w:val="88"/>
              </w:rPr>
              <w:t>Amortization Periods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50" w:type="dxa"/>
            <w:vAlign w:val="bottom"/>
          </w:tcPr>
          <w:p>
            <w:pPr>
              <w:spacing w:after="0"/>
              <w:rPr>
                <w:sz w:val="8"/>
                <w:szCs w:val="8"/>
                <w:color w:val="auto"/>
              </w:rPr>
            </w:pPr>
          </w:p>
        </w:tc>
        <w:tc>
          <w:tcPr>
            <w:tcW w:w="51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83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5 -10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Technology</w:t>
            </w:r>
          </w:p>
        </w:tc>
        <w:tc>
          <w:tcPr>
            <w:tcW w:w="268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5 -10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68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5 -10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w:t>
            </w:r>
          </w:p>
        </w:tc>
        <w:tc>
          <w:tcPr>
            <w:tcW w:w="268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1 -15 years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50" w:type="dxa"/>
            <w:vAlign w:val="bottom"/>
          </w:tcPr>
          <w:p>
            <w:pPr>
              <w:spacing w:after="0"/>
              <w:rPr>
                <w:sz w:val="8"/>
                <w:szCs w:val="8"/>
                <w:color w:val="auto"/>
              </w:rPr>
            </w:pPr>
          </w:p>
        </w:tc>
        <w:tc>
          <w:tcPr>
            <w:tcW w:w="51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83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weighted average amortization period for all intangible assets is approximately 7.5 years.</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the balance of intangible assets at September 30, 2005, the annual amortization expense for each of the succeeding five fiscal years is estimated to be approximately: 2006 - $75 million, 2007 - $66 million, 2008 - $46 million, 2009 - $25 million and 2010 - $21 million. Amortization expense for the three months ended December 31, 2005 is estimated to be approximately $18 million.</w:t>
      </w:r>
    </w:p>
    <w:p>
      <w:pPr>
        <w:spacing w:after="0" w:line="121"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Compensation Plans</w:t>
      </w:r>
    </w:p>
    <w:p>
      <w:pPr>
        <w:spacing w:after="0" w:line="83"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 xml:space="preserve">As of September 30, 2005, Schlumberger had two types of stock-based compensation plans which are described in Schlumberger’s 2004 Annual Report on Form 10-K. Schlumberger recorded stock-based compensation expense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under the fair value recognition provisions of SFAS Nos. 123 and 148 commencing in the third quarter of 2003, on a prospective basis for grants after January 1, 2003. The effect of stock based compensation expense on net income was $10 million in the third quarter of 2005 ($7 million in the third quarter of 2004) and $29 million during the nine months ended</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-12-</w:t>
      </w:r>
    </w:p>
    <w:p>
      <w:pPr>
        <w:sectPr>
          <w:pgSz w:w="11900" w:h="16838" w:orient="portrait"/>
          <w:cols w:equalWidth="0" w:num="1">
            <w:col w:w="11380"/>
          </w:cols>
          <w:pgMar w:left="240" w:top="274" w:right="279" w:bottom="1440" w:gutter="0" w:footer="0" w:header="0"/>
        </w:sectPr>
      </w:pPr>
    </w:p>
    <w:bookmarkStart w:id="12" w:name="page13"/>
    <w:bookmarkEnd w:id="12"/>
    <w:p>
      <w:pPr>
        <w:jc w:val="both"/>
        <w:ind w:right="3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September 30, 2005 ($20.1 million for the nine months ended September 30, 2004). Schlumberger applies the intrinsic value method of APB Opinion 25 for grants prior to January 1, 2003. Had compensation cost for the stock-based Schlumberger plans been determined based on the fair value at the grant dates for awards prior to January 1, 2003, consistent with the method of SFAS 123, Schlumberger’s net income and earnings per share would have been the pro forma amounts indicated below:</w:t>
      </w:r>
    </w:p>
    <w:p>
      <w:pPr>
        <w:spacing w:after="0" w:line="130" w:lineRule="exact"/>
        <w:rPr>
          <w:sz w:val="20"/>
          <w:szCs w:val="20"/>
          <w:color w:val="auto"/>
        </w:rPr>
      </w:pPr>
    </w:p>
    <w:p>
      <w:pPr>
        <w:ind w:left="8080"/>
        <w:spacing w:after="0"/>
        <w:rPr>
          <w:sz w:val="20"/>
          <w:szCs w:val="20"/>
          <w:color w:val="auto"/>
        </w:rPr>
      </w:pPr>
      <w:r>
        <w:rPr>
          <w:rFonts w:ascii="Arial" w:cs="Arial" w:eastAsia="Arial" w:hAnsi="Arial"/>
          <w:sz w:val="15"/>
          <w:szCs w:val="15"/>
          <w:b w:val="1"/>
          <w:bCs w:val="1"/>
          <w:i w:val="1"/>
          <w:iCs w:val="1"/>
          <w:color w:val="auto"/>
        </w:rPr>
        <w:t>(Stated in millions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ind w:left="400"/>
              <w:spacing w:after="0"/>
              <w:rPr>
                <w:sz w:val="20"/>
                <w:szCs w:val="20"/>
                <w:color w:val="auto"/>
              </w:rPr>
            </w:pPr>
            <w:r>
              <w:rPr>
                <w:rFonts w:ascii="Arial" w:cs="Arial" w:eastAsia="Arial" w:hAnsi="Arial"/>
                <w:sz w:val="14"/>
                <w:szCs w:val="14"/>
                <w:b w:val="1"/>
                <w:bCs w:val="1"/>
                <w:color w:val="auto"/>
                <w:w w:val="91"/>
              </w:rPr>
              <w:t>Third Quarter</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134"/>
              <w:spacing w:after="0"/>
              <w:rPr>
                <w:sz w:val="20"/>
                <w:szCs w:val="20"/>
                <w:color w:val="auto"/>
              </w:rPr>
            </w:pPr>
            <w:r>
              <w:rPr>
                <w:rFonts w:ascii="Arial" w:cs="Arial" w:eastAsia="Arial" w:hAnsi="Arial"/>
                <w:sz w:val="14"/>
                <w:szCs w:val="14"/>
                <w:b w:val="1"/>
                <w:bCs w:val="1"/>
                <w:color w:val="auto"/>
                <w:w w:val="83"/>
              </w:rPr>
              <w:t>2004</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541</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318</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1,546</w:t>
            </w:r>
          </w:p>
        </w:tc>
        <w:tc>
          <w:tcPr>
            <w:tcW w:w="4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adjustments: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20" w:type="dxa"/>
            <w:vAlign w:val="bottom"/>
          </w:tcPr>
          <w:p>
            <w:pPr>
              <w:ind w:left="860"/>
              <w:spacing w:after="0"/>
              <w:rPr>
                <w:sz w:val="20"/>
                <w:szCs w:val="20"/>
                <w:color w:val="auto"/>
              </w:rPr>
            </w:pPr>
            <w:r>
              <w:rPr>
                <w:rFonts w:ascii="Arial" w:cs="Arial" w:eastAsia="Arial" w:hAnsi="Arial"/>
                <w:sz w:val="18"/>
                <w:szCs w:val="18"/>
                <w:color w:val="auto"/>
              </w:rPr>
              <w:t>Cost of Stock Options</w:t>
            </w: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(35)</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0.92</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0.54</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2.62</w:t>
            </w:r>
          </w:p>
        </w:tc>
        <w:tc>
          <w:tcPr>
            <w:tcW w:w="4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adjustments: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20" w:type="dxa"/>
            <w:vAlign w:val="bottom"/>
          </w:tcPr>
          <w:p>
            <w:pPr>
              <w:ind w:left="860"/>
              <w:spacing w:after="0"/>
              <w:rPr>
                <w:sz w:val="20"/>
                <w:szCs w:val="20"/>
                <w:color w:val="auto"/>
              </w:rPr>
            </w:pPr>
            <w:r>
              <w:rPr>
                <w:rFonts w:ascii="Arial" w:cs="Arial" w:eastAsia="Arial" w:hAnsi="Arial"/>
                <w:sz w:val="18"/>
                <w:szCs w:val="18"/>
                <w:color w:val="auto"/>
              </w:rPr>
              <w:t>Cost of Stock Options</w:t>
            </w: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(0.02)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(0.06)</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0.89</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0.53</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2.55</w:t>
            </w:r>
          </w:p>
        </w:tc>
        <w:tc>
          <w:tcPr>
            <w:tcW w:w="4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adjustments: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20" w:type="dxa"/>
            <w:vAlign w:val="bottom"/>
          </w:tcPr>
          <w:p>
            <w:pPr>
              <w:ind w:left="860"/>
              <w:spacing w:after="0"/>
              <w:rPr>
                <w:sz w:val="20"/>
                <w:szCs w:val="20"/>
                <w:color w:val="auto"/>
              </w:rPr>
            </w:pPr>
            <w:r>
              <w:rPr>
                <w:rFonts w:ascii="Arial" w:cs="Arial" w:eastAsia="Arial" w:hAnsi="Arial"/>
                <w:sz w:val="18"/>
                <w:szCs w:val="18"/>
                <w:color w:val="auto"/>
              </w:rPr>
              <w:t>Cost of Stock Options</w:t>
            </w: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(0.02)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(0.06)</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-2018665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-2018665</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-2018665</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-2018665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-2018665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-2018665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-2018665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-2018665</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-2018665</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-2018665</wp:posOffset>
            </wp:positionV>
            <wp:extent cx="51879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-1024255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-1024255</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-1024255</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-1024255</wp:posOffset>
            </wp:positionV>
            <wp:extent cx="2053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053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December 2004, the Financial Accounting Standards Board issued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The standard amends SFAS 123 (</w:t>
      </w:r>
      <w:r>
        <w:rPr>
          <w:rFonts w:ascii="Arial" w:cs="Arial" w:eastAsia="Arial" w:hAnsi="Arial"/>
          <w:sz w:val="16"/>
          <w:szCs w:val="16"/>
          <w:i w:val="1"/>
          <w:iCs w:val="1"/>
          <w:color w:val="auto"/>
        </w:rPr>
        <w:t>Accounting for Stock</w:t>
      </w:r>
      <w:r>
        <w:rPr>
          <w:rFonts w:ascii="Arial" w:cs="Arial" w:eastAsia="Arial" w:hAnsi="Arial"/>
          <w:sz w:val="16"/>
          <w:szCs w:val="16"/>
          <w:color w:val="auto"/>
        </w:rPr>
        <w:t xml:space="preserve"> </w:t>
      </w:r>
      <w:r>
        <w:rPr>
          <w:rFonts w:ascii="Arial" w:cs="Arial" w:eastAsia="Arial" w:hAnsi="Arial"/>
          <w:sz w:val="16"/>
          <w:szCs w:val="16"/>
          <w:i w:val="1"/>
          <w:iCs w:val="1"/>
          <w:color w:val="auto"/>
        </w:rPr>
        <w:t>Based Compensation</w:t>
      </w:r>
      <w:r>
        <w:rPr>
          <w:rFonts w:ascii="Arial" w:cs="Arial" w:eastAsia="Arial" w:hAnsi="Arial"/>
          <w:sz w:val="16"/>
          <w:szCs w:val="16"/>
          <w:color w:val="auto"/>
        </w:rPr>
        <w:t>) and concludes that services received from employees in exchange for stock-based compensation results in a cost to the employer that must</w:t>
      </w:r>
      <w:r>
        <w:rPr>
          <w:rFonts w:ascii="Arial" w:cs="Arial" w:eastAsia="Arial" w:hAnsi="Arial"/>
          <w:sz w:val="16"/>
          <w:szCs w:val="16"/>
          <w:i w:val="1"/>
          <w:iCs w:val="1"/>
          <w:color w:val="auto"/>
        </w:rPr>
        <w:t xml:space="preserve"> </w:t>
      </w:r>
      <w:r>
        <w:rPr>
          <w:rFonts w:ascii="Arial" w:cs="Arial" w:eastAsia="Arial" w:hAnsi="Arial"/>
          <w:sz w:val="16"/>
          <w:szCs w:val="16"/>
          <w:color w:val="auto"/>
        </w:rPr>
        <w:t>be recognized in the financial statements. The cost of such awards should be measured at fair value at the date of grant. SFAS 123R provides public companies with a choice of transition methods to implement the standard. Schlumberger will apply the modified prospective method whereby compensation cost will be recognized for the unamortized portion of vested awards outstanding at January 1, 2006, the effective date of SFAS 123R, and granted after January 1, 1995. Such cost will be recognized in Schlumberger’s financial statements over the remaining vesting periods. As described above, in 2003 Schlumberger adopted the fair value recognition provisions of SFAS Nos. 123 and 148 on a prospective basis for grants after January 1, 2003. Therefore, effective January 1, 2006, Schlumberger will have to apply the provisions of SFAS 123R to the unvested portion of awards granted during the period of January 1, 1995 to December 31, 2002; the adoption of this standard to result in an additional charge to Schlumberger’s earnings of approximately $20 million in 2006 and $5 million in 2007.</w:t>
      </w:r>
    </w:p>
    <w:p>
      <w:pPr>
        <w:spacing w:after="0" w:line="100"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Pretax book income from continuing operations subject to US and non-US income taxes was as follows: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(Stated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60" w:type="dxa"/>
            <w:vAlign w:val="bottom"/>
          </w:tcPr>
          <w:p>
            <w:pPr>
              <w:spacing w:after="0"/>
              <w:rPr>
                <w:sz w:val="15"/>
                <w:szCs w:val="15"/>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Third Quarter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40"/>
              <w:spacing w:after="0"/>
              <w:rPr>
                <w:sz w:val="20"/>
                <w:szCs w:val="20"/>
                <w:color w:val="auto"/>
              </w:rPr>
            </w:pPr>
            <w:r>
              <w:rPr>
                <w:rFonts w:ascii="Arial" w:cs="Arial" w:eastAsia="Arial" w:hAnsi="Arial"/>
                <w:sz w:val="14"/>
                <w:szCs w:val="14"/>
                <w:b w:val="1"/>
                <w:bCs w:val="1"/>
                <w:color w:val="auto"/>
                <w:w w:val="83"/>
              </w:rPr>
              <w:t>2005</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$177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Outside United States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563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1,491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Pretax income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$740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381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2,070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-29210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Schlumberger reported pretax charges and credits in continuing operations in 2005 and 2004. During the third quarter of 2005, Schlumberger recorded a pretax credit of $18 million outside of the US. During the nine months ended September 30, 2005, Schlumberger recorded pretax net credits of $152 million ($2 million of charges in the US; $154 million of credits outside the US). During the nine months ended September 30,</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right="7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2004, Schlumberger recorded net pretax charges of $242 million ($124 million in the US; $118 million outside of the US). These charges and credits are described in detail in Note 2 – </w:t>
      </w:r>
      <w:r>
        <w:rPr>
          <w:rFonts w:ascii="Arial" w:cs="Arial" w:eastAsia="Arial" w:hAnsi="Arial"/>
          <w:sz w:val="18"/>
          <w:szCs w:val="18"/>
          <w:i w:val="1"/>
          <w:iCs w:val="1"/>
          <w:color w:val="auto"/>
        </w:rPr>
        <w:t>Charges and Credits – Continuing Operations</w:t>
      </w:r>
      <w:r>
        <w:rPr>
          <w:rFonts w:ascii="Arial" w:cs="Arial" w:eastAsia="Arial" w:hAnsi="Arial"/>
          <w:sz w:val="18"/>
          <w:szCs w:val="18"/>
          <w:color w:val="auto"/>
        </w:rPr>
        <w: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components of net deferred tax assets were as follows: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(Stated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 30</w:t>
            </w:r>
          </w:p>
        </w:tc>
        <w:tc>
          <w:tcPr>
            <w:tcW w:w="12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8"/>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and other long-term benefits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Current employee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Fixed assets, inventory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Net operating losses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45847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deferred tax assets relating to net operating losses at September 30, 2005 and December 31, 2004 are net of valuation allowances in certain countries of $228 million and $312 million, respectively.</w:t>
      </w:r>
    </w:p>
    <w:p>
      <w:pPr>
        <w:spacing w:after="0" w:line="11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 xml:space="preserve">As described in Note 2 </w:t>
      </w:r>
      <w:r>
        <w:rPr>
          <w:rFonts w:ascii="Arial" w:cs="Arial" w:eastAsia="Arial" w:hAnsi="Arial"/>
          <w:sz w:val="16"/>
          <w:szCs w:val="16"/>
          <w:i w:val="1"/>
          <w:iCs w:val="1"/>
          <w:color w:val="auto"/>
        </w:rPr>
        <w:t>Charges and Credits – Continuing Operations,</w:t>
      </w:r>
      <w:r>
        <w:rPr>
          <w:rFonts w:ascii="Arial" w:cs="Arial" w:eastAsia="Arial" w:hAnsi="Arial"/>
          <w:sz w:val="16"/>
          <w:szCs w:val="16"/>
          <w:color w:val="auto"/>
        </w:rPr>
        <w:t xml:space="preserve"> Schlumberger sold its facility in Montrouge, France during 2005. This transaction allowed for the utilization of a $57 million deferred tax asset relating to certain net operating losses that were previously offset by a valuation allowance.</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components of consolidated income tax expense from continuing operations were as follows:</w:t>
      </w:r>
    </w:p>
    <w:p>
      <w:pPr>
        <w:spacing w:after="0" w:line="158" w:lineRule="exact"/>
        <w:rPr>
          <w:sz w:val="20"/>
          <w:szCs w:val="20"/>
          <w:color w:val="auto"/>
        </w:rPr>
      </w:pPr>
    </w:p>
    <w:p>
      <w:pPr>
        <w:ind w:left="9960"/>
        <w:spacing w:after="0"/>
        <w:rPr>
          <w:sz w:val="20"/>
          <w:szCs w:val="20"/>
          <w:color w:val="auto"/>
        </w:rPr>
      </w:pPr>
      <w:r>
        <w:rPr>
          <w:rFonts w:ascii="Arial" w:cs="Arial" w:eastAsia="Arial" w:hAnsi="Arial"/>
          <w:sz w:val="16"/>
          <w:szCs w:val="16"/>
          <w:b w:val="1"/>
          <w:bCs w:val="1"/>
          <w:i w:val="1"/>
          <w:iCs w:val="1"/>
          <w:color w:val="auto"/>
        </w:rPr>
        <w:t>(Stated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Third Quarter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5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United States - Federal</w:t>
            </w:r>
          </w:p>
        </w:tc>
        <w:tc>
          <w:tcPr>
            <w:tcW w:w="5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(108)</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138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 State</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Outside United States</w:t>
            </w: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110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285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United States - Federal</w:t>
            </w:r>
          </w:p>
        </w:tc>
        <w:tc>
          <w:tcPr>
            <w:tcW w:w="5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130</w:t>
            </w:r>
          </w:p>
        </w:tc>
        <w:tc>
          <w:tcPr>
            <w:tcW w:w="2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 State</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Outside United States</w:t>
            </w: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Consolidated taxes on income</w:t>
            </w: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5180" w:type="dxa"/>
            <w:vAlign w:val="bottom"/>
            <w:vMerge w:val="restart"/>
          </w:tcPr>
          <w:p>
            <w:pPr>
              <w:jc w:val="right"/>
              <w:ind w:right="3075"/>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-325755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-325755</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-325755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-325755</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-325755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-325755</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-325755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-325755</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4" w:name="page15"/>
    <w:bookmarkEnd w:id="1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reconciliation of the US statutory federal tax rate (35%) to the consolidated effective tax rate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5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Third Quarter</w:t>
            </w:r>
          </w:p>
        </w:tc>
        <w:tc>
          <w:tcPr>
            <w:tcW w:w="11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2005</w:t>
            </w:r>
          </w:p>
        </w:tc>
        <w:tc>
          <w:tcPr>
            <w:tcW w:w="4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2004</w:t>
            </w:r>
          </w:p>
        </w:tc>
        <w:tc>
          <w:tcPr>
            <w:tcW w:w="440" w:type="dxa"/>
            <w:vAlign w:val="bottom"/>
          </w:tcPr>
          <w:p>
            <w:pPr>
              <w:spacing w:after="0"/>
              <w:rPr>
                <w:sz w:val="22"/>
                <w:szCs w:val="22"/>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w w:val="76"/>
              </w:rPr>
              <w:t>2005</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35%</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US state income taxes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480" w:type="dxa"/>
            <w:vAlign w:val="bottom"/>
          </w:tcPr>
          <w:p>
            <w:pPr>
              <w:spacing w:after="0"/>
              <w:rPr>
                <w:sz w:val="18"/>
                <w:szCs w:val="18"/>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 US income taxed at different rates</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Effect of equity method investment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7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(1)</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Minority partner’s share of LLC earnings</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w:t>
            </w:r>
          </w:p>
        </w:tc>
        <w:tc>
          <w:tcPr>
            <w:tcW w:w="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Valuation allowance (excluding charges and credits)</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w:t>
            </w:r>
          </w:p>
        </w:tc>
        <w:tc>
          <w:tcPr>
            <w:tcW w:w="7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Charges and credits</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w:t>
            </w:r>
          </w:p>
        </w:tc>
        <w:tc>
          <w:tcPr>
            <w:tcW w:w="7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24%</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6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the estimated future costs associated with certain environmental remediation activities related to the past use or disposal of hazardous materials where it is probable that Schlumberger has incurred a liability and such amount can be reasonably estimated.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0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includes accruals for estimated future expenditures associated with business divestitures which have been completed. It is possible that the ultimate expenditures may exceed the amounts recorded. In the opinion of management, such additional expenditures are not expected to be material relative to consolidated liquidity, financial position or future results of operations.</w:t>
      </w:r>
    </w:p>
    <w:p>
      <w:pPr>
        <w:spacing w:after="0" w:line="12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In December 2004, WesternGeco and Schlumberger received grand jury subpoenas from the US Attorney’s office in the Southern District of Texas seeking documents relating to possible fraud in obtaining visas for non-US citizens working as crewmembers on vessels operating in the Gulf of Mexico. We are in the process of responding to the investigation, including providing information sought by the subpoenas. Schlumberger is unable to determine the outcome of this matter and the related impact it might have on Schlumberger’s financial condition and results of operations.</w:t>
      </w:r>
    </w:p>
    <w:p>
      <w:pPr>
        <w:spacing w:after="0" w:line="99"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In addition, Schlumberger and its subsidiaries are party to various other legal proceedings. A liability is accrued when a loss is both probable and can be reasonably estimable. At this time the ultimate disposition of these proceedings is not presently determinable and therefore, it is not possible to estimate the amount of loss or range of possible losses that might result from an adverse judgment on settlement in these matters. However, in the opinion of Schlumberger, any liability that might ensue would not be material in relation to the consolidated liquidity, financial position or future results of operations.</w:t>
      </w:r>
    </w:p>
    <w:p>
      <w:pPr>
        <w:spacing w:after="0" w:line="9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Schlumberger’s tax filings are subject to regular audit by the tax authorities in most of the jurisdictions in which it conducts business. These audits may result in assessments for additional taxes which are resolved with the authorities or, potentially, through the courts.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year in which such resolution occurs.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Segment Information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Schlumberger operates two primary reportable business segments: Oilfield Services and WesternGeco.</w:t>
      </w:r>
    </w:p>
    <w:p>
      <w:pPr>
        <w:spacing w:after="0" w:line="158" w:lineRule="exact"/>
        <w:rPr>
          <w:sz w:val="20"/>
          <w:szCs w:val="20"/>
          <w:color w:val="auto"/>
        </w:rPr>
      </w:pPr>
    </w:p>
    <w:p>
      <w:pPr>
        <w:ind w:left="9960"/>
        <w:spacing w:after="0"/>
        <w:rPr>
          <w:sz w:val="20"/>
          <w:szCs w:val="20"/>
          <w:color w:val="auto"/>
        </w:rPr>
      </w:pPr>
      <w:r>
        <w:rPr>
          <w:rFonts w:ascii="Arial" w:cs="Arial" w:eastAsia="Arial" w:hAnsi="Arial"/>
          <w:sz w:val="16"/>
          <w:szCs w:val="16"/>
          <w:b w:val="1"/>
          <w:bCs w:val="1"/>
          <w:i w:val="1"/>
          <w:iCs w:val="1"/>
          <w:color w:val="auto"/>
        </w:rPr>
        <w:t>(Stated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60" w:type="dxa"/>
            <w:vAlign w:val="bottom"/>
            <w:gridSpan w:val="9"/>
          </w:tcPr>
          <w:p>
            <w:pPr>
              <w:jc w:val="right"/>
              <w:ind w:right="560"/>
              <w:spacing w:after="0"/>
              <w:rPr>
                <w:sz w:val="20"/>
                <w:szCs w:val="20"/>
                <w:color w:val="auto"/>
              </w:rPr>
            </w:pPr>
            <w:r>
              <w:rPr>
                <w:rFonts w:ascii="Arial" w:cs="Arial" w:eastAsia="Arial" w:hAnsi="Arial"/>
                <w:sz w:val="14"/>
                <w:szCs w:val="14"/>
                <w:b w:val="1"/>
                <w:bCs w:val="1"/>
                <w:color w:val="auto"/>
              </w:rPr>
              <w:t>THIRD QUARTER 2005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10"/>
          </w:tcPr>
          <w:p>
            <w:pPr>
              <w:jc w:val="center"/>
              <w:ind w:right="320"/>
              <w:spacing w:after="0"/>
              <w:rPr>
                <w:sz w:val="20"/>
                <w:szCs w:val="20"/>
                <w:color w:val="auto"/>
              </w:rPr>
            </w:pPr>
            <w:r>
              <w:rPr>
                <w:rFonts w:ascii="Arial" w:cs="Arial" w:eastAsia="Arial" w:hAnsi="Arial"/>
                <w:sz w:val="14"/>
                <w:szCs w:val="14"/>
                <w:b w:val="1"/>
                <w:bCs w:val="1"/>
                <w:color w:val="auto"/>
                <w:w w:val="95"/>
              </w:rPr>
              <w:t>THIRD QUARTER 2004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4"/>
          </w:tcPr>
          <w:p>
            <w:pPr>
              <w:ind w:left="40"/>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after tax</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Minority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0"/>
              </w:rPr>
              <w:t>Tax</w:t>
            </w:r>
          </w:p>
        </w:tc>
        <w:tc>
          <w:tcPr>
            <w:tcW w:w="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before tax</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Minority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Tax</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before tax</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5"/>
                <w:szCs w:val="15"/>
                <w:color w:val="auto"/>
              </w:rPr>
            </w:pPr>
          </w:p>
        </w:tc>
        <w:tc>
          <w:tcPr>
            <w:tcW w:w="7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260" w:type="dxa"/>
            <w:vAlign w:val="bottom"/>
          </w:tcPr>
          <w:p>
            <w:pPr>
              <w:spacing w:after="0"/>
              <w:rPr>
                <w:sz w:val="15"/>
                <w:szCs w:val="15"/>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5"/>
                <w:szCs w:val="15"/>
                <w:color w:val="auto"/>
              </w:rPr>
            </w:pPr>
          </w:p>
        </w:tc>
        <w:tc>
          <w:tcPr>
            <w:tcW w:w="8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&amp; MI</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5"/>
                <w:szCs w:val="15"/>
                <w:color w:val="auto"/>
              </w:rPr>
            </w:pPr>
          </w:p>
        </w:tc>
        <w:tc>
          <w:tcPr>
            <w:tcW w:w="7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260" w:type="dxa"/>
            <w:vAlign w:val="bottom"/>
          </w:tcPr>
          <w:p>
            <w:pPr>
              <w:spacing w:after="0"/>
              <w:rPr>
                <w:sz w:val="15"/>
                <w:szCs w:val="15"/>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&amp; MI</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420"/>
              <w:spacing w:after="0"/>
              <w:rPr>
                <w:sz w:val="20"/>
                <w:szCs w:val="20"/>
                <w:color w:val="auto"/>
              </w:rPr>
            </w:pPr>
            <w:r>
              <w:rPr>
                <w:rFonts w:ascii="Arial" w:cs="Arial" w:eastAsia="Arial" w:hAnsi="Arial"/>
                <w:sz w:val="18"/>
                <w:szCs w:val="18"/>
                <w:color w:val="auto"/>
              </w:rPr>
              <w:t>North America</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946</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3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789</w:t>
            </w:r>
          </w:p>
        </w:tc>
        <w:tc>
          <w:tcPr>
            <w:tcW w:w="3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420"/>
              <w:spacing w:after="0"/>
              <w:rPr>
                <w:sz w:val="20"/>
                <w:szCs w:val="20"/>
                <w:color w:val="auto"/>
              </w:rPr>
            </w:pPr>
            <w:r>
              <w:rPr>
                <w:rFonts w:ascii="Arial" w:cs="Arial" w:eastAsia="Arial" w:hAnsi="Arial"/>
                <w:sz w:val="18"/>
                <w:szCs w:val="18"/>
                <w:color w:val="auto"/>
              </w:rPr>
              <w:t>Europe/CIS/W. Africa</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3"/>
          </w:tcPr>
          <w:p>
            <w:pPr>
              <w:ind w:left="420"/>
              <w:spacing w:after="0"/>
              <w:rPr>
                <w:sz w:val="20"/>
                <w:szCs w:val="20"/>
                <w:color w:val="auto"/>
              </w:rPr>
            </w:pPr>
            <w:r>
              <w:rPr>
                <w:rFonts w:ascii="Arial" w:cs="Arial" w:eastAsia="Arial" w:hAnsi="Arial"/>
                <w:sz w:val="18"/>
                <w:szCs w:val="18"/>
                <w:color w:val="auto"/>
              </w:rPr>
              <w:t>Elims/Other</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2,606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WesternGeco</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71"/>
              </w:rPr>
              <w:t>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Elims &amp; Other</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2,906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71"/>
              </w:rPr>
              <w:t>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Credits and charges </w:t>
            </w:r>
            <w:r>
              <w:rPr>
                <w:rFonts w:ascii="Arial" w:cs="Arial" w:eastAsia="Arial" w:hAnsi="Arial"/>
                <w:sz w:val="22"/>
                <w:szCs w:val="22"/>
                <w:color w:val="auto"/>
                <w:vertAlign w:val="superscript"/>
              </w:rPr>
              <w:t>(2)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-1030605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-1030605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-1030605</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-1030605</wp:posOffset>
            </wp:positionV>
            <wp:extent cx="34734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-1030605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-1030605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-1030605</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-1030605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-1030605</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-1030605</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-1030605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-1030605</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-1030605</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-1030605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-1030605</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-1030605</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-1030605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-1030605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-1030605</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-1030605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-1030605</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-1030605</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-172720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-172720</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-172720</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-172720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-172720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($3 million in 2005; $3 million in 2004).</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Charges and Credits – Continuing Operations</w:t>
      </w:r>
      <w:r>
        <w:rPr>
          <w:rFonts w:ascii="Arial" w:cs="Arial" w:eastAsia="Arial" w:hAnsi="Arial"/>
          <w:sz w:val="18"/>
          <w:szCs w:val="18"/>
          <w:color w:val="auto"/>
        </w:rPr>
        <w:t>.</w:t>
      </w:r>
    </w:p>
    <w:p>
      <w:pPr>
        <w:spacing w:after="0" w:line="151" w:lineRule="exact"/>
        <w:rPr>
          <w:sz w:val="20"/>
          <w:szCs w:val="20"/>
          <w:color w:val="auto"/>
        </w:rPr>
      </w:pPr>
    </w:p>
    <w:p>
      <w:pPr>
        <w:ind w:left="9960"/>
        <w:spacing w:after="0"/>
        <w:rPr>
          <w:sz w:val="20"/>
          <w:szCs w:val="20"/>
          <w:color w:val="auto"/>
        </w:rPr>
      </w:pPr>
      <w:r>
        <w:rPr>
          <w:rFonts w:ascii="Arial" w:cs="Arial" w:eastAsia="Arial" w:hAnsi="Arial"/>
          <w:sz w:val="16"/>
          <w:szCs w:val="16"/>
          <w:b w:val="1"/>
          <w:bCs w:val="1"/>
          <w:i w:val="1"/>
          <w:iCs w:val="1"/>
          <w:color w:val="auto"/>
        </w:rPr>
        <w:t>(Stated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9"/>
          </w:tcPr>
          <w:p>
            <w:pPr>
              <w:ind w:left="300"/>
              <w:spacing w:after="0"/>
              <w:rPr>
                <w:sz w:val="20"/>
                <w:szCs w:val="20"/>
                <w:color w:val="auto"/>
              </w:rPr>
            </w:pPr>
            <w:r>
              <w:rPr>
                <w:rFonts w:ascii="Arial" w:cs="Arial" w:eastAsia="Arial" w:hAnsi="Arial"/>
                <w:sz w:val="14"/>
                <w:szCs w:val="14"/>
                <w:b w:val="1"/>
                <w:bCs w:val="1"/>
                <w:color w:val="auto"/>
              </w:rPr>
              <w:t>NINE MONTHS 2005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10"/>
          </w:tcPr>
          <w:p>
            <w:pPr>
              <w:ind w:left="340"/>
              <w:spacing w:after="0"/>
              <w:rPr>
                <w:sz w:val="20"/>
                <w:szCs w:val="20"/>
                <w:color w:val="auto"/>
              </w:rPr>
            </w:pPr>
            <w:r>
              <w:rPr>
                <w:rFonts w:ascii="Arial" w:cs="Arial" w:eastAsia="Arial" w:hAnsi="Arial"/>
                <w:sz w:val="14"/>
                <w:szCs w:val="14"/>
                <w:b w:val="1"/>
                <w:bCs w:val="1"/>
                <w:color w:val="auto"/>
              </w:rPr>
              <w:t>NINE MONTHS 2004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Minority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Tax</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before tax</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Minority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Tax</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before tax</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5"/>
                <w:szCs w:val="15"/>
                <w:color w:val="auto"/>
              </w:rPr>
            </w:pP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5"/>
                <w:szCs w:val="15"/>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2"/>
              </w:rPr>
              <w:t>Revenue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5"/>
                <w:szCs w:val="15"/>
                <w:color w:val="auto"/>
              </w:rPr>
            </w:pP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&amp; MI</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420"/>
              <w:spacing w:after="0"/>
              <w:rPr>
                <w:sz w:val="20"/>
                <w:szCs w:val="20"/>
                <w:color w:val="auto"/>
              </w:rPr>
            </w:pPr>
            <w:r>
              <w:rPr>
                <w:rFonts w:ascii="Arial" w:cs="Arial" w:eastAsia="Arial" w:hAnsi="Arial"/>
                <w:sz w:val="18"/>
                <w:szCs w:val="18"/>
                <w:color w:val="auto"/>
              </w:rPr>
              <w:t>North America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2,720</w:t>
            </w:r>
          </w:p>
        </w:tc>
        <w:tc>
          <w:tcPr>
            <w:tcW w:w="280" w:type="dxa"/>
            <w:vAlign w:val="bottom"/>
            <w:gridSpan w:val="3"/>
          </w:tcPr>
          <w:p>
            <w:pPr>
              <w:ind w:left="20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421</w:t>
            </w:r>
          </w:p>
        </w:tc>
        <w:tc>
          <w:tcPr>
            <w:tcW w:w="2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655</w:t>
            </w:r>
          </w:p>
        </w:tc>
        <w:tc>
          <w:tcPr>
            <w:tcW w:w="2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$2,261</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420"/>
              <w:spacing w:after="0"/>
              <w:rPr>
                <w:sz w:val="20"/>
                <w:szCs w:val="20"/>
                <w:color w:val="auto"/>
              </w:rPr>
            </w:pPr>
            <w:r>
              <w:rPr>
                <w:rFonts w:ascii="Arial" w:cs="Arial" w:eastAsia="Arial" w:hAnsi="Arial"/>
                <w:sz w:val="18"/>
                <w:szCs w:val="18"/>
                <w:color w:val="auto"/>
              </w:rPr>
              <w:t>Europe/CIS/W. Africa</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478</w:t>
            </w:r>
          </w:p>
        </w:tc>
        <w:tc>
          <w:tcPr>
            <w:tcW w:w="2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2,089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tcPr>
          <w:p>
            <w:pPr>
              <w:ind w:left="420"/>
              <w:spacing w:after="0"/>
              <w:rPr>
                <w:sz w:val="20"/>
                <w:szCs w:val="20"/>
                <w:color w:val="auto"/>
              </w:rPr>
            </w:pPr>
            <w:r>
              <w:rPr>
                <w:rFonts w:ascii="Arial" w:cs="Arial" w:eastAsia="Arial" w:hAnsi="Arial"/>
                <w:sz w:val="18"/>
                <w:szCs w:val="18"/>
                <w:color w:val="auto"/>
              </w:rPr>
              <w:t>Elims/Other</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WesternGeco</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Elims &amp; 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10,286</w:t>
            </w:r>
          </w:p>
        </w:tc>
        <w:tc>
          <w:tcPr>
            <w:tcW w:w="28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1,459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$8,412</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Credits and charges </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-1030605</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-1030605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-1030605</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-1030605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-1030605</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-1030605</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-1030605</wp:posOffset>
            </wp:positionV>
            <wp:extent cx="54419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-1030605</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-1030605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-1030605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-1030605</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-1030605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-1030605</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-1030605</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-1030605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-1030605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-1030605</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-1030605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-1030605</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-1030605</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-172720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-172720</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-172720</wp:posOffset>
            </wp:positionV>
            <wp:extent cx="3873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-172720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-172720</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($8 million in 2005; $6 million in 2004).</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Charges and Credits – Continuing Operations</w:t>
      </w:r>
      <w:r>
        <w:rPr>
          <w:rFonts w:ascii="Arial" w:cs="Arial" w:eastAsia="Arial" w:hAnsi="Arial"/>
          <w:sz w:val="18"/>
          <w:szCs w:val="18"/>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ind w:left="280" w:hanging="272"/>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Pension and Other Postretirement Benefits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in the US for the third quarter and nine months ended September 30, 2005 and 2004 included the following components: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5"/>
          </w:tcPr>
          <w:p>
            <w:pPr>
              <w:jc w:val="right"/>
              <w:ind w:right="60"/>
              <w:spacing w:after="0"/>
              <w:rPr>
                <w:sz w:val="20"/>
                <w:szCs w:val="20"/>
                <w:color w:val="auto"/>
              </w:rPr>
            </w:pPr>
            <w:r>
              <w:rPr>
                <w:rFonts w:ascii="Arial" w:cs="Arial" w:eastAsia="Arial" w:hAnsi="Arial"/>
                <w:sz w:val="14"/>
                <w:szCs w:val="14"/>
                <w:b w:val="1"/>
                <w:bCs w:val="1"/>
                <w:i w:val="1"/>
                <w:iCs w:val="1"/>
                <w:color w:val="auto"/>
                <w:w w:val="94"/>
              </w:rPr>
              <w:t>(Stated in millions)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8"/>
              </w:rPr>
              <w:t>Third Quarter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80" w:type="dxa"/>
            <w:vAlign w:val="bottom"/>
          </w:tcPr>
          <w:p>
            <w:pPr>
              <w:spacing w:after="0"/>
              <w:rPr>
                <w:sz w:val="22"/>
                <w:szCs w:val="22"/>
                <w:color w:val="auto"/>
              </w:rPr>
            </w:pPr>
          </w:p>
        </w:tc>
        <w:tc>
          <w:tcPr>
            <w:tcW w:w="30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76"/>
              </w:rPr>
              <w:t>2005</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period</w:t>
            </w:r>
          </w:p>
        </w:tc>
        <w:tc>
          <w:tcPr>
            <w:tcW w:w="34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$ 13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34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4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(23)</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Amortization of prior service cost/other</w:t>
            </w:r>
          </w:p>
        </w:tc>
        <w:tc>
          <w:tcPr>
            <w:tcW w:w="34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net loss</w:t>
            </w:r>
          </w:p>
        </w:tc>
        <w:tc>
          <w:tcPr>
            <w:tcW w:w="34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34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$ 20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-29210</wp:posOffset>
            </wp:positionV>
            <wp:extent cx="25273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2159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3873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1305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July 2005, Schlumberger contributed approximately $171 million to the US pension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in the UK plan for the third quarter and nine months ended September 30, 2005 and 2004 included the following components: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7"/>
          </w:tcPr>
          <w:p>
            <w:pPr>
              <w:jc w:val="right"/>
              <w:ind w:right="60"/>
              <w:spacing w:after="0"/>
              <w:rPr>
                <w:sz w:val="20"/>
                <w:szCs w:val="20"/>
                <w:color w:val="auto"/>
              </w:rPr>
            </w:pPr>
            <w:r>
              <w:rPr>
                <w:rFonts w:ascii="Arial" w:cs="Arial" w:eastAsia="Arial" w:hAnsi="Arial"/>
                <w:sz w:val="14"/>
                <w:szCs w:val="14"/>
                <w:b w:val="1"/>
                <w:bCs w:val="1"/>
                <w:i w:val="1"/>
                <w:iCs w:val="1"/>
                <w:color w:val="auto"/>
                <w:w w:val="97"/>
              </w:rPr>
              <w:t>(Stated in millions)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6"/>
              </w:rPr>
              <w:t>Third Quarter</w:t>
            </w:r>
          </w:p>
        </w:tc>
        <w:tc>
          <w:tcPr>
            <w:tcW w:w="100" w:type="dxa"/>
            <w:vAlign w:val="bottom"/>
          </w:tcPr>
          <w:p>
            <w:pPr>
              <w:spacing w:after="0"/>
              <w:rPr>
                <w:sz w:val="15"/>
                <w:szCs w:val="15"/>
                <w:color w:val="auto"/>
              </w:rPr>
            </w:pPr>
          </w:p>
        </w:tc>
        <w:tc>
          <w:tcPr>
            <w:tcW w:w="130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0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ind w:right="20"/>
              <w:spacing w:after="0"/>
              <w:rPr>
                <w:sz w:val="20"/>
                <w:szCs w:val="20"/>
                <w:color w:val="auto"/>
              </w:rPr>
            </w:pPr>
            <w:r>
              <w:rPr>
                <w:rFonts w:ascii="Arial" w:cs="Arial" w:eastAsia="Arial" w:hAnsi="Arial"/>
                <w:sz w:val="14"/>
                <w:szCs w:val="14"/>
                <w:b w:val="1"/>
                <w:bCs w:val="1"/>
                <w:color w:val="auto"/>
                <w:w w:val="76"/>
              </w:rPr>
              <w:t>2005</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3"/>
              </w:rPr>
              <w:t>(11)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Amortization of unrecognized loss</w:t>
            </w:r>
          </w:p>
        </w:tc>
        <w:tc>
          <w:tcPr>
            <w:tcW w:w="1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5273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33845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845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postretirement benefit cost in the US for the third quarter and nine months of 2005 and 2004 included the following components: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5"/>
          </w:tcPr>
          <w:p>
            <w:pPr>
              <w:ind w:left="120"/>
              <w:spacing w:after="0"/>
              <w:rPr>
                <w:sz w:val="20"/>
                <w:szCs w:val="20"/>
                <w:color w:val="auto"/>
              </w:rPr>
            </w:pPr>
            <w:r>
              <w:rPr>
                <w:rFonts w:ascii="Arial" w:cs="Arial" w:eastAsia="Arial" w:hAnsi="Arial"/>
                <w:sz w:val="14"/>
                <w:szCs w:val="14"/>
                <w:b w:val="1"/>
                <w:bCs w:val="1"/>
                <w:i w:val="1"/>
                <w:iCs w:val="1"/>
                <w:color w:val="auto"/>
                <w:w w:val="84"/>
              </w:rPr>
              <w:t>(Stated in millions)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3"/>
              </w:rPr>
              <w:t>Third Quarter</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40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2004</w:t>
            </w:r>
          </w:p>
        </w:tc>
        <w:tc>
          <w:tcPr>
            <w:tcW w:w="74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period</w:t>
            </w:r>
          </w:p>
        </w:tc>
        <w:tc>
          <w:tcPr>
            <w:tcW w:w="3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w w:val="78"/>
              </w:rPr>
              <w:t>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11</w:t>
            </w: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ind w:left="120"/>
              <w:spacing w:after="0"/>
              <w:rPr>
                <w:sz w:val="20"/>
                <w:szCs w:val="20"/>
                <w:color w:val="auto"/>
              </w:rPr>
            </w:pPr>
            <w:r>
              <w:rPr>
                <w:rFonts w:ascii="Arial" w:cs="Arial" w:eastAsia="Arial" w:hAnsi="Arial"/>
                <w:sz w:val="16"/>
                <w:szCs w:val="16"/>
                <w:b w:val="1"/>
                <w:bCs w:val="1"/>
                <w:color w:val="auto"/>
                <w:w w:val="78"/>
              </w:rPr>
              <w:t>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postretirement benefit cost</w:t>
            </w:r>
          </w:p>
        </w:tc>
        <w:tc>
          <w:tcPr>
            <w:tcW w:w="3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9"/>
              </w:rPr>
              <w:t>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w w:val="78"/>
              </w:rPr>
              <w:t>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720" w:type="dxa"/>
            <w:vAlign w:val="bottom"/>
            <w:vMerge w:val="restart"/>
          </w:tcPr>
          <w:p>
            <w:pPr>
              <w:jc w:val="right"/>
              <w:ind w:right="2737"/>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-325755</wp:posOffset>
            </wp:positionV>
            <wp:extent cx="25273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23558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0416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-325755</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-325755</wp:posOffset>
            </wp:positionV>
            <wp:extent cx="2159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ind w:right="4160"/>
        <w:spacing w:after="0" w:line="353"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2: Management’s Discussion and Analysis of Financial Condition and Results of Operations </w:t>
      </w:r>
      <w:r>
        <w:rPr>
          <w:rFonts w:ascii="Arial" w:cs="Arial" w:eastAsia="Arial" w:hAnsi="Arial"/>
          <w:sz w:val="18"/>
          <w:szCs w:val="18"/>
          <w:b w:val="1"/>
          <w:bCs w:val="1"/>
          <w:color w:val="auto"/>
        </w:rPr>
        <w:t>BUSINESS REVIEW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5"/>
          </w:tcPr>
          <w:p>
            <w:pPr>
              <w:spacing w:after="0"/>
              <w:rPr>
                <w:sz w:val="20"/>
                <w:szCs w:val="20"/>
                <w:color w:val="auto"/>
              </w:rPr>
            </w:pPr>
            <w:r>
              <w:rPr>
                <w:rFonts w:ascii="Arial" w:cs="Arial" w:eastAsia="Arial" w:hAnsi="Arial"/>
                <w:sz w:val="14"/>
                <w:szCs w:val="14"/>
                <w:b w:val="1"/>
                <w:bCs w:val="1"/>
                <w:i w:val="1"/>
                <w:iCs w:val="1"/>
                <w:color w:val="auto"/>
                <w:w w:val="95"/>
              </w:rPr>
              <w:t>(Stated in millions)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Third Quarter</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Nine Months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9"/>
              <w:spacing w:after="0"/>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2004</w:t>
            </w:r>
          </w:p>
        </w:tc>
        <w:tc>
          <w:tcPr>
            <w:tcW w:w="200" w:type="dxa"/>
            <w:vAlign w:val="bottom"/>
          </w:tcPr>
          <w:p>
            <w:pPr>
              <w:spacing w:after="0"/>
              <w:rPr>
                <w:sz w:val="22"/>
                <w:szCs w:val="2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7"/>
              </w:rPr>
              <w:t>% chg</w:t>
            </w:r>
          </w:p>
        </w:tc>
        <w:tc>
          <w:tcPr>
            <w:tcW w:w="100" w:type="dxa"/>
            <w:vAlign w:val="bottom"/>
          </w:tcPr>
          <w:p>
            <w:pPr>
              <w:spacing w:after="0"/>
              <w:rPr>
                <w:sz w:val="22"/>
                <w:szCs w:val="22"/>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22"/>
                <w:szCs w:val="2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 chg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Operating Revenue</w:t>
            </w:r>
          </w:p>
        </w:tc>
        <w:tc>
          <w:tcPr>
            <w:tcW w:w="2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3,259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2,606</w:t>
            </w:r>
          </w:p>
        </w:tc>
        <w:tc>
          <w:tcPr>
            <w:tcW w:w="2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9,082</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7,505</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1,954</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2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WesternGeco</w:t>
            </w: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1,197</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60" w:right="120"/>
        <w:spacing w:after="0" w:line="256" w:lineRule="auto"/>
        <w:rPr>
          <w:sz w:val="20"/>
          <w:szCs w:val="20"/>
          <w:color w:val="auto"/>
        </w:rPr>
      </w:pPr>
      <w:r>
        <w:rPr>
          <w:rFonts w:ascii="Arial" w:cs="Arial" w:eastAsia="Arial" w:hAnsi="Arial"/>
          <w:sz w:val="18"/>
          <w:szCs w:val="18"/>
          <w:color w:val="auto"/>
        </w:rPr>
        <w:t xml:space="preserve">Pretax operating income represents the segments’ income before taxes and minority interest. Pretax operating income excludes corporate expenses (including $6 million relating to assets lost and damaged during the third quarter 2005 hurricanes in the Gulf of Mexico), interest income, interest expense and amortization of certain intangibles, stock-based compensation costs and the </w:t>
      </w:r>
      <w:r>
        <w:rPr>
          <w:rFonts w:ascii="Arial" w:cs="Arial" w:eastAsia="Arial" w:hAnsi="Arial"/>
          <w:sz w:val="18"/>
          <w:szCs w:val="18"/>
          <w:i w:val="1"/>
          <w:iCs w:val="1"/>
          <w:color w:val="auto"/>
        </w:rPr>
        <w:t>Charges and Credits</w:t>
      </w:r>
      <w:r>
        <w:rPr>
          <w:rFonts w:ascii="Arial" w:cs="Arial" w:eastAsia="Arial" w:hAnsi="Arial"/>
          <w:sz w:val="18"/>
          <w:szCs w:val="18"/>
          <w:color w:val="auto"/>
        </w:rPr>
        <w:t xml:space="preserve"> described in detail on pages 6, 7 and 8 as these items are not allocated to the segments.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Quarter 2005 Compared to Third Quarter 2004</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revenue for the third quarter of 2005 was $3.70 billion versus $2.91 billion for the same period last year. Income from continuing operations before taxes and minority interest was $740 million in 2005 compared to $381 million in 2004. The 2005 results include a pretax credit of $18 million, and 2004 include pretax charges of $14 million. These charges and credits are described in detail on pages 6, 7 and 8.</w:t>
      </w:r>
    </w:p>
    <w:p>
      <w:pPr>
        <w:spacing w:after="0" w:line="12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Net income for the third quarter of 2005 was $541 million compared to $318 million for the same period last year. Net income includes a gain from discontinued operations of $20 million in 2004.</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Oilfield Services revenue of $3.26 billion increased 7% sequentially and 25% compared to the same quarter of last year. Pretax business segment operating income of $722 million increased 7% sequentially and 64% year-on-year.</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WesternGeco revenue of $436 million increased 14% sequentially and 45% year-on-year. Pretax business segment operating income of $85 million increased 48% sequentially and 158% year-on-year.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16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Third-quarter revenue of $3.26 billion was 7% higher sequentially and increased 25% year-on-year. Pretax operating income of $722 million increased 7% sequentially and 64% year-on-year.</w:t>
      </w:r>
    </w:p>
    <w:p>
      <w:pPr>
        <w:spacing w:after="0" w:line="118"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Sequential revenue increases were recorded across all geographic areas, with Europe/CIS/West Africa and Middle East &amp; Asia displaying the strongest growth rates. By technology, Drilling &amp; Measurements, Well Completions &amp; Productivity, and Well Services led sequential growth.</w:t>
      </w:r>
    </w:p>
    <w:p>
      <w:pPr>
        <w:spacing w:after="0" w:line="72"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Year-on-year, all four geographic areas posted growth of at least 20%. All technologies recorded significant increases driven by robust new technology introduction, coupled with increased activity and favorable pricing.</w:t>
      </w:r>
    </w:p>
    <w:p>
      <w:pPr>
        <w:spacing w:after="0" w:line="118"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Pretax operating income recorded strong sequential growth with the exception of North America, which was affected by the hurricane season in the Gulf of Mexico. Strengthening exploration and production activity worldwide led to improved pricing across all geographic areas.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 America</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Revenue of $946 million increased 4% sequentially and 20% year-on-year. Pretax operating income of $219 million declined 6% sequentially but increased 84% year-on-year.</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Canada recorded strong sequential growth with the rapid recovery in rig count following spring break-up, combined with sustained improved pricing. The growth in US Land revenue resulted from the combination of positive trends in activity and favorable pricing. Gulf Coast activity declined substantially during the quarter with the suspension of operations due to the severe hurricane season.</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sequential decline in operating income was the result of the severity of the hurricane season, and includes the combined effects of reduced resource utilization and business disruption costs. The total estimated financial impact of hurricanes during the third quarter for the Gulf Coast and US Land GeoMarkets was $60 million in lost revenue and $44 million in lost operating income.</w:t>
      </w:r>
    </w:p>
    <w:p>
      <w:pPr>
        <w:spacing w:after="0" w:line="12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steep year-on-year operating income growth was primarily due to double-digit price increases, particularly for Well Services, Wireline, and Drilling &amp; Measurements technologies, together with continuing activity growth.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 of $569 million was 3% higher sequentially and 31% higher year-on-year. Pretax operating income of $92 million increased 9% sequentially and 104% year-on-year.</w:t>
      </w:r>
    </w:p>
    <w:p>
      <w:pPr>
        <w:spacing w:after="0" w:line="118"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Sequential revenue improvement was due to an expanding customer base and an Integrated Project Management (IPM) project that included a performance-related incentive payment in the Peru/Colombia/Ecuador GeoMarket. In Brazil, increasing activity was experienced with strong deployment of Drilling &amp; Measurements and Wireline technology services. Revenue improvement was partially offset by Mexico, which declined during the quarter, primarily due to a drop in IPM third-party managed services revenue.</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 in Venezuela improved as a result of rising PDVSA drilling activity, partially offset by a slowdown in international operator activity offshore Venezuela. During the quarter, PRISA barge utilization activity in Western Venezuela exceeded an average of 90%. Discussions regarding the settlement of certain outstanding receivables for the PRISA contract were progressing at quarter-end.</w:t>
      </w:r>
    </w:p>
    <w:p>
      <w:pPr>
        <w:spacing w:after="0" w:line="127"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year-on-year revenue growth was experienced across all four GeoMarkets. The most significant contributions came from Venezuela with the resumption of the activity for PDVSA in the Lake Maracaibo, and from the Peru/Colombia/Ecuador GeoMarket due to an expanding IPM portfolio.</w:t>
      </w:r>
    </w:p>
    <w:p>
      <w:pPr>
        <w:spacing w:after="0" w:line="7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Increasing operating efficiency in the Latin America South and Peru/Colombia/Ecuador GeoMarkets led partly to the sequential operating income improvement. The marked year-on-year operating income improvement was due to strengthening profitability in integrated projects coupled with strong Drilling &amp; Measurements technology results throughout Latin America.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$944 million increased 14% sequentially and 28% year-on-year. Pretax operating income of $201 million increased 31% sequentially and 71% year-on-year.</w:t>
      </w:r>
    </w:p>
    <w:p>
      <w:pPr>
        <w:spacing w:after="0" w:line="118"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Sequential revenue growth was partially due to continued strong activity in Russia, particularly for Drilling &amp; Measurements and Well Completions &amp; Productivity technologies, combined with the first full quarter of financial consolidation of PetroAlliance operations.</w:t>
      </w:r>
    </w:p>
    <w:p>
      <w:pPr>
        <w:spacing w:after="0" w:line="1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West Africa experienced strong activity improvement with continued deepwater activity growth benefiting mainly Wireline and Drilling &amp; Measurements technologies. The North Sea GeoMarket also contributed to the revenue growth, with increased drilling activity and strong demand for production technologies from Well Services and Wireline.</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year-on-year revenue growth was principally due to Russia with the consolidation of PetroAlliance operations, coupled with higher activity in the North Sea and West Africa.</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Sequentially, Drilling &amp; Measurements, Well Services, and Well Completions &amp; Productivity technologies showed the strongest rise in operating income from increased pricing and activity, particularly in the North Sea, West Africa, and Russia GeoMarkets. All seven Europe/CIS/West Africa GeoMarkets delivered operating margin improvements resulting in a sequential increase of 270 basis points due to price increases in a tight supply environment. The year-on-year operating income increase was led by Drilling &amp; Measurements technology driven by improved activity levels and stronger pricing mainly in the North Sea, West Africa and Russia GeoMarkets.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Revenue of $774 million was 6% higher sequentially and 25% higher year-on-year. Pretax operating income of $226 million increased 9% sequentially and 36% year-on-year.</w:t>
      </w:r>
    </w:p>
    <w:p>
      <w:pPr>
        <w:spacing w:after="0" w:line="11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sequential revenue growth was mainly due to the increase in rig count in the Saudi Arabia/Bahrain/Kuwait GeoMarket, as Saudi Aramco continues to increase activity in line with their announced spending plans.</w:t>
      </w:r>
    </w:p>
    <w:p>
      <w:pPr>
        <w:spacing w:after="0" w:line="118"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In the Brunei/Malaysia/Philippines GeoMarket, sequential revenue grew sharply due to higher customer expenditures, improving pricing, and a move by operators into increased deepwater exploration. This resulted in high levels of activity in testing operations, as well as demand for Drilling &amp; Measurements technology services. The Gulf GeoMarket also contributed to the sequential revenue growth through firm pricing.</w:t>
      </w:r>
    </w:p>
    <w:p>
      <w:pPr>
        <w:spacing w:after="0" w:line="9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year-on-year revenue growth was mainly due to a sharp activity increase in the Saudi Arabia/Bahrain/Kuwait and Gulf GeoMarkets, coupled with strong deepwater exploration activity in the Brunei/Malaysia/Philippines GeoMarket.</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Sustained activity, rising pricing, and improved market share gain resulted in operating margins approaching 30% in the quarter. The strong sequential operating income growth was driven by Drilling &amp; Measurements and Wireline technology services that benefited from an increasing rig count and a strengthening pricing environment. The year-on-year operating income growth was mainly driven by a combination of higher activity and more favorable pricing in Saudi together with sharp activity increases in the Brunei/Malaysia/Philippines GeoMarket.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WESTERNGECO</w:t>
      </w:r>
    </w:p>
    <w:p>
      <w:pPr>
        <w:spacing w:after="0" w:line="16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Third-quarter revenue of $436 million increased 14% sequentially and 45% compared to the same period last year. Pretax operating income of $85 million improved 48% sequentially and $52 million year-on-year.</w:t>
      </w:r>
    </w:p>
    <w:p>
      <w:pPr>
        <w:spacing w:after="0" w:line="1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Sequentially, Marine revenue increased sharply as overall vessel utilization improved to 92% and Q-vessel utilization reached 100% in the quarter. In Europe, three Q* vessels and the Q-Seabed* crew were active throughout the quarter. In addition, one new project began in Sakhalin and higher activity was experienced in West Africa. These results were partly mitigated by lower revenue in South America, Mexico, and the Middle East following the transfer of vessels to other regions. The sharp revenue growth also reflected much improved contractual terms and conditions, including mobilization, demobilization, and weather downtime provisions.</w:t>
      </w:r>
    </w:p>
    <w:p>
      <w:pPr>
        <w:spacing w:after="0" w:line="12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However, Land, Data Processing, and Multiclient revenues experienced seasonal declines during the quarter. In Land, the start of a new project in Algeria was insufficient to overcome the results of the standby of two crews in Africa due to the rainy season. In Data Processing, higher revenues in South America and Russia were unable to compensate for lower activity in Mexico. Multiclient sales were $95 million, which declined due to office closures in New Orleans and Houston as a result of hurricane activity.</w:t>
      </w:r>
    </w:p>
    <w:p>
      <w:pPr>
        <w:spacing w:after="0" w:line="13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year-on-year revenue increase was led by Marine due to better vessel utilization combined with a 74% year-on-year price improvement and favorable terms and conditions on most contracts.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Sequential improvement in operating income was mainly due to Marine, driven by higher vessel utilization and strong pricing.</w:t>
      </w:r>
    </w:p>
    <w:p>
      <w:pPr>
        <w:spacing w:after="0" w:line="152"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-20-</w:t>
      </w:r>
    </w:p>
    <w:p>
      <w:pPr>
        <w:sectPr>
          <w:pgSz w:w="11900" w:h="16838" w:orient="portrait"/>
          <w:cols w:equalWidth="0" w:num="1">
            <w:col w:w="11400"/>
          </w:cols>
          <w:pgMar w:left="240" w:top="280" w:right="259" w:bottom="1440" w:gutter="0" w:footer="0" w:header="0"/>
        </w:sectPr>
      </w:pPr>
    </w:p>
    <w:bookmarkStart w:id="20" w:name="page21"/>
    <w:bookmarkEnd w:id="20"/>
    <w:p>
      <w:pPr>
        <w:ind w:right="120"/>
        <w:spacing w:after="0" w:line="49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overall impact of Hurricanes Katrina and Rita led to estimated lost operating revenue of $13 million and lost operating income of $9 million for the quarter. Backlog reached $656 million versus $595 million at the end of the second quarter. </w:t>
      </w:r>
      <w:r>
        <w:rPr>
          <w:rFonts w:ascii="Arial" w:cs="Arial" w:eastAsia="Arial" w:hAnsi="Arial"/>
          <w:sz w:val="18"/>
          <w:szCs w:val="18"/>
          <w:b w:val="1"/>
          <w:bCs w:val="1"/>
          <w:color w:val="auto"/>
        </w:rPr>
        <w:t>OTHER</w:t>
      </w:r>
    </w:p>
    <w:p>
      <w:pPr>
        <w:spacing w:after="0" w:line="15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Interest and other income for the third quarter of 2005 was $80 million versus $37 million for the same period last year. The third quarter of 2005 included an $18 million gain relating to the resolution of a contingency associated with the March 2005 sale of a facility in Montrouge, France and a $6 million gain relating to sales of certain assets. Interest income of $27 million increased $12 million compared to the same quarter last year. The average return on investment increased from 2.2% to 3.4% while the average investment balance of $3.1 billion increased by $560 million compared to last year.</w:t>
      </w:r>
    </w:p>
    <w:p>
      <w:pPr>
        <w:spacing w:after="0" w:line="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Gross margin increased from 20.8% in 2004 to 25.4% in 2005, primarily due to a combination of record activity levels in Oilfield Services with operations at capacity in a number of regions, and continued pricing improvements in both Oilfield Services and WesternGeco. Research and engineering expense, as a percentage of revenue decreased from 4.1% to 3.5%. In absolute dollars, both marketing expense and general and administrative expenses were essentially flat, but decreased as a percentage of revenue.</w:t>
      </w:r>
    </w:p>
    <w:p>
      <w:pPr>
        <w:spacing w:after="0" w:line="13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Interest expense of $51 million increased $7 million compared to the same quarter last year. Average borrowing rates of 4.5% increased from 3.6% last year. The average debt balance of $4.5 billion increased by $69 million compared to the same quarter last year.</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effective tax rate for the third quarter of 2005 was 23.6% compared to 19.5% in the prior year. This increase is primarily attributable to the country mix of results in Oilfield Services, with a higher proportion of pretax profitability in higher tax jurisdictions. Additionally, the prior year rate was positively impacted to a relatively larger degree by the resolution of non-US tax audits.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Nine Months 2005 Compared to Nine Months 2004</w:t>
      </w:r>
    </w:p>
    <w:p>
      <w:pPr>
        <w:spacing w:after="0" w:line="16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Operating revenue for the nine month period ended September 30, 2005 was $10.29 billion versus $8.41 billion for the same period last year. Income from continuing operations before income taxes and minority interest was $2.07 billion in 2005 compared to $878 million in 2004. The 2005 results include net pretax credits of $151 million. The 2004 results include pretax charges of $243 million. These charges and credits are described in detail on pages 6, 7 and 8.</w:t>
      </w:r>
    </w:p>
    <w:p>
      <w:pPr>
        <w:spacing w:after="0" w:line="9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Net income for the nine month period ended September 30, 2005 was $1.55 billion compared to $894 million in the same period last year. Net income includes a gain from discontinued operations of $8 million in 2005 compared to $231 million in 2004.</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the nine month period ended September 30, 2005, Oilfield Services recorded revenue of $9.08 billion, an increase of 21% compared to the same period of last year. Pretax business segment operating income of $1.95 billion increased 48% year-on-year.</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WesternGeco revenue for the nine months ended September 30, 2005 of $1.20 million increased 32% year-on-year. Pretax business segment operating income of $207 million increased 154% year-on-year.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OILFIELD SERVICES</w:t>
      </w:r>
    </w:p>
    <w:p>
      <w:pPr>
        <w:spacing w:after="0" w:line="83"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Nine months revenue of $9.08 billion was 21% higher versus the same period last year. Pretax operating income of $1.95 billion increased 48% year-on-year. Year-on-year revenue growth was strongest in Australasia, Brunei/Malaysia/Philippines, Thailand/Vietnam, Peru/Colombia/Ecuador and Nigeria GeoMarkets. Year-on-year revenue growth was reflected across all technologies with strong double-digit growth achieved in Data Consulting Services, Well Services, Well Completions &amp; Productivity, Drilling &amp; Measurements, and Wireline.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-21-</w:t>
      </w:r>
    </w:p>
    <w:p>
      <w:pPr>
        <w:sectPr>
          <w:pgSz w:w="11900" w:h="16838" w:orient="portrait"/>
          <w:cols w:equalWidth="0" w:num="1">
            <w:col w:w="11380"/>
          </w:cols>
          <w:pgMar w:left="240" w:top="280"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 America</w:t>
      </w:r>
    </w:p>
    <w:p>
      <w:pPr>
        <w:spacing w:after="0" w:line="8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Revenue of $2.7 billion increased 20% versus the same period last year. Pretax operating income of $655 million increased 81% year-on-year. Year-on-year growth was mainly due to high activity levels in US Land and Canada, which were fueled by the rising rig count, the sustained strength of commodity prices and continued pricing improvements. Gulf Coast activity declined year-on-year due to the absence of drilling turnkey operations and the extreme nature of the hurricane season as previously described. All technologies generated double-digit growth year-on-year.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of $1.6 billion was 27% higher year-on-year. Pretax operating income of $240 million increased 42% versus the same period last year. Year-on-year growth in Peru/Colombia/Ecuador was the result of commencement of several integrated projects, as well as an increase in both exploration and development drilling activity. Year-on-year increases were also posted in Latin America South with a sharp increase in drilling activity, particularly in Brazil and Bolivia, and strong Wireline activity. Venezuela was higher with increased activity from PDVSA as well as significant software sales. Increased activity on integrated projects, including higher third party managed services, accounted for growth in Mexico. All technologies recorded strong double-digit growth with the exception of Schlumberger Information Solutions.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Revenue of $2.5 billion increased 21% year-on-year. Pretax operating income of $478 million increased 40% year-on-year. Growth was led by Nigeria, with an increase in deep water drilling activity, and the prior year activity impacted by production shutdowns in the Western delta due to unrest in the Area. West Africa growth was driven by significant activity in Well Completions &amp; Productivity, coupled with increased drilling and logging operations. Growth in the North Sea came from an increase in Well Completions &amp; Productivity activity, and strong utilization of the stimulation vessel, while Russia saw increasing demand for Well Services technology. Additionally the current year activity includes three quarters of SGK activity (compared to one quarter in 2004) and 112 days of PetroAlliance revenue (none in 2004). All technologies increased year-on-year.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of $2.2 billion was 20% higher year-on-year. Pretax operating income of $607 million was 30% higher versus the same period last year. Revenue growth was strongest in Brunei/Malaysia/Philippines with growing Well Completions &amp; Productivity lift activity in Australasia from growth in offshore well testing and drilling activity, and Thailand/Vietnam with a ramp up in Wireline activity on higher rig count in the region. In the Gulf, Wireline and Well Services continued to grow, while in Saudi Arabia the growth was driven by the rising rig count and increasing rigless activity as oil production continues to gather pace. All technologies recorded strong growth year-on-year.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WESTERNGECO</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Nine months revenue for WesternGeco of $1.2 billion was 32% higher compared to the same period last year. Marine, Land, Multiclient and Data Processing all experienced year-on-year revenue increases. The increase in Marine was attributable to higher vessel utilization coupled with better pricing and better terms and conditions on most contracts. Marine activity increased mainly in Europe, Asia, North America, South America and the Caspian but was partially offset by lower activity in Mexico following the transfer of vessels to other regions. Land increased mainly in Middle East with several additional crews active in the current year, higher activity in Europe and in South America, partially offset by Mexico and Malaysia. Multiclient sales increased 13% to $345 million. This increase was mainly in North America from higher sales in Alaska, in US Land and in Canada, partially offset by lower sales in the Gulf coast. Multiclient sales also increased in Asia, Europe, West Africa and the Caspian. Data Processing increased due to higher third party processing in North America as well as higher activity in Brazil, Russia, the Middle East and in Asia, partially offset by lower activity in Mexico.</w:t>
      </w:r>
    </w:p>
    <w:p>
      <w:pPr>
        <w:spacing w:after="0" w:line="10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Pretax operating income of $207 million improved by $125 million year-on-year. Marine, Land, Multiclient and Data Processing all experienced increases due to higher revenue, better pricing and utilization, partly mitigated by higher operating costs. In addition, approximately 67% of Multiclient sales in the current period had no net book value due to the prior amortization of capitalized costs, versus 54% in the prior period.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-22-</w:t>
      </w:r>
    </w:p>
    <w:p>
      <w:pPr>
        <w:sectPr>
          <w:pgSz w:w="11900" w:h="16838" w:orient="portrait"/>
          <w:cols w:equalWidth="0" w:num="1">
            <w:col w:w="11400"/>
          </w:cols>
          <w:pgMar w:left="240" w:top="27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and other income was $315 million versus $89 million for the same period last year. The 2005 period includes a total gain of $163 million relating to the sale of a facility in Montrouge, France and a $6 million gain relating to the sales of certain assets, while the 2004 period included a $21 million loss on the sale of shares of Atos Origin SA. Both of these items are described in further detail in the following pages. Interest income of $70 million increased $30 million compared to the same period last year. The average return on investment increased from 1.8% to 3.1% and the average investment balance of $3.0 billion increased $113 million compared to last year.</w:t>
      </w:r>
    </w:p>
    <w:p>
      <w:pPr>
        <w:spacing w:after="0" w:line="1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Gross margin increased from 20.9% in 2004 to 25.0% in 2005, primarily due to a combination of record activity levels in Oilfield Services, with operations at capacity in a number of regions, and continued pricing improvements in both Oilfield Services and WesternGeco. As a percentage of revenue, marketing expense was flat compared to last year, while research and engineering expense decreased, as a percentage of revenue, from 4.2% to 3.6%. General and administrative expense, as a percentage of revenue, decreased from 2.9% to 2.6%.</w:t>
      </w:r>
    </w:p>
    <w:p>
      <w:pPr>
        <w:spacing w:after="0" w:line="13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Excluding the impact of the net $64 million charge in 2004 related to the US interest rate swaps described on page 7, interest expense decreased $16 million, and average borrowing rates increased from 3.5% in 2004 to 4.4% in 2005. The average debt balance of $4.5 billion decreased by $1.7 billion compared to the same period last year.</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effective tax rate for the first nine months of 2005 was 22.9% compared to 22.3% in the prior year. The rate in 2005 reflects the impact of the $163 million gain on the sale of the Montrouge facility. This transaction allowed for the utilization of a deferred tax asset that was previously offset by a valuation allowance and had the effect of lowering the effective tax rate during the first nine months of 2005 by 2.0%. The rate in 2004 reflects the impact of the $77 million of costs associated with the repurchase of European bonds which was not tax effective and had the effect of increasing the effective tax rate during the first nine months of 2004 by 3.3%. Excluding the impact of these significant transactions, the effective tax rate increased from 2004 to 2005. This increase is primarily attributable to the country mix of results in Oilfield Services, with a higher proportion of pretax profitability in higher tax jurisdictions. Additionally, the rate for last year was positively impacted, to a relatively larger degree, by the resolution of non-US tax audits.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Charges and Credits – Continuing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Third quarter of 2005:</w:t>
      </w:r>
    </w:p>
    <w:p>
      <w:pPr>
        <w:spacing w:after="0" w:line="7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 xml:space="preserve">In the third quarter of 2005, Schlumberger recorded a pretax and after-tax gain of approximately $18 million relating to the resolution of a contingency associated with the March 2005 sale of its facility in Montrouge, France. This gain is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First quarter of 2005:</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In March 2005, Schlumberger sold its facility in Montrouge, France to a third party for $230 million, resulting in a pretax and after-tax gain of approximately</w:t>
      </w:r>
    </w:p>
    <w:p>
      <w:pPr>
        <w:spacing w:after="0" w:line="38" w:lineRule="exact"/>
        <w:rPr>
          <w:sz w:val="20"/>
          <w:szCs w:val="20"/>
          <w:color w:val="auto"/>
        </w:rPr>
      </w:pPr>
    </w:p>
    <w:p>
      <w:pPr>
        <w:ind w:right="100"/>
        <w:spacing w:after="0" w:line="361" w:lineRule="auto"/>
        <w:rPr>
          <w:sz w:val="20"/>
          <w:szCs w:val="20"/>
          <w:color w:val="auto"/>
        </w:rPr>
      </w:pPr>
      <w:r>
        <w:rPr>
          <w:rFonts w:ascii="Arial" w:cs="Arial" w:eastAsia="Arial" w:hAnsi="Arial"/>
          <w:sz w:val="15"/>
          <w:szCs w:val="15"/>
          <w:color w:val="auto"/>
        </w:rPr>
        <w:t xml:space="preserve">$146 million, which is classified in </w:t>
      </w:r>
      <w:r>
        <w:rPr>
          <w:rFonts w:ascii="Arial" w:cs="Arial" w:eastAsia="Arial" w:hAnsi="Arial"/>
          <w:sz w:val="15"/>
          <w:szCs w:val="15"/>
          <w:i w:val="1"/>
          <w:iCs w:val="1"/>
          <w:color w:val="auto"/>
        </w:rPr>
        <w:t>Interest &amp; other income</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Schlumberger also recorded other real estate related pretax charges of approximately $12 million ($11 million after-tax), which are classified in </w:t>
      </w:r>
      <w:r>
        <w:rPr>
          <w:rFonts w:ascii="Arial" w:cs="Arial" w:eastAsia="Arial" w:hAnsi="Arial"/>
          <w:sz w:val="15"/>
          <w:szCs w:val="15"/>
          <w:i w:val="1"/>
          <w:iCs w:val="1"/>
          <w:color w:val="auto"/>
        </w:rPr>
        <w:t>Cost of goods sold &amp; services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Debt Extinguishment Costs</w:t>
      </w:r>
    </w:p>
    <w:p>
      <w:pPr>
        <w:spacing w:after="0" w:line="77"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In June 2004, Schlumberger Technology Corporation bought back and retired $351 million of its outstanding $1 billion 6.5% Notes due 2012. As a result, Schlumberger recorded a pretax charge of $37 million ($23 million after-tax), which included market premium and transaction costs.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-23-</w:t>
      </w:r>
    </w:p>
    <w:p>
      <w:pPr>
        <w:sectPr>
          <w:pgSz w:w="11900" w:h="16838" w:orient="portrait"/>
          <w:cols w:equalWidth="0" w:num="1">
            <w:col w:w="11400"/>
          </w:cols>
          <w:pgMar w:left="240" w:top="274" w:right="259" w:bottom="1440" w:gutter="0" w:footer="0" w:header="0"/>
        </w:sectPr>
      </w:pPr>
    </w:p>
    <w:bookmarkStart w:id="23" w:name="page24"/>
    <w:bookmarkEnd w:id="2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March 2004, Schlumberger plc (SPLC) accepted tenders for the outstanding £175 million SPLC 6.50% Guaranteed Bonds due 2032. In addition, Schlumberger SA (SSA) bought back €25 million of the outstanding €274 million SSA 5.25% Guaranteed Bonds due 2008 and €7 million of the outstanding €259 million SSA 5.875% Guaranteed Bonds due 2011. As a result, Schlumberger recorded a pretax and after-tax charge of $77 million, which included market and tender premiums, and transaction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above pretax charges are classified in </w:t>
      </w:r>
      <w:r>
        <w:rPr>
          <w:rFonts w:ascii="Arial" w:cs="Arial" w:eastAsia="Arial" w:hAnsi="Arial"/>
          <w:sz w:val="18"/>
          <w:szCs w:val="18"/>
          <w:i w:val="1"/>
          <w:iCs w:val="1"/>
          <w:color w:val="auto"/>
        </w:rPr>
        <w:t>Debt extinguishment costs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Charges and Credits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Third quarter of 2004:</w:t>
      </w:r>
    </w:p>
    <w:p>
      <w:pPr>
        <w:spacing w:after="0" w:line="77" w:lineRule="exact"/>
        <w:rPr>
          <w:sz w:val="20"/>
          <w:szCs w:val="20"/>
          <w:color w:val="auto"/>
        </w:rPr>
      </w:pPr>
    </w:p>
    <w:p>
      <w:pPr>
        <w:ind w:left="780" w:right="180" w:hanging="326"/>
        <w:spacing w:after="0" w:line="325"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In connection with its ongoing restructuring program in order to reduce overhead, Schlumberger recorded a pretax and after-tax charge of $3 million related to employee severance. This charge is classified in </w:t>
      </w:r>
      <w:r>
        <w:rPr>
          <w:rFonts w:ascii="Arial" w:cs="Arial" w:eastAsia="Arial" w:hAnsi="Arial"/>
          <w:sz w:val="16"/>
          <w:szCs w:val="16"/>
          <w:i w:val="1"/>
          <w:iCs w:val="1"/>
          <w:color w:val="auto"/>
        </w:rPr>
        <w:t>Cost of goods sold &amp;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780" w:right="2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Schlumberger recorded a pretax charge of $11 million ($10 million after-tax) related to an intellectual property settlement which is classified in </w:t>
      </w:r>
      <w:r>
        <w:rPr>
          <w:rFonts w:ascii="Arial" w:cs="Arial" w:eastAsia="Arial" w:hAnsi="Arial"/>
          <w:sz w:val="18"/>
          <w:szCs w:val="18"/>
          <w:i w:val="1"/>
          <w:iCs w:val="1"/>
          <w:color w:val="auto"/>
        </w:rPr>
        <w:t>Cost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goods sold &amp; 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Second quarter of 2004:</w:t>
      </w:r>
    </w:p>
    <w:p>
      <w:pPr>
        <w:spacing w:after="0" w:line="77" w:lineRule="exact"/>
        <w:rPr>
          <w:sz w:val="20"/>
          <w:szCs w:val="20"/>
          <w:color w:val="auto"/>
        </w:rPr>
      </w:pPr>
    </w:p>
    <w:p>
      <w:pPr>
        <w:jc w:val="both"/>
        <w:ind w:left="780" w:right="200" w:hanging="326"/>
        <w:spacing w:after="0" w:line="25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Schlumberger sold 9.7 million ordinary shares of Atos Origin SA at a price of €48.50 per share. The net proceeds for the sale were $551 million and Schlumberger recorded a pretax and after-tax loss of $7 million on this transaction, which reflects both banking fees and currency effect. The pretax charge is classified in </w:t>
      </w:r>
      <w:r>
        <w:rPr>
          <w:rFonts w:ascii="Arial" w:cs="Arial" w:eastAsia="Arial" w:hAnsi="Arial"/>
          <w:sz w:val="18"/>
          <w:szCs w:val="18"/>
          <w:i w:val="1"/>
          <w:iCs w:val="1"/>
          <w:color w:val="auto"/>
        </w:rPr>
        <w:t>Interest &amp;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As a result of this transaction, Schlumberger does not have any remaining ownership interest in Atos Origin SA.</w:t>
      </w:r>
    </w:p>
    <w:p>
      <w:pPr>
        <w:spacing w:after="0" w:line="48" w:lineRule="exact"/>
        <w:rPr>
          <w:rFonts w:ascii="Arial" w:cs="Arial" w:eastAsia="Arial" w:hAnsi="Arial"/>
          <w:sz w:val="18"/>
          <w:szCs w:val="18"/>
          <w:color w:val="auto"/>
        </w:rPr>
      </w:pPr>
    </w:p>
    <w:p>
      <w:pPr>
        <w:ind w:left="780" w:right="100" w:hanging="326"/>
        <w:spacing w:after="0" w:line="325"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In connection with its restructuring program in order to reduce overhead, Schlumberger recorded a pretax and after-tax charge of $4 million related to employee terminations. This charge is classified in </w:t>
      </w:r>
      <w:r>
        <w:rPr>
          <w:rFonts w:ascii="Arial" w:cs="Arial" w:eastAsia="Arial" w:hAnsi="Arial"/>
          <w:sz w:val="16"/>
          <w:szCs w:val="16"/>
          <w:i w:val="1"/>
          <w:iCs w:val="1"/>
          <w:color w:val="auto"/>
        </w:rPr>
        <w:t>Cost of goods sold &amp;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780" w:right="42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Schlumberger Technology Corporation settled its US Interest Rate Swaps resulting in a pretax gain of $10 million ($6 million after-tax), which is classified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charge of $11 million related to a vacated leased facility in the UK, which is classified in </w:t>
      </w:r>
      <w:r>
        <w:rPr>
          <w:rFonts w:ascii="Arial" w:cs="Arial" w:eastAsia="Arial" w:hAnsi="Arial"/>
          <w:sz w:val="18"/>
          <w:szCs w:val="18"/>
          <w:i w:val="1"/>
          <w:iCs w:val="1"/>
          <w:color w:val="auto"/>
        </w:rPr>
        <w:t>Cost of goods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sold &amp; 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credit of $5 million related to the release of a litigation reserve that was no longer required, which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First quarter of 2004:</w:t>
      </w:r>
    </w:p>
    <w:p>
      <w:pPr>
        <w:spacing w:after="0" w:line="77" w:lineRule="exact"/>
        <w:rPr>
          <w:sz w:val="20"/>
          <w:szCs w:val="20"/>
          <w:color w:val="auto"/>
        </w:rPr>
      </w:pPr>
    </w:p>
    <w:p>
      <w:pPr>
        <w:ind w:left="780" w:right="20" w:hanging="326"/>
        <w:spacing w:after="0" w:line="25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Schlumberger Technology Corporation paid off its commercial paper program in the US. As a result, the $500 million US interest-rate swaps that were designated as cash-flow hedges became ineffective. Schlumberger recorded a pretax non-cash charge of $73 million ($46 million after-tax) to recognize unrealized losses previously recorded in </w:t>
      </w:r>
      <w:r>
        <w:rPr>
          <w:rFonts w:ascii="Arial" w:cs="Arial" w:eastAsia="Arial" w:hAnsi="Arial"/>
          <w:sz w:val="18"/>
          <w:szCs w:val="18"/>
          <w:i w:val="1"/>
          <w:iCs w:val="1"/>
          <w:color w:val="auto"/>
        </w:rPr>
        <w:t>Accumulated Other Comprehensive Income.</w:t>
      </w:r>
      <w:r>
        <w:rPr>
          <w:rFonts w:ascii="Arial" w:cs="Arial" w:eastAsia="Arial" w:hAnsi="Arial"/>
          <w:sz w:val="18"/>
          <w:szCs w:val="18"/>
          <w:color w:val="auto"/>
        </w:rPr>
        <w:t xml:space="preserve"> The pretax charge is classified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Schlumberger sold 9.6 million ordinary shares of Atos Origin SA at a price of €52.95 per share. The net proceeds for the sale were $625 million and Schlumberger recorded a pretax and after-tax loss of $14 million on this transaction, which reflects both banking fees and currency effect. The pretax charge is classified in </w:t>
      </w:r>
      <w:r>
        <w:rPr>
          <w:rFonts w:ascii="Arial" w:cs="Arial" w:eastAsia="Arial" w:hAnsi="Arial"/>
          <w:sz w:val="18"/>
          <w:szCs w:val="18"/>
          <w:i w:val="1"/>
          <w:iCs w:val="1"/>
          <w:color w:val="auto"/>
        </w:rPr>
        <w:t>Interest &amp;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-24-</w:t>
      </w:r>
    </w:p>
    <w:p>
      <w:pPr>
        <w:sectPr>
          <w:pgSz w:w="11900" w:h="16838" w:orient="portrait"/>
          <w:cols w:equalWidth="0" w:num="1">
            <w:col w:w="11400"/>
          </w:cols>
          <w:pgMar w:left="240" w:top="280" w:right="259" w:bottom="1440" w:gutter="0" w:footer="0" w:header="0"/>
        </w:sectPr>
      </w:pPr>
    </w:p>
    <w:bookmarkStart w:id="24" w:name="page25"/>
    <w:bookmarkEnd w:id="24"/>
    <w:p>
      <w:pPr>
        <w:jc w:val="both"/>
        <w:ind w:left="780" w:right="180" w:hanging="326"/>
        <w:spacing w:after="0" w:line="25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Schlumberger commenced a restructuring program in order to reduce overhead. Consequently, a pretax charge of $20 million ($14 million after-tax) was taken in the quarter related to a voluntary early retirement program in the United States and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above 2004 charges: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6"/>
          </w:tcPr>
          <w:p>
            <w:pPr>
              <w:jc w:val="right"/>
              <w:ind w:right="80"/>
              <w:spacing w:after="0"/>
              <w:rPr>
                <w:sz w:val="20"/>
                <w:szCs w:val="20"/>
                <w:color w:val="auto"/>
              </w:rPr>
            </w:pPr>
            <w:r>
              <w:rPr>
                <w:rFonts w:ascii="Arial" w:cs="Arial" w:eastAsia="Arial" w:hAnsi="Arial"/>
                <w:sz w:val="14"/>
                <w:szCs w:val="14"/>
                <w:b w:val="1"/>
                <w:bCs w:val="1"/>
                <w:i w:val="1"/>
                <w:iCs w:val="1"/>
                <w:color w:val="auto"/>
                <w:w w:val="85"/>
              </w:rPr>
              <w:t>( Stated in millions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33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Pretax</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Tax</w:t>
            </w:r>
          </w:p>
        </w:tc>
        <w:tc>
          <w:tcPr>
            <w:tcW w:w="20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 Debt extinguishment costs</w:t>
            </w:r>
          </w:p>
        </w:tc>
        <w:tc>
          <w:tcPr>
            <w:tcW w:w="3080" w:type="dxa"/>
            <w:vAlign w:val="bottom"/>
            <w:gridSpan w:val="3"/>
          </w:tcPr>
          <w:p>
            <w:pPr>
              <w:jc w:val="right"/>
              <w:spacing w:after="0"/>
              <w:rPr>
                <w:sz w:val="20"/>
                <w:szCs w:val="20"/>
                <w:color w:val="auto"/>
              </w:rPr>
            </w:pPr>
            <w:r>
              <w:rPr>
                <w:rFonts w:ascii="Arial" w:cs="Arial" w:eastAsia="Arial" w:hAnsi="Arial"/>
                <w:sz w:val="18"/>
                <w:szCs w:val="18"/>
                <w:color w:val="auto"/>
              </w:rPr>
              <w:t>$ 115</w:t>
            </w:r>
          </w:p>
        </w:tc>
        <w:tc>
          <w:tcPr>
            <w:tcW w:w="24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 Restructuring program charges</w:t>
            </w:r>
          </w:p>
        </w:tc>
        <w:tc>
          <w:tcPr>
            <w:tcW w:w="3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 Loss on sale of Atos Origin shares</w:t>
            </w:r>
          </w:p>
        </w:tc>
        <w:tc>
          <w:tcPr>
            <w:tcW w:w="308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 US interest-rate swap settlement gain</w:t>
            </w:r>
          </w:p>
        </w:tc>
        <w:tc>
          <w:tcPr>
            <w:tcW w:w="33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 Vacated leased facility charge</w:t>
            </w:r>
          </w:p>
        </w:tc>
        <w:tc>
          <w:tcPr>
            <w:tcW w:w="30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 Litigation reserve release</w:t>
            </w:r>
          </w:p>
        </w:tc>
        <w:tc>
          <w:tcPr>
            <w:tcW w:w="33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 Intellectual property settlement charge</w:t>
            </w:r>
          </w:p>
        </w:tc>
        <w:tc>
          <w:tcPr>
            <w:tcW w:w="30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 Loss recognized on interest-rate swaps</w:t>
            </w:r>
          </w:p>
        </w:tc>
        <w:tc>
          <w:tcPr>
            <w:tcW w:w="3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$ 243</w:t>
            </w:r>
          </w:p>
        </w:tc>
        <w:tc>
          <w:tcPr>
            <w:tcW w:w="2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-29210</wp:posOffset>
            </wp:positionV>
            <wp:extent cx="27876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2159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8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During the second quarter of 2005, Credence Systems Corporation, the current owners of Schlumberger’s former NPTest semiconductor testing business, agreed to settle an outstanding contingent liability by paying Schlumberger $4 million in cash and 615,157 shares of common stock valued at approximately $5 million. Schlumberger sold its NPTest semiconductor testing business in July 2003 and reported it as a discontinued operation. This $9 million pretax and after-tax gain is reported as </w:t>
      </w:r>
      <w:r>
        <w:rPr>
          <w:rFonts w:ascii="Arial" w:cs="Arial" w:eastAsia="Arial" w:hAnsi="Arial"/>
          <w:sz w:val="16"/>
          <w:szCs w:val="16"/>
          <w:i w:val="1"/>
          <w:iCs w:val="1"/>
          <w:color w:val="auto"/>
        </w:rPr>
        <w:t>Income from Discontinued Operations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in the second quarter of 2005.</w:t>
      </w:r>
    </w:p>
    <w:p>
      <w:pPr>
        <w:spacing w:after="0" w:line="99"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 xml:space="preserve">During the first quarter of 2005, Schlumberger completed the sales of its Global Tel*Link, Public Phones and Essentis businesses for $18 million in cash. At December 31, 2004, the assets and liabilities of these businesses that were subsequently eliminated from Schlumberger’s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were aggregated and presented as </w:t>
      </w:r>
      <w:r>
        <w:rPr>
          <w:rFonts w:ascii="Arial" w:cs="Arial" w:eastAsia="Arial" w:hAnsi="Arial"/>
          <w:sz w:val="16"/>
          <w:szCs w:val="16"/>
          <w:i w:val="1"/>
          <w:iCs w:val="1"/>
          <w:color w:val="auto"/>
        </w:rPr>
        <w:t>Assets held for sale</w:t>
      </w:r>
      <w:r>
        <w:rPr>
          <w:rFonts w:ascii="Arial" w:cs="Arial" w:eastAsia="Arial" w:hAnsi="Arial"/>
          <w:sz w:val="16"/>
          <w:szCs w:val="16"/>
          <w:color w:val="auto"/>
        </w:rPr>
        <w:t xml:space="preserve"> ($65 million) and </w:t>
      </w:r>
      <w:r>
        <w:rPr>
          <w:rFonts w:ascii="Arial" w:cs="Arial" w:eastAsia="Arial" w:hAnsi="Arial"/>
          <w:sz w:val="16"/>
          <w:szCs w:val="16"/>
          <w:i w:val="1"/>
          <w:iCs w:val="1"/>
          <w:color w:val="auto"/>
        </w:rPr>
        <w:t>Liabilities held for sale</w:t>
      </w:r>
      <w:r>
        <w:rPr>
          <w:rFonts w:ascii="Arial" w:cs="Arial" w:eastAsia="Arial" w:hAnsi="Arial"/>
          <w:sz w:val="16"/>
          <w:szCs w:val="16"/>
          <w:color w:val="auto"/>
        </w:rPr>
        <w:t xml:space="preserve"> ($35 million).</w:t>
      </w:r>
    </w:p>
    <w:p>
      <w:pPr>
        <w:spacing w:after="0" w:line="9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During 2004, Schlumberger completed the sales of the following businesses: SchlumbergerSema, Telecom Billing Software, Infodata, Business Continuity, Axalto, Electricity Metering North America and Telecom Messaging.</w:t>
      </w:r>
    </w:p>
    <w:p>
      <w:pPr>
        <w:spacing w:after="0" w:line="37"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During the first quarter of 2004, Schlumberger recognized gains, net of taxes, related to the divestitures of SchlumbergerSema, Telecom Billing Software and Infodata of $26 million, $17 million and $48 million, respectively.</w:t>
      </w:r>
    </w:p>
    <w:p>
      <w:pPr>
        <w:spacing w:after="0" w:line="37"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During the second quarter of 2004, Schlumberger recognized gains, net of taxes, related to the divestitures of SchlumbergerSema and Business Continuity of $15 million and $48 million, respectively, and losses, net of taxes, related to the divestitures of Axalto and Electricity Metering North America of $7 million and $24 million, respectively. In addition, the sale of Electricity Metering North America allowed for the recognition of a deferred tax asset of $49 million, which was previously offset by a valuation allowance, related to a tax loss carryforward associated with the sale of SchlumbergerSema.</w:t>
      </w:r>
    </w:p>
    <w:p>
      <w:pPr>
        <w:spacing w:after="0" w:line="18"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During the third quarter of 2004, Schlumberger recognized a loss, net of taxes, related to the divestiture of its Telecom Messaging business of $4 million and gains, net of taxes, related to the divestitures of Axalto and Telecom Billing Software of $18 million and $7 million, respectively. The $18 million gain related to Axalto consisted of a $9 million gain on the sale of Schlumberger’s residual investment of 5.1 million shares in Axalto and a $9 million reversal of a liability related to the divestiture. The $7 million gain associated with the Telecom Billing Software divestiture was the result of the receipt of additional cash proceeds in the third quarter of 2004 relating to this transaction.</w:t>
      </w:r>
    </w:p>
    <w:p>
      <w:pPr>
        <w:spacing w:after="0" w:line="21"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 xml:space="preserve">The results of all of the previously mentioned divested business, including the related gain or loss on disposal, are reported as </w:t>
      </w:r>
      <w:r>
        <w:rPr>
          <w:rFonts w:ascii="Arial" w:cs="Arial" w:eastAsia="Arial" w:hAnsi="Arial"/>
          <w:sz w:val="18"/>
          <w:szCs w:val="18"/>
          <w:i w:val="1"/>
          <w:iCs w:val="1"/>
          <w:color w:val="auto"/>
        </w:rPr>
        <w:t>Income from 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-25-</w:t>
      </w:r>
    </w:p>
    <w:p>
      <w:pPr>
        <w:sectPr>
          <w:pgSz w:w="11900" w:h="16838" w:orient="portrait"/>
          <w:cols w:equalWidth="0" w:num="1">
            <w:col w:w="11360"/>
          </w:cols>
          <w:pgMar w:left="240" w:top="280"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summarizes the results of these discontinued operations: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6"/>
          </w:tcPr>
          <w:p>
            <w:pPr>
              <w:jc w:val="right"/>
              <w:ind w:right="120"/>
              <w:spacing w:after="0"/>
              <w:rPr>
                <w:sz w:val="20"/>
                <w:szCs w:val="20"/>
                <w:color w:val="auto"/>
              </w:rPr>
            </w:pPr>
            <w:r>
              <w:rPr>
                <w:rFonts w:ascii="Arial" w:cs="Arial" w:eastAsia="Arial" w:hAnsi="Arial"/>
                <w:sz w:val="14"/>
                <w:szCs w:val="14"/>
                <w:b w:val="1"/>
                <w:bCs w:val="1"/>
                <w:i w:val="1"/>
                <w:iCs w:val="1"/>
                <w:color w:val="auto"/>
                <w:w w:val="86"/>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020" w:type="dxa"/>
            <w:vAlign w:val="bottom"/>
            <w:gridSpan w:val="5"/>
          </w:tcPr>
          <w:p>
            <w:pPr>
              <w:jc w:val="right"/>
              <w:ind w:right="12"/>
              <w:spacing w:after="0"/>
              <w:rPr>
                <w:sz w:val="20"/>
                <w:szCs w:val="20"/>
                <w:color w:val="auto"/>
              </w:rPr>
            </w:pPr>
            <w:r>
              <w:rPr>
                <w:rFonts w:ascii="Arial" w:cs="Arial" w:eastAsia="Arial" w:hAnsi="Arial"/>
                <w:sz w:val="14"/>
                <w:szCs w:val="14"/>
                <w:b w:val="1"/>
                <w:bCs w:val="1"/>
                <w:color w:val="auto"/>
              </w:rPr>
              <w:t>Third Quarter</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2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2005</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jc w:val="right"/>
              <w:ind w:right="20"/>
              <w:spacing w:after="0"/>
              <w:rPr>
                <w:sz w:val="20"/>
                <w:szCs w:val="20"/>
                <w:color w:val="auto"/>
              </w:rPr>
            </w:pPr>
            <w:r>
              <w:rPr>
                <w:rFonts w:ascii="Arial" w:cs="Arial" w:eastAsia="Arial" w:hAnsi="Arial"/>
                <w:sz w:val="14"/>
                <w:szCs w:val="14"/>
                <w:b w:val="1"/>
                <w:bCs w:val="1"/>
                <w:color w:val="auto"/>
                <w:w w:val="76"/>
              </w:rPr>
              <w:t>2005</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2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Tax expense</w:t>
            </w:r>
          </w:p>
        </w:tc>
        <w:tc>
          <w:tcPr>
            <w:tcW w:w="25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Gains on disposal, net of tax</w:t>
            </w:r>
          </w:p>
        </w:tc>
        <w:tc>
          <w:tcPr>
            <w:tcW w:w="25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-29210</wp:posOffset>
            </wp:positionV>
            <wp:extent cx="23558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2159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3873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31305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1305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the first nine months of 2005, cash provided by operations was $1.9 billion as income from continuing operations plus depreciation/amortization and credits/charges were partially offset by increases in customer receivables and inventories. Cash used by investing activities was $1.2 billion, with investments in fixed assets ($1.1 billion) and acquisitions ($93 million) offset in part by proceeds from the sale of the Montrouge facility ($230 million). Cash used by financing activities was $770 million as the payment of dividends to shareholders ($358 million), stock repurchase plan ($408 million) and a net reduction in debt of $197 million were only partially offset by the proceeds from employee stock plans ($207 million).</w:t>
      </w:r>
    </w:p>
    <w:p>
      <w:pPr>
        <w:spacing w:after="0" w:line="10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Net Debt is gross debt less cash, short-term investments and fixed income investments held to maturity. Management believes that “net debt” provides useful information regarding the level of Schlumberger’s indebtedness by reflecting cash and investments that could be used to repay debt, and that the level of net debt provides useful information as to the results of Schlumberger’s deleveraging efforts. Details of the change in Net Debt follows:</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-26-</w:t>
      </w:r>
    </w:p>
    <w:p>
      <w:pPr>
        <w:sectPr>
          <w:pgSz w:w="11900" w:h="16838" w:orient="portrait"/>
          <w:cols w:equalWidth="0" w:num="1">
            <w:col w:w="11340"/>
          </w:cols>
          <w:pgMar w:left="240" w:top="280" w:right="319" w:bottom="1440" w:gutter="0" w:footer="0" w:header="0"/>
        </w:sectPr>
      </w:pPr>
    </w:p>
    <w:bookmarkStart w:id="26" w:name="page27"/>
    <w:bookmarkEnd w:id="26"/>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680" w:type="dxa"/>
            <w:vAlign w:val="bottom"/>
            <w:gridSpan w:val="12"/>
          </w:tcPr>
          <w:p>
            <w:pPr>
              <w:ind w:left="1960"/>
              <w:spacing w:after="0"/>
              <w:rPr>
                <w:sz w:val="20"/>
                <w:szCs w:val="20"/>
                <w:color w:val="auto"/>
              </w:rPr>
            </w:pPr>
            <w:r>
              <w:rPr>
                <w:rFonts w:ascii="Arial" w:cs="Arial" w:eastAsia="Arial" w:hAnsi="Arial"/>
                <w:sz w:val="14"/>
                <w:szCs w:val="14"/>
                <w:b w:val="1"/>
                <w:bCs w:val="1"/>
                <w:i w:val="1"/>
                <w:iCs w:val="1"/>
                <w:color w:val="auto"/>
              </w:rPr>
              <w:t>(Stated in millions)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80" w:type="dxa"/>
            <w:vAlign w:val="bottom"/>
            <w:gridSpan w:val="4"/>
          </w:tcPr>
          <w:p>
            <w:pPr>
              <w:ind w:left="540"/>
              <w:spacing w:after="0"/>
              <w:rPr>
                <w:sz w:val="20"/>
                <w:szCs w:val="20"/>
                <w:color w:val="auto"/>
              </w:rPr>
            </w:pPr>
            <w:r>
              <w:rPr>
                <w:rFonts w:ascii="Arial" w:cs="Arial" w:eastAsia="Arial" w:hAnsi="Arial"/>
                <w:sz w:val="14"/>
                <w:szCs w:val="14"/>
                <w:b w:val="1"/>
                <w:bCs w:val="1"/>
                <w:color w:val="auto"/>
              </w:rPr>
              <w:t>Nine Months</w:t>
            </w: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Debt, beginning of period</w:t>
            </w:r>
          </w:p>
        </w:tc>
        <w:tc>
          <w:tcPr>
            <w:tcW w:w="2080" w:type="dxa"/>
            <w:vAlign w:val="bottom"/>
            <w:gridSpan w:val="3"/>
            <w:shd w:val="clear" w:color="auto" w:fill="CCEEFF"/>
          </w:tcPr>
          <w:p>
            <w:pPr>
              <w:ind w:left="196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right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(1,459)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20" w:type="dxa"/>
            <w:vAlign w:val="bottom"/>
            <w:gridSpan w:val="3"/>
          </w:tcPr>
          <w:p>
            <w:pPr>
              <w:ind w:left="420"/>
              <w:spacing w:after="0"/>
              <w:rPr>
                <w:sz w:val="20"/>
                <w:szCs w:val="20"/>
                <w:color w:val="auto"/>
              </w:rPr>
            </w:pPr>
            <w:r>
              <w:rPr>
                <w:rFonts w:ascii="Arial" w:cs="Arial" w:eastAsia="Arial" w:hAnsi="Arial"/>
                <w:sz w:val="18"/>
                <w:szCs w:val="18"/>
                <w:color w:val="auto"/>
              </w:rPr>
              <w:t>Income from continuing operations</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6"/>
          </w:tcPr>
          <w:p>
            <w:pPr>
              <w:jc w:val="right"/>
              <w:spacing w:after="0"/>
              <w:rPr>
                <w:sz w:val="20"/>
                <w:szCs w:val="20"/>
                <w:color w:val="auto"/>
              </w:rPr>
            </w:pPr>
            <w:r>
              <w:rPr>
                <w:rFonts w:ascii="Arial" w:cs="Arial" w:eastAsia="Arial" w:hAnsi="Arial"/>
                <w:sz w:val="18"/>
                <w:szCs w:val="18"/>
                <w:color w:val="auto"/>
              </w:rPr>
              <w:t>1,538</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20" w:type="dxa"/>
            <w:vAlign w:val="bottom"/>
            <w:gridSpan w:val="3"/>
          </w:tcPr>
          <w:p>
            <w:pPr>
              <w:ind w:left="420"/>
              <w:spacing w:after="0"/>
              <w:rPr>
                <w:sz w:val="20"/>
                <w:szCs w:val="20"/>
                <w:color w:val="auto"/>
              </w:rPr>
            </w:pPr>
            <w:r>
              <w:rPr>
                <w:rFonts w:ascii="Arial" w:cs="Arial" w:eastAsia="Arial" w:hAnsi="Arial"/>
                <w:sz w:val="18"/>
                <w:szCs w:val="18"/>
                <w:color w:val="auto"/>
              </w:rPr>
              <w:t>Charges and credits, net of tax and minority interest</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7"/>
          </w:tcPr>
          <w:p>
            <w:pPr>
              <w:jc w:val="right"/>
              <w:ind w:right="20"/>
              <w:spacing w:after="0"/>
              <w:rPr>
                <w:sz w:val="20"/>
                <w:szCs w:val="20"/>
                <w:color w:val="auto"/>
              </w:rPr>
            </w:pPr>
            <w:r>
              <w:rPr>
                <w:rFonts w:ascii="Arial" w:cs="Arial" w:eastAsia="Arial" w:hAnsi="Arial"/>
                <w:sz w:val="18"/>
                <w:szCs w:val="18"/>
                <w:color w:val="auto"/>
              </w:rPr>
              <w:t>(152)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992</w:t>
            </w:r>
          </w:p>
        </w:tc>
        <w:tc>
          <w:tcPr>
            <w:tcW w:w="60" w:type="dxa"/>
            <w:vAlign w:val="bottom"/>
            <w:tcBorders>
              <w:right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20" w:type="dxa"/>
            <w:vAlign w:val="bottom"/>
            <w:gridSpan w:val="3"/>
          </w:tcPr>
          <w:p>
            <w:pPr>
              <w:ind w:left="420"/>
              <w:spacing w:after="0"/>
              <w:rPr>
                <w:sz w:val="20"/>
                <w:szCs w:val="20"/>
                <w:color w:val="auto"/>
              </w:rPr>
            </w:pPr>
            <w:r>
              <w:rPr>
                <w:rFonts w:ascii="Arial" w:cs="Arial" w:eastAsia="Arial" w:hAnsi="Arial"/>
                <w:sz w:val="18"/>
                <w:szCs w:val="18"/>
                <w:color w:val="auto"/>
              </w:rPr>
              <w:t>US pension contribution</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7"/>
          </w:tcPr>
          <w:p>
            <w:pPr>
              <w:jc w:val="right"/>
              <w:ind w:right="20"/>
              <w:spacing w:after="0"/>
              <w:rPr>
                <w:sz w:val="20"/>
                <w:szCs w:val="20"/>
                <w:color w:val="auto"/>
              </w:rPr>
            </w:pPr>
            <w:r>
              <w:rPr>
                <w:rFonts w:ascii="Arial" w:cs="Arial" w:eastAsia="Arial" w:hAnsi="Arial"/>
                <w:sz w:val="18"/>
                <w:szCs w:val="18"/>
                <w:color w:val="auto"/>
              </w:rPr>
              <w:t>(171)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Increase in working capital requirements</w:t>
            </w: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(405)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20" w:type="dxa"/>
            <w:vAlign w:val="bottom"/>
            <w:gridSpan w:val="3"/>
          </w:tcPr>
          <w:p>
            <w:pPr>
              <w:ind w:left="420"/>
              <w:spacing w:after="0"/>
              <w:rPr>
                <w:sz w:val="20"/>
                <w:szCs w:val="20"/>
                <w:color w:val="auto"/>
              </w:rPr>
            </w:pPr>
            <w:r>
              <w:rPr>
                <w:rFonts w:ascii="Arial" w:cs="Arial" w:eastAsia="Arial" w:hAnsi="Arial"/>
                <w:sz w:val="18"/>
                <w:szCs w:val="18"/>
                <w:color w:val="auto"/>
              </w:rPr>
              <w:t>Capital expenditures</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7"/>
          </w:tcPr>
          <w:p>
            <w:pPr>
              <w:jc w:val="right"/>
              <w:ind w:right="20"/>
              <w:spacing w:after="0"/>
              <w:rPr>
                <w:sz w:val="20"/>
                <w:szCs w:val="20"/>
                <w:color w:val="auto"/>
              </w:rPr>
            </w:pPr>
            <w:r>
              <w:rPr>
                <w:rFonts w:ascii="Arial" w:cs="Arial" w:eastAsia="Arial" w:hAnsi="Arial"/>
                <w:sz w:val="18"/>
                <w:szCs w:val="18"/>
                <w:color w:val="auto"/>
              </w:rPr>
              <w:t>(1,135)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20" w:type="dxa"/>
            <w:vAlign w:val="bottom"/>
            <w:gridSpan w:val="3"/>
          </w:tcPr>
          <w:p>
            <w:pPr>
              <w:ind w:left="420"/>
              <w:spacing w:after="0"/>
              <w:rPr>
                <w:sz w:val="20"/>
                <w:szCs w:val="20"/>
                <w:color w:val="auto"/>
              </w:rPr>
            </w:pPr>
            <w:r>
              <w:rPr>
                <w:rFonts w:ascii="Arial" w:cs="Arial" w:eastAsia="Arial" w:hAnsi="Arial"/>
                <w:sz w:val="18"/>
                <w:szCs w:val="18"/>
                <w:color w:val="auto"/>
              </w:rPr>
              <w:t>Proceeds from stock plans</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207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business divestitures</w:t>
            </w: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right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2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Montrouge facility</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230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PetroAlliance acquisition (cash paid)</w:t>
            </w: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(40)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20" w:type="dxa"/>
            <w:vAlign w:val="bottom"/>
            <w:gridSpan w:val="3"/>
          </w:tcPr>
          <w:p>
            <w:pPr>
              <w:ind w:left="420"/>
              <w:spacing w:after="0"/>
              <w:rPr>
                <w:sz w:val="20"/>
                <w:szCs w:val="20"/>
                <w:color w:val="auto"/>
              </w:rPr>
            </w:pPr>
            <w:r>
              <w:rPr>
                <w:rFonts w:ascii="Arial" w:cs="Arial" w:eastAsia="Arial" w:hAnsi="Arial"/>
                <w:sz w:val="18"/>
                <w:szCs w:val="18"/>
                <w:color w:val="auto"/>
              </w:rPr>
              <w:t>Net debt acquired</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Stock purchase program</w:t>
            </w: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(408)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2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181</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business acquisitions</w:t>
            </w: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20" w:type="dxa"/>
            <w:vAlign w:val="bottom"/>
            <w:gridSpan w:val="3"/>
          </w:tcPr>
          <w:p>
            <w:pPr>
              <w:ind w:left="420"/>
              <w:spacing w:after="0"/>
              <w:rPr>
                <w:sz w:val="20"/>
                <w:szCs w:val="20"/>
                <w:color w:val="auto"/>
              </w:rPr>
            </w:pPr>
            <w:r>
              <w:rPr>
                <w:rFonts w:ascii="Arial" w:cs="Arial" w:eastAsia="Arial" w:hAnsi="Arial"/>
                <w:sz w:val="18"/>
                <w:szCs w:val="18"/>
                <w:color w:val="auto"/>
              </w:rPr>
              <w:t>Translation effect on net debt</w:t>
            </w: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Debt, end of period</w:t>
            </w:r>
          </w:p>
        </w:tc>
        <w:tc>
          <w:tcPr>
            <w:tcW w:w="2080" w:type="dxa"/>
            <w:vAlign w:val="bottom"/>
            <w:gridSpan w:val="3"/>
            <w:shd w:val="clear" w:color="auto" w:fill="CCEEFF"/>
          </w:tcPr>
          <w:p>
            <w:pPr>
              <w:ind w:left="196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right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(1,036)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2"/>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7"/>
          </w:tcPr>
          <w:p>
            <w:pPr>
              <w:jc w:val="right"/>
              <w:ind w:right="80"/>
              <w:spacing w:after="0"/>
              <w:rPr>
                <w:sz w:val="20"/>
                <w:szCs w:val="20"/>
                <w:color w:val="auto"/>
              </w:rPr>
            </w:pPr>
            <w:r>
              <w:rPr>
                <w:rFonts w:ascii="Arial" w:cs="Arial" w:eastAsia="Arial" w:hAnsi="Arial"/>
                <w:sz w:val="14"/>
                <w:szCs w:val="14"/>
                <w:b w:val="1"/>
                <w:bCs w:val="1"/>
                <w:i w:val="1"/>
                <w:iCs w:val="1"/>
                <w:color w:val="auto"/>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89"/>
              </w:rPr>
              <w:t>Sept. 30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74"/>
        </w:trPr>
        <w:tc>
          <w:tcPr>
            <w:tcW w:w="6600" w:type="dxa"/>
            <w:vAlign w:val="bottom"/>
            <w:gridSpan w:val="5"/>
          </w:tcPr>
          <w:p>
            <w:pPr>
              <w:spacing w:after="0"/>
              <w:rPr>
                <w:sz w:val="20"/>
                <w:szCs w:val="20"/>
                <w:color w:val="auto"/>
              </w:rPr>
            </w:pPr>
            <w:r>
              <w:rPr>
                <w:rFonts w:ascii="Arial" w:cs="Arial" w:eastAsia="Arial" w:hAnsi="Arial"/>
                <w:sz w:val="14"/>
                <w:szCs w:val="14"/>
                <w:b w:val="1"/>
                <w:bCs w:val="1"/>
                <w:color w:val="auto"/>
              </w:rPr>
              <w:t>Components of Net Debt</w:t>
            </w: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Borders>
              <w:bottom w:val="single" w:sz="8" w:color="auto"/>
            </w:tcBorders>
            <w:gridSpan w:val="3"/>
          </w:tcPr>
          <w:p>
            <w:pPr>
              <w:spacing w:after="0"/>
              <w:rPr>
                <w:sz w:val="8"/>
                <w:szCs w:val="8"/>
                <w:color w:val="auto"/>
              </w:rPr>
            </w:pPr>
          </w:p>
        </w:tc>
        <w:tc>
          <w:tcPr>
            <w:tcW w:w="46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$ 3,003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$ 2,997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379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(674)</w:t>
            </w: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(3,744)</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$(1,036)</w:t>
            </w: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-1546860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-1546860</wp:posOffset>
            </wp:positionV>
            <wp:extent cx="2159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-1546860</wp:posOffset>
            </wp:positionV>
            <wp:extent cx="3873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2159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report and other statements we make contain forward looking statements, which include any statements that are not historical facts, such as our expectations regarding business outlook; growth for Schlumberger as a whole and for each of Oilfield Services and WesternGeco; oil and natural gas demand and production growth; operating and capital expenditures by Schlumberger and the oil and gas industry; the business strategies of Schlumberger and its customers; effective tax rates; and future results of operations. These statements involve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factors detailed our most recent Form 10-K, this Form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Operations</w:t>
      </w:r>
    </w:p>
    <w:p>
      <w:pPr>
        <w:spacing w:after="0" w:line="83"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Schlumberger derives a significant portion of its revenues from non-US operations, which subject Schlumberger to risks which may affect such operations. Schlumberger’s non-US operations accounted for approximately 77% and 74% of our consolidated revenues for the third quarter of 2005 and 2004, respectively; and 75% and 74% for the first nine months of 2005 and 2004, respectively. The proportion of revenues generated from non-US operations has increased from 2004 to 2005 due to the significant impact of the third quarter 2005 hurricanes in the US. Risks which may adversely affect our operations in such countries include unsettled political and economic conditions in certain areas, exposure to possible expropriation or other governmental actions, social unrest, acts of terrorism, outbreak of war or other armed conflict, deprivation of contract rights, exchange control and currency fluctuation. In addition, we are subject to risks</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-27-</w:t>
      </w:r>
    </w:p>
    <w:p>
      <w:pPr>
        <w:sectPr>
          <w:pgSz w:w="11900" w:h="16838" w:orient="portrait"/>
          <w:cols w:equalWidth="0" w:num="1">
            <w:col w:w="11380"/>
          </w:cols>
          <w:pgMar w:left="240" w:top="263" w:right="279" w:bottom="1440" w:gutter="0" w:footer="0" w:header="0"/>
        </w:sectPr>
      </w:pPr>
    </w:p>
    <w:bookmarkStart w:id="27" w:name="page28"/>
    <w:bookmarkEnd w:id="27"/>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associated with our operations in countries, including Iran, Syria, Sudan, Libya and Cuba, which are subject to trade, economic sanctions or other restrictions imposed by the US government. Although it is impossible to predict such occurrences or their effects on Schlumberger, management believes these risks are acceptable. Management also believes that the geographical diversification of our activities reduces the risk that loss of operations in any one country would be material to all the operations taken as a whole.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8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For quantitative and qualitative disclosures about market risk affecting Schlumberger, see Item 7A, “Quantitative Disclosures About Market Risk,” of our Annual Report on Form 10-K for the year ended December 31, 2004. Schlumberger’s exposure to market risk has not changed materially since December 31, 2004.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8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Schlumberger’s management, including the Chief Executive Officer (“CEO”) and Chief Financial Officer (“CFO”), of the effectiveness of the design and operation of Schlumberger’s disclosure controls and procedures pursuant to Rule 13a-15 of the Securities Exchange Act of 1934 (the “Exchange Act”). Based on that evaluation, the CEO and CFO have concluded that Schlumberger’s disclosure controls and procedures were effective as of September 30, 2005 to ensure that information required to be disclosed by Schlumberger in reports that it files or submits under the Exchange Act is recorded, processed, summarized and reported within the time periods specified in Securities and Exchange Commission rules and forms. There has been no change in our internal controls over financial reporting that occurred during the quarter ended September 30, 2005 that has materially affected, or is reasonably likely to materially affect, our internal controls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w:t>
      </w:r>
    </w:p>
    <w:p>
      <w:pPr>
        <w:spacing w:after="0" w:line="152"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Share Repurchases</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July 22, 2004, the Board of Directors of Schlumberger approved a share buyback program of up to 15 million shares to be acquired in the open market before December 2006, subject to market conditions.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on Schlumberger’s common stock repurchase program activity for the three months ended September 30, 2005.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20" w:type="dxa"/>
            <w:vAlign w:val="bottom"/>
            <w:gridSpan w:val="4"/>
          </w:tcPr>
          <w:p>
            <w:pPr>
              <w:jc w:val="right"/>
              <w:ind w:right="20"/>
              <w:spacing w:after="0"/>
              <w:rPr>
                <w:sz w:val="20"/>
                <w:szCs w:val="20"/>
                <w:color w:val="auto"/>
              </w:rPr>
            </w:pPr>
            <w:r>
              <w:rPr>
                <w:rFonts w:ascii="Arial" w:cs="Arial" w:eastAsia="Arial" w:hAnsi="Arial"/>
                <w:sz w:val="14"/>
                <w:szCs w:val="14"/>
                <w:b w:val="1"/>
                <w:bCs w:val="1"/>
                <w:i w:val="1"/>
                <w:iCs w:val="1"/>
                <w:color w:val="auto"/>
                <w:w w:val="99"/>
              </w:rPr>
              <w:t>(Stated in thousands except per share amounts)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Total number of</w:t>
            </w:r>
          </w:p>
        </w:tc>
        <w:tc>
          <w:tcPr>
            <w:tcW w:w="620" w:type="dxa"/>
            <w:vAlign w:val="bottom"/>
          </w:tcPr>
          <w:p>
            <w:pPr>
              <w:spacing w:after="0"/>
              <w:rPr>
                <w:sz w:val="20"/>
                <w:szCs w:val="20"/>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w:t>
            </w:r>
          </w:p>
        </w:tc>
        <w:tc>
          <w:tcPr>
            <w:tcW w:w="60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62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shares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paid per</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as part of publicly</w:t>
            </w:r>
          </w:p>
        </w:tc>
        <w:tc>
          <w:tcPr>
            <w:tcW w:w="620" w:type="dxa"/>
            <w:vAlign w:val="bottom"/>
          </w:tcPr>
          <w:p>
            <w:pPr>
              <w:spacing w:after="0"/>
              <w:rPr>
                <w:sz w:val="12"/>
                <w:szCs w:val="12"/>
                <w:color w:val="auto"/>
              </w:rPr>
            </w:pPr>
          </w:p>
        </w:tc>
        <w:tc>
          <w:tcPr>
            <w:tcW w:w="13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be purchased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5"/>
              </w:rPr>
              <w:t>share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5"/>
              </w:rPr>
              <w:t>announced program</w:t>
            </w:r>
          </w:p>
        </w:tc>
        <w:tc>
          <w:tcPr>
            <w:tcW w:w="620" w:type="dxa"/>
            <w:vAlign w:val="bottom"/>
          </w:tcPr>
          <w:p>
            <w:pPr>
              <w:spacing w:after="0"/>
              <w:rPr>
                <w:sz w:val="15"/>
                <w:szCs w:val="15"/>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under the program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July 1 through July 31, 2005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76.62</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August 1 through August 31, 2005</w:t>
            </w:r>
          </w:p>
        </w:tc>
        <w:tc>
          <w:tcPr>
            <w:tcW w:w="800" w:type="dxa"/>
            <w:vAlign w:val="bottom"/>
          </w:tcPr>
          <w:p>
            <w:pPr>
              <w:jc w:val="right"/>
              <w:spacing w:after="0"/>
              <w:rPr>
                <w:sz w:val="20"/>
                <w:szCs w:val="20"/>
                <w:color w:val="auto"/>
              </w:rPr>
            </w:pPr>
            <w:r>
              <w:rPr>
                <w:rFonts w:ascii="Arial" w:cs="Arial" w:eastAsia="Arial" w:hAnsi="Arial"/>
                <w:sz w:val="18"/>
                <w:szCs w:val="18"/>
                <w:color w:val="auto"/>
              </w:rPr>
              <w:t>444.0</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84.55</w:t>
            </w: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5,609.8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September 1 through September 30, 2005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1,260.6</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1,728.9</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1,724.9</w:t>
            </w: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800" w:type="dxa"/>
            <w:vAlign w:val="bottom"/>
          </w:tcPr>
          <w:p>
            <w:pPr>
              <w:jc w:val="right"/>
              <w:ind w:right="260"/>
              <w:spacing w:after="0"/>
              <w:rPr>
                <w:sz w:val="20"/>
                <w:szCs w:val="20"/>
                <w:color w:val="auto"/>
              </w:rPr>
            </w:pPr>
            <w:r>
              <w:rPr>
                <w:rFonts w:ascii="Arial" w:cs="Arial" w:eastAsia="Arial" w:hAnsi="Arial"/>
                <w:sz w:val="18"/>
                <w:szCs w:val="18"/>
                <w:b w:val="1"/>
                <w:bCs w:val="1"/>
                <w:color w:val="auto"/>
              </w:rPr>
              <w:t>-28-</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-325755</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-325755</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-325755</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-325755</wp:posOffset>
            </wp:positionV>
            <wp:extent cx="2159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8" w:name="page29"/>
    <w:bookmarkEnd w:id="28"/>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implicating the disclosure required under this Item. The number of shares of Schlumberger common stock received from optionholders is immaterial.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83" w:lineRule="exact"/>
        <w:rPr>
          <w:sz w:val="20"/>
          <w:szCs w:val="20"/>
          <w:color w:val="auto"/>
        </w:rPr>
      </w:pPr>
    </w:p>
    <w:p>
      <w:pPr>
        <w:ind w:left="460" w:right="460"/>
        <w:spacing w:after="0" w:line="325" w:lineRule="auto"/>
        <w:rPr>
          <w:sz w:val="20"/>
          <w:szCs w:val="20"/>
          <w:color w:val="auto"/>
        </w:rPr>
      </w:pPr>
      <w:r>
        <w:rPr>
          <w:rFonts w:ascii="Arial" w:cs="Arial" w:eastAsia="Arial" w:hAnsi="Arial"/>
          <w:sz w:val="16"/>
          <w:szCs w:val="16"/>
          <w:color w:val="auto"/>
        </w:rPr>
        <w:t>Exhibit 3.1 Articles of Incorporation of Schlumberger N.V. (Schlumberger Limited) as last amended and restated on April 13, 2005 (incorporated by reference to Appendix 1 to Schlumberger’s definitive proxy statement for the 2005 Annual General Meeting of Stockholders held on April 13, 2005).</w:t>
      </w:r>
    </w:p>
    <w:p>
      <w:pPr>
        <w:spacing w:after="0" w:line="1"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Exhibit 3.2 Amended and Restated Bylaws of Schlumberger N.V. (Schlumberger Limited) (incorporated by reference to Exhibit 3.1 to Schlumberger’s Current Report on Form 8-K filed on April 22, 2005).</w:t>
      </w:r>
    </w:p>
    <w:p>
      <w:pPr>
        <w:spacing w:after="0" w:line="37" w:lineRule="exact"/>
        <w:rPr>
          <w:sz w:val="20"/>
          <w:szCs w:val="20"/>
          <w:color w:val="auto"/>
        </w:rPr>
      </w:pPr>
    </w:p>
    <w:p>
      <w:pPr>
        <w:ind w:left="460" w:right="300"/>
        <w:spacing w:after="0" w:line="325" w:lineRule="auto"/>
        <w:rPr>
          <w:sz w:val="20"/>
          <w:szCs w:val="20"/>
          <w:color w:val="auto"/>
        </w:rPr>
      </w:pPr>
      <w:r>
        <w:rPr>
          <w:rFonts w:ascii="Arial" w:cs="Arial" w:eastAsia="Arial" w:hAnsi="Arial"/>
          <w:sz w:val="16"/>
          <w:szCs w:val="16"/>
          <w:color w:val="auto"/>
        </w:rPr>
        <w:t>Exhibit 10.1 Employment Agreement, dated July 21, 2005 and effective as of August 1, 2005, between Schlumberger N.V. (Schlumberger Limited) and Frank A. Sorgie (incorporated by reference to Exhibit 10.1 to Schlumberger’s Current Report on Form 8-K filed on July 25, 2005).</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Exhibit 31.1 Certification of Chief Executive Officer pursuant to Rule 13a-14(a) as Adopted Pursuant to Section 302 of the Sarbanes-Oxley Act of 2002.</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Exhibit 31.2 Certification of Chief Financial Officer pursuant to Rule 13a-14(a) as Adopted Pursuant to Section 302 of the Sarbanes-Oxley Act of 2002.</w:t>
      </w:r>
    </w:p>
    <w:p>
      <w:pPr>
        <w:spacing w:after="0" w:line="10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Exhibit 32.1 Certification of Chief Executive Officer pursuant to 18 U.S.C. Section 1350, as Adopted Pursuant to Section 906 of the Sarbanes-Oxley Act of 2002.</w:t>
      </w:r>
    </w:p>
    <w:p>
      <w:pPr>
        <w:spacing w:after="0" w:line="37"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Exhibit 32.2 Certification Chief Financial Officer pursuant to 18 U.S.C. Section 1350, as Adopted Pursuant to Section 906 of the Sarbanes-Oxley Act of 2002.</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-29-</w:t>
      </w:r>
    </w:p>
    <w:p>
      <w:pPr>
        <w:sectPr>
          <w:pgSz w:w="11900" w:h="16838" w:orient="portrait"/>
          <w:cols w:equalWidth="0" w:num="1">
            <w:col w:w="11420"/>
          </w:cols>
          <w:pgMar w:left="240" w:top="280" w:right="239" w:bottom="1440" w:gutter="0" w:footer="0" w:header="0"/>
        </w:sectPr>
      </w:pPr>
    </w:p>
    <w:bookmarkStart w:id="29" w:name="page30"/>
    <w:bookmarkEnd w:id="29"/>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1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October 27, 2005</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Accounting Officer and Duly Authorized Signatory</w:t>
      </w:r>
    </w:p>
    <w:p>
      <w:pPr>
        <w:spacing w:after="0" w:line="145"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-30-</w:t>
      </w:r>
    </w:p>
    <w:p>
      <w:pPr>
        <w:sectPr>
          <w:pgSz w:w="11900" w:h="16838" w:orient="portrait"/>
          <w:cols w:equalWidth="0" w:num="1">
            <w:col w:w="10540"/>
          </w:cols>
          <w:pgMar w:left="240" w:top="280" w:right="11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Andrew Gould, certify that:</w:t>
      </w:r>
    </w:p>
    <w:p>
      <w:pPr>
        <w:spacing w:after="0" w:line="77"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80" w:firstLine="8"/>
        <w:spacing w:after="0" w:line="259" w:lineRule="auto"/>
        <w:tabs>
          <w:tab w:leader="none" w:pos="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45" w:lineRule="exact"/>
        <w:rPr>
          <w:rFonts w:ascii="Arial" w:cs="Arial" w:eastAsia="Arial" w:hAnsi="Arial"/>
          <w:sz w:val="18"/>
          <w:szCs w:val="18"/>
          <w:color w:val="auto"/>
        </w:rPr>
      </w:pPr>
    </w:p>
    <w:p>
      <w:pPr>
        <w:ind w:firstLine="464"/>
        <w:spacing w:after="0" w:line="259" w:lineRule="auto"/>
        <w:tabs>
          <w:tab w:leader="none" w:pos="6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October 27, 2005</w:t>
      </w:r>
      <w:r>
        <w:rPr>
          <w:sz w:val="20"/>
          <w:szCs w:val="20"/>
          <w:color w:val="auto"/>
        </w:rPr>
        <w:tab/>
      </w:r>
      <w:r>
        <w:rPr>
          <w:rFonts w:ascii="Arial" w:cs="Arial" w:eastAsia="Arial" w:hAnsi="Arial"/>
          <w:sz w:val="16"/>
          <w:szCs w:val="16"/>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048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and Chief Executive Officer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Jean-Marc Perraud, certify that:</w:t>
      </w:r>
    </w:p>
    <w:p>
      <w:pPr>
        <w:spacing w:after="0" w:line="77"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80" w:firstLine="8"/>
        <w:spacing w:after="0" w:line="259" w:lineRule="auto"/>
        <w:tabs>
          <w:tab w:leader="none" w:pos="1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45" w:lineRule="exact"/>
        <w:rPr>
          <w:rFonts w:ascii="Arial" w:cs="Arial" w:eastAsia="Arial" w:hAnsi="Arial"/>
          <w:sz w:val="18"/>
          <w:szCs w:val="18"/>
          <w:color w:val="auto"/>
        </w:rPr>
      </w:pPr>
    </w:p>
    <w:p>
      <w:pPr>
        <w:ind w:firstLine="464"/>
        <w:spacing w:after="0" w:line="259" w:lineRule="auto"/>
        <w:tabs>
          <w:tab w:leader="none" w:pos="63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October 27, 2005</w:t>
      </w:r>
      <w:r>
        <w:rPr>
          <w:sz w:val="20"/>
          <w:szCs w:val="20"/>
          <w:color w:val="auto"/>
        </w:rPr>
        <w:tab/>
      </w:r>
      <w:r>
        <w:rPr>
          <w:rFonts w:ascii="Arial" w:cs="Arial" w:eastAsia="Arial" w:hAnsi="Arial"/>
          <w:sz w:val="15"/>
          <w:szCs w:val="15"/>
          <w:color w:val="auto"/>
        </w:rPr>
        <w:t>/s/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048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quarterly period ended September 30, 2005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October 27, 2005</w:t>
      </w:r>
      <w:r>
        <w:rPr>
          <w:sz w:val="20"/>
          <w:szCs w:val="20"/>
          <w:color w:val="auto"/>
        </w:rPr>
        <w:tab/>
      </w:r>
      <w:r>
        <w:rPr>
          <w:rFonts w:ascii="Arial" w:cs="Arial" w:eastAsia="Arial" w:hAnsi="Arial"/>
          <w:sz w:val="16"/>
          <w:szCs w:val="16"/>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048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and Chief Executive Officer</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quarterly period ended September 30, 2005 as filed with the Securities and Exchange Commission on the date hereof (the “Report”), I, Jean-Marc Perraud, Executive Vice President and Chief Financial Officer of the Company, certify, pursuant to 18 U.S.C. § 1350, as adopted pursuant to § 906 of the Sarbanes-Oxley Act of 2002, that: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October 27, 2005</w:t>
      </w:r>
      <w:r>
        <w:rPr>
          <w:sz w:val="20"/>
          <w:szCs w:val="20"/>
          <w:color w:val="auto"/>
        </w:rPr>
        <w:tab/>
      </w:r>
      <w:r>
        <w:rPr>
          <w:rFonts w:ascii="Arial" w:cs="Arial" w:eastAsia="Arial" w:hAnsi="Arial"/>
          <w:sz w:val="15"/>
          <w:szCs w:val="15"/>
          <w:color w:val="auto"/>
        </w:rPr>
        <w:t>/s/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048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decimal"/>
      <w:start w:val="2"/>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1."/>
      <w:numFmt w:val="decimal"/>
      <w:start w:val="8"/>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1."/>
      <w:numFmt w:val="decimal"/>
      <w:start w:val="11"/>
    </w:lvl>
  </w:abstractNum>
  <w:abstractNum w:abstractNumId="12">
    <w:nsid w:val="7C83E458"/>
    <w:multiLevelType w:val="hybridMultilevel"/>
    <w:lvl w:ilvl="0">
      <w:lvlJc w:val="left"/>
      <w:lvlText w:val="%1."/>
      <w:numFmt w:val="decimal"/>
      <w:start w:val="13"/>
    </w:lvl>
  </w:abstractNum>
  <w:abstractNum w:abstractNumId="13">
    <w:nsid w:val="257130A3"/>
    <w:multiLevelType w:val="hybridMultilevel"/>
    <w:lvl w:ilvl="0">
      <w:lvlJc w:val="left"/>
      <w:lvlText w:val="%1."/>
      <w:numFmt w:val="decimal"/>
      <w:start w:val="14"/>
    </w:lvl>
  </w:abstractNum>
  <w:abstractNum w:abstractNumId="14">
    <w:nsid w:val="62BBD95A"/>
    <w:multiLevelType w:val="hybridMultilevel"/>
    <w:lvl w:ilvl="0">
      <w:lvlJc w:val="left"/>
      <w:lvlText w:val="%1."/>
      <w:numFmt w:val="decimal"/>
      <w:start w:val="15"/>
    </w:lvl>
  </w:abstractNum>
  <w:abstractNum w:abstractNumId="15">
    <w:nsid w:val="436C6125"/>
    <w:multiLevelType w:val="hybridMultilevel"/>
    <w:lvl w:ilvl="0">
      <w:lvlJc w:val="left"/>
      <w:lvlText w:val="%1."/>
      <w:numFmt w:val="decimal"/>
      <w:start w:val="16"/>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7"/>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2019-12-13T06:41:46Z</dcterms:created>
  <dcterms:modified xsi:type="dcterms:W3CDTF">2019-12-13T06:41:46Z</dcterms:modified>
</cp:coreProperties>
</file>