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40691dsd.htm"/>
      <w:bookmarkStart w:id="1" w:name="ksd840691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36"/>
        </w:rPr>
      </w:pPr>
      <w:r>
        <w:rPr>
          <w:rFonts w:ascii="ARIAL" w:hAnsi="ARIAL"/>
          <w:b/>
          <w:sz w:val="36"/>
        </w:rPr>
        <w:t xml:space="preserve">FORM SD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4"/>
        </w:rPr>
      </w:pPr>
      <w:r>
        <w:rPr>
          <w:rFonts w:ascii="ARIAL" w:hAnsi="ARIAL"/>
          <w:b/>
          <w:sz w:val="24"/>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0" w:after="0"/>
        <w:jc w:val="center"/>
        <w:rPr>
          <w:rFonts w:ascii="ARIAL" w:hAnsi="ARIAL"/>
          <w:b/>
          <w:sz w:val="20"/>
        </w:rPr>
      </w:pPr>
      <w:r>
        <w:rPr>
          <w:rFonts w:ascii="ARIAL" w:hAnsi="ARIAL"/>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Curaçao</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1-4601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52-0684746</w:t>
            </w:r>
          </w:p>
        </w:tc>
      </w:tr>
      <w:tr>
        <w:trPr/>
        <w:tc>
          <w:tcPr>
            <w:tcW w:w="3470" w:type="dxa"/>
            <w:tcBorders/>
          </w:tcPr>
          <w:p>
            <w:pPr>
              <w:pStyle w:val="TableContents"/>
              <w:bidi w:val="0"/>
              <w:spacing w:before="0" w:after="0"/>
              <w:jc w:val="center"/>
              <w:rPr>
                <w:rFonts w:ascii="ARIAL" w:hAnsi="ARIAL"/>
                <w:b/>
                <w:sz w:val="16"/>
              </w:rPr>
            </w:pPr>
            <w:r>
              <w:rPr>
                <w:rFonts w:ascii="ARIAL" w:hAnsi="ARIAL"/>
                <w:b/>
                <w:sz w:val="16"/>
              </w:rPr>
              <w:t>(State or other jurisdiction of</w:t>
            </w:r>
          </w:p>
          <w:p>
            <w:pPr>
              <w:pStyle w:val="TableContents"/>
              <w:bidi w:val="0"/>
              <w:spacing w:before="0" w:after="20"/>
              <w:jc w:val="center"/>
              <w:rPr>
                <w:rFonts w:ascii="ARIAL" w:hAnsi="ARIAL"/>
                <w:b/>
                <w:sz w:val="16"/>
              </w:rPr>
            </w:pPr>
            <w:r>
              <w:rPr>
                <w:rFonts w:ascii="ARIAL" w:hAnsi="ARIAL"/>
                <w:b/>
                <w:sz w:val="16"/>
              </w:rP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ARIAL" w:hAnsi="ARIAL"/>
                <w:b/>
                <w:sz w:val="20"/>
              </w:rPr>
            </w:pPr>
            <w:r>
              <w:rPr>
                <w:rFonts w:ascii="ARIAL" w:hAnsi="ARIAL"/>
                <w:b/>
                <w:sz w:val="20"/>
              </w:rPr>
              <w:t>42 rue Saint-Dominique</w:t>
            </w:r>
          </w:p>
          <w:p>
            <w:pPr>
              <w:pStyle w:val="TableContents"/>
              <w:bidi w:val="0"/>
              <w:spacing w:before="0" w:after="20"/>
              <w:jc w:val="center"/>
              <w:rPr>
                <w:rFonts w:ascii="ARIAL" w:hAnsi="ARIAL"/>
                <w:b/>
                <w:sz w:val="20"/>
              </w:rPr>
            </w:pPr>
            <w:r>
              <w:rPr>
                <w:rFonts w:ascii="ARIAL" w:hAnsi="ARIAL"/>
                <w:b/>
                <w:sz w:val="20"/>
              </w:rPr>
              <w:t>Paris, France</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75007</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ARIAL" w:hAnsi="ARIAL"/>
                <w:b/>
                <w:sz w:val="20"/>
              </w:rPr>
            </w:pPr>
            <w:r>
              <w:rPr>
                <w:rFonts w:ascii="ARIAL" w:hAnsi="ARIAL"/>
                <w:b/>
                <w:sz w:val="20"/>
              </w:rPr>
              <w:t>5599 San Felipe</w:t>
            </w:r>
          </w:p>
          <w:p>
            <w:pPr>
              <w:pStyle w:val="TableContents"/>
              <w:bidi w:val="0"/>
              <w:spacing w:before="0" w:after="20"/>
              <w:jc w:val="center"/>
              <w:rPr>
                <w:rFonts w:ascii="ARIAL" w:hAnsi="ARIAL"/>
                <w:b/>
                <w:sz w:val="20"/>
              </w:rPr>
            </w:pPr>
            <w:r>
              <w:rPr>
                <w:rFonts w:ascii="ARIAL" w:hAnsi="ARIAL"/>
                <w:b/>
                <w:sz w:val="20"/>
              </w:rPr>
              <w:t>Houston, Texas, U.S.A.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77056</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ARIAL" w:hAnsi="ARIAL"/>
                <w:b/>
                <w:sz w:val="20"/>
              </w:rPr>
            </w:pPr>
            <w:r>
              <w:rPr>
                <w:rFonts w:ascii="ARIAL" w:hAnsi="ARIAL"/>
                <w:b/>
                <w:sz w:val="20"/>
              </w:rPr>
              <w:t>62 Buckingham Gate</w:t>
            </w:r>
          </w:p>
          <w:p>
            <w:pPr>
              <w:pStyle w:val="TableContents"/>
              <w:bidi w:val="0"/>
              <w:spacing w:before="0" w:after="20"/>
              <w:jc w:val="center"/>
              <w:rPr>
                <w:rFonts w:ascii="ARIAL" w:hAnsi="ARIAL"/>
                <w:b/>
                <w:sz w:val="20"/>
              </w:rPr>
            </w:pPr>
            <w:r>
              <w:rPr>
                <w:rFonts w:ascii="ARIAL" w:hAnsi="ARIAL"/>
                <w:b/>
                <w:sz w:val="20"/>
              </w:rPr>
              <w:t>London, United Kingdom</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SW1E 6AJ</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ARIAL" w:hAnsi="ARIAL"/>
                <w:b/>
                <w:sz w:val="20"/>
              </w:rPr>
            </w:pPr>
            <w:r>
              <w:rPr>
                <w:rFonts w:ascii="ARIAL" w:hAnsi="ARIAL"/>
                <w:b/>
                <w:sz w:val="20"/>
              </w:rPr>
              <w:t>Parkstraat 83</w:t>
            </w:r>
          </w:p>
          <w:p>
            <w:pPr>
              <w:pStyle w:val="TableContents"/>
              <w:bidi w:val="0"/>
              <w:spacing w:before="0" w:after="20"/>
              <w:jc w:val="center"/>
              <w:rPr>
                <w:rFonts w:ascii="ARIAL" w:hAnsi="ARIAL"/>
                <w:b/>
                <w:sz w:val="20"/>
              </w:rPr>
            </w:pPr>
            <w:r>
              <w:rPr>
                <w:rFonts w:ascii="ARIAL" w:hAnsi="ARIAL"/>
                <w:b/>
                <w:sz w:val="20"/>
              </w:rPr>
              <w:t>The Hague, The Netherlands</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2514 JG</w:t>
            </w:r>
          </w:p>
        </w:tc>
      </w:tr>
      <w:tr>
        <w:trPr/>
        <w:tc>
          <w:tcPr>
            <w:tcW w:w="5154" w:type="dxa"/>
            <w:tcBorders/>
          </w:tcPr>
          <w:p>
            <w:pPr>
              <w:pStyle w:val="TableContents"/>
              <w:bidi w:val="0"/>
              <w:spacing w:before="0" w:after="283"/>
              <w:jc w:val="center"/>
              <w:rPr>
                <w:b/>
              </w:rPr>
            </w:pPr>
            <w:r>
              <w:rPr>
                <w:b/>
              </w:rPr>
              <w:t>(Addresses of principal executive offices)</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(Zip Codes)</w:t>
            </w:r>
          </w:p>
        </w:tc>
      </w:tr>
    </w:tbl>
    <w:p>
      <w:pPr>
        <w:pStyle w:val="TextBody"/>
        <w:bidi w:val="0"/>
        <w:spacing w:before="240" w:after="0"/>
        <w:jc w:val="center"/>
        <w:rPr>
          <w:rFonts w:ascii="ARIAL" w:hAnsi="ARIAL"/>
          <w:b/>
          <w:sz w:val="20"/>
        </w:rPr>
      </w:pPr>
      <w:r>
        <w:rPr>
          <w:rFonts w:ascii="ARIAL" w:hAnsi="ARIAL"/>
          <w:b/>
          <w:sz w:val="20"/>
        </w:rPr>
        <w:t xml:space="preserve">Dianne B. Ralston </w:t>
      </w:r>
    </w:p>
    <w:p>
      <w:pPr>
        <w:pStyle w:val="TextBody"/>
        <w:bidi w:val="0"/>
        <w:spacing w:before="0" w:after="0"/>
        <w:jc w:val="center"/>
        <w:rPr>
          <w:rFonts w:ascii="ARIAL" w:hAnsi="ARIAL"/>
          <w:b/>
          <w:sz w:val="20"/>
        </w:rPr>
      </w:pPr>
      <w:r>
        <w:rPr>
          <w:rFonts w:ascii="ARIAL" w:hAnsi="ARIAL"/>
          <w:b/>
          <w:sz w:val="20"/>
        </w:rPr>
        <w:t xml:space="preserve">Chief Legal Officer and Secretary </w:t>
      </w:r>
    </w:p>
    <w:p>
      <w:pPr>
        <w:pStyle w:val="TextBody"/>
        <w:bidi w:val="0"/>
        <w:spacing w:before="0" w:after="0"/>
        <w:jc w:val="center"/>
        <w:rPr>
          <w:rFonts w:ascii="ARIAL" w:hAnsi="ARIAL"/>
          <w:b/>
          <w:sz w:val="20"/>
        </w:rPr>
      </w:pPr>
      <w:r>
        <w:rPr>
          <w:rFonts w:ascii="ARIAL" w:hAnsi="ARIAL"/>
          <w:b/>
          <w:sz w:val="20"/>
        </w:rPr>
        <w:t xml:space="preserve">(713) 513-2000 </w:t>
      </w:r>
    </w:p>
    <w:p>
      <w:pPr>
        <w:pStyle w:val="TextBody"/>
        <w:bidi w:val="0"/>
        <w:spacing w:before="0" w:after="0"/>
        <w:jc w:val="center"/>
        <w:rPr>
          <w:rFonts w:ascii="ARIAL" w:hAnsi="ARIAL"/>
          <w:b/>
          <w:sz w:val="16"/>
        </w:rPr>
      </w:pPr>
      <w:r>
        <w:rPr>
          <w:rFonts w:ascii="ARIAL" w:hAnsi="ARIAL"/>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Rule 13p-1 under the Securities Exchange Act (17 CFR 240.13p-1) for the reporting period from January 1, 2023 to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Rule 13q-1 under the Securities Exchange Act (17 CFR 240.13q-1) for the fiscal year ended December 31, 2023.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Section 1  Conflict Minerals Disclosure </w:t>
      </w:r>
    </w:p>
    <w:p>
      <w:pPr>
        <w:pStyle w:val="TextBody"/>
        <w:bidi w:val="0"/>
        <w:spacing w:before="120" w:after="0"/>
        <w:jc w:val="left"/>
        <w:rPr>
          <w:rFonts w:ascii="ARIAL" w:hAnsi="ARIAL"/>
          <w:b/>
          <w:sz w:val="20"/>
        </w:rPr>
      </w:pPr>
      <w:r>
        <w:rPr>
          <w:rFonts w:ascii="ARIAL" w:hAnsi="ARIAL"/>
          <w:b/>
          <w:sz w:val="20"/>
        </w:rPr>
        <w:t xml:space="preserve">Items 1.01 and 1.02 Conflict Minerals Disclosure and Report; Exhibit </w:t>
      </w:r>
    </w:p>
    <w:p>
      <w:pPr>
        <w:pStyle w:val="TextBody"/>
        <w:bidi w:val="0"/>
        <w:spacing w:before="120" w:after="0"/>
        <w:jc w:val="left"/>
        <w:rPr>
          <w:rFonts w:ascii="ARIAL" w:hAnsi="ARIAL"/>
          <w:b/>
          <w:i/>
          <w:sz w:val="20"/>
        </w:rPr>
      </w:pPr>
      <w:r>
        <w:rPr>
          <w:rFonts w:ascii="ARIAL" w:hAnsi="ARIAL"/>
          <w:b/>
          <w:i/>
          <w:sz w:val="20"/>
        </w:rPr>
        <w:t xml:space="preserve">Conflict Minerals Disclosure </w:t>
      </w:r>
    </w:p>
    <w:p>
      <w:pPr>
        <w:pStyle w:val="TextBody"/>
        <w:bidi w:val="0"/>
        <w:spacing w:before="120" w:after="0"/>
        <w:jc w:val="left"/>
        <w:rPr>
          <w:rFonts w:ascii="ARIAL" w:hAnsi="ARIAL"/>
          <w:sz w:val="20"/>
        </w:rPr>
      </w:pPr>
      <w:r>
        <w:rPr>
          <w:rFonts w:ascii="ARIAL" w:hAnsi="ARIAL"/>
          <w:sz w:val="20"/>
        </w:rPr>
        <w:t xml:space="preserve">In accordance with Rule 13p-1 under the Securities Exchange Act of 1934, as amended, Schlumberger Limited (the Company) has filed this Specialized Disclosure Report and the Conflict Minerals Report attached hereto as Exhibit 1.01 for the year ended December 31, 2023. Both of these documents are publicly available on the Companys website at: </w:t>
      </w:r>
    </w:p>
    <w:p>
      <w:pPr>
        <w:pStyle w:val="TextBody"/>
        <w:bidi w:val="0"/>
        <w:spacing w:before="0" w:after="0"/>
        <w:jc w:val="left"/>
        <w:rPr>
          <w:rFonts w:ascii="ARIAL" w:hAnsi="ARIAL"/>
          <w:sz w:val="20"/>
        </w:rPr>
      </w:pPr>
      <w:r>
        <w:rPr>
          <w:rFonts w:ascii="ARIAL" w:hAnsi="ARIAL"/>
          <w:sz w:val="20"/>
        </w:rPr>
        <w:t xml:space="preserve">https://www.slb.com/about/who-we-are/conflict-minerals.* </w:t>
      </w:r>
    </w:p>
    <w:p>
      <w:pPr>
        <w:pStyle w:val="TextBody"/>
        <w:bidi w:val="0"/>
        <w:spacing w:before="360" w:after="0"/>
        <w:jc w:val="left"/>
        <w:rPr>
          <w:rFonts w:ascii="ARIAL" w:hAnsi="ARIAL"/>
          <w:b/>
          <w:sz w:val="20"/>
        </w:rPr>
      </w:pPr>
      <w:r>
        <w:rPr>
          <w:rFonts w:ascii="ARIAL" w:hAnsi="ARIAL"/>
          <w:b/>
          <w:sz w:val="20"/>
        </w:rPr>
        <w:t xml:space="preserve">Section 3  Exhibits </w:t>
      </w:r>
    </w:p>
    <w:p>
      <w:pPr>
        <w:pStyle w:val="TextBody"/>
        <w:bidi w:val="0"/>
        <w:spacing w:before="120" w:after="0"/>
        <w:jc w:val="left"/>
        <w:rPr>
          <w:rFonts w:ascii="ARIAL" w:hAnsi="ARIAL"/>
          <w:b/>
          <w:sz w:val="20"/>
        </w:rPr>
      </w:pPr>
      <w:r>
        <w:rPr>
          <w:rFonts w:ascii="ARIAL" w:hAnsi="ARIAL"/>
          <w:b/>
          <w:sz w:val="20"/>
        </w:rPr>
        <w:t xml:space="preserve">Item 3.01 Exhibits </w:t>
      </w:r>
    </w:p>
    <w:p>
      <w:pPr>
        <w:pStyle w:val="TextBody"/>
        <w:bidi w:val="0"/>
        <w:spacing w:before="120" w:after="0"/>
        <w:jc w:val="left"/>
        <w:rPr/>
      </w:pPr>
      <w:r>
        <w:rPr>
          <w:rFonts w:ascii="ARIAL" w:hAnsi="ARIAL"/>
          <w:sz w:val="20"/>
        </w:rPr>
        <w:t xml:space="preserve">Exhibit 1.01  </w:t>
      </w:r>
      <w:hyperlink w:anchor="d840691dex101.htm">
        <w:r>
          <w:rPr>
            <w:rStyle w:val="InternetLink"/>
            <w:rFonts w:ascii="ARIAL" w:hAnsi="ARIAL"/>
            <w:sz w:val="20"/>
          </w:rPr>
          <w:t xml:space="preserve">Conflict Minerals Report as required by Item 1.01 and 1.02 of this Form. </w:t>
        </w:r>
      </w:hyperlink>
    </w:p>
    <w:p>
      <w:pPr>
        <w:pStyle w:val="TextBody"/>
        <w:bidi w:val="0"/>
        <w:spacing w:before="240" w:after="0"/>
        <w:jc w:val="center"/>
        <w:rPr>
          <w:rFonts w:ascii="ARIAL" w:hAnsi="ARIAL"/>
          <w:sz w:val="20"/>
        </w:rPr>
      </w:pPr>
      <w:r>
        <w:rPr>
          <w:rFonts w:ascii="ARIAL" w:hAnsi="ARIAL"/>
          <w:sz w:val="20"/>
        </w:rPr>
        <w:t xml:space="preserve">* * * * *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The reference to the Companys website is provided for convenience only, and its contents are not incorporated by reference into this Form SD and the Conflict Minerals Report, nor deemed filed with the Securities and Exchange Commission.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SCHLUMBERGER LIMITED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Abdellah Merad</w:t>
            </w:r>
          </w:p>
        </w:tc>
      </w:tr>
      <w:tr>
        <w:trPr/>
        <w:tc>
          <w:tcPr>
            <w:tcW w:w="4082" w:type="dxa"/>
            <w:tcBorders/>
          </w:tcPr>
          <w:p>
            <w:pPr>
              <w:pStyle w:val="TableContents"/>
              <w:bidi w:val="0"/>
              <w:spacing w:before="0" w:after="283"/>
              <w:jc w:val="left"/>
              <w:rPr/>
            </w:pPr>
            <w:r>
              <w:rPr/>
              <w:t>Abdellah Merad</w:t>
            </w:r>
          </w:p>
        </w:tc>
      </w:tr>
      <w:tr>
        <w:trPr/>
        <w:tc>
          <w:tcPr>
            <w:tcW w:w="4082" w:type="dxa"/>
            <w:tcBorders/>
          </w:tcPr>
          <w:p>
            <w:pPr>
              <w:pStyle w:val="TableContents"/>
              <w:bidi w:val="0"/>
              <w:spacing w:before="0" w:after="283"/>
              <w:jc w:val="left"/>
              <w:rPr/>
            </w:pPr>
            <w:r>
              <w:rPr/>
              <w:t>Executive Vice President, Core Services &amp; Equipment</w:t>
            </w:r>
          </w:p>
        </w:tc>
      </w:tr>
    </w:tbl>
    <w:p>
      <w:pPr>
        <w:pStyle w:val="TextBody"/>
        <w:bidi w:val="0"/>
        <w:spacing w:before="240" w:after="0"/>
        <w:jc w:val="left"/>
        <w:rPr>
          <w:rFonts w:ascii="ARIAL" w:hAnsi="ARIAL"/>
          <w:sz w:val="20"/>
        </w:rPr>
      </w:pPr>
      <w:r>
        <w:rPr>
          <w:rFonts w:ascii="ARIAL" w:hAnsi="ARIAL"/>
          <w:sz w:val="20"/>
        </w:rPr>
        <w:t xml:space="preserve">Date: May 30, 2024 </w:t>
      </w:r>
    </w:p>
    <w:p>
      <w:pPr>
        <w:pStyle w:val="TextBody"/>
        <w:bidi w:val="0"/>
        <w:spacing w:before="0" w:after="0"/>
        <w:jc w:val="right"/>
        <w:rPr>
          <w:rFonts w:ascii="ARIAL" w:hAnsi="ARIAL"/>
          <w:b/>
          <w:sz w:val="20"/>
        </w:rPr>
      </w:pPr>
      <w:bookmarkStart w:id="2" w:name="d840691dex101.htm"/>
      <w:bookmarkStart w:id="3" w:name="ksd840691dex101"/>
      <w:bookmarkEnd w:id="2"/>
      <w:bookmarkEnd w:id="3"/>
      <w:r>
        <w:rPr>
          <w:rFonts w:ascii="ARIAL" w:hAnsi="ARIAL"/>
          <w:b/>
          <w:sz w:val="20"/>
        </w:rPr>
        <w:t xml:space="preserve">Exhibit 1.01 </w:t>
      </w:r>
      <w:r>
        <w:br w:type="page"/>
      </w:r>
    </w:p>
    <w:p>
      <w:pPr>
        <w:pStyle w:val="TextBody"/>
        <w:bidi w:val="0"/>
        <w:spacing w:before="320" w:after="0"/>
        <w:jc w:val="center"/>
        <w:rPr>
          <w:rFonts w:ascii="ARIAL" w:hAnsi="ARIAL"/>
          <w:b/>
          <w:sz w:val="20"/>
        </w:rPr>
      </w:pPr>
      <w:r>
        <w:rPr>
          <w:rFonts w:ascii="ARIAL" w:hAnsi="ARIAL"/>
          <w:b/>
          <w:sz w:val="20"/>
        </w:rPr>
        <w:t xml:space="preserve">Conflict Minerals Report </w:t>
      </w:r>
    </w:p>
    <w:p>
      <w:pPr>
        <w:pStyle w:val="TextBody"/>
        <w:bidi w:val="0"/>
        <w:spacing w:before="120" w:after="0"/>
        <w:jc w:val="center"/>
        <w:rPr>
          <w:rFonts w:ascii="ARIAL" w:hAnsi="ARIAL"/>
          <w:b/>
          <w:sz w:val="20"/>
        </w:rPr>
      </w:pPr>
      <w:r>
        <w:rPr>
          <w:rFonts w:ascii="ARIAL" w:hAnsi="ARIAL"/>
          <w:b/>
          <w:sz w:val="20"/>
        </w:rPr>
        <w:t xml:space="preserve">SLB - For Year Ending December 31, 2023 </w:t>
      </w:r>
    </w:p>
    <w:p>
      <w:pPr>
        <w:pStyle w:val="TextBody"/>
        <w:bidi w:val="0"/>
        <w:spacing w:before="120" w:after="0"/>
        <w:jc w:val="center"/>
        <w:rPr>
          <w:rFonts w:ascii="ARIAL" w:hAnsi="ARIAL"/>
          <w:b/>
          <w:sz w:val="20"/>
        </w:rPr>
      </w:pPr>
      <w:r>
        <w:rPr>
          <w:rFonts w:ascii="ARIAL" w:hAnsi="ARIAL"/>
          <w:b/>
          <w:sz w:val="20"/>
        </w:rPr>
        <w:t xml:space="preserve">Company Overview </w:t>
      </w:r>
    </w:p>
    <w:p>
      <w:pPr>
        <w:pStyle w:val="TextBody"/>
        <w:bidi w:val="0"/>
        <w:spacing w:before="120" w:after="0"/>
        <w:jc w:val="left"/>
        <w:rPr>
          <w:rFonts w:ascii="ARIAL" w:hAnsi="ARIAL"/>
          <w:sz w:val="20"/>
        </w:rPr>
      </w:pPr>
      <w:r>
        <w:rPr>
          <w:rFonts w:ascii="ARIAL" w:hAnsi="ARIAL"/>
          <w:sz w:val="20"/>
        </w:rPr>
        <w:t>This report has been prepared by the management of Schlumberger Limited (herein referred to as SLB, the Company, we, us, or our) pursuant to Rule 13p-1 and Form SD promulgated under the Securities Exchange Act of 1934, as amended, for the reporting period from January 1, 2023, to December 31, 2023.</w:t>
      </w:r>
    </w:p>
    <w:p>
      <w:pPr>
        <w:pStyle w:val="TextBody"/>
        <w:bidi w:val="0"/>
        <w:spacing w:before="120" w:after="0"/>
        <w:jc w:val="left"/>
        <w:rPr>
          <w:rFonts w:ascii="ARIAL" w:hAnsi="ARIAL"/>
          <w:sz w:val="20"/>
        </w:rPr>
      </w:pPr>
      <w:r>
        <w:rPr>
          <w:rFonts w:ascii="ARIAL" w:hAnsi="ARIAL"/>
          <w:sz w:val="20"/>
        </w:rPr>
        <w:t xml:space="preserve">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 </w:t>
      </w:r>
    </w:p>
    <w:p>
      <w:pPr>
        <w:pStyle w:val="TextBody"/>
        <w:bidi w:val="0"/>
        <w:spacing w:before="120" w:after="0"/>
        <w:jc w:val="center"/>
        <w:rPr>
          <w:rFonts w:ascii="ARIAL" w:hAnsi="ARIAL"/>
          <w:b/>
          <w:sz w:val="20"/>
        </w:rPr>
      </w:pPr>
      <w:r>
        <w:rPr>
          <w:rFonts w:ascii="ARIAL" w:hAnsi="ARIAL"/>
          <w:b/>
          <w:sz w:val="20"/>
        </w:rPr>
        <w:t xml:space="preserve">Introduction </w:t>
      </w:r>
    </w:p>
    <w:p>
      <w:pPr>
        <w:pStyle w:val="TextBody"/>
        <w:bidi w:val="0"/>
        <w:spacing w:before="120" w:after="0"/>
        <w:jc w:val="left"/>
        <w:rPr>
          <w:rFonts w:ascii="ARIAL" w:hAnsi="ARIAL"/>
          <w:sz w:val="20"/>
        </w:rPr>
      </w:pPr>
      <w:r>
        <w:rPr>
          <w:rFonts w:ascii="ARIAL" w:hAnsi="ARIAL"/>
          <w:sz w:val="20"/>
        </w:rPr>
        <w:t xml:space="preserve">For the 2023 calendar year, SLB determined that tin, tungsten, tantalum, and/or gold (3TGs) were necessary to the functionality or production of some products that were manufactured or contracted to be manufactured. Therefore, SLB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 </w:t>
      </w:r>
    </w:p>
    <w:p>
      <w:pPr>
        <w:pStyle w:val="TextBody"/>
        <w:bidi w:val="0"/>
        <w:spacing w:before="120" w:after="0"/>
        <w:jc w:val="left"/>
        <w:rPr>
          <w:rFonts w:ascii="ARIAL" w:hAnsi="ARIAL"/>
          <w:sz w:val="20"/>
        </w:rPr>
      </w:pPr>
      <w:r>
        <w:rPr>
          <w:rFonts w:ascii="ARIAL" w:hAnsi="ARIAL"/>
          <w:sz w:val="20"/>
        </w:rPr>
        <w:t xml:space="preserve">Based on the country of origin data, SLB believes some of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 </w:t>
      </w:r>
    </w:p>
    <w:p>
      <w:pPr>
        <w:pStyle w:val="TextBody"/>
        <w:bidi w:val="0"/>
        <w:spacing w:before="120" w:after="0"/>
        <w:jc w:val="left"/>
        <w:rPr>
          <w:rFonts w:ascii="ARIAL" w:hAnsi="ARIAL"/>
          <w:sz w:val="20"/>
        </w:rPr>
      </w:pPr>
      <w:r>
        <w:rPr>
          <w:rFonts w:ascii="ARIAL" w:hAnsi="ARIAL"/>
          <w:sz w:val="20"/>
        </w:rPr>
        <w:t>SLB is committed to complying with the requirements of the Rule and upholding responsible sourcing practices. As such, the Company has put into place a robust due diligence program to ensure its contributions to upholding human rights and responsible practices across the supply chain.</w:t>
      </w:r>
    </w:p>
    <w:p>
      <w:pPr>
        <w:pStyle w:val="TextBody"/>
        <w:bidi w:val="0"/>
        <w:spacing w:before="120" w:after="0"/>
        <w:jc w:val="center"/>
        <w:rPr>
          <w:rFonts w:ascii="ARIAL" w:hAnsi="ARIAL"/>
          <w:sz w:val="20"/>
          <w:u w:val="single"/>
        </w:rPr>
      </w:pPr>
      <w:r>
        <w:rPr>
          <w:rFonts w:ascii="ARIAL" w:hAnsi="ARIAL"/>
          <w:sz w:val="20"/>
          <w:u w:val="single"/>
        </w:rPr>
        <w:t xml:space="preserve">Conflict Minerals Program &amp; Policy </w:t>
      </w:r>
    </w:p>
    <w:p>
      <w:pPr>
        <w:pStyle w:val="TextBody"/>
        <w:bidi w:val="0"/>
        <w:spacing w:before="120" w:after="0"/>
        <w:jc w:val="left"/>
        <w:rPr>
          <w:rFonts w:ascii="ARIAL" w:hAnsi="ARIAL"/>
          <w:sz w:val="20"/>
        </w:rPr>
      </w:pPr>
      <w:r>
        <w:rPr>
          <w:rFonts w:ascii="ARIAL" w:hAnsi="ARIAL"/>
          <w:sz w:val="20"/>
        </w:rPr>
        <w:t>The Company has actively engaged with its customers and suppliers for several years with respect to the use of conflict minerals. SLB adopted a conflict minerals policy (the Conflict Minerals Policy) articulating the conflict minerals supply chain due diligence process and the Companys commitments to reporting obligations regarding conflict minerals. The Conflict Minerals Policy is available online and can be found here: https://www.slb.com/about/who-we-are/conflict-minerals.</w:t>
      </w:r>
    </w:p>
    <w:p>
      <w:pPr>
        <w:pStyle w:val="TextBody"/>
        <w:bidi w:val="0"/>
        <w:spacing w:before="120" w:after="0"/>
        <w:jc w:val="center"/>
        <w:rPr>
          <w:rFonts w:ascii="ARIAL" w:hAnsi="ARIAL"/>
          <w:sz w:val="20"/>
          <w:u w:val="single"/>
        </w:rPr>
      </w:pPr>
      <w:r>
        <w:rPr>
          <w:rFonts w:ascii="ARIAL" w:hAnsi="ARIAL"/>
          <w:sz w:val="20"/>
          <w:u w:val="single"/>
        </w:rPr>
        <w:t xml:space="preserve">Description of Products </w:t>
      </w:r>
    </w:p>
    <w:p>
      <w:pPr>
        <w:pStyle w:val="TextBody"/>
        <w:bidi w:val="0"/>
        <w:spacing w:before="120" w:after="0"/>
        <w:jc w:val="left"/>
        <w:rPr>
          <w:rFonts w:ascii="ARIAL" w:hAnsi="ARIAL"/>
          <w:sz w:val="20"/>
        </w:rPr>
      </w:pPr>
      <w:r>
        <w:rPr>
          <w:rFonts w:ascii="ARIAL" w:hAnsi="ARIAL"/>
          <w:sz w:val="20"/>
        </w:rPr>
        <w:t xml:space="preserve">Only some of SLBs products fall in scope of the Rule, as they contain (or may contain) one or more of the 3TGs. The following list is an example of products that contain, or may contain, 3TGs: </w:t>
      </w:r>
    </w:p>
    <w:p>
      <w:pPr>
        <w:pStyle w:val="TextBody"/>
        <w:bidi w:val="0"/>
        <w:spacing w:before="120" w:after="0"/>
        <w:jc w:val="left"/>
        <w:rPr>
          <w:rFonts w:ascii="ARIAL" w:hAnsi="ARIAL"/>
          <w:sz w:val="20"/>
        </w:rPr>
      </w:pPr>
      <w:r>
        <w:rPr>
          <w:rFonts w:ascii="ARIAL" w:hAnsi="ARIAL"/>
          <w:sz w:val="20"/>
        </w:rPr>
        <w:t xml:space="preserve">Permanent multiphase meters; subsea safety valves; oil, gas and core analysis laboratory equipment; perforating hardware and accessories; downhole drilling tools; solids and pressure control equipment for drilling fluids systems; equipment for chemical packages;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heaters; dehydration and desalting units; gas conditioning units; membrane separation systems; water processing systems; and electronic controls. </w:t>
      </w:r>
    </w:p>
    <w:p>
      <w:pPr>
        <w:pStyle w:val="TextBody"/>
        <w:bidi w:val="0"/>
        <w:spacing w:before="120" w:after="0"/>
        <w:jc w:val="center"/>
        <w:rPr>
          <w:rFonts w:ascii="ARIAL" w:hAnsi="ARIAL"/>
          <w:sz w:val="20"/>
          <w:u w:val="single"/>
        </w:rPr>
      </w:pPr>
      <w:r>
        <w:rPr>
          <w:rFonts w:ascii="ARIAL" w:hAnsi="ARIAL"/>
          <w:sz w:val="20"/>
          <w:u w:val="single"/>
        </w:rPr>
        <w:t xml:space="preserve">Reasonable Country of Origin Inquiry </w:t>
      </w:r>
    </w:p>
    <w:p>
      <w:pPr>
        <w:pStyle w:val="TextBody"/>
        <w:bidi w:val="0"/>
        <w:spacing w:before="120" w:after="0"/>
        <w:jc w:val="left"/>
        <w:rPr>
          <w:rFonts w:ascii="ARIAL" w:hAnsi="ARIAL"/>
          <w:sz w:val="20"/>
        </w:rPr>
      </w:pPr>
      <w:r>
        <w:rPr>
          <w:rFonts w:ascii="ARIAL" w:hAnsi="ARIAL"/>
          <w:sz w:val="20"/>
        </w:rPr>
        <w:t xml:space="preserve">To determine whether necessary 3TGs in products originated in Conflict-Affected and High-Risk Areas, SLB retained a third-party service provider to assist us in reviewing the supply chain and identifying risks. The Company provided a list composed of suppliers and parts associated with the in-scope products to its third-party service provider for upload to its third-party service providers platform. </w:t>
      </w:r>
    </w:p>
    <w:p>
      <w:pPr>
        <w:pStyle w:val="TextBody"/>
        <w:bidi w:val="0"/>
        <w:spacing w:before="120" w:after="0"/>
        <w:jc w:val="left"/>
        <w:rPr>
          <w:rFonts w:ascii="ARIAL" w:hAnsi="ARIAL"/>
          <w:sz w:val="20"/>
        </w:rPr>
      </w:pPr>
      <w:r>
        <w:rPr>
          <w:rFonts w:ascii="ARIAL" w:hAnsi="ARIAL"/>
          <w:sz w:val="20"/>
        </w:rPr>
        <w:t xml:space="preserve">To trace materials, and demonstrate transparency procured by the supply chain, SLB utilized the Conflict Minerals Reporting Template (CMRT) Version 6.31 or higher to conduct a survey of all in-scope suppliers. The CMRT was developed to facilitate disclosure and communication of information regarding smelters and refiners that provide material to a manufacturers supply chain. It includes questions about a direct suppliers conflict minerals policy, its due diligence process, and information about its supply chain such as the names and locations of smelters/refiners as well as the origin of 3TGs used by those facilities.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During the supplier survey, the Company contacted suppliers via its third-party service providers platform, a software-as-a-service (SaaS) platform provided by the third-party service provider that enables its users to complete and track supplier communications, and allows suppliers to upload completed CMRTs directly to the platform for validation, assessment and management. The third-party service providers platform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 </w:t>
      </w:r>
    </w:p>
    <w:p>
      <w:pPr>
        <w:pStyle w:val="TextBody"/>
        <w:bidi w:val="0"/>
        <w:spacing w:before="120" w:after="0"/>
        <w:jc w:val="left"/>
        <w:rPr>
          <w:rFonts w:ascii="ARIAL" w:hAnsi="ARIAL"/>
          <w:sz w:val="20"/>
        </w:rPr>
      </w:pPr>
      <w:r>
        <w:rPr>
          <w:rFonts w:ascii="ARIAL" w:hAnsi="ARIAL"/>
          <w:sz w:val="20"/>
        </w:rPr>
        <w:t xml:space="preserve">Via the third-party service providers platform and team, the Company then requested that all identified suppliers complete a CMRT. Training and education to guide suppliers on best practices and the use of this template was included. The third-party service provider monitored and tracked all communications in the third-party service providers platform for future reporting and transparency. SLB directly contacted suppliers that were unresponsive to the third-party service providers communications during the diligence process and requested these suppliers complete the CMRT and submit it to the third-party service provider. </w:t>
      </w:r>
    </w:p>
    <w:p>
      <w:pPr>
        <w:pStyle w:val="TextBody"/>
        <w:bidi w:val="0"/>
        <w:spacing w:before="120" w:after="0"/>
        <w:jc w:val="left"/>
        <w:rPr>
          <w:rFonts w:ascii="ARIAL" w:hAnsi="ARIAL"/>
          <w:sz w:val="20"/>
        </w:rPr>
      </w:pPr>
      <w:r>
        <w:rPr>
          <w:rFonts w:ascii="ARIAL" w:hAnsi="ARIAL"/>
          <w:sz w:val="20"/>
        </w:rPr>
        <w:t xml:space="preserve">The Companys program continues to include automated data validation on all submitted CMRTs. Data validation aims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 </w:t>
      </w:r>
    </w:p>
    <w:p>
      <w:pPr>
        <w:pStyle w:val="TextBody"/>
        <w:bidi w:val="0"/>
        <w:spacing w:before="120" w:after="0"/>
        <w:jc w:val="left"/>
        <w:rPr>
          <w:rFonts w:ascii="ARIAL" w:hAnsi="ARIAL"/>
          <w:sz w:val="20"/>
        </w:rPr>
      </w:pPr>
      <w:r>
        <w:rPr>
          <w:rFonts w:ascii="ARIAL" w:hAnsi="ARIAL"/>
          <w:sz w:val="20"/>
        </w:rPr>
        <w:t xml:space="preserve">All submitted forms are accepted so that data is retained, but they are classified as valid or invalid based on a set criteria of validation errors. Suppliers are contacted by the third-party service provider regarding invalid forms and are encouraged to correct validated errors to resubmit a valid form. Suppliers are also provided with guidance on how to correct these validation errors in the form of feedback to their CMRT submission, training courses, and direct engagement help through the third-party service providers multilingual supplier experience team. </w:t>
      </w:r>
    </w:p>
    <w:p>
      <w:pPr>
        <w:pStyle w:val="TextBody"/>
        <w:bidi w:val="0"/>
        <w:spacing w:before="120" w:after="0"/>
        <w:jc w:val="left"/>
        <w:rPr>
          <w:rFonts w:ascii="ARIAL" w:hAnsi="ARIAL"/>
          <w:sz w:val="20"/>
        </w:rPr>
      </w:pPr>
      <w:r>
        <w:rPr>
          <w:rFonts w:ascii="ARIAL" w:hAnsi="ARIAL"/>
          <w:sz w:val="20"/>
        </w:rPr>
        <w:t xml:space="preserve">For reporting year 2023, there were 4,208 suppliers in scope of the conflict minerals program and 2,741 provided a completed CMRT. SLBs total response rate for this reporting year was 65%. </w:t>
      </w:r>
    </w:p>
    <w:p>
      <w:pPr>
        <w:pStyle w:val="TextBody"/>
        <w:bidi w:val="0"/>
        <w:spacing w:before="120" w:after="0"/>
        <w:jc w:val="center"/>
        <w:rPr>
          <w:rFonts w:ascii="ARIAL" w:hAnsi="ARIAL"/>
          <w:b/>
          <w:sz w:val="20"/>
        </w:rPr>
      </w:pPr>
      <w:r>
        <w:rPr>
          <w:rFonts w:ascii="ARIAL" w:hAnsi="ARIAL"/>
          <w:b/>
          <w:sz w:val="20"/>
        </w:rPr>
        <w:t xml:space="preserve">Due Diligence </w:t>
      </w:r>
    </w:p>
    <w:p>
      <w:pPr>
        <w:pStyle w:val="TextBody"/>
        <w:bidi w:val="0"/>
        <w:spacing w:before="120" w:after="0"/>
        <w:jc w:val="left"/>
        <w:rPr>
          <w:rFonts w:ascii="ARIAL" w:hAnsi="ARIAL"/>
          <w:b/>
          <w:sz w:val="20"/>
        </w:rPr>
      </w:pPr>
      <w:r>
        <w:rPr>
          <w:rFonts w:ascii="ARIAL" w:hAnsi="ARIAL"/>
          <w:b/>
          <w:sz w:val="20"/>
        </w:rPr>
        <w:t xml:space="preserve">Design of Due Diligence </w:t>
      </w:r>
    </w:p>
    <w:p>
      <w:pPr>
        <w:pStyle w:val="TextBody"/>
        <w:bidi w:val="0"/>
        <w:spacing w:before="120" w:after="0"/>
        <w:jc w:val="left"/>
        <w:rPr>
          <w:rFonts w:ascii="ARIAL" w:hAnsi="ARIAL"/>
          <w:sz w:val="20"/>
        </w:rPr>
      </w:pPr>
      <w:r>
        <w:rPr>
          <w:rFonts w:ascii="ARIAL" w:hAnsi="ARIAL"/>
          <w:sz w:val="20"/>
        </w:rPr>
        <w:t xml:space="preserve">SLB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 </w:t>
      </w:r>
    </w:p>
    <w:p>
      <w:pPr>
        <w:pStyle w:val="TextBody"/>
        <w:bidi w:val="0"/>
        <w:spacing w:before="120" w:after="0"/>
        <w:jc w:val="left"/>
        <w:rPr>
          <w:rFonts w:ascii="ARIAL" w:hAnsi="ARIAL"/>
          <w:sz w:val="20"/>
        </w:rPr>
      </w:pPr>
      <w:r>
        <w:rPr>
          <w:rFonts w:ascii="ARIAL" w:hAnsi="ARIAL"/>
          <w:sz w:val="20"/>
        </w:rPr>
        <w:t xml:space="preserve">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 </w:t>
      </w:r>
    </w:p>
    <w:p>
      <w:pPr>
        <w:pStyle w:val="TextBody"/>
        <w:bidi w:val="0"/>
        <w:spacing w:before="120" w:after="0"/>
        <w:jc w:val="left"/>
        <w:rPr>
          <w:rFonts w:ascii="ARIAL" w:hAnsi="ARIAL"/>
          <w:b/>
          <w:sz w:val="20"/>
        </w:rPr>
      </w:pPr>
      <w:r>
        <w:rPr>
          <w:rFonts w:ascii="ARIAL" w:hAnsi="ARIAL"/>
          <w:b/>
          <w:sz w:val="20"/>
        </w:rPr>
        <w:t xml:space="preserve">Due Diligence Performed </w:t>
      </w:r>
    </w:p>
    <w:p>
      <w:pPr>
        <w:pStyle w:val="TextBody"/>
        <w:bidi w:val="0"/>
        <w:spacing w:before="120" w:after="0"/>
        <w:jc w:val="center"/>
        <w:rPr>
          <w:rFonts w:ascii="ARIAL" w:hAnsi="ARIAL"/>
          <w:b/>
          <w:sz w:val="20"/>
        </w:rPr>
      </w:pPr>
      <w:r>
        <w:rPr>
          <w:rFonts w:ascii="ARIAL" w:hAnsi="ARIAL"/>
          <w:b/>
          <w:sz w:val="20"/>
        </w:rPr>
        <w:t xml:space="preserve">1. Establish Strong Company Management Systems </w:t>
      </w:r>
    </w:p>
    <w:p>
      <w:pPr>
        <w:pStyle w:val="TextBody"/>
        <w:bidi w:val="0"/>
        <w:spacing w:before="200" w:after="0"/>
        <w:jc w:val="left"/>
        <w:rPr>
          <w:rFonts w:ascii="ARIAL" w:hAnsi="ARIAL"/>
          <w:sz w:val="20"/>
          <w:u w:val="single"/>
        </w:rPr>
      </w:pPr>
      <w:r>
        <w:rPr>
          <w:rFonts w:ascii="ARIAL" w:hAnsi="ARIAL"/>
          <w:sz w:val="20"/>
          <w:u w:val="single"/>
        </w:rPr>
        <w:t xml:space="preserve">Internal Compliance Team </w:t>
      </w:r>
    </w:p>
    <w:p>
      <w:pPr>
        <w:pStyle w:val="TextBody"/>
        <w:bidi w:val="0"/>
        <w:spacing w:before="120" w:after="0"/>
        <w:jc w:val="left"/>
        <w:rPr>
          <w:rFonts w:ascii="ARIAL" w:hAnsi="ARIAL"/>
          <w:sz w:val="20"/>
        </w:rPr>
      </w:pPr>
      <w:r>
        <w:rPr>
          <w:rFonts w:ascii="ARIAL" w:hAnsi="ARIAL"/>
          <w:sz w:val="20"/>
        </w:rPr>
        <w:t xml:space="preserve">SLB established a cross-functional core team consisting of representatives of the business lines, planning and supply chain, legal, compliance, sustainability, and information technology functions. The core team is responsible for implementing the conflict minerals compliance strategy and briefing their respective Division Presidents or, in certain cases, Basin Presidents, about the results of these due diligence efforts on a regular basis. </w:t>
      </w:r>
    </w:p>
    <w:p>
      <w:pPr>
        <w:pStyle w:val="TextBody"/>
        <w:bidi w:val="0"/>
        <w:spacing w:before="120" w:after="0"/>
        <w:jc w:val="left"/>
        <w:rPr>
          <w:rFonts w:ascii="ARIAL" w:hAnsi="ARIAL"/>
          <w:sz w:val="20"/>
        </w:rPr>
      </w:pPr>
      <w:r>
        <w:rPr>
          <w:rFonts w:ascii="ARIAL" w:hAnsi="ARIAL"/>
          <w:sz w:val="20"/>
        </w:rPr>
        <w:t xml:space="preserve">The Company also uses a third-party service provider to assist with evaluating supply chain information regarding 3TGs, identifying potential risks, and in the development and implementation of additional due diligence steps that the Company will undertake with suppliers and/or respective stakeholders in regard to conflict minerals. </w:t>
      </w:r>
    </w:p>
    <w:p>
      <w:pPr>
        <w:pStyle w:val="TextBody"/>
        <w:bidi w:val="0"/>
        <w:spacing w:before="120" w:after="0"/>
        <w:jc w:val="left"/>
        <w:rPr>
          <w:rFonts w:ascii="ARIAL" w:hAnsi="ARIAL"/>
          <w:sz w:val="20"/>
        </w:rPr>
      </w:pPr>
      <w:r>
        <w:rPr>
          <w:rFonts w:ascii="ARIAL" w:hAnsi="ARIAL"/>
          <w:sz w:val="20"/>
        </w:rPr>
        <w:t xml:space="preserve">The Company leverages the third-party service providers platform to work with dedicated program specialists who support SLBs conflict minerals program. The Company communicates regularly with the third-party service providers team in order to receive updates on program status. Each member of the third-party service providers customer success team is trained in conflict minerals compliance and understands the intricacies of reporting templates such as CMRT and conflict minerals reports, as well as Section 1502 of the Dodd-Frank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u w:val="single"/>
        </w:rPr>
      </w:pPr>
      <w:r>
        <w:rPr>
          <w:rFonts w:ascii="ARIAL" w:hAnsi="ARIAL"/>
          <w:sz w:val="20"/>
          <w:u w:val="single"/>
        </w:rPr>
        <w:t xml:space="preserve">Control Systems </w:t>
      </w:r>
    </w:p>
    <w:p>
      <w:pPr>
        <w:pStyle w:val="TextBody"/>
        <w:bidi w:val="0"/>
        <w:spacing w:before="120" w:after="0"/>
        <w:jc w:val="left"/>
        <w:rPr>
          <w:rFonts w:ascii="ARIAL" w:hAnsi="ARIAL"/>
          <w:sz w:val="20"/>
        </w:rPr>
      </w:pPr>
      <w:r>
        <w:rPr>
          <w:rFonts w:ascii="ARIAL" w:hAnsi="ARIAL"/>
          <w:sz w:val="20"/>
        </w:rPr>
        <w:t xml:space="preserve">The Company expects all suppliers to have policies and procedures in place to ensure that 3TGs used in the production of the products sold to SLB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 </w:t>
      </w:r>
    </w:p>
    <w:p>
      <w:pPr>
        <w:pStyle w:val="TextBody"/>
        <w:bidi w:val="0"/>
        <w:spacing w:before="120" w:after="0"/>
        <w:jc w:val="left"/>
        <w:rPr>
          <w:rFonts w:ascii="ARIAL" w:hAnsi="ARIAL"/>
          <w:sz w:val="20"/>
        </w:rPr>
      </w:pPr>
      <w:r>
        <w:rPr>
          <w:rFonts w:ascii="ARIAL" w:hAnsi="ARIAL"/>
          <w:sz w:val="20"/>
        </w:rPr>
        <w:t xml:space="preserve">Additionally, we have (a) adopted various processes related to our conflict minerals compliance efforts and determinations; (b) adopted standardized data templates for all Divisions to promote consistency across various information technology systems; (c) adopted a procedure in our engineering design and manufacturing systems that requires the recording of necessary conflict mineral contents of newly-developed parts included in our products; (d) adopted an electronic repository to retain relevant documentation concerning our conflict minerals compliance efforts and determinations; and (e) adopted written summaries, reviewed by the President of each relevant Division, summarizing how each such Division complied with the Rule and which of its products were subject to the Rule. In addition, certain employees from our planning and supply chain, legal, engineering, manufacturing, sustaining, sales, finance, and compliance functions are targeted for annual training. </w:t>
      </w:r>
    </w:p>
    <w:p>
      <w:pPr>
        <w:pStyle w:val="TextBody"/>
        <w:bidi w:val="0"/>
        <w:spacing w:before="120" w:after="0"/>
        <w:jc w:val="left"/>
        <w:rPr>
          <w:rFonts w:ascii="ARIAL" w:hAnsi="ARIAL"/>
          <w:sz w:val="20"/>
          <w:u w:val="single"/>
        </w:rPr>
      </w:pPr>
      <w:r>
        <w:rPr>
          <w:rFonts w:ascii="ARIAL" w:hAnsi="ARIAL"/>
          <w:sz w:val="20"/>
          <w:u w:val="single"/>
        </w:rPr>
        <w:t xml:space="preserve">Supplier Engagement </w:t>
      </w:r>
    </w:p>
    <w:p>
      <w:pPr>
        <w:pStyle w:val="TextBody"/>
        <w:bidi w:val="0"/>
        <w:spacing w:before="120" w:after="0"/>
        <w:jc w:val="left"/>
        <w:rPr>
          <w:rFonts w:ascii="ARIAL" w:hAnsi="ARIAL"/>
          <w:sz w:val="20"/>
        </w:rPr>
      </w:pPr>
      <w:r>
        <w:rPr>
          <w:rFonts w:ascii="ARIAL" w:hAnsi="ARIAL"/>
          <w:sz w:val="20"/>
        </w:rPr>
        <w:t xml:space="preserve">SLB has a strong relationship with Tier 1 direct suppliers. As an important part of the supply chain, SLB has leveraged processes and educational opportunities in order to ensure all suppliers have access to a free platform to upload their CMRTs, help desk support, and other multilingual resources. SLBs suppliers are able to leverage the third-party service providers team of supplier support specialists to ensure they receive appropriate support and understand how to properly complete a CMRT. Suppliers are provided guidance in their native language by the third-party service provider, if needed. </w:t>
      </w:r>
    </w:p>
    <w:p>
      <w:pPr>
        <w:pStyle w:val="TextBody"/>
        <w:bidi w:val="0"/>
        <w:spacing w:before="120" w:after="0"/>
        <w:jc w:val="left"/>
        <w:rPr>
          <w:rFonts w:ascii="ARIAL" w:hAnsi="ARIAL"/>
          <w:sz w:val="20"/>
        </w:rPr>
      </w:pPr>
      <w:r>
        <w:rPr>
          <w:rFonts w:ascii="ARIAL" w:hAnsi="ARIAL"/>
          <w:sz w:val="20"/>
        </w:rPr>
        <w:t xml:space="preserve">As a downstream company, we are several tiers removed from conflict mineral smelters/refiners. We, therefore, must rely on information from industry sources to compare and assess due diligence responses, identify smelters/refiners in our supply chains and improve our ongoing due diligence efforts. We implemented a supply chain transparency system through the use of due diligence tools developed by the Responsible Minerals Initiative (RMI), including the RMI Conflict Minerals Reporting Template (RMI Template), which is designed to identify the smelters/refiners that process the conflict minerals in a companys supply chain. We also support our suppliers use of validation, certification and audit programs on smelters/refiners upstream in our supply chain,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9595"/>
      </w:tblGrid>
      <w:tr>
        <w:trPr/>
        <w:tc>
          <w:tcPr>
            <w:tcW w:w="509"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20"/>
              </w:rPr>
            </w:pPr>
            <w:r>
              <w:rPr>
                <w:rFonts w:ascii="ARIAL" w:hAnsi="ARIAL"/>
                <w:sz w:val="20"/>
              </w:rPr>
              <w:t xml:space="preserve">the Responsible Minerals Assurance Process (RMAP) developed by RMI,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9594"/>
      </w:tblGrid>
      <w:tr>
        <w:trPr/>
        <w:tc>
          <w:tcPr>
            <w:tcW w:w="509"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20"/>
              </w:rPr>
            </w:pPr>
            <w:r>
              <w:rPr>
                <w:rFonts w:ascii="ARIAL" w:hAnsi="ARIAL"/>
                <w:sz w:val="20"/>
              </w:rPr>
              <w:t xml:space="preserve">the ITRI Tin Supply Chain Initiative,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9595"/>
      </w:tblGrid>
      <w:tr>
        <w:trPr/>
        <w:tc>
          <w:tcPr>
            <w:tcW w:w="509"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20"/>
              </w:rPr>
            </w:pPr>
            <w:r>
              <w:rPr>
                <w:rFonts w:ascii="ARIAL" w:hAnsi="ARIAL"/>
                <w:sz w:val="20"/>
              </w:rPr>
              <w:t xml:space="preserve">the Tungsten Industry  Conflict Mineral Council Framework,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9595"/>
      </w:tblGrid>
      <w:tr>
        <w:trPr/>
        <w:tc>
          <w:tcPr>
            <w:tcW w:w="5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20"/>
              </w:rPr>
            </w:pPr>
            <w:r>
              <w:rPr>
                <w:rFonts w:ascii="ARIAL" w:hAnsi="ARIAL"/>
                <w:sz w:val="20"/>
              </w:rPr>
              <w:t xml:space="preserve">the London Bullion Market Association (LBMA),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9595"/>
      </w:tblGrid>
      <w:tr>
        <w:trPr/>
        <w:tc>
          <w:tcPr>
            <w:tcW w:w="509"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20"/>
              </w:rPr>
            </w:pPr>
            <w:r>
              <w:rPr>
                <w:rFonts w:ascii="ARIAL" w:hAnsi="ARIAL"/>
                <w:sz w:val="20"/>
              </w:rPr>
              <w:t xml:space="preserve">the Responsible Jewellery Council (RJC). </w:t>
            </w:r>
          </w:p>
        </w:tc>
      </w:tr>
    </w:tbl>
    <w:p>
      <w:pPr>
        <w:pStyle w:val="TextBody"/>
        <w:bidi w:val="0"/>
        <w:spacing w:before="120" w:after="0"/>
        <w:jc w:val="left"/>
        <w:rPr>
          <w:rFonts w:ascii="ARIAL" w:hAnsi="ARIAL"/>
          <w:sz w:val="20"/>
        </w:rPr>
      </w:pPr>
      <w:r>
        <w:rPr>
          <w:rFonts w:ascii="ARIAL" w:hAnsi="ARIAL"/>
          <w:sz w:val="20"/>
        </w:rPr>
        <w:t xml:space="preserve">The Company engages with suppliers directly to request a valid (free of validated errors) CMRT for the products that they supply to the Company. Feedback from this engagement process has allowed the Company to oversee improvements in supplier responses and supplier compliance for this initiative. </w:t>
      </w:r>
    </w:p>
    <w:p>
      <w:pPr>
        <w:pStyle w:val="TextBody"/>
        <w:bidi w:val="0"/>
        <w:spacing w:before="120" w:after="0"/>
        <w:jc w:val="left"/>
        <w:rPr>
          <w:rFonts w:ascii="ARIAL" w:hAnsi="ARIAL"/>
          <w:sz w:val="20"/>
        </w:rPr>
      </w:pPr>
      <w:r>
        <w:rPr>
          <w:rFonts w:ascii="ARIAL" w:hAnsi="ARIAL"/>
          <w:sz w:val="20"/>
        </w:rPr>
        <w:t xml:space="preserve">Additionally, SLBs Conflict Minerals Policy is included in supplier contracts, requiring new suppliers to read and accept the policy as a requirement of doing business with SLB. The Company continues to place a strong emphasis on supplier education and training. To accomplish this, the third-party service providers online resources are leveraged, and all in-scope suppliers have been provided with access to their library of conflict minerals training and support resources. Also, the third-party service providers automated feedback process that notifies suppliers of risks associated with their CMRT submission serves to educate suppliers of certain conflict minerals risks. </w:t>
      </w:r>
    </w:p>
    <w:p>
      <w:pPr>
        <w:pStyle w:val="TextBody"/>
        <w:bidi w:val="0"/>
        <w:spacing w:before="120" w:after="0"/>
        <w:jc w:val="left"/>
        <w:rPr>
          <w:rFonts w:ascii="ARIAL" w:hAnsi="ARIAL"/>
          <w:sz w:val="20"/>
        </w:rPr>
      </w:pPr>
      <w:r>
        <w:rPr>
          <w:rFonts w:ascii="ARIAL" w:hAnsi="ARIAL"/>
          <w:sz w:val="20"/>
        </w:rPr>
        <w:t xml:space="preserve">The Company believes that the combination of the SLB Code of Conduct, Conflict Minerals Policy, and direct engagement with suppliers for conflict minerals training and support constitute a strong supplier engagement program. </w:t>
      </w:r>
    </w:p>
    <w:p>
      <w:pPr>
        <w:pStyle w:val="TextBody"/>
        <w:bidi w:val="0"/>
        <w:spacing w:before="120" w:after="0"/>
        <w:jc w:val="left"/>
        <w:rPr>
          <w:rFonts w:ascii="ARIAL" w:hAnsi="ARIAL"/>
          <w:sz w:val="20"/>
          <w:u w:val="single"/>
        </w:rPr>
      </w:pPr>
      <w:r>
        <w:rPr>
          <w:rFonts w:ascii="ARIAL" w:hAnsi="ARIAL"/>
          <w:sz w:val="20"/>
          <w:u w:val="single"/>
        </w:rPr>
        <w:t xml:space="preserve">Grievance Mechanisms </w:t>
      </w:r>
    </w:p>
    <w:p>
      <w:pPr>
        <w:pStyle w:val="TextBody"/>
        <w:bidi w:val="0"/>
        <w:spacing w:before="120" w:after="0"/>
        <w:jc w:val="left"/>
        <w:rPr>
          <w:rFonts w:ascii="ARIAL" w:hAnsi="ARIAL"/>
          <w:sz w:val="20"/>
        </w:rPr>
      </w:pPr>
      <w:r>
        <w:rPr>
          <w:rFonts w:ascii="ARIAL" w:hAnsi="ARIAL"/>
          <w:sz w:val="20"/>
        </w:rPr>
        <w:t xml:space="preserve">The Company has established multiple longstanding grievance mechanisms as described in our Code of Conduct whereby employees and others can anonymously report violations of SLBs policies, including conflict minerals. We communicate these mechanisms to our employees at various times. </w:t>
      </w:r>
    </w:p>
    <w:p>
      <w:pPr>
        <w:pStyle w:val="TextBody"/>
        <w:bidi w:val="0"/>
        <w:spacing w:before="120" w:after="0"/>
        <w:jc w:val="left"/>
        <w:rPr>
          <w:rFonts w:ascii="ARIAL" w:hAnsi="ARIAL"/>
          <w:sz w:val="20"/>
        </w:rPr>
      </w:pPr>
      <w:r>
        <w:rPr>
          <w:rFonts w:ascii="ARIAL" w:hAnsi="ARIAL"/>
          <w:sz w:val="20"/>
        </w:rPr>
        <w:t xml:space="preserve">Violations or grievances can be reported via the SLB EthicsLine. This can be done via phone or by filing the report online at: https://www.slb.com/about/who-we-are/our-code-of-conduct.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2. Identifying &amp; Assessing Risk in the Supply Chain </w:t>
      </w:r>
    </w:p>
    <w:p>
      <w:pPr>
        <w:pStyle w:val="TextBody"/>
        <w:bidi w:val="0"/>
        <w:spacing w:before="200" w:after="0"/>
        <w:jc w:val="left"/>
        <w:rPr>
          <w:rFonts w:ascii="ARIAL" w:hAnsi="ARIAL"/>
          <w:sz w:val="20"/>
          <w:u w:val="single"/>
        </w:rPr>
      </w:pPr>
      <w:r>
        <w:rPr>
          <w:rFonts w:ascii="ARIAL" w:hAnsi="ARIAL"/>
          <w:sz w:val="20"/>
          <w:u w:val="single"/>
        </w:rPr>
        <w:t xml:space="preserve">Supplier Risk Evaluation </w:t>
      </w:r>
    </w:p>
    <w:p>
      <w:pPr>
        <w:pStyle w:val="TextBody"/>
        <w:bidi w:val="0"/>
        <w:spacing w:before="200" w:after="0"/>
        <w:jc w:val="left"/>
        <w:rPr>
          <w:rFonts w:ascii="ARIAL" w:hAnsi="ARIAL"/>
          <w:sz w:val="20"/>
        </w:rPr>
      </w:pPr>
      <w:r>
        <w:rPr>
          <w:rFonts w:ascii="ARIAL" w:hAnsi="ARIAL"/>
          <w:sz w:val="20"/>
        </w:rPr>
        <w:t xml:space="preserve">In order to identify and assess the risks in our supply chain, we first identified products for sale that we manufactured or contracted to manufacture in 2023 that contained, or that may have contained, necessary conflict minerals. We have adopted a procedure in our engineering design and manufacturing system that is reasonably designed to identify each necessary conflict mineral included in our products.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2023, the engineers and métiers in charge of providing materials for such part were required to indicate any necessary conflict minerals included in the part. Where we determined that a newly developed part contained a necessary conflict mineral and that the finished product was in scope of the Rule, we included that part in our further information-gathering efforts. We then identified our Tier 1 suppliers that supplied us with the parts and products considered to be within the scope of the Rule. </w:t>
      </w:r>
    </w:p>
    <w:p>
      <w:pPr>
        <w:pStyle w:val="TextBody"/>
        <w:bidi w:val="0"/>
        <w:spacing w:before="200" w:after="0"/>
        <w:jc w:val="left"/>
        <w:rPr>
          <w:rFonts w:ascii="ARIAL" w:hAnsi="ARIAL"/>
          <w:sz w:val="20"/>
        </w:rPr>
      </w:pPr>
      <w:r>
        <w:rPr>
          <w:rFonts w:ascii="ARIAL" w:hAnsi="ARIAL"/>
          <w:sz w:val="20"/>
        </w:rPr>
        <w:t xml:space="preserve">Because we are several tiers removed from mining operations and smelters/refiners, we must rely on our suppliers to provide information regarding the source and presence of necessary conflict minerals in our products. </w:t>
      </w:r>
    </w:p>
    <w:p>
      <w:pPr>
        <w:pStyle w:val="TextBody"/>
        <w:bidi w:val="0"/>
        <w:spacing w:before="200" w:after="0"/>
        <w:jc w:val="left"/>
        <w:rPr>
          <w:rFonts w:ascii="ARIAL" w:hAnsi="ARIAL"/>
          <w:sz w:val="20"/>
        </w:rPr>
      </w:pPr>
      <w:r>
        <w:rPr>
          <w:rFonts w:ascii="ARIAL" w:hAnsi="ARIAL"/>
          <w:sz w:val="20"/>
        </w:rPr>
        <w:t xml:space="preserve">Risks associated with Tier 1 suppliers due diligence processes were assessed by their declaration responses on a CMRT, which the third-party service providers platform identifies automatically based on established criteria. These risks are addressed by the third-party service providers staff and members of the Companys core team, who engage with suppliers to gather pertinent data and ask for corrective actions if needed, performing an overall assessment of the suppliers conformity status, which is referred to as conflict minerals status. </w:t>
      </w:r>
    </w:p>
    <w:p>
      <w:pPr>
        <w:pStyle w:val="TextBody"/>
        <w:bidi w:val="0"/>
        <w:spacing w:before="200" w:after="0"/>
        <w:jc w:val="left"/>
        <w:rPr>
          <w:rFonts w:ascii="ARIAL" w:hAnsi="ARIAL"/>
          <w:sz w:val="20"/>
        </w:rPr>
      </w:pPr>
      <w:r>
        <w:rPr>
          <w:rFonts w:ascii="ARIAL" w:hAnsi="ARIAL"/>
          <w:sz w:val="20"/>
        </w:rPr>
        <w:t xml:space="preserve">Risks at the supplier level may include non-responsive suppliers or incomplete CMRTs. In cases where a company-level CMRT (such as when a company declares there are no 3TGs in any of its products) is submitted, SLB is unable to determine if all of the specified smelters/refiners were used for 3TGs in the products supplied to the Company. </w:t>
      </w:r>
    </w:p>
    <w:p>
      <w:pPr>
        <w:pStyle w:val="TextBody"/>
        <w:bidi w:val="0"/>
        <w:spacing w:before="200" w:after="0"/>
        <w:jc w:val="left"/>
        <w:rPr>
          <w:rFonts w:ascii="ARIAL" w:hAnsi="ARIAL"/>
          <w:sz w:val="20"/>
        </w:rPr>
      </w:pPr>
      <w:r>
        <w:rPr>
          <w:rFonts w:ascii="ARIAL" w:hAnsi="ARIAL"/>
          <w:sz w:val="20"/>
        </w:rPr>
        <w:t xml:space="preserve">The third-party service providers supplier risk assessment (flagging suppliers risk as high, medium, low) identifies problematic suppliers in a companys supply chain. The risk assessment is derived from the smelter validation process, which establishes risk at the smelter level via an analysis that takes into account multiple conflict minerals factors. </w:t>
      </w:r>
    </w:p>
    <w:p>
      <w:pPr>
        <w:pStyle w:val="TextBody"/>
        <w:bidi w:val="0"/>
        <w:spacing w:before="200" w:after="0"/>
        <w:jc w:val="left"/>
        <w:rPr>
          <w:rFonts w:ascii="ARIAL" w:hAnsi="ARIAL"/>
          <w:sz w:val="20"/>
          <w:u w:val="single"/>
        </w:rPr>
      </w:pPr>
      <w:r>
        <w:rPr>
          <w:rFonts w:ascii="ARIAL" w:hAnsi="ARIAL"/>
          <w:sz w:val="20"/>
          <w:u w:val="single"/>
        </w:rPr>
        <w:t xml:space="preserve">Smelter/Refiners Risk Evaluation </w:t>
      </w:r>
    </w:p>
    <w:p>
      <w:pPr>
        <w:pStyle w:val="TextBody"/>
        <w:bidi w:val="0"/>
        <w:spacing w:before="200" w:after="0"/>
        <w:jc w:val="left"/>
        <w:rPr>
          <w:rFonts w:ascii="ARIAL" w:hAnsi="ARIAL"/>
          <w:sz w:val="20"/>
        </w:rPr>
      </w:pPr>
      <w:r>
        <w:rPr>
          <w:rFonts w:ascii="ARIAL" w:hAnsi="ARIAL"/>
          <w:sz w:val="20"/>
        </w:rPr>
        <w:t xml:space="preserve">Other supply chain risks were identified by assessing the due diligence practices and audit status of smelters/refiners identified in the supply chain by upstream suppliers that listed mineral processing facilities on their CMRT declarations. The third-party service providers smelter validation program compared listed facilities into the list of smelters/refiners consolidated by the RMI to ensure that the facilities met the recognized definition of a 3TGs processing facility that was operational during the 2023 calendar year. </w:t>
      </w:r>
    </w:p>
    <w:p>
      <w:pPr>
        <w:pStyle w:val="TextBody"/>
        <w:bidi w:val="0"/>
        <w:spacing w:before="200" w:after="0"/>
        <w:jc w:val="left"/>
        <w:rPr>
          <w:rFonts w:ascii="ARIAL" w:hAnsi="ARIAL"/>
          <w:sz w:val="20"/>
        </w:rPr>
      </w:pPr>
      <w:r>
        <w:rPr>
          <w:rFonts w:ascii="ARIAL" w:hAnsi="ARIAL"/>
          <w:sz w:val="20"/>
        </w:rPr>
        <w:t xml:space="preserve">The third-party service provider determined if the smelter had been audited against a standard in conformance with the OECD Guidance, such as the RMAP. SLB does not have a direct relationship with smelters/refiners and does not perform direct audits of these entities within their pre-supply chain. 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 </w:t>
      </w:r>
    </w:p>
    <w:p>
      <w:pPr>
        <w:pStyle w:val="TextBody"/>
        <w:bidi w:val="0"/>
        <w:spacing w:before="200" w:after="0"/>
        <w:jc w:val="left"/>
        <w:rPr>
          <w:rFonts w:ascii="ARIAL" w:hAnsi="ARIAL"/>
          <w:sz w:val="20"/>
        </w:rPr>
      </w:pPr>
      <w:r>
        <w:rPr>
          <w:rFonts w:ascii="ARIAL" w:hAnsi="ARIAL"/>
          <w:sz w:val="20"/>
        </w:rPr>
        <w:t xml:space="preserve">Each facility that meets the definition of a smelter or refiner of a 3TG mineral is assessed according to red-flag indicators defined in the OECD Guidance. The third-party service provider uses numerous factors to determine the level of risk that each smelter poses to the supply chain by identifying red flags.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Geographic proximity to Conflict-Affected and High-Risk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Known mineral source country of origin.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ARIAL" w:hAnsi="ARIAL"/>
                <w:sz w:val="20"/>
              </w:rPr>
            </w:pPr>
            <w:r>
              <w:rPr>
                <w:rFonts w:ascii="ARIAL" w:hAnsi="ARIAL"/>
                <w:sz w:val="20"/>
              </w:rPr>
              <w:t xml:space="preserve">RMAP audit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ARIAL" w:hAnsi="ARIAL"/>
                <w:sz w:val="20"/>
              </w:rPr>
            </w:pPr>
            <w:r>
              <w:rPr>
                <w:rFonts w:ascii="ARIAL" w:hAnsi="ARIAL"/>
                <w:sz w:val="20"/>
              </w:rPr>
              <w:t xml:space="preserve">Credible evidence of unethical or conflict sourcing.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Peer assessments conducted by credible third-party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Sanctions risks.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Risk mitigation activities are initiated whenever a suppliers CMRT reports facilities of concern. Through the third-party service provider, suppliers with submissions that included any smelters of concern were immediately provided with feedback instructing suppliers to take their own independent risk mitigation actions. Examples include the submission of a product-specific CMRT to better identify the connection to products that they supply to SLB. Additional escalation may have been necessary to address any continued sourcing from these smelters of concern. Suppliers are given clear performance objectives within reasonable timeframes with the ultimate goal of progressive elimination of these smelters of concern from the supply chain. </w:t>
      </w:r>
    </w:p>
    <w:p>
      <w:pPr>
        <w:pStyle w:val="TextBody"/>
        <w:bidi w:val="0"/>
        <w:spacing w:before="120" w:after="0"/>
        <w:jc w:val="left"/>
        <w:rPr>
          <w:rFonts w:ascii="ARIAL" w:hAnsi="ARIAL"/>
          <w:sz w:val="20"/>
        </w:rPr>
      </w:pPr>
      <w:r>
        <w:rPr>
          <w:rFonts w:ascii="ARIAL" w:hAnsi="ARIAL"/>
          <w:sz w:val="20"/>
        </w:rPr>
        <w:t xml:space="preserve">In addition, suppliers are guided to the educational materials on mitigating the risks identified through the data collection process. </w:t>
      </w:r>
    </w:p>
    <w:p>
      <w:pPr>
        <w:pStyle w:val="TextBody"/>
        <w:bidi w:val="0"/>
        <w:spacing w:before="120" w:after="0"/>
        <w:jc w:val="left"/>
        <w:rPr>
          <w:rFonts w:ascii="ARIAL" w:hAnsi="ARIAL"/>
          <w:sz w:val="20"/>
        </w:rPr>
      </w:pPr>
      <w:r>
        <w:rPr>
          <w:rFonts w:ascii="ARIAL" w:hAnsi="ARIAL"/>
          <w:sz w:val="20"/>
        </w:rPr>
        <w:t xml:space="preserve">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 </w:t>
      </w:r>
    </w:p>
    <w:p>
      <w:pPr>
        <w:pStyle w:val="TextBody"/>
        <w:bidi w:val="0"/>
        <w:spacing w:before="120" w:after="0"/>
        <w:jc w:val="center"/>
        <w:rPr>
          <w:rFonts w:ascii="ARIAL" w:hAnsi="ARIAL"/>
          <w:b/>
          <w:sz w:val="20"/>
        </w:rPr>
      </w:pPr>
      <w:r>
        <w:rPr>
          <w:rFonts w:ascii="ARIAL" w:hAnsi="ARIAL"/>
          <w:b/>
          <w:sz w:val="20"/>
        </w:rPr>
        <w:t xml:space="preserve">3. Design &amp; Implement A Strategy to Respond to Risks </w:t>
      </w:r>
    </w:p>
    <w:p>
      <w:pPr>
        <w:pStyle w:val="TextBody"/>
        <w:bidi w:val="0"/>
        <w:spacing w:before="200" w:after="0"/>
        <w:jc w:val="left"/>
        <w:rPr>
          <w:rFonts w:ascii="ARIAL" w:hAnsi="ARIAL"/>
          <w:sz w:val="20"/>
        </w:rPr>
      </w:pPr>
      <w:r>
        <w:rPr>
          <w:rFonts w:ascii="ARIAL" w:hAnsi="ARIAL"/>
          <w:sz w:val="20"/>
        </w:rPr>
        <w:t xml:space="preserve">Together with the third-party service provider, SLB developed processes to assess and respond to the risks identified in the supply chain. SLB has created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 </w:t>
      </w:r>
    </w:p>
    <w:p>
      <w:pPr>
        <w:pStyle w:val="TextBody"/>
        <w:bidi w:val="0"/>
        <w:spacing w:before="200" w:after="0"/>
        <w:jc w:val="left"/>
        <w:rPr>
          <w:rFonts w:ascii="ARIAL" w:hAnsi="ARIAL"/>
          <w:sz w:val="20"/>
        </w:rPr>
      </w:pPr>
      <w:r>
        <w:rPr>
          <w:rFonts w:ascii="ARIAL" w:hAnsi="ARIAL"/>
          <w:sz w:val="20"/>
        </w:rPr>
        <w:t xml:space="preserve">For any smelters/refiners known to source conflict minerals from Covered Countries, as well as smelters/refiners located in any Covered Country with unknown sources of conflict minerals, SLB has provided feedback to its suppliers through the third-party service provider, instructing suppliers to take their own independent risk analysis and mitigation actions. Additionally, in 2024, we will continually engage with our Tier 1 suppliers, who may have sourced from such smelters/refiners, to use certified smelters or pursue an alternative source of conflict minerals, and participate in the RMI to support industry efforts to achieve supply chain transparency. </w:t>
      </w:r>
    </w:p>
    <w:p>
      <w:pPr>
        <w:pStyle w:val="TextBody"/>
        <w:bidi w:val="0"/>
        <w:spacing w:before="200" w:after="0"/>
        <w:jc w:val="left"/>
        <w:rPr>
          <w:rFonts w:ascii="ARIAL" w:hAnsi="ARIAL"/>
          <w:sz w:val="20"/>
        </w:rPr>
      </w:pPr>
      <w:r>
        <w:rPr>
          <w:rFonts w:ascii="ARIAL" w:hAnsi="ARIAL"/>
          <w:sz w:val="20"/>
        </w:rPr>
        <w:t xml:space="preserve">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the Company will utilize available actions to respond to non-compliant suppliers as part of its overall procurement strategy. The results of the program and risk assessment are shared with the core team and the respective Division or Basin Presidents to ensure transparency within the Company. </w:t>
      </w:r>
    </w:p>
    <w:p>
      <w:pPr>
        <w:pStyle w:val="TextBody"/>
        <w:bidi w:val="0"/>
        <w:spacing w:before="200" w:after="0"/>
        <w:jc w:val="center"/>
        <w:rPr>
          <w:rFonts w:ascii="ARIAL" w:hAnsi="ARIAL"/>
          <w:b/>
          <w:sz w:val="20"/>
        </w:rPr>
      </w:pPr>
      <w:r>
        <w:rPr>
          <w:rFonts w:ascii="ARIAL" w:hAnsi="ARIAL"/>
          <w:b/>
          <w:sz w:val="20"/>
        </w:rPr>
        <w:t xml:space="preserve">4. Carry Out Independent Third-Party Audit of Supply Chain Due Diligence at Identified Points in the Supply Chain </w:t>
      </w:r>
    </w:p>
    <w:p>
      <w:pPr>
        <w:pStyle w:val="TextBody"/>
        <w:bidi w:val="0"/>
        <w:spacing w:before="200" w:after="0"/>
        <w:jc w:val="left"/>
        <w:rPr>
          <w:rFonts w:ascii="ARIAL" w:hAnsi="ARIAL"/>
          <w:sz w:val="20"/>
        </w:rPr>
      </w:pPr>
      <w:r>
        <w:rPr>
          <w:rFonts w:ascii="ARIAL" w:hAnsi="ARIAL"/>
          <w:sz w:val="20"/>
        </w:rPr>
        <w:t xml:space="preserve">SLB does not have a direct relationship with any 3TG smelters/refiners and does not perform or direct audits of these entities within the supply chain. Instead, the Company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 </w:t>
      </w:r>
    </w:p>
    <w:p>
      <w:pPr>
        <w:pStyle w:val="TextBody"/>
        <w:bidi w:val="0"/>
        <w:spacing w:before="200" w:after="0"/>
        <w:jc w:val="left"/>
        <w:rPr>
          <w:rFonts w:ascii="ARIAL" w:hAnsi="ARIAL"/>
          <w:sz w:val="20"/>
        </w:rPr>
      </w:pPr>
      <w:r>
        <w:rPr>
          <w:rFonts w:ascii="ARIAL" w:hAnsi="ARIAL"/>
          <w:sz w:val="20"/>
        </w:rPr>
        <w:t xml:space="preserve">The third-party service provider aids us in verifying the information provided by our suppliers with respect to the smelters/refiners that they source from, and to review and confirm the validity of the RMAP, RJC, and LBMA certifications of those smelters/refiners. The third-party service provider directly engages smelters/refiners that are not currently enrolled in an industry recognized audit/assessment program to encourage their participation and for those smelters/refiners already conformant to the corresponding programs standards, the third-party service provider thanks them for their efforts on behalf of its compliance partners. </w:t>
      </w:r>
    </w:p>
    <w:p>
      <w:pPr>
        <w:pStyle w:val="TextBody"/>
        <w:bidi w:val="0"/>
        <w:spacing w:before="200" w:after="0"/>
        <w:jc w:val="center"/>
        <w:rPr>
          <w:rFonts w:ascii="ARIAL" w:hAnsi="ARIAL"/>
          <w:b/>
          <w:sz w:val="20"/>
        </w:rPr>
      </w:pPr>
      <w:r>
        <w:rPr>
          <w:rFonts w:ascii="ARIAL" w:hAnsi="ARIAL"/>
          <w:b/>
          <w:sz w:val="20"/>
        </w:rPr>
        <w:t xml:space="preserve">5. Report Annually on Supply Chain Due Diligence </w:t>
      </w:r>
    </w:p>
    <w:p>
      <w:pPr>
        <w:pStyle w:val="TextBody"/>
        <w:bidi w:val="0"/>
        <w:spacing w:before="200" w:after="0"/>
        <w:jc w:val="left"/>
        <w:rPr>
          <w:rFonts w:ascii="ARIAL" w:hAnsi="ARIAL"/>
          <w:sz w:val="20"/>
        </w:rPr>
      </w:pPr>
      <w:r>
        <w:rPr>
          <w:rFonts w:ascii="ARIAL" w:hAnsi="ARIAL"/>
          <w:sz w:val="20"/>
        </w:rPr>
        <w:t xml:space="preserve">SLB has published a Form SD and this report for the year ended December 31, 2023, which is available on the Companys website at https://www.slb.com/about/who-we-are/conflict-minerals. Information found on or accessed through this website is not considered part of this report and is not incorporated by reference herein. SLB has also publicly filed a Form SD and this report with the U.S. Securities and Exchange Commission (SEC). </w:t>
      </w:r>
    </w:p>
    <w:p>
      <w:pPr>
        <w:pStyle w:val="TextBody"/>
        <w:bidi w:val="0"/>
        <w:spacing w:before="200" w:after="0"/>
        <w:jc w:val="left"/>
        <w:rPr>
          <w:rFonts w:ascii="ARIAL" w:hAnsi="ARIAL"/>
          <w:sz w:val="20"/>
        </w:rPr>
      </w:pPr>
      <w:r>
        <w:rPr>
          <w:rFonts w:ascii="ARIAL" w:hAnsi="ARIAL"/>
          <w:sz w:val="20"/>
        </w:rPr>
        <w:t xml:space="preserve">The Company will continue to expand efforts both for transparency through the data collection process and risk evaluation, as well as the disclosure of efforts through public reports.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Due Diligence Results </w:t>
      </w:r>
    </w:p>
    <w:p>
      <w:pPr>
        <w:pStyle w:val="TextBody"/>
        <w:bidi w:val="0"/>
        <w:spacing w:before="200" w:after="0"/>
        <w:jc w:val="left"/>
        <w:rPr>
          <w:rFonts w:ascii="ARIAL" w:hAnsi="ARIAL"/>
          <w:sz w:val="20"/>
          <w:u w:val="single"/>
        </w:rPr>
      </w:pPr>
      <w:r>
        <w:rPr>
          <w:rFonts w:ascii="ARIAL" w:hAnsi="ARIAL"/>
          <w:sz w:val="20"/>
          <w:u w:val="single"/>
        </w:rPr>
        <w:t xml:space="preserve">Supply Chain Outreach Results </w:t>
      </w:r>
    </w:p>
    <w:p>
      <w:pPr>
        <w:pStyle w:val="TextBody"/>
        <w:bidi w:val="0"/>
        <w:spacing w:before="120" w:after="0"/>
        <w:jc w:val="left"/>
        <w:rPr>
          <w:rFonts w:ascii="ARIAL" w:hAnsi="ARIAL"/>
          <w:sz w:val="20"/>
        </w:rPr>
      </w:pPr>
      <w:r>
        <w:rPr>
          <w:rFonts w:ascii="ARIAL" w:hAnsi="ARIAL"/>
          <w:sz w:val="20"/>
        </w:rPr>
        <w:t xml:space="preserve">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SLB for the 2023 reporting year. </w:t>
      </w:r>
    </w:p>
    <w:p>
      <w:pPr>
        <w:pStyle w:val="TextBody"/>
        <w:bidi w:val="0"/>
        <w:spacing w:before="120" w:after="0"/>
        <w:jc w:val="left"/>
        <w:rPr>
          <w:rFonts w:ascii="ARIAL" w:hAnsi="ARIAL"/>
          <w:sz w:val="20"/>
          <w:u w:val="single"/>
        </w:rPr>
      </w:pPr>
      <w:r>
        <w:rPr>
          <w:rFonts w:ascii="ARIAL" w:hAnsi="ARIAL"/>
          <w:sz w:val="20"/>
          <w:u w:val="single"/>
        </w:rPr>
        <w:t xml:space="preserve">Supply Chain Outreach Metrics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33"/>
        <w:gridCol w:w="103"/>
        <w:gridCol w:w="5057"/>
        <w:gridCol w:w="120"/>
        <w:gridCol w:w="1592"/>
      </w:tblGrid>
      <w:tr>
        <w:trPr/>
        <w:tc>
          <w:tcPr>
            <w:tcW w:w="333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50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3333" w:type="dxa"/>
            <w:tcBorders/>
            <w:shd w:fill="CCEEFF" w:val="clear"/>
            <w:vAlign w:val="center"/>
          </w:tcPr>
          <w:p>
            <w:pPr>
              <w:pStyle w:val="TableContents"/>
              <w:bidi w:val="0"/>
              <w:spacing w:before="0" w:after="283"/>
              <w:jc w:val="left"/>
              <w:rPr>
                <w:sz w:val="4"/>
                <w:szCs w:val="4"/>
              </w:rPr>
            </w:pPr>
            <w:r>
              <w:rPr>
                <w:sz w:val="4"/>
                <w:szCs w:val="4"/>
              </w:rPr>
            </w:r>
          </w:p>
        </w:tc>
        <w:tc>
          <w:tcPr>
            <w:tcW w:w="5160" w:type="dxa"/>
            <w:gridSpan w:val="2"/>
            <w:tcBorders/>
            <w:shd w:fill="CCEEFF" w:val="cle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vAlign w:val="center"/>
          </w:tcPr>
          <w:p>
            <w:pPr>
              <w:pStyle w:val="TableContents"/>
              <w:bidi w:val="0"/>
              <w:spacing w:before="0" w:after="283"/>
              <w:jc w:val="left"/>
              <w:rPr>
                <w:sz w:val="4"/>
                <w:szCs w:val="4"/>
              </w:rPr>
            </w:pPr>
            <w:r>
              <w:rPr>
                <w:sz w:val="4"/>
                <w:szCs w:val="4"/>
              </w:rPr>
            </w:r>
          </w:p>
        </w:tc>
      </w:tr>
      <w:tr>
        <w:trPr/>
        <w:tc>
          <w:tcPr>
            <w:tcW w:w="3333" w:type="dxa"/>
            <w:tcBorders/>
            <w:shd w:fill="CCEEFF" w:val="clear"/>
            <w:vAlign w:val="bottom"/>
          </w:tcPr>
          <w:p>
            <w:pPr>
              <w:pStyle w:val="TableContents"/>
              <w:bidi w:val="0"/>
              <w:spacing w:before="0" w:after="283"/>
              <w:jc w:val="left"/>
              <w:rPr/>
            </w:pPr>
            <w:r>
              <w:rPr/>
              <w:t> </w:t>
            </w:r>
            <w:r>
              <w:rPr/>
              <w:t>Number of in-scope suppliers  </w:t>
            </w:r>
          </w:p>
        </w:tc>
        <w:tc>
          <w:tcPr>
            <w:tcW w:w="103" w:type="dxa"/>
            <w:tcBorders/>
            <w:shd w:fill="CCEEFF" w:val="clear"/>
            <w:vAlign w:val="bottom"/>
          </w:tcPr>
          <w:p>
            <w:pPr>
              <w:pStyle w:val="TableContents"/>
              <w:bidi w:val="0"/>
              <w:spacing w:before="0" w:after="283"/>
              <w:jc w:val="left"/>
              <w:rPr/>
            </w:pPr>
            <w:r>
              <w:rPr/>
              <w:t> </w:t>
            </w:r>
          </w:p>
        </w:tc>
        <w:tc>
          <w:tcPr>
            <w:tcW w:w="5057" w:type="dxa"/>
            <w:tcBorders/>
            <w:shd w:fill="CCEEFF" w:val="clear"/>
            <w:vAlign w:val="bottom"/>
          </w:tcPr>
          <w:p>
            <w:pPr>
              <w:pStyle w:val="TableContents"/>
              <w:bidi w:val="0"/>
              <w:spacing w:before="0" w:after="283"/>
              <w:jc w:val="left"/>
              <w:rPr/>
            </w:pPr>
            <w:r>
              <w:rPr/>
              <w:t>Reporting year</w:t>
            </w:r>
          </w:p>
        </w:tc>
        <w:tc>
          <w:tcPr>
            <w:tcW w:w="120"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left"/>
              <w:rPr/>
            </w:pPr>
            <w:r>
              <w:rPr/>
              <w:t>Response rate </w:t>
            </w:r>
          </w:p>
        </w:tc>
      </w:tr>
      <w:tr>
        <w:trPr>
          <w:trHeight w:val="75" w:hRule="atLeast"/>
        </w:trPr>
        <w:tc>
          <w:tcPr>
            <w:tcW w:w="3333" w:type="dxa"/>
            <w:tcBorders/>
            <w:shd w:fill="F3F3F3" w:val="clear"/>
            <w:vAlign w:val="center"/>
          </w:tcPr>
          <w:p>
            <w:pPr>
              <w:pStyle w:val="TableContents"/>
              <w:bidi w:val="0"/>
              <w:spacing w:before="0" w:after="283"/>
              <w:jc w:val="left"/>
              <w:rPr>
                <w:sz w:val="4"/>
                <w:szCs w:val="4"/>
              </w:rPr>
            </w:pPr>
            <w:r>
              <w:rPr>
                <w:sz w:val="4"/>
                <w:szCs w:val="4"/>
              </w:rPr>
            </w:r>
          </w:p>
        </w:tc>
        <w:tc>
          <w:tcPr>
            <w:tcW w:w="5160"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c>
          <w:tcPr>
            <w:tcW w:w="1712"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r>
      <w:tr>
        <w:trPr/>
        <w:tc>
          <w:tcPr>
            <w:tcW w:w="3333" w:type="dxa"/>
            <w:tcBorders/>
            <w:shd w:fill="F3F3F3" w:val="clear"/>
          </w:tcPr>
          <w:p>
            <w:pPr>
              <w:pStyle w:val="TableContents"/>
              <w:bidi w:val="0"/>
              <w:spacing w:before="0" w:after="283"/>
              <w:jc w:val="left"/>
              <w:rPr/>
            </w:pPr>
            <w:r>
              <w:rPr/>
              <w:t> </w:t>
            </w:r>
            <w:r>
              <w:rPr/>
              <w:t>4,208</w:t>
            </w:r>
          </w:p>
        </w:tc>
        <w:tc>
          <w:tcPr>
            <w:tcW w:w="103" w:type="dxa"/>
            <w:tcBorders>
              <w:left w:val="single" w:sz="2" w:space="0" w:color="FFFFFF"/>
            </w:tcBorders>
            <w:shd w:fill="F3F3F3" w:val="clear"/>
            <w:tcMar>
              <w:left w:w="28" w:type="dxa"/>
            </w:tcMar>
            <w:vAlign w:val="bottom"/>
          </w:tcPr>
          <w:p>
            <w:pPr>
              <w:pStyle w:val="TableContents"/>
              <w:bidi w:val="0"/>
              <w:spacing w:before="0" w:after="283"/>
              <w:jc w:val="left"/>
              <w:rPr/>
            </w:pPr>
            <w:r>
              <w:rPr/>
              <w:t> </w:t>
            </w:r>
          </w:p>
        </w:tc>
        <w:tc>
          <w:tcPr>
            <w:tcW w:w="5057" w:type="dxa"/>
            <w:tcBorders/>
            <w:shd w:fill="F3F3F3" w:val="clear"/>
          </w:tcPr>
          <w:p>
            <w:pPr>
              <w:pStyle w:val="TableContents"/>
              <w:bidi w:val="0"/>
              <w:spacing w:before="0" w:after="283"/>
              <w:jc w:val="left"/>
              <w:rPr/>
            </w:pPr>
            <w:r>
              <w:rPr/>
              <w:t>2023</w:t>
            </w:r>
          </w:p>
        </w:tc>
        <w:tc>
          <w:tcPr>
            <w:tcW w:w="120" w:type="dxa"/>
            <w:tcBorders>
              <w:left w:val="single" w:sz="2" w:space="0" w:color="FFFFFF"/>
            </w:tcBorders>
            <w:shd w:fill="F3F3F3" w:val="clear"/>
            <w:tcMar>
              <w:left w:w="28" w:type="dxa"/>
            </w:tcMar>
            <w:vAlign w:val="bottom"/>
          </w:tcPr>
          <w:p>
            <w:pPr>
              <w:pStyle w:val="TableContents"/>
              <w:bidi w:val="0"/>
              <w:spacing w:before="0" w:after="283"/>
              <w:jc w:val="left"/>
              <w:rPr/>
            </w:pPr>
            <w:r>
              <w:rPr/>
              <w:t>  </w:t>
            </w:r>
          </w:p>
        </w:tc>
        <w:tc>
          <w:tcPr>
            <w:tcW w:w="1592" w:type="dxa"/>
            <w:tcBorders/>
            <w:shd w:fill="F3F3F3" w:val="clear"/>
          </w:tcPr>
          <w:p>
            <w:pPr>
              <w:pStyle w:val="TableContents"/>
              <w:bidi w:val="0"/>
              <w:spacing w:before="0" w:after="283"/>
              <w:jc w:val="left"/>
              <w:rPr/>
            </w:pPr>
            <w:r>
              <w:rPr/>
              <w:t>65%</w:t>
            </w:r>
          </w:p>
        </w:tc>
      </w:tr>
    </w:tbl>
    <w:p>
      <w:pPr>
        <w:pStyle w:val="TextBody"/>
        <w:bidi w:val="0"/>
        <w:spacing w:before="320" w:after="0"/>
        <w:jc w:val="left"/>
        <w:rPr>
          <w:rFonts w:ascii="ARIAL" w:hAnsi="ARIAL"/>
          <w:sz w:val="20"/>
          <w:u w:val="single"/>
        </w:rPr>
      </w:pPr>
      <w:r>
        <w:rPr>
          <w:rFonts w:ascii="ARIAL" w:hAnsi="ARIAL"/>
          <w:sz w:val="20"/>
          <w:u w:val="single"/>
        </w:rPr>
        <w:t xml:space="preserve">Upstream Data Transparency </w:t>
      </w:r>
    </w:p>
    <w:p>
      <w:pPr>
        <w:pStyle w:val="TextBody"/>
        <w:bidi w:val="0"/>
        <w:spacing w:before="120" w:after="0"/>
        <w:jc w:val="left"/>
        <w:rPr>
          <w:rFonts w:ascii="ARIAL" w:hAnsi="ARIAL"/>
          <w:sz w:val="20"/>
        </w:rPr>
      </w:pPr>
      <w:r>
        <w:rPr>
          <w:rFonts w:ascii="ARIAL" w:hAnsi="ARIAL"/>
          <w:sz w:val="20"/>
        </w:rPr>
        <w:t xml:space="preserve">Appendix A includes all smelters/refiners that suppliers listed in completed CMRTs that met the recognized definition of a 3TGs processing facility and were operational during the 2023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the Companys products. </w:t>
      </w:r>
    </w:p>
    <w:p>
      <w:pPr>
        <w:pStyle w:val="TextBody"/>
        <w:bidi w:val="0"/>
        <w:spacing w:before="120" w:after="0"/>
        <w:jc w:val="left"/>
        <w:rPr>
          <w:rFonts w:ascii="ARIAL" w:hAnsi="ARIAL"/>
          <w:sz w:val="20"/>
        </w:rPr>
      </w:pPr>
      <w:r>
        <w:rPr>
          <w:rFonts w:ascii="ARIAL" w:hAnsi="ARIAL"/>
          <w:sz w:val="20"/>
        </w:rPr>
        <w:t xml:space="preserve">Suppliers that identified these specific smelters of concern on their CMRT were contacted in accordance with the OECD Guidance, as stipulated in the previous sections.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1"/>
        <w:gridCol w:w="100"/>
        <w:gridCol w:w="7044"/>
      </w:tblGrid>
      <w:tr>
        <w:trPr/>
        <w:tc>
          <w:tcPr>
            <w:tcW w:w="306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044"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3061" w:type="dxa"/>
            <w:tcBorders/>
            <w:shd w:fill="CCEEFF" w:val="clear"/>
            <w:vAlign w:val="center"/>
          </w:tcPr>
          <w:p>
            <w:pPr>
              <w:pStyle w:val="TableContents"/>
              <w:bidi w:val="0"/>
              <w:spacing w:before="0" w:after="283"/>
              <w:jc w:val="left"/>
              <w:rPr>
                <w:sz w:val="4"/>
                <w:szCs w:val="4"/>
              </w:rPr>
            </w:pPr>
            <w:r>
              <w:rPr>
                <w:sz w:val="4"/>
                <w:szCs w:val="4"/>
              </w:rPr>
            </w:r>
          </w:p>
        </w:tc>
        <w:tc>
          <w:tcPr>
            <w:tcW w:w="7144" w:type="dxa"/>
            <w:gridSpan w:val="2"/>
            <w:tcBorders/>
            <w:shd w:fill="CCEEFF" w:val="clear"/>
            <w:vAlign w:val="center"/>
          </w:tcPr>
          <w:p>
            <w:pPr>
              <w:pStyle w:val="TableContents"/>
              <w:bidi w:val="0"/>
              <w:spacing w:before="0" w:after="283"/>
              <w:jc w:val="left"/>
              <w:rPr>
                <w:sz w:val="4"/>
                <w:szCs w:val="4"/>
              </w:rPr>
            </w:pPr>
            <w:r>
              <w:rPr>
                <w:sz w:val="4"/>
                <w:szCs w:val="4"/>
              </w:rPr>
            </w:r>
          </w:p>
        </w:tc>
      </w:tr>
      <w:tr>
        <w:trPr/>
        <w:tc>
          <w:tcPr>
            <w:tcW w:w="3061" w:type="dxa"/>
            <w:tcBorders/>
            <w:shd w:fill="CCEEFF" w:val="clear"/>
            <w:vAlign w:val="bottom"/>
          </w:tcPr>
          <w:p>
            <w:pPr>
              <w:pStyle w:val="TableContents"/>
              <w:bidi w:val="0"/>
              <w:spacing w:before="0" w:after="283"/>
              <w:jc w:val="left"/>
              <w:rPr/>
            </w:pPr>
            <w:r>
              <w:rPr/>
              <w:t> </w:t>
            </w:r>
            <w:r>
              <w:rPr/>
              <w:t>Status</w:t>
            </w:r>
          </w:p>
        </w:tc>
        <w:tc>
          <w:tcPr>
            <w:tcW w:w="100" w:type="dxa"/>
            <w:tcBorders/>
            <w:shd w:fill="CCEEFF" w:val="clear"/>
            <w:vAlign w:val="bottom"/>
          </w:tcPr>
          <w:p>
            <w:pPr>
              <w:pStyle w:val="TableContents"/>
              <w:bidi w:val="0"/>
              <w:spacing w:before="0" w:after="283"/>
              <w:jc w:val="left"/>
              <w:rPr/>
            </w:pPr>
            <w:r>
              <w:rPr/>
              <w:t> </w:t>
            </w:r>
          </w:p>
        </w:tc>
        <w:tc>
          <w:tcPr>
            <w:tcW w:w="7044" w:type="dxa"/>
            <w:tcBorders/>
            <w:shd w:fill="CCEEFF" w:val="clear"/>
            <w:vAlign w:val="bottom"/>
          </w:tcPr>
          <w:p>
            <w:pPr>
              <w:pStyle w:val="TableContents"/>
              <w:bidi w:val="0"/>
              <w:spacing w:before="0" w:after="283"/>
              <w:jc w:val="left"/>
              <w:rPr/>
            </w:pPr>
            <w:r>
              <w:rPr/>
              <w:t>Number of identified smelters/refiners</w:t>
            </w:r>
          </w:p>
        </w:tc>
      </w:tr>
      <w:tr>
        <w:trPr>
          <w:trHeight w:val="75" w:hRule="atLeast"/>
        </w:trPr>
        <w:tc>
          <w:tcPr>
            <w:tcW w:w="3061" w:type="dxa"/>
            <w:tcBorders/>
            <w:shd w:fill="F3F3F3" w:val="clear"/>
            <w:vAlign w:val="center"/>
          </w:tcPr>
          <w:p>
            <w:pPr>
              <w:pStyle w:val="TableContents"/>
              <w:bidi w:val="0"/>
              <w:spacing w:before="0" w:after="283"/>
              <w:jc w:val="left"/>
              <w:rPr>
                <w:sz w:val="4"/>
                <w:szCs w:val="4"/>
              </w:rPr>
            </w:pPr>
            <w:r>
              <w:rPr>
                <w:sz w:val="4"/>
                <w:szCs w:val="4"/>
              </w:rPr>
            </w:r>
          </w:p>
        </w:tc>
        <w:tc>
          <w:tcPr>
            <w:tcW w:w="7144"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r>
      <w:tr>
        <w:trPr/>
        <w:tc>
          <w:tcPr>
            <w:tcW w:w="3061" w:type="dxa"/>
            <w:tcBorders>
              <w:bottom w:val="single" w:sz="2" w:space="0" w:color="FFFFFF"/>
            </w:tcBorders>
            <w:shd w:fill="F3F3F3" w:val="clear"/>
            <w:tcMar>
              <w:bottom w:w="80" w:type="dxa"/>
            </w:tcMar>
          </w:tcPr>
          <w:p>
            <w:pPr>
              <w:pStyle w:val="TableContents"/>
              <w:bidi w:val="0"/>
              <w:spacing w:before="0" w:after="283"/>
              <w:jc w:val="left"/>
              <w:rPr/>
            </w:pPr>
            <w:r>
              <w:rPr/>
              <w:t> </w:t>
            </w:r>
            <w:r>
              <w:rPr/>
              <w:t>RMAP Conformant</w:t>
            </w:r>
          </w:p>
        </w:tc>
        <w:tc>
          <w:tcPr>
            <w:tcW w:w="100" w:type="dxa"/>
            <w:tcBorders>
              <w:left w:val="single" w:sz="2" w:space="0" w:color="FFFFFF"/>
              <w:bottom w:val="single" w:sz="2" w:space="0" w:color="FFFFFF"/>
            </w:tcBorders>
            <w:shd w:fill="F3F3F3" w:val="clear"/>
            <w:tcMar>
              <w:left w:w="28" w:type="dxa"/>
              <w:bottom w:w="28" w:type="dxa"/>
            </w:tcMar>
            <w:vAlign w:val="bottom"/>
          </w:tcPr>
          <w:p>
            <w:pPr>
              <w:pStyle w:val="TableContents"/>
              <w:bidi w:val="0"/>
              <w:spacing w:before="0" w:after="283"/>
              <w:jc w:val="left"/>
              <w:rPr/>
            </w:pPr>
            <w:r>
              <w:rPr/>
              <w:t> </w:t>
            </w:r>
          </w:p>
        </w:tc>
        <w:tc>
          <w:tcPr>
            <w:tcW w:w="7044" w:type="dxa"/>
            <w:tcBorders>
              <w:bottom w:val="single" w:sz="2" w:space="0" w:color="FFFFFF"/>
            </w:tcBorders>
            <w:shd w:fill="F3F3F3" w:val="clear"/>
            <w:tcMar>
              <w:bottom w:w="80" w:type="dxa"/>
            </w:tcMar>
          </w:tcPr>
          <w:p>
            <w:pPr>
              <w:pStyle w:val="TableContents"/>
              <w:bidi w:val="0"/>
              <w:spacing w:before="0" w:after="283"/>
              <w:jc w:val="left"/>
              <w:rPr/>
            </w:pPr>
            <w:r>
              <w:rPr/>
              <w:t>225</w:t>
            </w:r>
          </w:p>
        </w:tc>
      </w:tr>
      <w:tr>
        <w:trPr>
          <w:trHeight w:val="75" w:hRule="atLeast"/>
        </w:trPr>
        <w:tc>
          <w:tcPr>
            <w:tcW w:w="3061" w:type="dxa"/>
            <w:tcBorders/>
            <w:shd w:fill="F3F3F3" w:val="clear"/>
            <w:vAlign w:val="center"/>
          </w:tcPr>
          <w:p>
            <w:pPr>
              <w:pStyle w:val="TableContents"/>
              <w:bidi w:val="0"/>
              <w:spacing w:before="0" w:after="283"/>
              <w:jc w:val="left"/>
              <w:rPr>
                <w:sz w:val="4"/>
                <w:szCs w:val="4"/>
              </w:rPr>
            </w:pPr>
            <w:r>
              <w:rPr>
                <w:sz w:val="4"/>
                <w:szCs w:val="4"/>
              </w:rPr>
            </w:r>
          </w:p>
        </w:tc>
        <w:tc>
          <w:tcPr>
            <w:tcW w:w="7144"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r>
      <w:tr>
        <w:trPr/>
        <w:tc>
          <w:tcPr>
            <w:tcW w:w="3061" w:type="dxa"/>
            <w:tcBorders>
              <w:bottom w:val="single" w:sz="2" w:space="0" w:color="FFFFFF"/>
            </w:tcBorders>
            <w:shd w:fill="F3F3F3" w:val="clear"/>
            <w:tcMar>
              <w:bottom w:w="80" w:type="dxa"/>
            </w:tcMar>
          </w:tcPr>
          <w:p>
            <w:pPr>
              <w:pStyle w:val="TableContents"/>
              <w:bidi w:val="0"/>
              <w:spacing w:before="0" w:after="283"/>
              <w:jc w:val="left"/>
              <w:rPr/>
            </w:pPr>
            <w:r>
              <w:rPr/>
              <w:t> </w:t>
            </w:r>
            <w:r>
              <w:rPr/>
              <w:t>RMAP Active</w:t>
            </w:r>
          </w:p>
        </w:tc>
        <w:tc>
          <w:tcPr>
            <w:tcW w:w="100" w:type="dxa"/>
            <w:tcBorders>
              <w:left w:val="single" w:sz="2" w:space="0" w:color="FFFFFF"/>
              <w:bottom w:val="single" w:sz="2" w:space="0" w:color="FFFFFF"/>
            </w:tcBorders>
            <w:shd w:fill="F3F3F3" w:val="clear"/>
            <w:tcMar>
              <w:left w:w="28" w:type="dxa"/>
              <w:bottom w:w="28" w:type="dxa"/>
            </w:tcMar>
            <w:vAlign w:val="bottom"/>
          </w:tcPr>
          <w:p>
            <w:pPr>
              <w:pStyle w:val="TableContents"/>
              <w:bidi w:val="0"/>
              <w:spacing w:before="0" w:after="283"/>
              <w:jc w:val="left"/>
              <w:rPr/>
            </w:pPr>
            <w:r>
              <w:rPr/>
              <w:t> </w:t>
            </w:r>
          </w:p>
        </w:tc>
        <w:tc>
          <w:tcPr>
            <w:tcW w:w="7044" w:type="dxa"/>
            <w:tcBorders>
              <w:bottom w:val="single" w:sz="2" w:space="0" w:color="FFFFFF"/>
            </w:tcBorders>
            <w:shd w:fill="F3F3F3" w:val="clear"/>
            <w:tcMar>
              <w:bottom w:w="80" w:type="dxa"/>
            </w:tcMar>
          </w:tcPr>
          <w:p>
            <w:pPr>
              <w:pStyle w:val="TableContents"/>
              <w:bidi w:val="0"/>
              <w:spacing w:before="0" w:after="283"/>
              <w:jc w:val="left"/>
              <w:rPr/>
            </w:pPr>
            <w:r>
              <w:rPr/>
              <w:t>7</w:t>
            </w:r>
          </w:p>
        </w:tc>
      </w:tr>
      <w:tr>
        <w:trPr>
          <w:trHeight w:val="75" w:hRule="atLeast"/>
        </w:trPr>
        <w:tc>
          <w:tcPr>
            <w:tcW w:w="3061" w:type="dxa"/>
            <w:tcBorders/>
            <w:shd w:fill="F3F3F3" w:val="clear"/>
            <w:vAlign w:val="center"/>
          </w:tcPr>
          <w:p>
            <w:pPr>
              <w:pStyle w:val="TableContents"/>
              <w:bidi w:val="0"/>
              <w:spacing w:before="0" w:after="283"/>
              <w:jc w:val="left"/>
              <w:rPr>
                <w:sz w:val="4"/>
                <w:szCs w:val="4"/>
              </w:rPr>
            </w:pPr>
            <w:r>
              <w:rPr>
                <w:sz w:val="4"/>
                <w:szCs w:val="4"/>
              </w:rPr>
            </w:r>
          </w:p>
        </w:tc>
        <w:tc>
          <w:tcPr>
            <w:tcW w:w="7144"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r>
      <w:tr>
        <w:trPr/>
        <w:tc>
          <w:tcPr>
            <w:tcW w:w="3061" w:type="dxa"/>
            <w:tcBorders>
              <w:bottom w:val="single" w:sz="2" w:space="0" w:color="FFFFFF"/>
            </w:tcBorders>
            <w:shd w:fill="F3F3F3" w:val="clear"/>
            <w:tcMar>
              <w:bottom w:w="80" w:type="dxa"/>
            </w:tcMar>
          </w:tcPr>
          <w:p>
            <w:pPr>
              <w:pStyle w:val="TableContents"/>
              <w:bidi w:val="0"/>
              <w:spacing w:before="0" w:after="283"/>
              <w:jc w:val="left"/>
              <w:rPr/>
            </w:pPr>
            <w:r>
              <w:rPr/>
              <w:t> </w:t>
            </w:r>
            <w:r>
              <w:rPr/>
              <w:t>Not Enrolled</w:t>
            </w:r>
          </w:p>
        </w:tc>
        <w:tc>
          <w:tcPr>
            <w:tcW w:w="100" w:type="dxa"/>
            <w:tcBorders>
              <w:left w:val="single" w:sz="2" w:space="0" w:color="FFFFFF"/>
              <w:bottom w:val="single" w:sz="2" w:space="0" w:color="FFFFFF"/>
            </w:tcBorders>
            <w:shd w:fill="F3F3F3" w:val="clear"/>
            <w:tcMar>
              <w:left w:w="28" w:type="dxa"/>
              <w:bottom w:w="28" w:type="dxa"/>
            </w:tcMar>
            <w:vAlign w:val="bottom"/>
          </w:tcPr>
          <w:p>
            <w:pPr>
              <w:pStyle w:val="TableContents"/>
              <w:bidi w:val="0"/>
              <w:spacing w:before="0" w:after="283"/>
              <w:jc w:val="left"/>
              <w:rPr/>
            </w:pPr>
            <w:r>
              <w:rPr/>
              <w:t> </w:t>
            </w:r>
          </w:p>
        </w:tc>
        <w:tc>
          <w:tcPr>
            <w:tcW w:w="7044" w:type="dxa"/>
            <w:tcBorders>
              <w:bottom w:val="single" w:sz="2" w:space="0" w:color="FFFFFF"/>
            </w:tcBorders>
            <w:shd w:fill="F3F3F3" w:val="clear"/>
            <w:tcMar>
              <w:bottom w:w="80" w:type="dxa"/>
            </w:tcMar>
          </w:tcPr>
          <w:p>
            <w:pPr>
              <w:pStyle w:val="TableContents"/>
              <w:bidi w:val="0"/>
              <w:spacing w:before="0" w:after="283"/>
              <w:jc w:val="left"/>
              <w:rPr/>
            </w:pPr>
            <w:r>
              <w:rPr/>
              <w:t>90</w:t>
            </w:r>
          </w:p>
        </w:tc>
      </w:tr>
      <w:tr>
        <w:trPr>
          <w:trHeight w:val="75" w:hRule="atLeast"/>
        </w:trPr>
        <w:tc>
          <w:tcPr>
            <w:tcW w:w="3061" w:type="dxa"/>
            <w:tcBorders/>
            <w:shd w:fill="F3F3F3" w:val="clear"/>
            <w:vAlign w:val="center"/>
          </w:tcPr>
          <w:p>
            <w:pPr>
              <w:pStyle w:val="TableContents"/>
              <w:bidi w:val="0"/>
              <w:spacing w:before="0" w:after="283"/>
              <w:jc w:val="left"/>
              <w:rPr>
                <w:sz w:val="4"/>
                <w:szCs w:val="4"/>
              </w:rPr>
            </w:pPr>
            <w:r>
              <w:rPr>
                <w:sz w:val="4"/>
                <w:szCs w:val="4"/>
              </w:rPr>
            </w:r>
          </w:p>
        </w:tc>
        <w:tc>
          <w:tcPr>
            <w:tcW w:w="7144" w:type="dxa"/>
            <w:gridSpan w:val="2"/>
            <w:tcBorders>
              <w:left w:val="single" w:sz="2" w:space="0" w:color="FFFFFF"/>
            </w:tcBorders>
            <w:shd w:fill="F3F3F3" w:val="clear"/>
            <w:tcMar>
              <w:left w:w="28" w:type="dxa"/>
            </w:tcMar>
            <w:vAlign w:val="center"/>
          </w:tcPr>
          <w:p>
            <w:pPr>
              <w:pStyle w:val="TableContents"/>
              <w:bidi w:val="0"/>
              <w:spacing w:before="0" w:after="283"/>
              <w:jc w:val="left"/>
              <w:rPr/>
            </w:pPr>
            <w:r>
              <w:rPr/>
              <w:t> </w:t>
            </w:r>
          </w:p>
        </w:tc>
      </w:tr>
      <w:tr>
        <w:trPr/>
        <w:tc>
          <w:tcPr>
            <w:tcW w:w="3061" w:type="dxa"/>
            <w:tcBorders/>
            <w:shd w:fill="F3F3F3" w:val="clear"/>
          </w:tcPr>
          <w:p>
            <w:pPr>
              <w:pStyle w:val="TableContents"/>
              <w:bidi w:val="0"/>
              <w:spacing w:before="0" w:after="283"/>
              <w:jc w:val="left"/>
              <w:rPr/>
            </w:pPr>
            <w:r>
              <w:rPr/>
              <w:t> </w:t>
            </w:r>
            <w:r>
              <w:rPr/>
              <w:t>Non-Conformant</w:t>
            </w:r>
          </w:p>
        </w:tc>
        <w:tc>
          <w:tcPr>
            <w:tcW w:w="100" w:type="dxa"/>
            <w:tcBorders>
              <w:left w:val="single" w:sz="2" w:space="0" w:color="FFFFFF"/>
            </w:tcBorders>
            <w:shd w:fill="F3F3F3" w:val="clear"/>
            <w:tcMar>
              <w:left w:w="28" w:type="dxa"/>
            </w:tcMar>
            <w:vAlign w:val="bottom"/>
          </w:tcPr>
          <w:p>
            <w:pPr>
              <w:pStyle w:val="TableContents"/>
              <w:bidi w:val="0"/>
              <w:spacing w:before="0" w:after="283"/>
              <w:jc w:val="left"/>
              <w:rPr/>
            </w:pPr>
            <w:r>
              <w:rPr/>
              <w:t> </w:t>
            </w:r>
          </w:p>
        </w:tc>
        <w:tc>
          <w:tcPr>
            <w:tcW w:w="7044" w:type="dxa"/>
            <w:tcBorders/>
            <w:shd w:fill="F3F3F3" w:val="clear"/>
          </w:tcPr>
          <w:p>
            <w:pPr>
              <w:pStyle w:val="TableContents"/>
              <w:bidi w:val="0"/>
              <w:spacing w:before="0" w:after="283"/>
              <w:jc w:val="left"/>
              <w:rPr/>
            </w:pPr>
            <w:r>
              <w:rPr/>
              <w:t>29</w:t>
            </w:r>
          </w:p>
        </w:tc>
      </w:tr>
    </w:tbl>
    <w:p>
      <w:pPr>
        <w:pStyle w:val="TextBody"/>
        <w:bidi w:val="0"/>
        <w:spacing w:before="320" w:after="0"/>
        <w:jc w:val="center"/>
        <w:rPr>
          <w:rFonts w:ascii="ARIAL" w:hAnsi="ARIAL"/>
          <w:b/>
          <w:sz w:val="20"/>
        </w:rPr>
      </w:pPr>
      <w:r>
        <w:rPr>
          <w:rFonts w:ascii="ARIAL" w:hAnsi="ARIAL"/>
          <w:b/>
          <w:sz w:val="20"/>
        </w:rPr>
        <w:t xml:space="preserve">Country of Origin </w:t>
      </w:r>
    </w:p>
    <w:p>
      <w:pPr>
        <w:pStyle w:val="TextBody"/>
        <w:bidi w:val="0"/>
        <w:spacing w:before="120" w:after="0"/>
        <w:jc w:val="left"/>
        <w:rPr>
          <w:rFonts w:ascii="ARIAL" w:hAnsi="ARIAL"/>
          <w:sz w:val="20"/>
        </w:rPr>
      </w:pPr>
      <w:r>
        <w:rPr>
          <w:rFonts w:ascii="ARIAL" w:hAnsi="ARIAL"/>
          <w:sz w:val="20"/>
        </w:rPr>
        <w:t xml:space="preserve">Appendix B includes an aggregated list of countries of origin from which the reported facilities collectively source 3TGs, based on reasonable identification of country of origin data obtained via the third-party service providers supply chain database (or other reasonable country of origin data, in the scenario SLB decides to use alternative data sources). As mentioned in the above section, it is understood that overreporting might occur which could result in Appendix B having more countries than those strictly relevant to the Companys products. </w:t>
      </w:r>
    </w:p>
    <w:p>
      <w:pPr>
        <w:pStyle w:val="TextBody"/>
        <w:bidi w:val="0"/>
        <w:spacing w:before="440" w:after="0"/>
        <w:jc w:val="center"/>
        <w:rPr>
          <w:rFonts w:ascii="ARIAL" w:hAnsi="ARIAL"/>
          <w:b/>
          <w:sz w:val="20"/>
        </w:rPr>
      </w:pPr>
      <w:r>
        <w:rPr>
          <w:rFonts w:ascii="ARIAL" w:hAnsi="ARIAL"/>
          <w:b/>
          <w:sz w:val="20"/>
        </w:rPr>
        <w:t xml:space="preserve">Steps to Be Taken to Mitigate Risk </w:t>
      </w:r>
    </w:p>
    <w:p>
      <w:pPr>
        <w:pStyle w:val="TextBody"/>
        <w:bidi w:val="0"/>
        <w:spacing w:before="120" w:after="0"/>
        <w:jc w:val="left"/>
        <w:rPr>
          <w:rFonts w:ascii="ARIAL" w:hAnsi="ARIAL"/>
          <w:sz w:val="20"/>
        </w:rPr>
      </w:pPr>
      <w:r>
        <w:rPr>
          <w:rFonts w:ascii="ARIAL" w:hAnsi="ARIAL"/>
          <w:sz w:val="20"/>
        </w:rPr>
        <w:t xml:space="preserve">SLB has taken, or intends to take, various steps to improve the due diligence conducted for the 2023 reporting year, as part of its supply chain risk mitigation plans. For example, SLB continues to evaluate upstream sources through a broader set of tools to evaluate risk. These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Engaging with suppliers more closely and providing more information and training resources regarding responsible sourcing of 3TGs.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Encouraging suppliers to have due diligence procedures in place for their supply chains to improve the content of the responses from such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Continuing to evaluate conflict minerals risk in all products procured from third parties, including products manufactured or contracted to be manufactured by recently acquired companies.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Appendix A: Smelter List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
        <w:gridCol w:w="343"/>
        <w:gridCol w:w="3234"/>
        <w:gridCol w:w="120"/>
        <w:gridCol w:w="2137"/>
        <w:gridCol w:w="343"/>
        <w:gridCol w:w="1187"/>
        <w:gridCol w:w="120"/>
        <w:gridCol w:w="1747"/>
      </w:tblGrid>
      <w:tr>
        <w:trPr/>
        <w:tc>
          <w:tcPr>
            <w:tcW w:w="974"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 </w:t>
            </w:r>
            <w:r>
              <w:rPr>
                <w:b/>
              </w:rPr>
              <w:t>Metal </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b/>
              </w:rPr>
            </w:pPr>
            <w:r>
              <w:rPr>
                <w:b/>
              </w:rPr>
              <w:t>Smelter Name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0"/>
              <w:jc w:val="center"/>
              <w:rPr>
                <w:rFonts w:ascii="ARIAL" w:hAnsi="ARIAL"/>
                <w:b/>
                <w:sz w:val="20"/>
              </w:rPr>
            </w:pPr>
            <w:r>
              <w:rPr>
                <w:rFonts w:ascii="ARIAL" w:hAnsi="ARIAL"/>
                <w:b/>
                <w:sz w:val="20"/>
              </w:rPr>
              <w:t>Smelter Facility</w:t>
            </w:r>
          </w:p>
          <w:p>
            <w:pPr>
              <w:pStyle w:val="TableContents"/>
              <w:bidi w:val="0"/>
              <w:spacing w:before="0" w:after="20"/>
              <w:jc w:val="center"/>
              <w:rPr>
                <w:rFonts w:ascii="ARIAL" w:hAnsi="ARIAL"/>
                <w:b/>
                <w:sz w:val="20"/>
              </w:rPr>
            </w:pPr>
            <w:r>
              <w:rPr>
                <w:rFonts w:ascii="ARIAL" w:hAnsi="ARIAL"/>
                <w:b/>
                <w:sz w:val="20"/>
              </w:rPr>
              <w:t>Location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b/>
              </w:rPr>
            </w:pPr>
            <w:r>
              <w:rPr>
                <w:b/>
              </w:rPr>
              <w:t>Smelter ID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b/>
              </w:rPr>
            </w:pPr>
            <w:r>
              <w:rPr>
                <w:b/>
              </w:rPr>
              <w:t>RMAP Audit</w:t>
              <w:br/>
              <w:t>Status</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Advanced Chemical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CID000015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Aida Chemical Industries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CID000019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Agosi AG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Almalyk Mining and Metallurgical Complex (AMMC)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Uzbekistan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CID000041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AngloGold Ashanti Corrego do Sitio Mineracao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CID000058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Argor-Heraeus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CID000077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Asahi Pretec Corp.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CID000082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Asaka Riken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CID000090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Atasay Kuyumculuk Sanayi Ve Ticaret 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Turkey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CID000103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Aurubis AG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CID000113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Bangko Sentral ng Pilipinas (Central Bank of the Philippines)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Philippines</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CID000128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Boliden AB</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Sweden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CID000157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 Hafner GmbH + Co. KG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CID000176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Caridad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Mexico</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CID000180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CCR Refinery - Glencore Canada Corporation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Canada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Cendres + Metaux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CID000189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Yunnan Copper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CID000197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Chimet S.p.A.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CID000233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Chugai Mining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CID000264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Daye Non-Ferrous Metals Mining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CID000343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DSC (Do Sung Corporation)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CID000359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Dowa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CID000401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Eco-System Recycling Co., Ltd. East Plant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CID000425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JSC Novosibirsk Refinery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CID000493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0"/>
              <w:jc w:val="center"/>
              <w:rPr>
                <w:rFonts w:ascii="ARIAL" w:hAnsi="ARIAL"/>
                <w:sz w:val="20"/>
              </w:rPr>
            </w:pPr>
            <w:r>
              <w:rPr>
                <w:rFonts w:ascii="ARIAL" w:hAnsi="ARIAL"/>
                <w:sz w:val="20"/>
              </w:rPr>
              <w:t>RMI Due Diligence</w:t>
            </w:r>
          </w:p>
          <w:p>
            <w:pPr>
              <w:pStyle w:val="TableContents"/>
              <w:bidi w:val="0"/>
              <w:spacing w:before="0" w:after="0"/>
              <w:jc w:val="center"/>
              <w:rPr>
                <w:rFonts w:ascii="ARIAL" w:hAnsi="ARIAL"/>
                <w:sz w:val="20"/>
              </w:rPr>
            </w:pPr>
            <w:r>
              <w:rPr>
                <w:rFonts w:ascii="ARIAL" w:hAnsi="ARIAL"/>
                <w:sz w:val="20"/>
              </w:rPr>
              <w:t>Review - Unable</w:t>
            </w:r>
          </w:p>
          <w:p>
            <w:pPr>
              <w:pStyle w:val="TableContents"/>
              <w:bidi w:val="0"/>
              <w:spacing w:before="0" w:after="20"/>
              <w:jc w:val="center"/>
              <w:rPr>
                <w:rFonts w:ascii="ARIAL" w:hAnsi="ARIAL"/>
                <w:sz w:val="20"/>
              </w:rPr>
            </w:pPr>
            <w:r>
              <w:rPr>
                <w:rFonts w:ascii="ARIAL" w:hAnsi="ARIAL"/>
                <w:sz w:val="20"/>
              </w:rPr>
              <w:t>to Proceed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Refinery of Seemine Gold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CID000522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Guoda Safina High-Tech Environmental Refinery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CID000651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Hangzhou Fuchunjiang Smelting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CID000671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LT Metal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CID000689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Heimerle + Meule GmbH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CID000694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Heraeus Metals Hong Kong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CID000707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7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3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Heraeus Germany GmbH Co. KG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CID000711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7"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2"/>
        <w:gridCol w:w="327"/>
        <w:gridCol w:w="3214"/>
        <w:gridCol w:w="123"/>
        <w:gridCol w:w="2037"/>
        <w:gridCol w:w="327"/>
        <w:gridCol w:w="1222"/>
        <w:gridCol w:w="123"/>
        <w:gridCol w:w="1920"/>
      </w:tblGrid>
      <w:tr>
        <w:trPr/>
        <w:tc>
          <w:tcPr>
            <w:tcW w:w="912"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Hunan Chenzhou Mining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CID000767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Hunan Guiyang yinxing Nonferrous Smelting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CID000773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HwaSeong CJ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CID000778</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Inner Mongolia Qiankun Gold and Silver Refinery Share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CID000801</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Ishifuku Metal Industry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CID000807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Istanbul Gold Refinery</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Turkey</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CID000814</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 Mint</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CID000823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Copper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CID000855</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Asahi Refining USA Inc.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CID000920</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Asahi Refining Canada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Canada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CID000924</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JSC Ekaterinburg Non-Ferrous Metal Processing Plant</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CID000927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JSC Uralelectromed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CID000929</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JX Nippon Mining &amp; Metals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CID000937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Kazakhmys Smelting LLC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Kazakhstan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CID000956</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Kazzinc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Kazakhstan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CID000957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Kennecott Utah Copper LLC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CID000969</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Kojima Chemicals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CID000981</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Kyrgyzaltyn JSC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Kyrgyzstan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CID001029</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Lazurde Company For Jewelry</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Saudi Arabia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CID001032</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Lingbao Gold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CID001056</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Lingbao Jinyuan Tonghui Refinery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CID001058</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LS-NIKKO Copper Inc.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CID001078</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Luoyang Zijin Yinhui Gold Refinery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CID001093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Materion</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Matsuda Sangyo Co.,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CID001119</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Metalor Technologies (Suzhou)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CID001147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Metalor Technologies (Hong Kong)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CID001149</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Metalor Technologies (Singapore) Pte., Ltd.</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Singapore</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CID001152</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Metalor Technologies S.A.</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CID001153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12"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Metalor USA Refining Corporation</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3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CID001157</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1"/>
        <w:gridCol w:w="367"/>
        <w:gridCol w:w="3396"/>
        <w:gridCol w:w="120"/>
        <w:gridCol w:w="1930"/>
        <w:gridCol w:w="367"/>
        <w:gridCol w:w="1193"/>
        <w:gridCol w:w="120"/>
        <w:gridCol w:w="1731"/>
      </w:tblGrid>
      <w:tr>
        <w:trPr/>
        <w:tc>
          <w:tcPr>
            <w:tcW w:w="981"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Metalurgica Met-Mex Penoles S.A. De C.V.</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Mexico</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CID001161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Mitsubishi Materials Corporation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CID001188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Mitsui Mining and Smelting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CID001193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Moscow Special Alloys Processing Plant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CID001204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Nadir Metal Rafineri San. Ve Tic. 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Turkey</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CID001220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Navoi Mining and Metallurgical Combinat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Uzbekistan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CID001236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Nihon Material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CID001259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Ohura Precious Metal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CID001325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OJSC The Gulidov Krasnoyarsk Non-Ferrous Metals Plant (OJSC Krastsvetmet)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CID001326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MKS PAMP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Penglai Penggang Gold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CID001362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Prioksky Plant of Non-Ferrous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CID001386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Aneka Tambang (Persero) Tbk</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CID001397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PX Precinox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CID001498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Rand Refinery (Pty)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South Africa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CID001512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Royal Canadian Mint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Canada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CID001534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Sabin Metal Corp.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CID001546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Samduck Precious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CID001555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Samwon Metals Corp.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CID001562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SEMPSA Joyeria Plateria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Spain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Shandong Tiancheng Biological Gold Industrial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CID001619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Shandong Zhaojin Gold &amp; Silver Refinery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CID001622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Sichuan Tianze Precious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CID001736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SOE Shyolkovsky Factory of Secondary Precious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CID001756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Solar Applied Materials Technology Corp.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CID001761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Sumitomo Metal Mining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CID001798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Super Dragon Technology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CID001810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Tanaka Kikinzoku Kogyo K.K.</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CID001875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Great Wall Precious Metals Co., Ltd. of CBPM</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CID001909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Shandong Gold Smelting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CID001916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Tokuriki Honten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CID001938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7"/>
        <w:gridCol w:w="369"/>
        <w:gridCol w:w="3471"/>
        <w:gridCol w:w="121"/>
        <w:gridCol w:w="1945"/>
        <w:gridCol w:w="369"/>
        <w:gridCol w:w="1202"/>
        <w:gridCol w:w="121"/>
        <w:gridCol w:w="1620"/>
      </w:tblGrid>
      <w:tr>
        <w:trPr/>
        <w:tc>
          <w:tcPr>
            <w:tcW w:w="987"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Tongling Nonferrous Metals Group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CID001947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Torecom</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CID001955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Umicore S.A. Business Unit Precious Metals Refining</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Belgium</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CID001980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Precious Metal Refining, Inc.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CID001993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Valcambi 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Switzerland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CID002003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Western Australian Mint (T/a The Perth Mint)</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Australia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CID002030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Yamakin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CID002100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Yokohama Metal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CID002129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Zhongyuan Gold Smelter of Zhongjin Gold Corporation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CID002224</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Gold Refinery of Zijin Mining Group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CID002243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Morris and Watson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New Zealand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CID002282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SAFINA A.S.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Czechia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CID002290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Guangdong Jinding Gold Limited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Umicore Precious Metals Thailand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Thailand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CID002314</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MMTC-PAMP India Pvt.,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KGHM Polska Miedz Spolka Akcyjna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Poland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Fidelity Printers and Refiners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Zimbabwe</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Singway Technology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CID002516</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Shandong Humon Smelting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CID002525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Shenzhen Zhonghenglong Real Industry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CID002527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 Etihad Gold Refinery DMCC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CID002560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Emirates Gold DMCC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CID002561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International Precious Metal Refiners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CID002562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Kaloti Precious Metals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CID002563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Sudan Gold Refinery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Sudan</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CID002567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T.C.A S.p.A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Italy</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REMONDIS PMR B.V.</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Netherlands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Fujairah Gold FZC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CID002584</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87"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Industrial Refining Company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Belgium</w:t>
            </w:r>
          </w:p>
        </w:tc>
        <w:tc>
          <w:tcPr>
            <w:tcW w:w="36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1"/>
        <w:gridCol w:w="351"/>
        <w:gridCol w:w="3513"/>
        <w:gridCol w:w="121"/>
        <w:gridCol w:w="1876"/>
        <w:gridCol w:w="351"/>
        <w:gridCol w:w="1197"/>
        <w:gridCol w:w="121"/>
        <w:gridCol w:w="1724"/>
      </w:tblGrid>
      <w:tr>
        <w:trPr/>
        <w:tc>
          <w:tcPr>
            <w:tcW w:w="951"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Shirpur Gold Refinery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Zinc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CID002605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Marsam Metals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CID002606</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TOO Tau-Ken-Altyn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Kazakhstan</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CID002615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Abington Reldan Metals, LLC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CID002708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Shenzhen CuiLu Gold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CID002750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Albino Mountinho Lda.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Portugal</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CID002760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SAAMP</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France</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CID002761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LOrfebre 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Andorra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CID002762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8853 S.p.A.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Italy</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CID002763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Italpreziosi</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Italy</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CID002765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WIELAND Edelmetalle GmbH</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CID002778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Ogussa Osterreichische Gold- und Silber-Scheideanstalt GmbH</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Austria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CID002779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 Traders and Refiners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South Africa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CID002850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GGC Gujrat Gold Centre Pvt.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CID002852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Sai Refinery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CID002853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Modeltech Sdn Bhd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CID002857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Bangalore Refinery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CID002863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Kyshtym Copper-Electrolytic Plant ZAO</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CID002865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Degussa Sonne / Mond Goldhandel GmbH</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CID002867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Pease &amp; Curren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CID002872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JALAN &amp; Company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CID002893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SungEel HiMetal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CID002918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Planta Recuperadora de Metales SpA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Chile</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CID002919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ABC Refinery Pty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Australia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CID002920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Safimet S.p.A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Italy</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CID002973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State Research Institute Center for Physical Sciences and Technology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Lithuania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CID003153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African Gold Refinery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Uganda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CID003185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Gold Coast Refinery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Ghana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CID003186</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NH Recytech Company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CID003189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51"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3"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QG Refining, LLC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CID003324</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2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08"/>
        <w:gridCol w:w="361"/>
        <w:gridCol w:w="3506"/>
        <w:gridCol w:w="120"/>
        <w:gridCol w:w="1844"/>
        <w:gridCol w:w="361"/>
        <w:gridCol w:w="1189"/>
        <w:gridCol w:w="120"/>
        <w:gridCol w:w="1596"/>
      </w:tblGrid>
      <w:tr>
        <w:trPr/>
        <w:tc>
          <w:tcPr>
            <w:tcW w:w="1108"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Dijllah Gold Refinery FZC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CID003348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CGR Metalloys Pvt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CID003382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Sovereign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CID003383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Eco-System Recycling Co., Ltd. North Plant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CID003424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Eco-System Recycling Co., Ltd. West Plant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CID003425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Augmont Enterprises Private Limited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CID003461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Kundan Care Products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CID003463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Emerald Jewel Industry India Limited (Unit 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CID003487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Emerald Jewel Industry India Limited (Unit 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CID003488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Emerald Jewel Industry India Limited (Unit 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CID003489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Emerald Jewel Industry India Limited (Unit 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CID003490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 Rasmussen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Norway</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CID003497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Alexy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MD Overseas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CID003548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Metallix Refining Inc.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CID003557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 Concentrators SA (Pty)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South Africa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CID003575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WEEEREFINING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France</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CID003615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Gold by Gold Colombia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Colombia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CID003641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Dongwu Gold Group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CID003663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Sam Precious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Arab Emirates</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CID003666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Coimpa Industrial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CID004010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Gold</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GG Refinery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Tanzania, United Republic Of</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CID004506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F&amp;X Electro-Materials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CID000460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XIMEI RESOURCES (GUANGDONG) LIMITED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CID000616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JiuJiang JinXin Nonferrous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CID000914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Jiujiang Tanbre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CID000917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AMG Brasil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CID001076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Metallurgical Products India Pvt.,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CID001163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Mineracao Taboca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CID001175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Mitsui Mining and Smelting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CID001192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0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NPM Silmet 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4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Estonia</w:t>
            </w:r>
          </w:p>
        </w:tc>
        <w:tc>
          <w:tcPr>
            <w:tcW w:w="36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96"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03"/>
        <w:gridCol w:w="350"/>
        <w:gridCol w:w="3517"/>
        <w:gridCol w:w="120"/>
        <w:gridCol w:w="1871"/>
        <w:gridCol w:w="350"/>
        <w:gridCol w:w="1192"/>
        <w:gridCol w:w="120"/>
        <w:gridCol w:w="1582"/>
      </w:tblGrid>
      <w:tr>
        <w:trPr/>
        <w:tc>
          <w:tcPr>
            <w:tcW w:w="1103"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Ningxia Orient Tantalum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CID001277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QuantumClean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CID001508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Yanling Jincheng Tantalum &amp; Niobium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CID001522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Solikamsk Magnesium Works OAO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CID001769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Taki Chemical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CID001869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Telex Metals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CID001891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Ulba Metallurgical Plant JSC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Kazakhstan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CID001969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Hengyang King Xing Lifeng New Materials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CID002492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 Block Metals, LLC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FIR Metals &amp; Resource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Jiujiang Zhongao Tantalum &amp; Niobium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XinXing HaoRong Electronic Material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Dinghai Tantalum &amp; Niobium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KEMET de Mexico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Mexico</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CID002539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TANIOBIS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Thailand</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TANIOBIS GmbH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Materion Newton Inc.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TANIOBIS Japan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TANIOBIS Smelting GmbH &amp; Co. KG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CID002550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Global Advanced Metals Boyertown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CID002557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Global Advanced Metals Aizu</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CID002558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Resind Industria e Comercio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CID002707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Tuohong New Raw Material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CID002842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RFH Yancheng Jinye New Material Technology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CID003583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5D Production OU</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Estonia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CID003926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PowerX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Rwanda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CID004054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Tantalum</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Guangdong Rising Rare Metals-EO Materials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CID000291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Chenzhou Yunxiang Mining and Metallurgy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CID000228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Alpha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CID000292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Aries Kencana Sejahtera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CID000309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0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1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Premium Tin Indonesia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7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CID000313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2"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44"/>
        <w:gridCol w:w="372"/>
        <w:gridCol w:w="3455"/>
        <w:gridCol w:w="121"/>
        <w:gridCol w:w="1996"/>
        <w:gridCol w:w="372"/>
        <w:gridCol w:w="1201"/>
        <w:gridCol w:w="121"/>
        <w:gridCol w:w="1623"/>
      </w:tblGrid>
      <w:tr>
        <w:trPr/>
        <w:tc>
          <w:tcPr>
            <w:tcW w:w="944"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Dowa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CID000402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EM Vinto</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Bolivia (Plurinational State Of)</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CID000438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Estanho de Rondonia 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CID000448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Fenix Metals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Poland</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CID000468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Gejiu Non-Ferrous Metal Processing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CID000538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Gejiu Zili Mining And Metallurgy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CID000555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Gejiu Kai Meng Industry and Trade LLC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CID000942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 Tin Group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CID001070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 Smelting Corporation (MSC)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CID001105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Metallic Resources, Inc.</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CID001142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Mineracao Taboca 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CID001173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Minsur</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Peru</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CID001182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Mitsubishi Materials Corporation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CID001191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New Nanshan Technology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CID001231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Novosibirsk Tin Combine</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CID001305</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O.M. Manufacturing (Thailand) Co., Ltd.</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Thailand</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CID001314</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Operaciones Metalurgicas 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Bolivia (Plurinational State Of)</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CID001337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Artha Cipta Langgeng</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CID001399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Babel Inti Perkasa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CID001402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Babel Surya Alam Lestari</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CID001406</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Bangka Tin Industry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CID001419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Belitung Industri Sejahtera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CID001421</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Bukit Timah</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CID001428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Mitra Stania Prima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CID001453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Panca Mega Persada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CID001457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Prima Timah Utama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CID001458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Refined Bangka Tin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CID001460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Sariwiguna Binasentosa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CID001463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Stanindo Inti Perkasa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CID001468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Timah Tbk Kundur</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CID001477</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Timah Tbk Mentok</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CID001482</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Timah Nusantara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CID001486</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Tinindo Inter Nusa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CID001490</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Tommy Utama</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CID001493</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Rui Da Hung</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CID001539</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94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Thaisarco</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9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Thailand</w:t>
            </w:r>
          </w:p>
        </w:tc>
        <w:tc>
          <w:tcPr>
            <w:tcW w:w="3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1"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CID001898</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3"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8"/>
        <w:gridCol w:w="352"/>
        <w:gridCol w:w="3605"/>
        <w:gridCol w:w="120"/>
        <w:gridCol w:w="1854"/>
        <w:gridCol w:w="352"/>
        <w:gridCol w:w="1190"/>
        <w:gridCol w:w="120"/>
        <w:gridCol w:w="1714"/>
      </w:tblGrid>
      <w:tr>
        <w:trPr/>
        <w:tc>
          <w:tcPr>
            <w:tcW w:w="898"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Gejiu Yunxin Nonferrous Electrolysis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CID001908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VQB Mineral and Trading Group JSC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CID002015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White Solder Metalurgia e Mineracao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CID002036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Yunnan Chengfeng Non-ferrous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CID002158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Tin Smelting Branch of Yunnan Tin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CID002180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CV Venus Inti Perkasa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CID002455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Magnus Minerais Metais e Ligas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CID002468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Tirus Putra Mandiri</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CID002478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Melt Metais e Ligas 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ATD Makmur Mandiri Jaya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O.M. Manufacturing Philippines, Inc.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Philippines</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CV Ayi Jaya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CID002570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Electro-Mechanical Facility of the Cao Bang Minerals &amp; Metallurgy Joint Stock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CID002572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Nghe Tinh Non-Ferrous Metals Joint Stock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CID002573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Tuyen Quang Non-Ferrous Metals Joint Stock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CID002574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Cipta Persada Mulia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CID002696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An Vinh Joint Stock Mineral Processing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CID002703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Resind Industria e Comercio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CID002706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Super Ligas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CID002756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Aurubis Beerse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Belgium</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CID002773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Aurubis Berango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Spain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CID002774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Bangka Prima Tin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CID002776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Sukses Inti Makmur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CID002816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Menara Cipta Mulia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Modeltech Sdn Bhd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CID002858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Guangdong Hanhe Non-Ferrous Metal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CID003116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Chifeng Dajingzi Tin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CID003190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Bangka Serumpun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CID003205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Pongpipat Company Limited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Myanmar</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CID003208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Tin Technology &amp; Refining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CID003325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Dongguan CiEXPO Environmental Engineering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CID003356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Rajawali Rimba Perkasa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CID003381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898"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05"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Luna Smelter,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4"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Rwanda</w:t>
            </w:r>
          </w:p>
        </w:tc>
        <w:tc>
          <w:tcPr>
            <w:tcW w:w="35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CID003387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83"/>
        <w:gridCol w:w="335"/>
        <w:gridCol w:w="3582"/>
        <w:gridCol w:w="120"/>
        <w:gridCol w:w="1742"/>
        <w:gridCol w:w="335"/>
        <w:gridCol w:w="1187"/>
        <w:gridCol w:w="120"/>
        <w:gridCol w:w="1701"/>
      </w:tblGrid>
      <w:tr>
        <w:trPr/>
        <w:tc>
          <w:tcPr>
            <w:tcW w:w="1083"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Yunnan Yunfan Non-ferrous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CID003397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Precious Minerals and Smelting Limited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CID003409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Gejiu City Fuxiang Industry and Trade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CID003410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Mitra Sukses Globalindo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CID003449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CRM Fundicao De Metais E Comercio De Equipamentos Eletronicos Do Brasil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CID003486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CRM Synergies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Spain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CID003524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Fabrica Auricchio Industria e Comercio Ltda.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CID003582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DS Myanmar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Myanmar</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CID003831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Putera Sarana Shakti (PT PSS)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CID003868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Mining Minerals Resources SARL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Congo, Democratic Republic Of The</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CID004065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HuiChang Hill Tin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CID002844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Maanshan Weitai Tin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CID003379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PT Rajehan Ariq</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Indonesia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CID002593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 Smelting Corporation Berhad (Port Klang)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Malaysia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CID004434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In Communication</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Tin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Takehara PVD Materials Plant / PVD Materials Division of MITSUI MINING &amp; SMELTING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CID004403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A.L.M.T. Corp.</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CID000004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Kennametal Huntsville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CID000105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Guangdong Xianglu 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CID000218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Chongyi Zhangyuan 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CID000258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CNMC (Guangxi) PGMA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CID000281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Global Tungsten &amp; Powders LLC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CID000568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Hunan Chenzhou Mining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CID000766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Hunan Jintai New Material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CID000769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 New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Japan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CID000825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Kennametal Fallon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CID000966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Wolfram Bergbau und Hutten AG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Austria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CID002044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Xiamen 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CID002082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Minmetals Gaoan Non-ferrous Metals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Communication Suspended - Not Interested</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Ganzhou Jiangwu Ferrotungsten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Yaosheng 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CID002316</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Xinsheng Tungsten Industry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083"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58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Tonggu Non-ferrous Metallurgical &amp; Chemical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42"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01"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10"/>
        <w:gridCol w:w="331"/>
        <w:gridCol w:w="3218"/>
        <w:gridCol w:w="124"/>
        <w:gridCol w:w="1808"/>
        <w:gridCol w:w="331"/>
        <w:gridCol w:w="1229"/>
        <w:gridCol w:w="124"/>
        <w:gridCol w:w="1930"/>
      </w:tblGrid>
      <w:tr>
        <w:trPr/>
        <w:tc>
          <w:tcPr>
            <w:tcW w:w="111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Malipo Haiyu Tungsten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CID002319</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Xiamen Tungsten (H.C.)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CID002320</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Jiangxi Gan Bei Tungsten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CID002321</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Ganzhou Seadragon W &amp; Mo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CID002494</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Asia Tungsten Products Vietnam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CID002502</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Hunan Shizhuyuan Nonferrous Metals Co., Ltd. Chenzhou Tungsten Products Branch</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CID002513</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H.C. Starck Tungsten GmbH</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CID002541</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TANIOBIS Smelting GmbH &amp; Co. KG</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Germany</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CID002542</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Masan High-Tech Materials</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CID002543</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Jiangwu H.C. Starck Tungsten Products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CID002551</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Niagara Refining LLC</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United States Of America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CID002589</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 Molybdenum Tungsten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CID002641</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Hydrometallurg, JSC</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CID002649</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Unecha Refractory metals plant</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CID002724</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Philippine Chuangxin Industrial Co., Inc.</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Philippines</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CID002827</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ACL Metais Eireli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CID002833</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Moliren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CID002845</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Lianyou Metals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CID003407</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JSC Kirovgrad Hard Alloys Plant</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CID003408</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NPP Tyazhmetprom LLC</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CID003416</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Hubei Green Tungsten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CID003417</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Albasteel Industria e Comercio de Ligas Para Fundicao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CID003427</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Non 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Cronimet Brasil Ltda</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Brazil</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CID003468</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Artek LLC</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CID003553</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Fujian Xinlu Tungsten Co., Ltd.</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CID003609</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OOO Technolom 2</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CID003612</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OOO Technolom 1</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CID003614</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r>
        <w:trPr/>
        <w:tc>
          <w:tcPr>
            <w:tcW w:w="1110"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1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LLC Vostok</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08"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Russian Federation</w:t>
            </w:r>
          </w:p>
        </w:tc>
        <w:tc>
          <w:tcPr>
            <w:tcW w:w="3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9"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CID003643</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3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RMI Due Diligence Review - Unable to Proceed</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16"/>
        <w:gridCol w:w="370"/>
        <w:gridCol w:w="3456"/>
        <w:gridCol w:w="120"/>
        <w:gridCol w:w="1836"/>
        <w:gridCol w:w="370"/>
        <w:gridCol w:w="1197"/>
        <w:gridCol w:w="120"/>
        <w:gridCol w:w="1620"/>
      </w:tblGrid>
      <w:tr>
        <w:trPr/>
        <w:tc>
          <w:tcPr>
            <w:tcW w:w="1116"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YUDU ANSHENG TUNGSTEN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CID003662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HANNAE FOR T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CID003978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Tungsten Vietnam Joint Stock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CID003993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Nam Viet Cromit Joint Stock Company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CID004034</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DONGKUK INDUSTRIES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Korea, Republic Of</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CID004060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Outreach Required</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Lianyou Resources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Taiwan, Province Of China</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CID004397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Shinwon Tungsten (Fujian Shanghang) Co.,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China</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CID004430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Conformant</w:t>
            </w:r>
          </w:p>
        </w:tc>
      </w:tr>
      <w:tr>
        <w:trPr/>
        <w:tc>
          <w:tcPr>
            <w:tcW w:w="1116"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Tungsten</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5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Kenee Mining Corporation Vietnam</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6"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Viet Nam</w:t>
            </w:r>
          </w:p>
        </w:tc>
        <w:tc>
          <w:tcPr>
            <w:tcW w:w="37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7" w:type="dxa"/>
            <w:tcBorders>
              <w:top w:val="single" w:sz="2" w:space="0" w:color="000000"/>
              <w:bottom w:val="single" w:sz="2" w:space="0" w:color="000000"/>
              <w:right w:val="single" w:sz="2" w:space="0" w:color="000000"/>
            </w:tcBorders>
            <w:tcMar>
              <w:top w:w="28" w:type="dxa"/>
              <w:bottom w:w="120" w:type="dxa"/>
              <w:right w:w="28" w:type="dxa"/>
            </w:tcMar>
          </w:tcPr>
          <w:p>
            <w:pPr>
              <w:pStyle w:val="TableContents"/>
              <w:bidi w:val="0"/>
              <w:spacing w:before="0" w:after="283"/>
              <w:jc w:val="center"/>
              <w:rPr/>
            </w:pPr>
            <w:r>
              <w:rPr/>
              <w:t>CID004619</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20"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Active</w:t>
            </w:r>
          </w:p>
        </w:tc>
      </w:tr>
    </w:tbl>
    <w:p>
      <w:pPr>
        <w:pStyle w:val="TextBody"/>
        <w:bidi w:val="0"/>
        <w:spacing w:before="320" w:after="0"/>
        <w:jc w:val="center"/>
        <w:rPr>
          <w:rFonts w:ascii="ARIAL" w:hAnsi="ARIAL"/>
          <w:b/>
          <w:sz w:val="20"/>
        </w:rPr>
      </w:pPr>
      <w:r>
        <w:rPr>
          <w:rFonts w:ascii="ARIAL" w:hAnsi="ARIAL"/>
          <w:b/>
          <w:sz w:val="20"/>
        </w:rPr>
        <w:t xml:space="preserve">Appendix B: Countries of Origin </w:t>
      </w:r>
    </w:p>
    <w:p>
      <w:pPr>
        <w:pStyle w:val="TextBody"/>
        <w:bidi w:val="0"/>
        <w:spacing w:before="0" w:after="0"/>
        <w:jc w:val="left"/>
        <w:rPr/>
      </w:pPr>
      <w:r>
        <w:rPr/>
        <w:t> </w:t>
      </w:r>
    </w:p>
    <w:tbl>
      <w:tblPr>
        <w:tblW w:w="3000" w:type="pct"/>
        <w:jc w:val="center"/>
        <w:tblInd w:w="0" w:type="dxa"/>
        <w:tblLayout w:type="fixed"/>
        <w:tblCellMar>
          <w:top w:w="0" w:type="dxa"/>
          <w:left w:w="0" w:type="dxa"/>
          <w:bottom w:w="0" w:type="dxa"/>
          <w:right w:w="0" w:type="dxa"/>
        </w:tblCellMar>
      </w:tblPr>
      <w:tblGrid>
        <w:gridCol w:w="3025"/>
        <w:gridCol w:w="120"/>
        <w:gridCol w:w="2978"/>
      </w:tblGrid>
      <w:tr>
        <w:trPr/>
        <w:tc>
          <w:tcPr>
            <w:tcW w:w="3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2" w:space="0" w:color="000000"/>
              <w:left w:val="single" w:sz="2" w:space="0" w:color="000000"/>
              <w:bottom w:val="single" w:sz="2" w:space="0" w:color="000000"/>
              <w:right w:val="single" w:sz="2" w:space="0" w:color="000000"/>
            </w:tcBorders>
            <w:tcMar>
              <w:top w:w="28" w:type="dxa"/>
              <w:left w:w="160" w:type="dxa"/>
              <w:bottom w:w="120" w:type="dxa"/>
              <w:right w:w="40" w:type="dxa"/>
            </w:tcMar>
            <w:vAlign w:val="bottom"/>
          </w:tcPr>
          <w:p>
            <w:pPr>
              <w:pStyle w:val="TableContents"/>
              <w:bidi w:val="0"/>
              <w:spacing w:before="0" w:after="283"/>
              <w:jc w:val="center"/>
              <w:rPr>
                <w:b/>
              </w:rPr>
            </w:pPr>
            <w:r>
              <w:rPr>
                <w:b/>
              </w:rPr>
              <w:t>Country of Origin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China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Djibouti</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Brazil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Guinea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Australia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Ghana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Indonesia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Tanzania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Japan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Democratic Republic of Congo</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Peru</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Italy</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Canada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Saudi Arabia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Malaysia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Sweden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Germany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Belarus</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Spain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United Arab Emirates</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Russian Federation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Papua New Guinea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India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Eritrea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United Kingdom</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Morocco</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Chile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Poland</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United States of America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Zambia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Austria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Mali</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Niger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New Zealand</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Thailand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Sudan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Nigeria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Azerbaijan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Portugal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Benin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Argentina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Finland</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Belgium</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Guatemala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Ireland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Honduras</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France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Liechtenstein</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Myanmar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Nicaragua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Switzerland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Uganda</w:t>
            </w:r>
          </w:p>
        </w:tc>
      </w:tr>
      <w:tr>
        <w:trPr/>
        <w:tc>
          <w:tcPr>
            <w:tcW w:w="3025"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Colombia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78"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Angola</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tbl>
      <w:tblPr>
        <w:tblW w:w="3000" w:type="pct"/>
        <w:jc w:val="center"/>
        <w:tblInd w:w="0" w:type="dxa"/>
        <w:tblLayout w:type="fixed"/>
        <w:tblCellMar>
          <w:top w:w="0" w:type="dxa"/>
          <w:left w:w="0" w:type="dxa"/>
          <w:bottom w:w="0" w:type="dxa"/>
          <w:right w:w="0" w:type="dxa"/>
        </w:tblCellMar>
      </w:tblPr>
      <w:tblGrid>
        <w:gridCol w:w="3124"/>
        <w:gridCol w:w="120"/>
        <w:gridCol w:w="2879"/>
      </w:tblGrid>
      <w:tr>
        <w:trPr/>
        <w:tc>
          <w:tcPr>
            <w:tcW w:w="31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Mongolia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Armenia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Kazakhstan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Burkina Faso</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Singapore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Congo</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Mexico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El Salvador</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Israel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Jersey</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Hungary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Kyrgyzstan</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Guyana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Mauritania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Luxembourg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VietNam</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Ecuador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Bulgaria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Ethiopia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Central African Republic</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Cambodia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Dominican Republic</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Estonia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Georgia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Egypt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Liberia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Sierra Leone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Senegal</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Namibia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Tajikistan</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Madagascar</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Botswana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Rwanda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Cyprus</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Hong Kong</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Fiji</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Netherlands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Kenya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Slovakia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Lithuania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Korea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Oman</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Mozambique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Serbia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South Africa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South Sudan</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Bolivia (Plurinational State of)</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Uruguay</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Burundi</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Albania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Panama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Bermuda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Suriname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Dominica</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Philippines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Guam</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Taiwan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Ivory Coast</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Andorra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Norway</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Uzbekistan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Togo</w:t>
            </w:r>
          </w:p>
        </w:tc>
      </w:tr>
      <w:tr>
        <w:trPr/>
        <w:tc>
          <w:tcPr>
            <w:tcW w:w="3124" w:type="dxa"/>
            <w:tcBorders>
              <w:top w:val="single" w:sz="2" w:space="0" w:color="000000"/>
              <w:left w:val="single" w:sz="2" w:space="0" w:color="000000"/>
              <w:bottom w:val="single" w:sz="2" w:space="0" w:color="000000"/>
              <w:right w:val="single" w:sz="2" w:space="0" w:color="000000"/>
            </w:tcBorders>
            <w:tcMar>
              <w:top w:w="28" w:type="dxa"/>
              <w:left w:w="160" w:type="dxa"/>
              <w:bottom w:w="120" w:type="dxa"/>
              <w:right w:w="28" w:type="dxa"/>
            </w:tcMar>
          </w:tcPr>
          <w:p>
            <w:pPr>
              <w:pStyle w:val="TableContents"/>
              <w:bidi w:val="0"/>
              <w:spacing w:before="0" w:after="283"/>
              <w:jc w:val="center"/>
              <w:rPr/>
            </w:pPr>
            <w:r>
              <w:rPr/>
              <w:t>Turkey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79" w:type="dxa"/>
            <w:tcBorders>
              <w:top w:val="single" w:sz="2" w:space="0" w:color="000000"/>
              <w:bottom w:val="single" w:sz="2" w:space="0" w:color="000000"/>
              <w:right w:val="single" w:sz="2" w:space="0" w:color="000000"/>
            </w:tcBorders>
            <w:tcMar>
              <w:top w:w="28" w:type="dxa"/>
              <w:bottom w:w="120" w:type="dxa"/>
              <w:right w:w="40" w:type="dxa"/>
            </w:tcMar>
          </w:tcPr>
          <w:p>
            <w:pPr>
              <w:pStyle w:val="TableContents"/>
              <w:bidi w:val="0"/>
              <w:spacing w:before="0" w:after="283"/>
              <w:jc w:val="center"/>
              <w:rPr/>
            </w:pPr>
            <w:r>
              <w:rPr/>
              <w:t>Solomon Islands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8251</Words>
  <Characters>48897</Characters>
  <CharactersWithSpaces>58086</CharactersWithSpaces>
  <Paragraphs>3657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