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220"/>
        <w:spacing w:after="0"/>
        <w:rPr>
          <w:sz w:val="20"/>
          <w:szCs w:val="20"/>
          <w:color w:val="auto"/>
        </w:rPr>
      </w:pPr>
      <w:r>
        <w:rPr>
          <w:rFonts w:ascii="Arial" w:cs="Arial" w:eastAsia="Arial" w:hAnsi="Arial"/>
          <w:sz w:val="16"/>
          <w:szCs w:val="16"/>
          <w:b w:val="1"/>
          <w:bCs w:val="1"/>
          <w:color w:val="auto"/>
        </w:rPr>
        <w:t>March 31, 2010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297"/>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31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5599 SAN FELIPE, 17</w:t>
            </w:r>
            <w:r>
              <w:rPr>
                <w:rFonts w:ascii="Arial" w:cs="Arial" w:eastAsia="Arial" w:hAnsi="Arial"/>
                <w:sz w:val="11"/>
                <w:szCs w:val="11"/>
                <w:b w:val="1"/>
                <w:bCs w:val="1"/>
                <w:color w:val="auto"/>
                <w:w w:val="94"/>
              </w:rPr>
              <w:t>th</w:t>
            </w:r>
            <w:r>
              <w:rPr>
                <w:rFonts w:ascii="Arial" w:cs="Arial" w:eastAsia="Arial" w:hAnsi="Arial"/>
                <w:sz w:val="18"/>
                <w:szCs w:val="18"/>
                <w:b w:val="1"/>
                <w:bCs w:val="1"/>
                <w:color w:val="auto"/>
                <w:w w:val="94"/>
              </w:rPr>
              <w:t xml:space="preserve"> FLOOR</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31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7"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p>
      <w:pPr>
        <w:spacing w:after="0" w:line="207" w:lineRule="exact"/>
        <w:tabs>
          <w:tab w:leader="none" w:pos="2740" w:val="left"/>
          <w:tab w:leader="none" w:pos="5380" w:val="left"/>
          <w:tab w:leader="none" w:pos="8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jc w:val="center"/>
              <w:ind w:right="602"/>
              <w:spacing w:after="0"/>
              <w:rPr>
                <w:sz w:val="20"/>
                <w:szCs w:val="20"/>
                <w:color w:val="auto"/>
              </w:rPr>
            </w:pPr>
            <w:r>
              <w:rPr>
                <w:rFonts w:ascii="Arial" w:cs="Arial" w:eastAsia="Arial" w:hAnsi="Arial"/>
                <w:sz w:val="14"/>
                <w:szCs w:val="14"/>
                <w:b w:val="1"/>
                <w:bCs w:val="1"/>
                <w:color w:val="auto"/>
                <w:w w:val="80"/>
              </w:rPr>
              <w:t>Class</w:t>
            </w:r>
          </w:p>
        </w:tc>
        <w:tc>
          <w:tcPr>
            <w:tcW w:w="512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Outstanding at March 31, 2010</w:t>
            </w:r>
          </w:p>
        </w:tc>
      </w:tr>
      <w:tr>
        <w:trPr>
          <w:trHeight w:val="222"/>
        </w:trPr>
        <w:tc>
          <w:tcPr>
            <w:tcW w:w="6300" w:type="dxa"/>
            <w:vAlign w:val="bottom"/>
          </w:tcPr>
          <w:p>
            <w:pPr>
              <w:jc w:val="center"/>
              <w:ind w:right="582"/>
              <w:spacing w:after="0"/>
              <w:rPr>
                <w:sz w:val="20"/>
                <w:szCs w:val="20"/>
                <w:color w:val="auto"/>
              </w:rPr>
            </w:pPr>
            <w:r>
              <w:rPr>
                <w:rFonts w:ascii="Arial" w:cs="Arial" w:eastAsia="Arial" w:hAnsi="Arial"/>
                <w:sz w:val="18"/>
                <w:szCs w:val="18"/>
                <w:color w:val="auto"/>
                <w:w w:val="92"/>
              </w:rPr>
              <w:t>COMMON STOCK, $0.01 PAR VALUE PER SHARE</w:t>
            </w:r>
          </w:p>
        </w:tc>
        <w:tc>
          <w:tcPr>
            <w:tcW w:w="5120" w:type="dxa"/>
            <w:vAlign w:val="bottom"/>
          </w:tcPr>
          <w:p>
            <w:pPr>
              <w:jc w:val="right"/>
              <w:ind w:right="2102"/>
              <w:spacing w:after="0"/>
              <w:rPr>
                <w:sz w:val="20"/>
                <w:szCs w:val="20"/>
                <w:color w:val="auto"/>
              </w:rPr>
            </w:pPr>
            <w:r>
              <w:rPr>
                <w:rFonts w:ascii="Arial" w:cs="Arial" w:eastAsia="Arial" w:hAnsi="Arial"/>
                <w:sz w:val="18"/>
                <w:szCs w:val="18"/>
                <w:color w:val="auto"/>
              </w:rPr>
              <w:t>1,192,808,544</w:t>
            </w:r>
          </w:p>
        </w:tc>
      </w:tr>
      <w:tr>
        <w:trPr>
          <w:trHeight w:val="83"/>
        </w:trPr>
        <w:tc>
          <w:tcPr>
            <w:tcW w:w="6300" w:type="dxa"/>
            <w:vAlign w:val="bottom"/>
            <w:tcBorders>
              <w:bottom w:val="single" w:sz="8" w:color="auto"/>
            </w:tcBorders>
          </w:tcPr>
          <w:p>
            <w:pPr>
              <w:spacing w:after="0"/>
              <w:rPr>
                <w:sz w:val="7"/>
                <w:szCs w:val="7"/>
                <w:color w:val="auto"/>
              </w:rPr>
            </w:pPr>
          </w:p>
        </w:tc>
        <w:tc>
          <w:tcPr>
            <w:tcW w:w="5120" w:type="dxa"/>
            <w:vAlign w:val="bottom"/>
            <w:tcBorders>
              <w:bottom w:val="single" w:sz="8" w:color="auto"/>
            </w:tcBorders>
          </w:tcPr>
          <w:p>
            <w:pPr>
              <w:spacing w:after="0"/>
              <w:rPr>
                <w:sz w:val="7"/>
                <w:szCs w:val="7"/>
                <w:color w:val="auto"/>
              </w:rPr>
            </w:pP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2010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PART I</w:t>
            </w:r>
          </w:p>
        </w:tc>
        <w:tc>
          <w:tcPr>
            <w:tcW w:w="60" w:type="dxa"/>
            <w:vAlign w:val="bottom"/>
            <w:shd w:val="clear" w:color="auto" w:fill="CCEEFF"/>
          </w:tcPr>
          <w:p>
            <w:pPr>
              <w:spacing w:after="0"/>
              <w:rPr>
                <w:sz w:val="14"/>
                <w:szCs w:val="14"/>
                <w:color w:val="auto"/>
              </w:rPr>
            </w:pPr>
          </w:p>
        </w:tc>
        <w:tc>
          <w:tcPr>
            <w:tcW w:w="10500" w:type="dxa"/>
            <w:vAlign w:val="bottom"/>
            <w:gridSpan w:val="16"/>
            <w:shd w:val="clear" w:color="auto" w:fill="CCEEFF"/>
          </w:tcPr>
          <w:p>
            <w:pPr>
              <w:ind w:left="480"/>
              <w:spacing w:after="0" w:line="170"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500" w:type="dxa"/>
            <w:vAlign w:val="bottom"/>
            <w:gridSpan w:val="16"/>
          </w:tcPr>
          <w:p>
            <w:pPr>
              <w:ind w:left="48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500" w:type="dxa"/>
            <w:vAlign w:val="bottom"/>
            <w:gridSpan w:val="16"/>
            <w:shd w:val="clear" w:color="auto" w:fill="CCEEFF"/>
          </w:tcPr>
          <w:p>
            <w:pPr>
              <w:ind w:left="48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500" w:type="dxa"/>
            <w:vAlign w:val="bottom"/>
            <w:gridSpan w:val="16"/>
          </w:tcPr>
          <w:p>
            <w:pPr>
              <w:ind w:left="480"/>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194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500" w:type="dxa"/>
            <w:vAlign w:val="bottom"/>
            <w:gridSpan w:val="16"/>
            <w:shd w:val="clear" w:color="auto" w:fill="CCEEFF"/>
          </w:tcPr>
          <w:p>
            <w:pPr>
              <w:ind w:left="4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 w:type="dxa"/>
            <w:vAlign w:val="bottom"/>
            <w:gridSpan w:val="3"/>
          </w:tcPr>
          <w:p>
            <w:pPr>
              <w:spacing w:after="0"/>
              <w:rPr>
                <w:sz w:val="20"/>
                <w:szCs w:val="20"/>
                <w:color w:val="auto"/>
              </w:rPr>
            </w:pPr>
            <w:r>
              <w:rPr>
                <w:rFonts w:ascii="Arial" w:cs="Arial" w:eastAsia="Arial" w:hAnsi="Arial"/>
                <w:sz w:val="18"/>
                <w:szCs w:val="18"/>
                <w:b w:val="1"/>
                <w:bCs w:val="1"/>
                <w:color w:val="auto"/>
                <w:w w:val="96"/>
              </w:rPr>
              <w:t>PART II</w:t>
            </w:r>
          </w:p>
        </w:tc>
        <w:tc>
          <w:tcPr>
            <w:tcW w:w="10500" w:type="dxa"/>
            <w:vAlign w:val="bottom"/>
            <w:gridSpan w:val="16"/>
          </w:tcPr>
          <w:p>
            <w:pPr>
              <w:ind w:left="48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0500" w:type="dxa"/>
            <w:vAlign w:val="bottom"/>
            <w:gridSpan w:val="16"/>
            <w:shd w:val="clear" w:color="auto" w:fill="CCEEFF"/>
          </w:tcPr>
          <w:p>
            <w:pPr>
              <w:ind w:left="4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 w:type="dxa"/>
            <w:vAlign w:val="bottom"/>
            <w:gridSpan w:val="3"/>
          </w:tcPr>
          <w:p>
            <w:pPr>
              <w:spacing w:after="0"/>
              <w:rPr>
                <w:sz w:val="20"/>
                <w:szCs w:val="20"/>
                <w:color w:val="auto"/>
              </w:rPr>
            </w:pPr>
            <w:r>
              <w:rPr>
                <w:rFonts w:ascii="Arial" w:cs="Arial" w:eastAsia="Arial" w:hAnsi="Arial"/>
                <w:sz w:val="18"/>
                <w:szCs w:val="18"/>
                <w:color w:val="auto"/>
                <w:w w:val="92"/>
              </w:rPr>
              <w:t>Item 1A.</w:t>
            </w:r>
          </w:p>
        </w:tc>
        <w:tc>
          <w:tcPr>
            <w:tcW w:w="10500" w:type="dxa"/>
            <w:vAlign w:val="bottom"/>
            <w:gridSpan w:val="16"/>
          </w:tcPr>
          <w:p>
            <w:pPr>
              <w:ind w:left="480"/>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500" w:type="dxa"/>
            <w:vAlign w:val="bottom"/>
            <w:gridSpan w:val="16"/>
            <w:shd w:val="clear" w:color="auto" w:fill="CCEEFF"/>
          </w:tcPr>
          <w:p>
            <w:pPr>
              <w:ind w:left="4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500" w:type="dxa"/>
            <w:vAlign w:val="bottom"/>
            <w:gridSpan w:val="16"/>
          </w:tcPr>
          <w:p>
            <w:pPr>
              <w:ind w:left="480"/>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500" w:type="dxa"/>
            <w:vAlign w:val="bottom"/>
            <w:gridSpan w:val="16"/>
            <w:shd w:val="clear" w:color="auto" w:fill="CCEEFF"/>
          </w:tcPr>
          <w:p>
            <w:pPr>
              <w:ind w:left="4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[Removed and Reserved]</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0500" w:type="dxa"/>
            <w:vAlign w:val="bottom"/>
            <w:gridSpan w:val="16"/>
          </w:tcPr>
          <w:p>
            <w:pPr>
              <w:ind w:left="480"/>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500" w:type="dxa"/>
            <w:vAlign w:val="bottom"/>
            <w:gridSpan w:val="16"/>
            <w:shd w:val="clear" w:color="auto" w:fill="CCEEFF"/>
          </w:tcPr>
          <w:p>
            <w:pPr>
              <w:ind w:left="4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00" w:type="dxa"/>
            <w:vAlign w:val="bottom"/>
            <w:gridSpan w:val="16"/>
          </w:tcPr>
          <w:p>
            <w:pPr>
              <w:ind w:left="480"/>
              <w:spacing w:after="0"/>
              <w:rPr>
                <w:rFonts w:ascii="Arial" w:cs="Arial" w:eastAsia="Arial" w:hAnsi="Arial"/>
                <w:sz w:val="18"/>
                <w:szCs w:val="18"/>
                <w:color w:val="0000EE"/>
              </w:rPr>
            </w:pPr>
            <w:hyperlink w:anchor="page40">
              <w:r>
                <w:rPr>
                  <w:rFonts w:ascii="Arial" w:cs="Arial" w:eastAsia="Arial" w:hAnsi="Arial"/>
                  <w:sz w:val="18"/>
                  <w:szCs w:val="18"/>
                  <w:color w:val="0000EE"/>
                </w:rPr>
                <w:t>Certifications</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Borders>
              <w:top w:val="single" w:sz="8" w:color="0000EE"/>
            </w:tcBorders>
            <w:gridSpan w:val="3"/>
          </w:tcPr>
          <w:p>
            <w:pPr>
              <w:spacing w:after="0"/>
              <w:rPr>
                <w:sz w:val="24"/>
                <w:szCs w:val="24"/>
                <w:color w:val="auto"/>
              </w:rPr>
            </w:pPr>
          </w:p>
        </w:tc>
        <w:tc>
          <w:tcPr>
            <w:tcW w:w="5340" w:type="dxa"/>
            <w:vAlign w:val="bottom"/>
            <w:gridSpan w:val="11"/>
          </w:tcPr>
          <w:p>
            <w:pPr>
              <w:jc w:val="right"/>
              <w:ind w:right="16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w:t>
      </w:r>
      <w:r>
        <w:rPr>
          <w:sz w:val="20"/>
          <w:szCs w:val="20"/>
          <w:color w:val="auto"/>
        </w:rPr>
        <w:tab/>
      </w:r>
      <w:r>
        <w:rPr>
          <w:rFonts w:ascii="Arial" w:cs="Arial" w:eastAsia="Arial" w:hAnsi="Arial"/>
          <w:sz w:val="18"/>
          <w:szCs w:val="18"/>
          <w:b w:val="1"/>
          <w:bCs w:val="1"/>
          <w:u w:val="single" w:color="auto"/>
          <w:color w:val="auto"/>
        </w:rPr>
        <w:t>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87"/>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5,598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i w:val="1"/>
                <w:iCs w:val="1"/>
                <w:color w:val="auto"/>
              </w:rPr>
              <w:t>Interest &amp; other income, net</w:t>
            </w:r>
          </w:p>
        </w:tc>
        <w:tc>
          <w:tcPr>
            <w:tcW w:w="1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4,343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144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&amp; integration</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888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214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674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16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672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672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0.56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0.56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1,195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tcPr>
          <w:p>
            <w:pPr>
              <w:spacing w:after="0"/>
              <w:rPr>
                <w:sz w:val="19"/>
                <w:szCs w:val="19"/>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1,215</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Mar. 31, 2010</w:t>
            </w: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(2010—$144; 2009—$160)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2,360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5,397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32,883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Long-term debt—current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Convertible debentures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6,754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14,236</w:t>
            </w:r>
          </w:p>
        </w:tc>
        <w:tc>
          <w:tcPr>
            <w:tcW w:w="0" w:type="dxa"/>
            <w:vAlign w:val="bottom"/>
          </w:tcPr>
          <w:p>
            <w:pPr>
              <w:spacing w:after="0"/>
              <w:rPr>
                <w:sz w:val="1"/>
                <w:szCs w:val="1"/>
                <w:color w:val="auto"/>
              </w:rPr>
            </w:pPr>
          </w:p>
        </w:tc>
      </w:tr>
      <w:tr>
        <w:trPr>
          <w:trHeight w:val="222"/>
        </w:trPr>
        <w:tc>
          <w:tcPr>
            <w:tcW w:w="9300" w:type="dxa"/>
            <w:vAlign w:val="bottom"/>
            <w:gridSpan w:val="2"/>
          </w:tcPr>
          <w:p>
            <w:pPr>
              <w:spacing w:after="0"/>
              <w:rPr>
                <w:sz w:val="20"/>
                <w:szCs w:val="20"/>
                <w:color w:val="auto"/>
              </w:rPr>
            </w:pPr>
            <w:r>
              <w:rPr>
                <w:rFonts w:ascii="Arial" w:cs="Arial" w:eastAsia="Arial" w:hAnsi="Arial"/>
                <w:sz w:val="18"/>
                <w:szCs w:val="18"/>
                <w:i w:val="1"/>
                <w:iCs w:val="1"/>
                <w:color w:val="auto"/>
              </w:rPr>
              <w:t>Equity</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(5,221)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22,440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(2,632)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Schlumberger stockholders’ equity</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32,883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jc w:val="center"/>
              <w:ind w:left="42"/>
              <w:spacing w:after="0"/>
              <w:rPr>
                <w:sz w:val="20"/>
                <w:szCs w:val="20"/>
                <w:color w:val="auto"/>
              </w:rPr>
            </w:pPr>
            <w:r>
              <w:rPr>
                <w:rFonts w:ascii="Arial" w:cs="Arial" w:eastAsia="Arial" w:hAnsi="Arial"/>
                <w:sz w:val="14"/>
                <w:szCs w:val="14"/>
                <w:i w:val="1"/>
                <w:iCs w:val="1"/>
                <w:color w:val="auto"/>
                <w:w w:val="92"/>
              </w:rPr>
              <w:t>(Stated in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674</w:t>
            </w:r>
          </w:p>
        </w:tc>
        <w:tc>
          <w:tcPr>
            <w:tcW w:w="60" w:type="dxa"/>
            <w:vAlign w:val="bottom"/>
          </w:tcPr>
          <w:p>
            <w:pPr>
              <w:spacing w:after="0"/>
              <w:rPr>
                <w:sz w:val="18"/>
                <w:szCs w:val="18"/>
                <w:color w:val="auto"/>
              </w:rPr>
            </w:pPr>
          </w:p>
        </w:tc>
        <w:tc>
          <w:tcPr>
            <w:tcW w:w="760" w:type="dxa"/>
            <w:vAlign w:val="bottom"/>
            <w:gridSpan w:val="2"/>
          </w:tcPr>
          <w:p>
            <w:pPr>
              <w:jc w:val="center"/>
              <w:ind w:left="56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Pension and other postretirement benefits expense</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Pension and other postretirement benefits funding</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Other non-cash items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Decrease (increase) in receivables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inventories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Decrease (increase) in other current assets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Decrease in estimated liability for taxes on income</w:t>
            </w: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other liabilities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860"/>
              <w:spacing w:after="0"/>
              <w:rPr>
                <w:sz w:val="20"/>
                <w:szCs w:val="20"/>
                <w:color w:val="auto"/>
              </w:rPr>
            </w:pPr>
            <w:r>
              <w:rPr>
                <w:rFonts w:ascii="Arial" w:cs="Arial" w:eastAsia="Arial" w:hAnsi="Arial"/>
                <w:sz w:val="18"/>
                <w:szCs w:val="18"/>
                <w:color w:val="auto"/>
              </w:rPr>
              <w:t>Other-net</w:t>
            </w:r>
          </w:p>
        </w:tc>
        <w:tc>
          <w:tcPr>
            <w:tcW w:w="12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Multiclient seismic data capitalized</w:t>
            </w: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Business acquisitions and investments, net of cash acquired</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Sale (purchase) of investments, net</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468</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spacing w:after="0"/>
              <w:rPr>
                <w:sz w:val="20"/>
                <w:szCs w:val="20"/>
                <w:color w:val="auto"/>
              </w:rPr>
            </w:pPr>
            <w:r>
              <w:rPr>
                <w:rFonts w:ascii="Arial" w:cs="Arial" w:eastAsia="Arial" w:hAnsi="Arial"/>
                <w:sz w:val="18"/>
                <w:szCs w:val="18"/>
                <w:color w:val="auto"/>
              </w:rPr>
              <w:t>NET CASH USED BY INVESTING ACTIVITIES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5"/>
              </w:rPr>
              <w:t>(194)</w:t>
            </w:r>
          </w:p>
        </w:tc>
        <w:tc>
          <w:tcPr>
            <w:tcW w:w="2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benefits on stock options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Stock repurchase program</w:t>
            </w: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(337)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Repayment of long-term debt</w:t>
            </w: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increase in short-term borrowings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(767)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2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center"/>
              <w:ind w:left="56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January 1, 2009 - March 31, 2009</w:t>
            </w:r>
          </w:p>
        </w:tc>
        <w:tc>
          <w:tcPr>
            <w:tcW w:w="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Issued</w:t>
            </w:r>
          </w:p>
        </w:tc>
        <w:tc>
          <w:tcPr>
            <w:tcW w:w="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Treasury</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January 1, 2009</w:t>
            </w:r>
          </w:p>
        </w:tc>
        <w:tc>
          <w:tcPr>
            <w:tcW w:w="2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$4,668</w:t>
            </w:r>
          </w:p>
        </w:tc>
        <w:tc>
          <w:tcPr>
            <w:tcW w:w="28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2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Dividends declared ($0.21 per share)</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benefits on stock options</w:t>
            </w:r>
          </w:p>
        </w:tc>
        <w:tc>
          <w:tcPr>
            <w:tcW w:w="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Balance, March 31, 2009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4,719</w:t>
            </w:r>
          </w:p>
        </w:tc>
        <w:tc>
          <w:tcPr>
            <w:tcW w:w="28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(4,717)</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20,578</w:t>
            </w:r>
          </w:p>
        </w:tc>
        <w:tc>
          <w:tcPr>
            <w:tcW w:w="280" w:type="dxa"/>
            <w:vAlign w:val="bottom"/>
          </w:tcPr>
          <w:p>
            <w:pPr>
              <w:spacing w:after="0"/>
              <w:rPr>
                <w:sz w:val="19"/>
                <w:szCs w:val="19"/>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(2,969)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11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20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January 1, 2010 - March 31, 2010</w:t>
            </w:r>
          </w:p>
        </w:tc>
        <w:tc>
          <w:tcPr>
            <w:tcW w:w="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Issued</w:t>
            </w: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 Treasury</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January 1, 2010</w:t>
            </w:r>
          </w:p>
        </w:tc>
        <w:tc>
          <w:tcPr>
            <w:tcW w:w="2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$4,777</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$22,019</w:t>
            </w:r>
          </w:p>
        </w:tc>
        <w:tc>
          <w:tcPr>
            <w:tcW w:w="2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($0.21 per share)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Balance, March 31, 2010</w:t>
            </w:r>
          </w:p>
        </w:tc>
        <w:tc>
          <w:tcPr>
            <w:tcW w:w="5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3"/>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(5,221)</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22,440</w:t>
            </w:r>
          </w:p>
        </w:tc>
        <w:tc>
          <w:tcPr>
            <w:tcW w:w="280" w:type="dxa"/>
            <w:vAlign w:val="bottom"/>
          </w:tcPr>
          <w:p>
            <w:pPr>
              <w:spacing w:after="0"/>
              <w:rPr>
                <w:sz w:val="19"/>
                <w:szCs w:val="19"/>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(2,632)</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49"/>
        </w:trPr>
        <w:tc>
          <w:tcPr>
            <w:tcW w:w="8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r>
      <w:tr>
        <w:trPr>
          <w:trHeight w:val="161"/>
        </w:trPr>
        <w:tc>
          <w:tcPr>
            <w:tcW w:w="83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5"/>
              </w:rPr>
              <w:t>Issued</w:t>
            </w: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In Treasury</w:t>
            </w:r>
          </w:p>
        </w:tc>
        <w:tc>
          <w:tcPr>
            <w:tcW w:w="4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Outstanding</w:t>
            </w:r>
          </w:p>
        </w:tc>
      </w:tr>
      <w:tr>
        <w:trPr>
          <w:trHeight w:val="20"/>
        </w:trPr>
        <w:tc>
          <w:tcPr>
            <w:tcW w:w="8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1,334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Stock repurchase plan</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conversion of debebtures</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Balance, March 31, 2010</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1,334</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(141)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1,193</w:t>
            </w:r>
          </w:p>
        </w:tc>
      </w:tr>
      <w:tr>
        <w:trPr>
          <w:trHeight w:val="20"/>
        </w:trPr>
        <w:tc>
          <w:tcPr>
            <w:tcW w:w="8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 month period ended March 31, 2010 are not necessarily indicative of the results that may be expected for the full year ending December 31, 2010. The December 31, 2009 balance sheet information has been derived from the audited 2009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2009, filed with the Securities and Exchange Commission on February 5,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 have been reclassified to conform to the current year presentation.</w:t>
      </w:r>
    </w:p>
    <w:p>
      <w:pPr>
        <w:spacing w:after="0" w:line="24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Recently Announced Transactions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February 21, 2010, Schlumberger and Smith International, Inc. (“Smith”) jointly announced that their Boards of Directors approved a definitive merger agreement in which the companies would combine in a stock-for-stock transaction. Under the terms of the agreement, Smith shareholders will receive 0.6966 shares of Schlumberger in exchange for each Smith share. Schlumberger estimates that it will issue approximately 177 million shares of its common stock in this transaction. The value of this transaction using the Schlumberger’s stock price at the end of March is approximately $11.2 billion. Such amount excludes Smith’s net debt which was $1.2 billion as of December 31, 2009. Smith is a leading supplier of premium products and services to the oil and gas exploration and production industry and reported revenues of $8.2 billion in 2009. The transaction is subject to various conditions including Smith stockholder approval and customary regulatory approvals, including the expiration of the applicable waiting period under the Hart-Scott-Rodino Antitrust Improvements Act of 1976. It is anticipated that the closing of the transaction will occur in the latter half of 2010.</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24, 2010, Schlumberger announced the acquisition of Geoservices, a privately owned oilfield services company specializing in mud logging, slickline and production surveillance operations. The purchase price is approximately $0.9 billion, excluding net debt assumed of approximately $0.1 billion. Geoservices’ revenue in 2009 was approximately $0.5 billion. This transaction closed on April 23, 2010.</w:t>
      </w:r>
    </w:p>
    <w:p>
      <w:pPr>
        <w:spacing w:after="0" w:line="21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first quarter of 2010:</w:t>
      </w:r>
    </w:p>
    <w:p>
      <w:pPr>
        <w:spacing w:after="0" w:line="90" w:lineRule="exact"/>
        <w:rPr>
          <w:sz w:val="20"/>
          <w:szCs w:val="20"/>
          <w:color w:val="auto"/>
        </w:rPr>
      </w:pPr>
    </w:p>
    <w:p>
      <w:pPr>
        <w:ind w:left="900" w:right="6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Schlumberger incurred $35 million of merger-related costs in connection with the Smith and Geoservices transactions. These costs primarily consist of advisory and legal fees and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900" w:right="22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During March 2010, the Patient Protection and Affordable Care Act (PPACA) was signed into law in the United States. Among other things, the PPACA eliminates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 This charge is classified in </w:t>
      </w:r>
      <w:r>
        <w:rPr>
          <w:rFonts w:ascii="Arial" w:cs="Arial" w:eastAsia="Arial" w:hAnsi="Arial"/>
          <w:sz w:val="16"/>
          <w:szCs w:val="16"/>
          <w:i w:val="1"/>
          <w:iCs w:val="1"/>
          <w:color w:val="auto"/>
        </w:rPr>
        <w:t>Taxes on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8460" w:type="dxa"/>
            <w:vAlign w:val="bottom"/>
          </w:tcPr>
          <w:p>
            <w:pPr>
              <w:spacing w:after="0"/>
              <w:rPr>
                <w:sz w:val="14"/>
                <w:szCs w:val="14"/>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Pretax</w:t>
            </w:r>
          </w:p>
        </w:tc>
        <w:tc>
          <w:tcPr>
            <w:tcW w:w="50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Tax</w:t>
            </w:r>
          </w:p>
        </w:tc>
        <w:tc>
          <w:tcPr>
            <w:tcW w:w="5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Net</w:t>
            </w: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 Merger-related transaction costs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7"/>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 Impact of elimination of tax deduction related to Medicare Part D subsidy</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8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the first quarter of 2009.</w:t>
      </w:r>
    </w:p>
    <w:p>
      <w:pPr>
        <w:spacing w:after="0" w:line="24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6"/>
          </w:tcPr>
          <w:p>
            <w:pPr>
              <w:jc w:val="right"/>
              <w:ind w:right="20"/>
              <w:spacing w:after="0"/>
              <w:rPr>
                <w:sz w:val="20"/>
                <w:szCs w:val="20"/>
                <w:color w:val="auto"/>
              </w:rPr>
            </w:pPr>
            <w:r>
              <w:rPr>
                <w:rFonts w:ascii="Arial" w:cs="Arial" w:eastAsia="Arial" w:hAnsi="Arial"/>
                <w:sz w:val="14"/>
                <w:szCs w:val="14"/>
                <w:i w:val="1"/>
                <w:iCs w:val="1"/>
                <w:color w:val="auto"/>
                <w:w w:val="87"/>
              </w:rPr>
              <w:t>(Stated in millions, except per share amounts)</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27"/>
              <w:spacing w:after="0"/>
              <w:rPr>
                <w:sz w:val="20"/>
                <w:szCs w:val="20"/>
                <w:color w:val="auto"/>
              </w:rPr>
            </w:pPr>
            <w:r>
              <w:rPr>
                <w:rFonts w:ascii="Arial" w:cs="Arial" w:eastAsia="Arial" w:hAnsi="Arial"/>
                <w:sz w:val="14"/>
                <w:szCs w:val="14"/>
                <w:b w:val="1"/>
                <w:bCs w:val="1"/>
                <w:color w:val="auto"/>
              </w:rPr>
              <w:t>2009</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Schlumberger</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3"/>
              </w:rPr>
              <w:t>Schlumberger</w:t>
            </w:r>
          </w:p>
        </w:tc>
        <w:tc>
          <w:tcPr>
            <w:tcW w:w="50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Earnings</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5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per Share</w:t>
            </w:r>
          </w:p>
        </w:tc>
      </w:tr>
      <w:tr>
        <w:trPr>
          <w:trHeight w:val="190"/>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First Quarter</w:t>
            </w:r>
          </w:p>
        </w:tc>
        <w:tc>
          <w:tcPr>
            <w:tcW w:w="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3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CCEEFF"/>
            </w:tcBorders>
            <w:gridSpan w:val="2"/>
          </w:tcPr>
          <w:p>
            <w:pPr>
              <w:ind w:left="240"/>
              <w:spacing w:after="0"/>
              <w:rPr>
                <w:sz w:val="20"/>
                <w:szCs w:val="20"/>
                <w:color w:val="auto"/>
              </w:rPr>
            </w:pPr>
            <w:r>
              <w:rPr>
                <w:rFonts w:ascii="Arial" w:cs="Arial" w:eastAsia="Arial" w:hAnsi="Arial"/>
                <w:sz w:val="18"/>
                <w:szCs w:val="18"/>
                <w:b w:val="1"/>
                <w:bCs w:val="1"/>
                <w:color w:val="auto"/>
                <w:w w:val="86"/>
              </w:rPr>
              <w:t>672</w:t>
            </w: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b w:val="1"/>
                <w:bCs w:val="1"/>
                <w:color w:val="auto"/>
              </w:rPr>
              <w:t>1,195</w:t>
            </w:r>
          </w:p>
        </w:tc>
        <w:tc>
          <w:tcPr>
            <w:tcW w:w="46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b w:val="1"/>
                <w:bCs w:val="1"/>
                <w:color w:val="auto"/>
              </w:rPr>
              <w:t>0.56</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ind w:left="540"/>
              <w:spacing w:after="0"/>
              <w:rPr>
                <w:sz w:val="20"/>
                <w:szCs w:val="20"/>
                <w:color w:val="auto"/>
              </w:rPr>
            </w:pPr>
            <w:r>
              <w:rPr>
                <w:rFonts w:ascii="Arial" w:cs="Arial" w:eastAsia="Arial" w:hAnsi="Arial"/>
                <w:sz w:val="18"/>
                <w:szCs w:val="18"/>
                <w:color w:val="auto"/>
                <w:w w:val="93"/>
              </w:rPr>
              <w:t>938</w:t>
            </w:r>
          </w:p>
        </w:tc>
        <w:tc>
          <w:tcPr>
            <w:tcW w:w="1880" w:type="dxa"/>
            <w:vAlign w:val="bottom"/>
            <w:tcBorders>
              <w:top w:val="single" w:sz="8" w:color="CCEEFF"/>
            </w:tcBorders>
            <w:gridSpan w:val="3"/>
          </w:tcPr>
          <w:p>
            <w:pPr>
              <w:jc w:val="right"/>
              <w:ind w:right="560"/>
              <w:spacing w:after="0"/>
              <w:rPr>
                <w:sz w:val="20"/>
                <w:szCs w:val="20"/>
                <w:color w:val="auto"/>
              </w:rPr>
            </w:pPr>
            <w:r>
              <w:rPr>
                <w:rFonts w:ascii="Arial" w:cs="Arial" w:eastAsia="Arial" w:hAnsi="Arial"/>
                <w:sz w:val="18"/>
                <w:szCs w:val="18"/>
                <w:color w:val="auto"/>
              </w:rPr>
              <w:t>1,196</w:t>
            </w:r>
          </w:p>
        </w:tc>
        <w:tc>
          <w:tcPr>
            <w:tcW w:w="200" w:type="dxa"/>
            <w:vAlign w:val="bottom"/>
            <w:tcBorders>
              <w:top w:val="single" w:sz="8" w:color="CCEEFF"/>
            </w:tcBorders>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2</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Assumed exercise of stock options</w:t>
            </w:r>
          </w:p>
        </w:tc>
        <w:tc>
          <w:tcPr>
            <w:tcW w:w="32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674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1,215</w:t>
            </w:r>
          </w:p>
        </w:tc>
        <w:tc>
          <w:tcPr>
            <w:tcW w:w="28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0.56</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79"/>
              </w:rPr>
              <w:t>940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56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70" w:lineRule="exact"/>
        <w:rPr>
          <w:sz w:val="20"/>
          <w:szCs w:val="20"/>
          <w:color w:val="auto"/>
        </w:rPr>
      </w:pPr>
    </w:p>
    <w:p>
      <w:pPr>
        <w:ind w:left="9460"/>
        <w:spacing w:after="0"/>
        <w:rPr>
          <w:sz w:val="20"/>
          <w:szCs w:val="20"/>
          <w:color w:val="auto"/>
        </w:rPr>
      </w:pPr>
      <w:r>
        <w:rPr>
          <w:rFonts w:ascii="Arial" w:cs="Arial" w:eastAsia="Arial" w:hAnsi="Arial"/>
          <w:sz w:val="14"/>
          <w:szCs w:val="14"/>
          <w:i w:val="1"/>
          <w:iCs w:val="1"/>
          <w:color w:val="auto"/>
        </w:rPr>
        <w:t>(Stated in millions)</w:t>
      </w:r>
    </w:p>
    <w:p>
      <w:pPr>
        <w:ind w:left="9020"/>
        <w:spacing w:after="0" w:line="219" w:lineRule="auto"/>
        <w:tabs>
          <w:tab w:leader="none" w:pos="1012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tbl>
      <w:tblPr>
        <w:tblLayout w:type="fixed"/>
        <w:tblInd w:w="920" w:type="dxa"/>
        <w:tblCellMar>
          <w:top w:w="0" w:type="dxa"/>
          <w:left w:w="0" w:type="dxa"/>
          <w:bottom w:w="0" w:type="dxa"/>
          <w:right w:w="0" w:type="dxa"/>
        </w:tblCellMar>
      </w:tblP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first quarter of 2010, Schlumberger made certain acquisitions and minority interest investments for $117 million, net of cash acquired, none of which were significant on an individual basis or in the aggregate.</w:t>
      </w:r>
    </w:p>
    <w:p>
      <w:pPr>
        <w:spacing w:after="0" w:line="20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 31</w:t>
            </w:r>
          </w:p>
        </w:tc>
        <w:tc>
          <w:tcPr>
            <w:tcW w:w="4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Work in process</w:t>
            </w:r>
          </w:p>
        </w:tc>
        <w:tc>
          <w:tcPr>
            <w:tcW w:w="5100" w:type="dxa"/>
            <w:vAlign w:val="bottom"/>
            <w:gridSpan w:val="2"/>
          </w:tcPr>
          <w:p>
            <w:pPr>
              <w:jc w:val="right"/>
              <w:spacing w:after="0"/>
              <w:rPr>
                <w:sz w:val="20"/>
                <w:szCs w:val="20"/>
                <w:color w:val="auto"/>
              </w:rPr>
            </w:pPr>
            <w:r>
              <w:rPr>
                <w:rFonts w:ascii="Arial" w:cs="Arial" w:eastAsia="Arial" w:hAnsi="Arial"/>
                <w:sz w:val="18"/>
                <w:szCs w:val="18"/>
                <w:b w:val="1"/>
                <w:bCs w:val="1"/>
                <w:color w:val="auto"/>
              </w:rPr>
              <w:t>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1,851</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600" w:type="dxa"/>
            <w:vAlign w:val="bottom"/>
            <w:vMerge w:val="restart"/>
          </w:tcPr>
          <w:p>
            <w:pPr>
              <w:jc w:val="right"/>
              <w:ind w:right="3172"/>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i w:val="1"/>
                <w:iCs w:val="1"/>
                <w:color w:val="auto"/>
                <w:w w:val="93"/>
              </w:rPr>
              <w:t>(Stated in millions)</w:t>
            </w:r>
          </w:p>
        </w:tc>
      </w:tr>
      <w:tr>
        <w:trPr>
          <w:trHeight w:val="149"/>
        </w:trPr>
        <w:tc>
          <w:tcPr>
            <w:tcW w:w="50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Dec. 31</w:t>
            </w:r>
          </w:p>
        </w:tc>
      </w:tr>
      <w:tr>
        <w:trPr>
          <w:trHeight w:val="161"/>
        </w:trPr>
        <w:tc>
          <w:tcPr>
            <w:tcW w:w="5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2009</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3"/>
              </w:rPr>
              <w:t>21,820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21,505</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3"/>
              </w:rPr>
              <w:t>12,275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11,845</w:t>
            </w:r>
          </w:p>
        </w:tc>
      </w:tr>
      <w:tr>
        <w:trPr>
          <w:trHeight w:val="27"/>
        </w:trPr>
        <w:tc>
          <w:tcPr>
            <w:tcW w:w="50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216"/>
        </w:trPr>
        <w:tc>
          <w:tcPr>
            <w:tcW w:w="50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r>
      <w:tr>
        <w:trPr>
          <w:trHeight w:val="20"/>
        </w:trPr>
        <w:tc>
          <w:tcPr>
            <w:tcW w:w="5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$547 million and $530 million in the first quarters of 2010 and 2009, respectively.</w:t>
      </w:r>
    </w:p>
    <w:p>
      <w:pPr>
        <w:sectPr>
          <w:pgSz w:w="11900" w:h="16838" w:orient="portrait"/>
          <w:cols w:equalWidth="0" w:num="1">
            <w:col w:w="11420"/>
          </w:cols>
          <w:pgMar w:left="240" w:top="459" w:right="239" w:bottom="1440" w:gutter="0" w:footer="0" w:header="0"/>
        </w:sectPr>
      </w:pPr>
    </w:p>
    <w:p>
      <w:pPr>
        <w:spacing w:after="0" w:line="24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The change in the carrying amount of multiclient seismic data for the three months ended March 31, 2010 was as follows:</w:t>
      </w:r>
    </w:p>
    <w:p>
      <w:pPr>
        <w:spacing w:after="0" w:line="3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Charged to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March 31,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6" w:hanging="786"/>
        <w:spacing w:after="0"/>
        <w:tabs>
          <w:tab w:leader="none" w:pos="7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288</w:t>
      </w:r>
    </w:p>
    <w:p>
      <w:pPr>
        <w:spacing w:after="0" w:line="1" w:lineRule="exact"/>
        <w:rPr>
          <w:rFonts w:ascii="Arial" w:cs="Arial" w:eastAsia="Arial" w:hAnsi="Arial"/>
          <w:sz w:val="18"/>
          <w:szCs w:val="18"/>
          <w:color w:val="auto"/>
        </w:rPr>
      </w:pPr>
    </w:p>
    <w:p>
      <w:pPr>
        <w:ind w:left="866"/>
        <w:spacing w:after="0"/>
        <w:rPr>
          <w:rFonts w:ascii="Arial" w:cs="Arial" w:eastAsia="Arial" w:hAnsi="Arial"/>
          <w:sz w:val="18"/>
          <w:szCs w:val="18"/>
          <w:color w:val="auto"/>
        </w:rPr>
      </w:pPr>
      <w:r>
        <w:rPr>
          <w:rFonts w:ascii="Arial" w:cs="Arial" w:eastAsia="Arial" w:hAnsi="Arial"/>
          <w:sz w:val="18"/>
          <w:szCs w:val="18"/>
          <w:color w:val="auto"/>
        </w:rPr>
        <w:t>91</w:t>
      </w:r>
    </w:p>
    <w:p>
      <w:pPr>
        <w:spacing w:after="0" w:line="9"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60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 w:lineRule="exact"/>
        <w:rPr>
          <w:sz w:val="20"/>
          <w:szCs w:val="20"/>
          <w:color w:val="auto"/>
        </w:rPr>
      </w:pPr>
    </w:p>
    <w:p>
      <w:pPr>
        <w:ind w:left="786" w:hanging="786"/>
        <w:spacing w:after="0"/>
        <w:tabs>
          <w:tab w:leader="none" w:pos="7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60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660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34" w:space="720"/>
            <w:col w:w="2066"/>
          </w:cols>
          <w:pgMar w:left="240" w:top="459" w:right="239" w:bottom="1440" w:gutter="0" w:footer="0" w:header="0"/>
          <w:type w:val="continuous"/>
        </w:sectPr>
      </w:pPr>
    </w:p>
    <w:p>
      <w:pPr>
        <w:spacing w:after="0" w:line="10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three months ended March 31, 2010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Oilfield</w:t>
            </w:r>
          </w:p>
        </w:tc>
        <w:tc>
          <w:tcPr>
            <w:tcW w:w="2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Western</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Geco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$4,290</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Balance at March 31, 2010</w:t>
            </w: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4,358</w:t>
            </w:r>
          </w:p>
        </w:tc>
        <w:tc>
          <w:tcPr>
            <w:tcW w:w="28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Mar. 31, 2010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 31, 2009</w:t>
            </w:r>
          </w:p>
        </w:tc>
        <w:tc>
          <w:tcPr>
            <w:tcW w:w="1060" w:type="dxa"/>
            <w:vAlign w:val="bottom"/>
            <w:gridSpan w:val="4"/>
          </w:tcPr>
          <w:p>
            <w:pPr>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36"/>
        </w:trPr>
        <w:tc>
          <w:tcPr>
            <w:tcW w:w="4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w w:val="83"/>
              </w:rPr>
              <w:t>Gross</w:t>
            </w:r>
          </w:p>
        </w:tc>
        <w:tc>
          <w:tcPr>
            <w:tcW w:w="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5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0"/>
              </w:rPr>
              <w:t>Value</w:t>
            </w:r>
          </w:p>
        </w:tc>
        <w:tc>
          <w:tcPr>
            <w:tcW w:w="50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163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561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vMerge w:val="restart"/>
          </w:tcPr>
          <w:p>
            <w:pPr>
              <w:jc w:val="right"/>
              <w:ind w:right="237"/>
              <w:spacing w:after="0"/>
              <w:rPr>
                <w:sz w:val="20"/>
                <w:szCs w:val="20"/>
                <w:color w:val="auto"/>
              </w:rPr>
            </w:pPr>
            <w:r>
              <w:rPr>
                <w:rFonts w:ascii="Arial" w:cs="Arial" w:eastAsia="Arial" w:hAnsi="Arial"/>
                <w:sz w:val="18"/>
                <w:szCs w:val="18"/>
                <w:color w:val="auto"/>
                <w:w w:val="79"/>
              </w:rPr>
              <w:t>10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$28 million during the first quarter of 2010 and $29 million during the same period of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the net book value of intangible assets at March 31, 2010, amortization charged to income for the subsequent five years is estimated to be: remainder of 2010 – $91 million; 2011 – $109 million; 2012– $90 million; 2013 – $73 million; 2014 – $68 million and 2015 – $61 million.</w:t>
      </w:r>
    </w:p>
    <w:p>
      <w:pPr>
        <w:spacing w:after="0" w:line="20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multinational company, Schlumberger conducts its business in approximately 80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 – reported expenses will increase (decrease).</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are reclassified into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or periods that the hedged item is recognized in earnings. The ineffective portion of changes in the fair value of the hedged item is recorded directly to earnings.</w:t>
      </w:r>
    </w:p>
    <w:p>
      <w:pPr>
        <w:spacing w:after="0" w:line="14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 xml:space="preserve">At March 31, 2010, Schlumberger recognized a cumulative net $18 million gain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8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2010, contracts were outstanding for the US dollar equivalent of $4.3 billion in various foreign currencies.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commodities, such as copper and lead. Schlumberger has entered into forward contracts on these commodities to manage the price risk associated with forecasted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third quarter of 2009, Schlumberger entered into interest rate swaps relating to two of its debt instruments. The first swap was for a notional amount of $600 million in order to hedge a portion of the changes in fair value of Schlumberger’s $650 million 6.50% Notes due 2012. Under the terms of this swap agreement, Schlumberger will receive interest at a fixed rate of 6.5% semi-annually and will pay interest semi-annually at a floating rate of one-month LIBOR plus a spread of 4.84%. The second swap was for a notional amount of $450 million in order to hedge changes in the fair value of Schlumberger’s $450 million 3.00% Notes due 2013. Under the terms of this swap, Schlumberger will receive interest at a fixed rate of 3.0% annually and will pay interest quarterly at a floating rate of three-month LIBOR plus a spread of 0.765%.</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These interest rate swaps are designated as fair value hedges of the underlying debt. These derivative instruments are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March 31, 2010, Schlumberger had fixed rate debt aggregating approximately $3.0 billion and variable rate debt aggregating approximately $2.0 billion, after taking into account the effects of the interest rate swaps.</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approximately $4.6 billion at March 31, 2010, and are comprised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money market funds, eurodollar time deposits, certificates of deposit, commercial paper, euro notes and Eurobonds, and are substantially all denominated in US dollars. The carrying value of these investments approximates fair value, which was estimated using quoted market prices for those or similar investments.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(Stated in millions)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5140" w:type="dxa"/>
            <w:vAlign w:val="bottom"/>
          </w:tcPr>
          <w:p>
            <w:pPr>
              <w:spacing w:after="0"/>
              <w:rPr>
                <w:sz w:val="14"/>
                <w:szCs w:val="14"/>
                <w:color w:val="auto"/>
              </w:rPr>
            </w:pPr>
          </w:p>
        </w:tc>
        <w:tc>
          <w:tcPr>
            <w:tcW w:w="18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Fair Value of Derivatives</w:t>
            </w:r>
          </w:p>
        </w:tc>
        <w:tc>
          <w:tcPr>
            <w:tcW w:w="52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Classification</w:t>
            </w:r>
          </w:p>
        </w:tc>
      </w:tr>
      <w:tr>
        <w:trPr>
          <w:trHeight w:val="129"/>
        </w:trPr>
        <w:tc>
          <w:tcPr>
            <w:tcW w:w="5140" w:type="dxa"/>
            <w:vAlign w:val="bottom"/>
          </w:tcPr>
          <w:p>
            <w:pPr>
              <w:spacing w:after="0"/>
              <w:rPr>
                <w:sz w:val="11"/>
                <w:szCs w:val="11"/>
                <w:color w:val="auto"/>
              </w:rPr>
            </w:pPr>
          </w:p>
        </w:tc>
        <w:tc>
          <w:tcPr>
            <w:tcW w:w="940" w:type="dxa"/>
            <w:vAlign w:val="bottom"/>
          </w:tcPr>
          <w:p>
            <w:pPr>
              <w:jc w:val="center"/>
              <w:ind w:right="192"/>
              <w:spacing w:after="0" w:line="129" w:lineRule="exact"/>
              <w:rPr>
                <w:sz w:val="20"/>
                <w:szCs w:val="20"/>
                <w:color w:val="auto"/>
              </w:rPr>
            </w:pPr>
            <w:r>
              <w:rPr>
                <w:rFonts w:ascii="Arial" w:cs="Arial" w:eastAsia="Arial" w:hAnsi="Arial"/>
                <w:sz w:val="14"/>
                <w:szCs w:val="14"/>
                <w:b w:val="1"/>
                <w:bCs w:val="1"/>
                <w:color w:val="auto"/>
                <w:w w:val="91"/>
              </w:rPr>
              <w:t>Mar. 31</w:t>
            </w:r>
          </w:p>
        </w:tc>
        <w:tc>
          <w:tcPr>
            <w:tcW w:w="940" w:type="dxa"/>
            <w:vAlign w:val="bottom"/>
          </w:tcPr>
          <w:p>
            <w:pPr>
              <w:jc w:val="center"/>
              <w:ind w:left="172"/>
              <w:spacing w:after="0" w:line="129" w:lineRule="exact"/>
              <w:rPr>
                <w:sz w:val="20"/>
                <w:szCs w:val="20"/>
                <w:color w:val="auto"/>
              </w:rPr>
            </w:pPr>
            <w:r>
              <w:rPr>
                <w:rFonts w:ascii="Arial" w:cs="Arial" w:eastAsia="Arial" w:hAnsi="Arial"/>
                <w:sz w:val="14"/>
                <w:szCs w:val="14"/>
                <w:b w:val="1"/>
                <w:bCs w:val="1"/>
                <w:color w:val="auto"/>
                <w:w w:val="85"/>
              </w:rPr>
              <w:t>Dec. 31</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74"/>
        </w:trPr>
        <w:tc>
          <w:tcPr>
            <w:tcW w:w="608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-7620</wp:posOffset>
            </wp:positionV>
            <wp:extent cx="428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-7620</wp:posOffset>
            </wp:positionV>
            <wp:extent cx="428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color w:val="auto"/>
        </w:rPr>
        <w:t>Derivative assets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rate swaps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rPr>
              <w:t>Other current assets</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216</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rPr>
              <w:t>Other Assets</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9"/>
                <w:szCs w:val="19"/>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rPr>
              <w:t>Other Assets</w:t>
            </w:r>
          </w:p>
        </w:tc>
      </w:tr>
      <w:tr>
        <w:trPr>
          <w:trHeight w:val="224"/>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400" w:type="dxa"/>
            <w:vAlign w:val="bottom"/>
          </w:tcPr>
          <w:p>
            <w:pPr>
              <w:spacing w:after="0"/>
              <w:rPr>
                <w:sz w:val="19"/>
                <w:szCs w:val="19"/>
                <w:color w:val="auto"/>
              </w:rPr>
            </w:pPr>
          </w:p>
        </w:tc>
      </w:tr>
      <w:tr>
        <w:trPr>
          <w:trHeight w:val="425"/>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rPr>
              <w:t>Other current assets</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rPr>
              <w:t>Other current assets</w:t>
            </w:r>
          </w:p>
        </w:tc>
      </w:tr>
      <w:tr>
        <w:trPr>
          <w:trHeight w:val="229"/>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rPr>
              <w:t>Other Assets</w:t>
            </w:r>
          </w:p>
        </w:tc>
      </w:tr>
      <w:tr>
        <w:trPr>
          <w:trHeight w:val="224"/>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0" w:type="dxa"/>
            <w:vAlign w:val="bottom"/>
          </w:tcPr>
          <w:p>
            <w:pPr>
              <w:spacing w:after="0"/>
              <w:rPr>
                <w:sz w:val="19"/>
                <w:szCs w:val="19"/>
                <w:color w:val="auto"/>
              </w:rPr>
            </w:pPr>
          </w:p>
        </w:tc>
      </w:tr>
      <w:tr>
        <w:trPr>
          <w:trHeight w:val="223"/>
        </w:trPr>
        <w:tc>
          <w:tcPr>
            <w:tcW w:w="2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4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628"/>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5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w w:val="89"/>
              </w:rPr>
              <w:t>Accounts payable and accrued liabilities</w:t>
            </w:r>
          </w:p>
        </w:tc>
      </w:tr>
      <w:tr>
        <w:trPr>
          <w:trHeight w:val="229"/>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rPr>
              <w:t>Other Liabilities</w:t>
            </w:r>
          </w:p>
        </w:tc>
      </w:tr>
      <w:tr>
        <w:trPr>
          <w:trHeight w:val="224"/>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0" w:type="dxa"/>
            <w:vAlign w:val="bottom"/>
          </w:tcPr>
          <w:p>
            <w:pPr>
              <w:spacing w:after="0"/>
              <w:rPr>
                <w:sz w:val="19"/>
                <w:szCs w:val="19"/>
                <w:color w:val="auto"/>
              </w:rPr>
            </w:pPr>
          </w:p>
        </w:tc>
      </w:tr>
      <w:tr>
        <w:trPr>
          <w:trHeight w:val="438"/>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400" w:type="dxa"/>
            <w:vAlign w:val="bottom"/>
          </w:tcPr>
          <w:p>
            <w:pPr>
              <w:ind w:left="520"/>
              <w:spacing w:after="0"/>
              <w:rPr>
                <w:sz w:val="20"/>
                <w:szCs w:val="20"/>
                <w:color w:val="auto"/>
              </w:rPr>
            </w:pPr>
            <w:r>
              <w:rPr>
                <w:rFonts w:ascii="Arial" w:cs="Arial" w:eastAsia="Arial" w:hAnsi="Arial"/>
                <w:sz w:val="18"/>
                <w:szCs w:val="18"/>
                <w:i w:val="1"/>
                <w:iCs w:val="1"/>
                <w:color w:val="auto"/>
                <w:w w:val="89"/>
              </w:rPr>
              <w:t>Accounts payable and accrued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-2742565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-2467610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-2193290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-1884680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-1610360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-1318895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-993140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-718185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-426720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-135255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20" w:hanging="1032"/>
        <w:spacing w:after="0"/>
        <w:tabs>
          <w:tab w:leader="none" w:pos="162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Accounts payable and accrued liabilities</w:t>
      </w:r>
    </w:p>
    <w:p>
      <w:pPr>
        <w:spacing w:after="0" w:line="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color w:val="auto"/>
        </w:rPr>
        <w:t>25</w:t>
      </w:r>
      <w:r>
        <w:rPr>
          <w:rFonts w:ascii="Arial" w:cs="Arial" w:eastAsia="Arial" w:hAnsi="Arial"/>
          <w:sz w:val="16"/>
          <w:szCs w:val="16"/>
          <w:i w:val="1"/>
          <w:i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-129540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 w:lineRule="exact"/>
        <w:rPr>
          <w:sz w:val="20"/>
          <w:szCs w:val="20"/>
          <w:color w:val="auto"/>
        </w:rPr>
      </w:pPr>
    </w:p>
    <w:p>
      <w:pPr>
        <w:spacing w:after="0"/>
        <w:tabs>
          <w:tab w:leader="none" w:pos="560" w:val="left"/>
          <w:tab w:leader="none" w:pos="1180" w:val="left"/>
          <w:tab w:leader="none" w:pos="1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28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28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14605</wp:posOffset>
            </wp:positionV>
            <wp:extent cx="428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31750</wp:posOffset>
            </wp:positionV>
            <wp:extent cx="428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43" w:lineRule="exact"/>
        <w:rPr>
          <w:sz w:val="20"/>
          <w:szCs w:val="20"/>
          <w:color w:val="auto"/>
        </w:rPr>
      </w:pPr>
    </w:p>
    <w:p>
      <w:pPr>
        <w:spacing w:after="0"/>
        <w:tabs>
          <w:tab w:leader="none" w:pos="480" w:val="left"/>
          <w:tab w:leader="none" w:pos="1180" w:val="left"/>
          <w:tab w:leader="none" w:pos="1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-121920</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280"/>
          </w:cols>
          <w:pgMar w:left="240" w:top="459" w:right="239" w:bottom="1440" w:gutter="0" w:footer="0" w:header="0"/>
          <w:type w:val="continuous"/>
        </w:sectPr>
      </w:pPr>
    </w:p>
    <w:p>
      <w:pPr>
        <w:spacing w:after="0" w:line="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fair value hedges and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60" w:type="dxa"/>
            <w:vAlign w:val="bottom"/>
            <w:gridSpan w:val="2"/>
          </w:tcPr>
          <w:p>
            <w:pPr>
              <w:spacing w:after="0"/>
              <w:rPr>
                <w:sz w:val="20"/>
                <w:szCs w:val="20"/>
                <w:color w:val="auto"/>
              </w:rPr>
            </w:pPr>
            <w:r>
              <w:rPr>
                <w:rFonts w:ascii="Arial" w:cs="Arial" w:eastAsia="Arial" w:hAnsi="Arial"/>
                <w:sz w:val="14"/>
                <w:szCs w:val="14"/>
                <w:i w:val="1"/>
                <w:iCs w:val="1"/>
                <w:color w:val="auto"/>
              </w:rPr>
              <w:t>(Stated in millions)</w:t>
            </w:r>
          </w:p>
        </w:tc>
        <w:tc>
          <w:tcPr>
            <w:tcW w:w="2100" w:type="dxa"/>
            <w:vAlign w:val="bottom"/>
          </w:tcPr>
          <w:p>
            <w:pPr>
              <w:spacing w:after="0"/>
              <w:rPr>
                <w:sz w:val="14"/>
                <w:szCs w:val="14"/>
                <w:color w:val="auto"/>
              </w:rPr>
            </w:pPr>
          </w:p>
        </w:tc>
        <w:tc>
          <w:tcPr>
            <w:tcW w:w="23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w w:val="86"/>
              </w:rPr>
              <w:t>Gain/(Loss) Recognized in Income</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300" w:type="dxa"/>
            <w:vAlign w:val="bottom"/>
            <w:tcBorders>
              <w:bottom w:val="single" w:sz="8" w:color="auto"/>
            </w:tcBorders>
            <w:gridSpan w:val="5"/>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87"/>
              </w:rPr>
              <w:t>Three Months</w:t>
            </w:r>
          </w:p>
        </w:tc>
        <w:tc>
          <w:tcPr>
            <w:tcW w:w="30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00" w:type="dxa"/>
            <w:vAlign w:val="bottom"/>
          </w:tcPr>
          <w:p>
            <w:pPr>
              <w:ind w:left="300"/>
              <w:spacing w:after="0" w:line="129"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fair value hedges:</w:t>
            </w:r>
          </w:p>
        </w:tc>
        <w:tc>
          <w:tcPr>
            <w:tcW w:w="2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270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99"/>
              </w:rPr>
              <w:t>(13)</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(22)</w:t>
            </w:r>
          </w:p>
        </w:tc>
        <w:tc>
          <w:tcPr>
            <w:tcW w:w="160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600" w:type="dxa"/>
            <w:vAlign w:val="bottom"/>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(8)</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270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(7)</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(23)</w:t>
            </w:r>
          </w:p>
        </w:tc>
        <w:tc>
          <w:tcPr>
            <w:tcW w:w="160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contracts</w:t>
            </w: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600" w:type="dxa"/>
            <w:vAlign w:val="bottom"/>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(8)</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vMerge w:val="restart"/>
          </w:tcPr>
          <w:p>
            <w:pPr>
              <w:jc w:val="right"/>
              <w:ind w:right="572"/>
              <w:spacing w:after="0"/>
              <w:rPr>
                <w:sz w:val="20"/>
                <w:szCs w:val="20"/>
                <w:color w:val="auto"/>
              </w:rPr>
            </w:pPr>
            <w:r>
              <w:rPr>
                <w:rFonts w:ascii="Arial" w:cs="Arial" w:eastAsia="Arial" w:hAnsi="Arial"/>
                <w:sz w:val="18"/>
                <w:szCs w:val="18"/>
                <w:color w:val="auto"/>
              </w:rPr>
              <w:t>13</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gridSpan w:val="4"/>
          </w:tcPr>
          <w:p>
            <w:pPr>
              <w:spacing w:after="0"/>
              <w:rPr>
                <w:sz w:val="20"/>
                <w:szCs w:val="20"/>
                <w:color w:val="auto"/>
              </w:rPr>
            </w:pPr>
            <w:r>
              <w:rPr>
                <w:rFonts w:ascii="Arial" w:cs="Arial" w:eastAsia="Arial" w:hAnsi="Arial"/>
                <w:sz w:val="14"/>
                <w:szCs w:val="14"/>
                <w:i w:val="1"/>
                <w:iCs w:val="1"/>
                <w:color w:val="auto"/>
              </w:rPr>
              <w:t>(Stated in millions)</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vMerge w:val="restart"/>
          </w:tcPr>
          <w:p>
            <w:pPr>
              <w:jc w:val="center"/>
              <w:ind w:right="640"/>
              <w:spacing w:after="0"/>
              <w:rPr>
                <w:sz w:val="20"/>
                <w:szCs w:val="20"/>
                <w:color w:val="auto"/>
              </w:rPr>
            </w:pPr>
            <w:r>
              <w:rPr>
                <w:rFonts w:ascii="Arial" w:cs="Arial" w:eastAsia="Arial" w:hAnsi="Arial"/>
                <w:sz w:val="14"/>
                <w:szCs w:val="14"/>
                <w:b w:val="1"/>
                <w:bCs w:val="1"/>
                <w:color w:val="auto"/>
                <w:w w:val="84"/>
              </w:rPr>
              <w:t>Gain (Loss) Reclassified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from Accumulated OCI</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266"/>
              <w:spacing w:after="0"/>
              <w:rPr>
                <w:sz w:val="20"/>
                <w:szCs w:val="20"/>
                <w:color w:val="auto"/>
              </w:rPr>
            </w:pPr>
            <w:r>
              <w:rPr>
                <w:rFonts w:ascii="Arial" w:cs="Arial" w:eastAsia="Arial" w:hAnsi="Arial"/>
                <w:sz w:val="14"/>
                <w:szCs w:val="14"/>
                <w:b w:val="1"/>
                <w:bCs w:val="1"/>
                <w:color w:val="auto"/>
                <w:w w:val="89"/>
              </w:rPr>
              <w:t>into Income</w:t>
            </w:r>
          </w:p>
        </w:tc>
        <w:tc>
          <w:tcPr>
            <w:tcW w:w="4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ind w:left="266"/>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4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7"/>
              </w:rPr>
              <w:t>Classification</w:t>
            </w:r>
          </w:p>
        </w:tc>
        <w:tc>
          <w:tcPr>
            <w:tcW w:w="360" w:type="dxa"/>
            <w:vAlign w:val="bottom"/>
            <w:gridSpan w:val="2"/>
            <w:vMerge w:val="restart"/>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w:t>
            </w: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1"/>
              </w:rPr>
              <w:t>Cost of revenue</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Foreign exchange contracts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820" w:type="dxa"/>
            <w:vAlign w:val="bottom"/>
            <w:gridSpan w:val="5"/>
          </w:tcPr>
          <w:p>
            <w:pPr>
              <w:spacing w:after="0"/>
              <w:rPr>
                <w:sz w:val="20"/>
                <w:szCs w:val="20"/>
                <w:color w:val="auto"/>
              </w:rPr>
            </w:pPr>
            <w:r>
              <w:rPr>
                <w:rFonts w:ascii="Arial" w:cs="Arial" w:eastAsia="Arial" w:hAnsi="Arial"/>
                <w:sz w:val="18"/>
                <w:szCs w:val="18"/>
                <w:i w:val="1"/>
                <w:iCs w:val="1"/>
                <w:color w:val="auto"/>
                <w:w w:val="93"/>
              </w:rPr>
              <w:t>Research &amp; engineering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(Stated in millions)</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80" w:type="dxa"/>
            <w:vAlign w:val="bottom"/>
            <w:gridSpan w:val="4"/>
            <w:vMerge w:val="continue"/>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vMerge w:val="restart"/>
          </w:tcPr>
          <w:p>
            <w:pPr>
              <w:jc w:val="center"/>
              <w:ind w:right="640"/>
              <w:spacing w:after="0"/>
              <w:rPr>
                <w:sz w:val="20"/>
                <w:szCs w:val="20"/>
                <w:color w:val="auto"/>
              </w:rPr>
            </w:pPr>
            <w:r>
              <w:rPr>
                <w:rFonts w:ascii="Arial" w:cs="Arial" w:eastAsia="Arial" w:hAnsi="Arial"/>
                <w:sz w:val="14"/>
                <w:szCs w:val="14"/>
                <w:b w:val="1"/>
                <w:bCs w:val="1"/>
                <w:color w:val="auto"/>
                <w:w w:val="86"/>
              </w:rPr>
              <w:t>Gain (Loss) Recognized</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in OCI</w:t>
            </w:r>
          </w:p>
        </w:tc>
        <w:tc>
          <w:tcPr>
            <w:tcW w:w="4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ind w:left="266"/>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4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12. Long-term Debt</w:t>
            </w: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gridSpan w:val="4"/>
            <w:vMerge w:val="continue"/>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80" w:type="dxa"/>
            <w:vAlign w:val="bottom"/>
            <w:gridSpan w:val="4"/>
          </w:tcPr>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6"/>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5.25% Guaranteed Notes due 2013</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08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6.50% Notes due 2012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5.875% Guaranteed Bonds due 2011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4.50% Guaranteed Bonds due 2014</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3.00% Guaranteed Notes due 2013</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Commercial paper borrowings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variable rate debt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4,041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4,354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adjustment—hedging</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4,052</w:t>
            </w:r>
          </w:p>
        </w:tc>
        <w:tc>
          <w:tcPr>
            <w:tcW w:w="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March 31, 2010 and December 31, 2009 was $4.3 billion and $4.6 billion, respectively and was estimated based on quoted market prices.</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At March 31, there were $299 million outstanding of 2.125% Series B Convertible Debentures due June 1, 2023. During the first quarter of 2010, approximately $22 million of these debentures were converted by holders into 565,000 shares of Schlumberger common stock. On June 1, 2010, holders may require Schlumberger to repurchase their Series B debentures for cash. Accordingly, these debentures are classified within </w:t>
      </w:r>
      <w:r>
        <w:rPr>
          <w:rFonts w:ascii="Arial" w:cs="Arial" w:eastAsia="Arial" w:hAnsi="Arial"/>
          <w:sz w:val="16"/>
          <w:szCs w:val="16"/>
          <w:i w:val="1"/>
          <w:iCs w:val="1"/>
          <w:color w:val="auto"/>
        </w:rPr>
        <w:t>Current Liabilities</w:t>
      </w:r>
      <w:r>
        <w:rPr>
          <w:rFonts w:ascii="Arial" w:cs="Arial" w:eastAsia="Arial" w:hAnsi="Arial"/>
          <w:sz w:val="16"/>
          <w:szCs w:val="16"/>
          <w:color w:val="auto"/>
        </w:rPr>
        <w:t xml:space="preserve"> on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Balance Sheet </w:t>
      </w:r>
      <w:r>
        <w:rPr>
          <w:rFonts w:ascii="Arial" w:cs="Arial" w:eastAsia="Arial" w:hAnsi="Arial"/>
          <w:sz w:val="16"/>
          <w:szCs w:val="16"/>
          <w:color w:val="auto"/>
        </w:rPr>
        <w:t>at March 31, 2010. The fair value of these Series B debentures at March 31, 2010 and December 31, 2009 was $705 million and $527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respectively. For further information regarding the debentures refer to Note 11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Annual Report on Form 10-K for the year ended December 31, 2009.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26, 2010, Schlumberger caused a notice to be mailed to holders of the 2.125% Series B Convertible Debentures due 2023 stating that it is calling for redemption on June 9, 2010 all of the outstanding 2.125% Series B debentures . The redemption price will be 100% of the principal amount thereof, plus accrued and unpaid interest up to, but not including, the redemption date.</w:t>
      </w:r>
    </w:p>
    <w:p>
      <w:pPr>
        <w:spacing w:after="0" w:line="21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were subject to US and non-US income taxes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center"/>
              <w:ind w:left="14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1"/>
        </w:trPr>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ind w:left="20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w:t>
            </w:r>
          </w:p>
        </w:tc>
        <w:tc>
          <w:tcPr>
            <w:tcW w:w="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Outside United States</w:t>
            </w:r>
          </w:p>
        </w:tc>
        <w:tc>
          <w:tcPr>
            <w:tcW w:w="1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827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888</w:t>
            </w:r>
          </w:p>
        </w:tc>
        <w:tc>
          <w:tcPr>
            <w:tcW w:w="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88"/>
              </w:rPr>
              <w:t>(Stated in millions)</w:t>
            </w:r>
          </w:p>
        </w:tc>
      </w:tr>
      <w:tr>
        <w:trPr>
          <w:trHeight w:val="149"/>
        </w:trPr>
        <w:tc>
          <w:tcPr>
            <w:tcW w:w="7940" w:type="dxa"/>
            <w:vAlign w:val="bottom"/>
          </w:tcPr>
          <w:p>
            <w:pPr>
              <w:spacing w:after="0"/>
              <w:rPr>
                <w:sz w:val="12"/>
                <w:szCs w:val="12"/>
                <w:color w:val="auto"/>
              </w:rPr>
            </w:pPr>
          </w:p>
        </w:tc>
        <w:tc>
          <w:tcPr>
            <w:tcW w:w="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Mar. 31</w:t>
            </w:r>
          </w:p>
        </w:tc>
        <w:tc>
          <w:tcPr>
            <w:tcW w:w="58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31</w:t>
            </w:r>
          </w:p>
        </w:tc>
      </w:t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2009</w:t>
            </w:r>
          </w:p>
        </w:tc>
        <w:tc>
          <w:tcPr>
            <w:tcW w:w="100" w:type="dxa"/>
            <w:vAlign w:val="bottom"/>
          </w:tcPr>
          <w:p>
            <w:pPr>
              <w:spacing w:after="0"/>
              <w:rPr>
                <w:sz w:val="14"/>
                <w:szCs w:val="14"/>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w:t>
            </w: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Other, net</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16"/>
        </w:trPr>
        <w:tc>
          <w:tcPr>
            <w:tcW w:w="7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0"/>
        </w:trPr>
        <w:tc>
          <w:tcPr>
            <w:tcW w:w="7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above deferred tax assets at March 31, 2010 and December 31, 2009 are net of valuation allowances relating to net operating losses in certain countries of $239 million and $251 million, respectively. The deferred tax assets are also net of valuation allowances relating to a capital loss carryforward of $16 million at March 31, 2010 ($17 million at December 31, 2009), which expires in 2010 and a foreign tax credit carryforward of $30 million at March 31, 2010 ($30 million at December 31, 2009) which expires in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 - Federal</w:t>
            </w:r>
          </w:p>
        </w:tc>
        <w:tc>
          <w:tcPr>
            <w:tcW w:w="5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State</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5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Deferred:</w:t>
            </w:r>
          </w:p>
        </w:tc>
        <w:tc>
          <w:tcPr>
            <w:tcW w:w="5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Federal</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 - State</w:t>
            </w: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Consolidated taxes on income</w:t>
            </w:r>
          </w:p>
        </w:tc>
        <w:tc>
          <w:tcPr>
            <w:tcW w:w="5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214</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260" w:type="dxa"/>
            <w:vAlign w:val="bottom"/>
            <w:vMerge w:val="restart"/>
          </w:tcPr>
          <w:p>
            <w:pPr>
              <w:jc w:val="right"/>
              <w:ind w:right="347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Non-US income taxed at different rates</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(16)</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Effect of equity method investment</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Charges (See Note 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currently continuing its own investigation with respect to these services.</w:t>
      </w:r>
    </w:p>
    <w:p>
      <w:pPr>
        <w:spacing w:after="0" w:line="143" w:lineRule="exact"/>
        <w:rPr>
          <w:sz w:val="20"/>
          <w:szCs w:val="20"/>
          <w:color w:val="auto"/>
        </w:rPr>
      </w:pPr>
    </w:p>
    <w:p>
      <w:pPr>
        <w:ind w:right="820"/>
        <w:spacing w:after="0" w:line="259" w:lineRule="auto"/>
        <w:rPr>
          <w:sz w:val="20"/>
          <w:szCs w:val="20"/>
          <w:color w:val="auto"/>
        </w:rPr>
      </w:pPr>
      <w:r>
        <w:rPr>
          <w:rFonts w:ascii="Arial" w:cs="Arial" w:eastAsia="Arial" w:hAnsi="Arial"/>
          <w:sz w:val="18"/>
          <w:szCs w:val="18"/>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Schlumberger is cooperating with the governmental authorities and is currently unable to predict the outcome of these matters.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188"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First Quarter 2010</w:t>
            </w: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First Quarter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Income</w:t>
            </w:r>
          </w:p>
        </w:tc>
        <w:tc>
          <w:tcPr>
            <w:tcW w:w="5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before</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480" w:type="dxa"/>
            <w:vAlign w:val="bottom"/>
          </w:tcPr>
          <w:p>
            <w:pPr>
              <w:spacing w:after="0"/>
              <w:rPr>
                <w:sz w:val="14"/>
                <w:szCs w:val="14"/>
                <w:color w:val="auto"/>
              </w:rPr>
            </w:pPr>
          </w:p>
        </w:tc>
        <w:tc>
          <w:tcPr>
            <w:tcW w:w="9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taxes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3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$1,033</w:t>
            </w:r>
          </w:p>
        </w:tc>
        <w:tc>
          <w:tcPr>
            <w:tcW w:w="62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83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3"/>
              </w:rPr>
              <w:t>185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294</w:t>
            </w:r>
          </w:p>
        </w:tc>
        <w:tc>
          <w:tcPr>
            <w:tcW w:w="500" w:type="dxa"/>
            <w:vAlign w:val="bottom"/>
          </w:tcPr>
          <w:p>
            <w:pPr>
              <w:jc w:val="right"/>
              <w:spacing w:after="0"/>
              <w:rPr>
                <w:sz w:val="20"/>
                <w:szCs w:val="20"/>
                <w:color w:val="auto"/>
              </w:rPr>
            </w:pPr>
            <w:r>
              <w:rPr>
                <w:rFonts w:ascii="Arial" w:cs="Arial" w:eastAsia="Arial" w:hAnsi="Arial"/>
                <w:sz w:val="18"/>
                <w:szCs w:val="18"/>
                <w:color w:val="auto"/>
              </w:rPr>
              <w:t>1,803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3"/>
              </w:rPr>
              <w:t>410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5,097</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969</w:t>
            </w: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67</w:t>
            </w:r>
          </w:p>
        </w:tc>
        <w:tc>
          <w:tcPr>
            <w:tcW w:w="500" w:type="dxa"/>
            <w:vAlign w:val="bottom"/>
          </w:tcPr>
          <w:p>
            <w:pPr>
              <w:jc w:val="right"/>
              <w:spacing w:after="0"/>
              <w:rPr>
                <w:sz w:val="20"/>
                <w:szCs w:val="20"/>
                <w:color w:val="auto"/>
              </w:rPr>
            </w:pPr>
            <w:r>
              <w:rPr>
                <w:rFonts w:ascii="Arial" w:cs="Arial" w:eastAsia="Arial" w:hAnsi="Arial"/>
                <w:sz w:val="18"/>
                <w:szCs w:val="18"/>
                <w:color w:val="auto"/>
              </w:rPr>
              <w:t>551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34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34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34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5,598</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3"/>
              </w:rPr>
              <w:t>888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80" w:type="dxa"/>
            <w:vAlign w:val="bottom"/>
            <w:vMerge w:val="restart"/>
          </w:tcPr>
          <w:p>
            <w:pPr>
              <w:jc w:val="right"/>
              <w:ind w:right="1552"/>
              <w:spacing w:after="0"/>
              <w:rPr>
                <w:sz w:val="20"/>
                <w:szCs w:val="20"/>
                <w:color w:val="auto"/>
              </w:rPr>
            </w:pPr>
            <w:r>
              <w:rPr>
                <w:rFonts w:ascii="Arial" w:cs="Arial" w:eastAsia="Arial" w:hAnsi="Arial"/>
                <w:sz w:val="18"/>
                <w:szCs w:val="18"/>
                <w:color w:val="auto"/>
              </w:rPr>
              <w:t>16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($3 million in 2010; $4 million in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($1 million in 2010; $14 million in 2009).</w:t>
      </w:r>
    </w:p>
    <w:p>
      <w:pPr>
        <w:spacing w:after="0" w:line="240"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4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First Quarter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Int’l</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58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$ 15</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w:t>
            </w:r>
          </w:p>
        </w:tc>
        <w:tc>
          <w:tcPr>
            <w:tcW w:w="5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$ 14</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50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52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2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(48)</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5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(40)</w:t>
            </w: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50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4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$ 23</w:t>
            </w:r>
          </w:p>
        </w:tc>
        <w:tc>
          <w:tcPr>
            <w:tcW w:w="5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$ 41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0"/>
        </w:trPr>
        <w:tc>
          <w:tcPr>
            <w:tcW w:w="77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9560" w:type="dxa"/>
            <w:vAlign w:val="bottom"/>
            <w:gridSpan w:val="7"/>
          </w:tcPr>
          <w:p>
            <w:pPr>
              <w:spacing w:after="0"/>
              <w:rPr>
                <w:sz w:val="20"/>
                <w:szCs w:val="20"/>
                <w:color w:val="auto"/>
              </w:rPr>
            </w:pPr>
            <w:r>
              <w:rPr>
                <w:rFonts w:ascii="Arial" w:cs="Arial" w:eastAsia="Arial" w:hAnsi="Arial"/>
                <w:sz w:val="18"/>
                <w:szCs w:val="18"/>
                <w:color w:val="auto"/>
                <w:w w:val="93"/>
              </w:rPr>
              <w:t>During the first quarter of 2010, Schlumberger made contributions to its international defined benefit pension plans of $38 million.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60" w:type="dxa"/>
            <w:vAlign w:val="bottom"/>
            <w:gridSpan w:val="5"/>
          </w:tcPr>
          <w:p>
            <w:pPr>
              <w:spacing w:after="0"/>
              <w:rPr>
                <w:sz w:val="20"/>
                <w:szCs w:val="20"/>
                <w:color w:val="auto"/>
              </w:rPr>
            </w:pPr>
            <w:r>
              <w:rPr>
                <w:rFonts w:ascii="Arial" w:cs="Arial" w:eastAsia="Arial" w:hAnsi="Arial"/>
                <w:sz w:val="18"/>
                <w:szCs w:val="18"/>
                <w:color w:val="auto"/>
                <w:w w:val="91"/>
              </w:rPr>
              <w:t>The net periodic benefit cost for the Schlumberger US postretirement medical plan included the following components: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4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ind w:left="40"/>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$ 5</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$ 7</w:t>
            </w: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4"/>
          </w:tcPr>
          <w:p>
            <w:pPr>
              <w:ind w:left="36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w:t>
            </w:r>
          </w:p>
        </w:tc>
      </w:tr>
      <w:tr>
        <w:trPr>
          <w:trHeight w:val="20"/>
        </w:trPr>
        <w:tc>
          <w:tcPr>
            <w:tcW w:w="4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2010, Schlumberger made a contribution to the US postretirement medical plan of $26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First Quarter 2010 Compared to Fourth Quarter 2009</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First Quarter</w:t>
            </w:r>
          </w:p>
        </w:tc>
        <w:tc>
          <w:tcPr>
            <w:tcW w:w="82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Fourth Quarter</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23"/>
        </w:trPr>
        <w:tc>
          <w:tcPr>
            <w:tcW w:w="41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Revenue</w:t>
            </w:r>
          </w:p>
        </w:tc>
        <w:tc>
          <w:tcPr>
            <w:tcW w:w="2540" w:type="dxa"/>
            <w:vAlign w:val="bottom"/>
            <w:gridSpan w:val="2"/>
          </w:tcPr>
          <w:p>
            <w:pPr>
              <w:ind w:left="23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5,097</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540" w:type="dxa"/>
            <w:vAlign w:val="bottom"/>
            <w:gridSpan w:val="2"/>
            <w:shd w:val="clear" w:color="auto" w:fill="CCEEFF"/>
          </w:tcPr>
          <w:p>
            <w:pPr>
              <w:ind w:left="23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2"/>
        </w:trPr>
        <w:tc>
          <w:tcPr>
            <w:tcW w:w="414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40" w:type="dxa"/>
            <w:vAlign w:val="bottom"/>
            <w:gridSpan w:val="2"/>
            <w:shd w:val="clear" w:color="auto" w:fill="CCEEFF"/>
          </w:tcPr>
          <w:p>
            <w:pPr>
              <w:ind w:left="23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540" w:type="dxa"/>
            <w:vAlign w:val="bottom"/>
            <w:gridSpan w:val="2"/>
          </w:tcPr>
          <w:p>
            <w:pPr>
              <w:ind w:left="23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described in detail in Note 3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interest on postretirement medical benefits and stock-based compensation costs.</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First-quarter 2010 revenue was $5.60 billion versus $5.74 billion in the fourth quarter of 2009. Income from continuing operations attributable to Schlumberger was $672 million versus $817 million in the previous quarter. First-quarter 2010 results included charges of $40 million for the reduction in future tax deductions for retiree medical benefits as a result of the passage during the quarter of the Patient Protection and Affordable Care Act in the United States and $35 million for transaction costs in connection with the Smith International, Inc. merger and the Geoservices acquisition.</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Oilfield Services first-quarter revenue was down 1% sequentially as a strong performance in North America and continued strength in the Middle East and Asia offset an overall decline in product and software sales from the high levels of the fourth quarter and a sharp drop in the North Sea and Russia primarily due to lower drilling activity and adverse weather. North American margins improved in all GeoMarkets as activity increased. While strong performances were recorded in the Latin America and Middle East and Asia Areas, overall international margins decreased slightly due to adverse winter weather conditions in the Europe, Africa and CIS Area.</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WesternGeco registered a sequential decline in Multiclient revenue following the traditional fourth quarter surge while Marine activity improved slightly with higher vessel utilization.</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Schlumberger’s outlook for the remainder of 2010 confirms the optimism expressed at the beginning of the year. At WesternGeco, while the second quarter will see increased vessel transits, strong tendering activity in Marine is leading to much improved visibility on the remainder of 2010 and utilization will be higher than originally planned. However, new capacity entering the market is likely to limit pricing gains until later in the year. In North America, commitment drilling to hold leases as well as interest in domestic oil plays should sustain current activity levels in the US through the second quarter, while Canada will experience the normal spring break-up. Beyond that, the picture is less clear as natural gas prices and the fundamentals of the natural gas market remain uncertain. Higher oil prices are leading to tangible evidence that operators are contemplating higher levels of activity than originally planned in international markets. Schlumberger reiterates its comment from the last quarter that we see improvements in some offshore markets notably the UK sector of the North Sea, Latin America and West Africa as well as on land in Russia.</w:t>
      </w:r>
    </w:p>
    <w:p>
      <w:pPr>
        <w:spacing w:after="0" w:line="118" w:lineRule="exact"/>
        <w:rPr>
          <w:sz w:val="20"/>
          <w:szCs w:val="20"/>
          <w:color w:val="auto"/>
        </w:rPr>
      </w:pPr>
    </w:p>
    <w:p>
      <w:pPr>
        <w:jc w:val="center"/>
        <w:ind w:right="500"/>
        <w:spacing w:after="0" w:line="440" w:lineRule="auto"/>
        <w:rPr>
          <w:sz w:val="20"/>
          <w:szCs w:val="20"/>
          <w:color w:val="auto"/>
        </w:rPr>
      </w:pPr>
      <w:r>
        <w:rPr>
          <w:rFonts w:ascii="Arial" w:cs="Arial" w:eastAsia="Arial" w:hAnsi="Arial"/>
          <w:sz w:val="18"/>
          <w:szCs w:val="18"/>
          <w:color w:val="auto"/>
        </w:rPr>
        <w:t>Two significant events were announced during the quarter—the proposed merger with Smith International, Inc. and the planned acquisition of Geoservices. 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the proposed merger with Smith, the companies’ complementary products and services will lead to the development of engineered drilling systems that optimize all the components of the drillstring to allow customers to drill more economically in demanding conditions. This step change in drilling performance and well productivity will come from combining measurement and steering capabilities with the engineering and design of the complete bottom-hole assembly and its various components—including the drilling fluid and the drillbit.</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addition of Geoservices mud-logging technology to the Schlumberger portfolio will also be an important step in the development of higher-performance drilling systems. The combination of Schlumberger real-time downhole measurements with Geoservices’ drilling mud analysis will help customers better identify and react to drilling hazards, while the combination of mud logging with Schlumberger formation evaluation measurements will bring a more complete understanding of rock lithology and fluid content.</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addition to Geoservices’ mud-logging technology and expertise, Geoservices’ footprint, expertise and technology in slickline well intervention and field production surveillance will complement existing Schlumberger activities.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First-quarter revenue of $5.10 billion decreased 1% sequentially. The Europe/CIS/Africa Area revenue decreased significantly from lower Testing Services equipment sales and Schlumberger Information Solutions (SIS) software sales in addition to the effects of severe weather in Russia and activity slow-downs in the North Sea and Libya GeoMarkets. Latin America Area revenue fell mostly from a slow-down in activity in Mexico/Central America as well as from currency devaluation and lower Integrated Project Management (IPM) revenue in Venezuela. These decreases were partially offset by an improvement in activity across North America. Middle East &amp; Asia Area revenue was essentially flat with the previous quarter.</w:t>
      </w:r>
    </w:p>
    <w:p>
      <w:pPr>
        <w:spacing w:after="0" w:line="1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Among the Technologies, sequential revenue declines were most notable in SIS and Artificial Lift resulting from lower software and product sales following the seasonally strong fourth quarter, and in Testing Services following the completion of large equipment sale deliveries in Europe/CIS/Africa in the fourth quarter. These decreases were partially offset by an increase in Well Services revenue, which was largely attributable to the activity increase in North America.</w:t>
      </w:r>
    </w:p>
    <w:p>
      <w:pPr>
        <w:spacing w:after="0" w:line="10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First-quarter pretax operating income of $969 million fell 4% sequentially. Pretax operating margin slipped 46 basis points (bps) sequentially to 19.0% primarily due to lower sales of SIS software, Testing Services equipment and Artificial Lift products; reduced activity in Russia and the North Sea; and the impact of lower pricing in international markets. These effects were partially offset by the impact of the improved activity in North America.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Revenue of $1.03 billion was 18% higher compared to the fourth quarter of 2009. Pretax operating income of $83 million improved 359% versus the fourth quarter of 2009.</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North America GeoMarkets recorded revenue growth. US Land grew on increased drilling activity coupled with pockets of pricing improvements that benefited Well Services technologies. Canada experienced significant growth as the result of a strong winter drilling season, particularly for oil basins in the West, which led to higher demand for Well Services, Wireline and Drilling &amp; Measurements services. US Gulf of Mexico revenue was higher sequentially on increased shelf and deepwater activity that resulted in strong demand for Drilling &amp; Measurements, Testing Services and Wireline technologies. Alaska revenue grew from seasonally high exploration activity.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Pretax operating margin increased 594 bps sequentially to 8.0% primarily due to the increased activity across the Area, supplemented by the pricing improvements for Well Services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$1.06 billion decreased 6% sequentially. Sequentially, pretax operating income of $185 million increased 4%.</w:t>
      </w:r>
    </w:p>
    <w:p>
      <w:pPr>
        <w:spacing w:after="0" w:line="17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Mexico/Central America GeoMarket revenue decreased primarily due to weather-related slow-downs that affected offshore activity and to delays in the finalization of contracts for SIS and Data &amp; Consulting Services activities. Venezuela/Trinidad &amp; Tobago GeoMarket revenue fell from the impact of the devaluation of the Venezuelan currency and from the absence of deferred revenue recognized in the prior quarter, the effects of which were partially offset by increased demand for SIS software. Revenue in the Brazil and Peru/Columbia/Ecuador GeoMarkets decreased mostly due to lower Completions products and SIS software sales partially offset by an increase in IPM activity. Argentina/Bolivia/Chile GeoMarket revenue decreased primarily due to lower SIS software sales.</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Pretax operating margin increased 174 bps sequentially to 17.5% primarily due to a more favorable revenue mix and wellsite efficiency improvements for IPM in the Mexico/Central America GeoMarket and to the positive impact of the currency devaluation along with a more favorable revenue mix in the Venezuela/Trinidad &amp; Tobago GeoMarket.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$1.63 billion decreased 9% versus the prior quarter. Pretax operating income of $294 million was down 24% sequentially.</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fall in revenue was largely due to lower Testing Services equipment sales and SIS software sales, the effect of lower pricing, and the weakening of local currencies against the US dollar. Among the GeoMarkets, revenue in the North Sea decreased resulting from a combination of lower drilling activity that impacted Drilling &amp; Measurements; delays in project start-ups that affected Testing Services; and lower Well Services stimulation activities. Russia revenue was lower primarily as the result of severe winter weather while Libya GeoMarket revenue fell on early completion of exploration campaigns.</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Pretax operating margin decreased 353 bps to 18.1% primarily due to the reduced activity in Russia and the North Sea; the lower Testing Services and SIS sales; and the generally lower pricing in the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 of $1.32 billion was essentially flat compared to the previous quarter. Pretax operating income of $410 million was 4% lower sequentially.</w:t>
      </w:r>
    </w:p>
    <w:p>
      <w:pPr>
        <w:spacing w:after="0" w:line="194"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Growth was recorded in the Australia/Papua New Guinea and East Mediterranean GeoMarkets from increased offshore activity while East Asia GeoMarket revenue increased on higher IPM activity. These increases were offset across much of the Area by decreases in Artificial Lift product and SIS software sales following the year-end seasonal surge, and by lower activity in the Arabian, Gulf, Qatar and Indonesia GeoMarkets.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Pretax operating margin fell 136 bps sequentially to 31.0% primarily due to the lower activity and less favorable revenue mix in the Arabian, Gulf, Qatar and Indonesia GeoMarkets as well as the lower Artificial Lift and SIS sales across the Area.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First-quarter revenue of $472 million decreased 14% versus the fourth quarter of 2009. Pretax operating income of $67 million decreased 41% sequentially.</w:t>
      </w:r>
    </w:p>
    <w:p>
      <w:pPr>
        <w:spacing w:after="0" w:line="20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Increased Marine revenue from high vessel utilization was more than to offset by a fall in Multiclient revenue following the year-end surge in North America sales and lower Land revenue due to completion of contracts in the Middle East and North Africa.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declined 659 bps sequentially to 14.3% reflecting the reduced Multiclient sales and decreased Land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backlog was $940 million at March 31, 2010, compared to $1.0 billion at December 31, 2009.</w:t>
      </w:r>
    </w:p>
    <w:p>
      <w:pPr>
        <w:spacing w:after="0" w:line="16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First Quarter 2010 Compared to First Quarter 2009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First Quarter</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chg</w:t>
            </w:r>
          </w:p>
        </w:tc>
        <w:tc>
          <w:tcPr>
            <w:tcW w:w="260" w:type="dxa"/>
            <w:vAlign w:val="bottom"/>
          </w:tcPr>
          <w:p>
            <w:pPr>
              <w:spacing w:after="0"/>
              <w:rPr>
                <w:sz w:val="12"/>
                <w:szCs w:val="12"/>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5,097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5,439</w:t>
            </w:r>
          </w:p>
        </w:tc>
        <w:tc>
          <w:tcPr>
            <w:tcW w:w="5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1,255</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322"/>
        </w:trPr>
        <w:tc>
          <w:tcPr>
            <w:tcW w:w="780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8"/>
        </w:trPr>
        <w:tc>
          <w:tcPr>
            <w:tcW w:w="78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bl>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First-quarter 2010 revenue was $5.60 billion versus $6.00 billion in the first quarter of 2009. Income from continuing operations attributable to Schlumberger was $672 million, a decrease of 28% year-on-year, and included the previously mentioned charges of $75 million.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First-quarter 2010 revenue of $5.10 billion was 6% lower compared to the same period last year primarily from reduced activity and generally lower pricing in the Europe/CIS/Africa, North America and Middle East &amp; Asia Areas. However, these decreases were partially offset by growth in the Latin America Area as the result of higher IPM activity in the Brazil and Peru/Colombia/Ecuador GeoMarkets partially offset by a slow-down in activity in the Mexico/Central America and the Venezuela/Trinidad &amp; Tobago GeoMarkets in addition to the negative impact of the devaluation of Venezuelan currency. Among the Technologies, revenue decreases were highest in Drilling &amp; Measurements, Well Services and Wireline.</w:t>
      </w:r>
    </w:p>
    <w:p>
      <w:pPr>
        <w:spacing w:after="0" w:line="1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First-quarter 2010 pretax operating income of $969 million was 23% lower year-on-year. Pretax operating margin declined 408 bps to 19.0% mostly as the result of the lower activity and pricing in the Europe/CIS/Africa, North America and Middle East &amp; Asia Areas and to a less favorable revenue mix in Latin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First-quarter 2010 revenue of $1.03 billion fell 13% versus the same period last year as continued low natural gas prices resulted in a drop in activity and significantly lower pricing in the US Land, Canada and US Gulf of Mexico GeoMarkets.</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Year-on-year, pretax operating margin decreased 567 percentage bps to 8.0% primarily due to the impact of the lower activity across the Area and the related pricing erosion that was most acute for Well Services and Wireline technologies.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First-quarter 2010 revenue of $1.06 billion was 3% higher than the same period last year primarily due to increased IPM activity in the Brazil and Peru/Colombia/Ecuador GeoMarkets. These increases were partially offset by lower revenue in the Venezuela/Trinidad &amp; Tobago GeoMarket as the result of a significant drop in activity and the impact of the devaluation of the Venezuelan currency and in the Mexico/Central America GeoMarket due to reduced non-IPM related activity.</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Year-on-year, pretax operating margin was down 216 bps to 17.5% primarily due to a less favorable revenue mix in the Mexico/Central America and Brazil GeoMarkets partially offset by the positive impact from the devaluation of the Venezuelan currency.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First-quarter 2010 revenue of $1.63 billion was 10% lower year-on-year. The decrease was largely attributable to reduced activity coupled with the impact of lower pricing that affected the North Sea, Caspian, Continental Europe, West &amp; South Africa and Libya GeoMarkets as well as Russia. Among the Technologies, revenue decreases were most notable in Drilling &amp; Measurements and Wireline. These decreases were partially offset by an increase in the North Africa GeoMarket on increased IPM activity and strong Testing Services equipment sales.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Year-on-year, pretax operating margin decreased 785 bps to 18.1% primarily as the result of the lower overall activity and the impact of generally lower pricing across the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First-quarter 2010 revenue of $1.32 billion was 4% below the same period last year mostly due to lower exploration-related activity in the Gulf, East Mediterranean and Qatar GeoMarkets as well as reduced pricing across the Area. These decreases were partially offset by an increase in the Australia/Papua New Guinea GeoMarket revenue as a result of stronger offshore drilling activity and an increase in the East Asia GeoMarket revenue from higher IPM activity.</w:t>
      </w:r>
    </w:p>
    <w:p>
      <w:pPr>
        <w:spacing w:after="0" w:line="10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Year-on-year, pretax operating margin decreased 209 bps to 31.0% primarily due to the reduced mix of high margin exploration-related services in the Gulf and East Mediterranean GeoMarkets, a less favorable revenue mix in the East Asia GeoMarket and the impact of the lower pricing across the Area.</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First-quarter 2010 revenue of $472 million was 14% lower year-on-year primarily in Marine as the result of reduced activity and lower pricing. However, this decrease was partially offset by an increase in Multiclient revenue due to sales of new wide-azimuth multiclient surveys in the US Gulf of Mexico.</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Year-on-year, pretax operating margin increased 435 points to 14.3% mostly on the higher Multiclient revenue partially offset by the reduced activity and lower pricing in Marine.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first quarters of 2010 and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800" w:type="dxa"/>
            <w:vAlign w:val="bottom"/>
            <w:vMerge w:val="restart"/>
          </w:tcPr>
          <w:p>
            <w:pPr>
              <w:jc w:val="right"/>
              <w:ind w:right="3552"/>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8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decrease in equity in net earnings of affiliated companies was primarily due to the results of the M-I SWACO drilling fluids joint venture between Schlumberger and Smith International,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Gross margin was 22.4% and 24.8% in the first quarter of 2010 and 2009, respectively. The decrease in gross margin was largely due to lower activity and consequent pricing pressure for Oilfield Services particularly in the Europe/CIS/Africa, North America, and Middle East &amp; Asia Areas.</w:t>
      </w:r>
    </w:p>
    <w:p>
      <w:pPr>
        <w:spacing w:after="0" w:line="8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 xml:space="preserve">Research &amp; engineering and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first quarter ended March 31, 2010 and 2009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68"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0</wp:posOffset>
            </wp:positionV>
            <wp:extent cx="797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9500"/>
        <w:spacing w:after="0"/>
        <w:tabs>
          <w:tab w:leader="none" w:pos="104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9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Research &amp; engineering</w:t>
            </w:r>
          </w:p>
        </w:tc>
        <w:tc>
          <w:tcPr>
            <w:tcW w:w="560" w:type="dxa"/>
            <w:vAlign w:val="bottom"/>
            <w:gridSpan w:val="5"/>
            <w:shd w:val="clear" w:color="auto" w:fill="CCEEFF"/>
          </w:tcPr>
          <w:p>
            <w:pPr>
              <w:jc w:val="right"/>
              <w:ind w:right="52"/>
              <w:spacing w:after="0" w:line="189" w:lineRule="exact"/>
              <w:rPr>
                <w:sz w:val="20"/>
                <w:szCs w:val="20"/>
                <w:color w:val="auto"/>
              </w:rPr>
            </w:pPr>
            <w:r>
              <w:rPr>
                <w:rFonts w:ascii="Arial" w:cs="Arial" w:eastAsia="Arial" w:hAnsi="Arial"/>
                <w:sz w:val="18"/>
                <w:szCs w:val="18"/>
                <w:b w:val="1"/>
                <w:bCs w:val="1"/>
                <w:color w:val="auto"/>
              </w:rPr>
              <w:t>3.7%</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3.2%</w:t>
            </w:r>
          </w:p>
        </w:tc>
        <w:tc>
          <w:tcPr>
            <w:tcW w:w="20" w:type="dxa"/>
            <w:vAlign w:val="bottom"/>
          </w:tcPr>
          <w:p>
            <w:pPr>
              <w:spacing w:after="0"/>
              <w:rPr>
                <w:sz w:val="16"/>
                <w:szCs w:val="16"/>
                <w:color w:val="auto"/>
              </w:rPr>
            </w:pPr>
          </w:p>
        </w:tc>
      </w:tr>
      <w:tr>
        <w:trPr>
          <w:trHeight w:val="228"/>
        </w:trPr>
        <w:tc>
          <w:tcPr>
            <w:tcW w:w="46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56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87"/>
              </w:rPr>
              <w:t>2.2%</w:t>
            </w:r>
          </w:p>
        </w:tc>
        <w:tc>
          <w:tcPr>
            <w:tcW w:w="20" w:type="dxa"/>
            <w:vAlign w:val="bottom"/>
          </w:tcPr>
          <w:p>
            <w:pPr>
              <w:spacing w:after="0"/>
              <w:rPr>
                <w:sz w:val="19"/>
                <w:szCs w:val="19"/>
                <w:color w:val="auto"/>
              </w:rPr>
            </w:pPr>
          </w:p>
        </w:tc>
      </w:tr>
      <w:tr>
        <w:trPr>
          <w:trHeight w:val="364"/>
        </w:trPr>
        <w:tc>
          <w:tcPr>
            <w:tcW w:w="9500" w:type="dxa"/>
            <w:vAlign w:val="bottom"/>
            <w:gridSpan w:val="2"/>
          </w:tcPr>
          <w:p>
            <w:pPr>
              <w:spacing w:after="0"/>
              <w:rPr>
                <w:sz w:val="20"/>
                <w:szCs w:val="20"/>
                <w:color w:val="auto"/>
              </w:rPr>
            </w:pPr>
            <w:r>
              <w:rPr>
                <w:rFonts w:ascii="Arial" w:cs="Arial" w:eastAsia="Arial" w:hAnsi="Arial"/>
                <w:sz w:val="18"/>
                <w:szCs w:val="18"/>
                <w:color w:val="auto"/>
                <w:w w:val="89"/>
              </w:rPr>
              <w:t>Research and engineering expenditures, by business segment, for the first quarter ended March 31, 2010 and 2009 were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7"/>
          </w:tcPr>
          <w:p>
            <w:pPr>
              <w:jc w:val="right"/>
              <w:ind w:right="2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46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46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WesternGeco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r>
      <w:tr>
        <w:trPr>
          <w:trHeight w:val="20"/>
        </w:trPr>
        <w:tc>
          <w:tcPr>
            <w:tcW w:w="4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effective tax rate for the first quarter of 2010 was 24.1% compared to 21.1% for the same period in 2009. The charges described in Note 3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negatively impacted the effective tax rate in the first quarter of 2010 by approximately 5 percentage points. Excluding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these charges the effective tax rate decreased as compared to the same period last year. This decrease was primarily attributed to the lower proportion of pretax earnings in North America in the first quarter of 2010 as compared to the first quarter of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 xml:space="preserve">Schlumberger recorded charges during the first quarter of 2010. These charges,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first quarter 2010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100" w:type="dxa"/>
            <w:vAlign w:val="bottom"/>
          </w:tcPr>
          <w:p>
            <w:pPr>
              <w:spacing w:after="0"/>
              <w:rPr>
                <w:sz w:val="14"/>
                <w:szCs w:val="14"/>
                <w:color w:val="auto"/>
              </w:rPr>
            </w:pPr>
          </w:p>
        </w:tc>
        <w:tc>
          <w:tcPr>
            <w:tcW w:w="27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70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84"/>
              </w:rPr>
              <w:t>Pretax</w:t>
            </w:r>
          </w:p>
        </w:tc>
        <w:tc>
          <w:tcPr>
            <w:tcW w:w="220" w:type="dxa"/>
            <w:vAlign w:val="bottom"/>
          </w:tcPr>
          <w:p>
            <w:pPr>
              <w:spacing w:after="0"/>
              <w:rPr>
                <w:sz w:val="14"/>
                <w:szCs w:val="14"/>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  Merger-related transaction costs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2820" w:type="dxa"/>
            <w:vAlign w:val="bottom"/>
            <w:gridSpan w:val="2"/>
          </w:tcPr>
          <w:p>
            <w:pPr>
              <w:ind w:left="10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  Impact of elimination of tax deduction related to Medicare Part D subsidy</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the first quarter of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w w:val="91"/>
              </w:rPr>
              <w:t>Mar. 31</w:t>
            </w:r>
          </w:p>
        </w:tc>
        <w:tc>
          <w:tcPr>
            <w:tcW w:w="8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b w:val="1"/>
                <w:bCs w:val="1"/>
                <w:color w:val="auto"/>
                <w:w w:val="87"/>
              </w:rPr>
              <w:t>$ (126)</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65"/>
              <w:spacing w:after="0"/>
              <w:rPr>
                <w:sz w:val="20"/>
                <w:szCs w:val="20"/>
                <w:color w:val="auto"/>
              </w:rPr>
            </w:pPr>
            <w:r>
              <w:rPr>
                <w:rFonts w:ascii="Arial" w:cs="Arial" w:eastAsia="Arial" w:hAnsi="Arial"/>
                <w:sz w:val="18"/>
                <w:szCs w:val="18"/>
                <w:b w:val="1"/>
                <w:bCs w:val="1"/>
                <w:color w:val="auto"/>
              </w:rPr>
              <w:t>674</w:t>
            </w:r>
          </w:p>
        </w:tc>
        <w:tc>
          <w:tcPr>
            <w:tcW w:w="1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940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5"/>
              <w:spacing w:after="0"/>
              <w:rPr>
                <w:sz w:val="20"/>
                <w:szCs w:val="20"/>
                <w:color w:val="auto"/>
              </w:rPr>
            </w:pPr>
            <w:r>
              <w:rPr>
                <w:rFonts w:ascii="Arial" w:cs="Arial" w:eastAsia="Arial" w:hAnsi="Arial"/>
                <w:sz w:val="18"/>
                <w:szCs w:val="18"/>
                <w:b w:val="1"/>
                <w:bCs w:val="1"/>
                <w:color w:val="auto"/>
              </w:rPr>
              <w:t>620</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Pension and other postretirement benefits expense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65"/>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other postretirement benefits funding</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Excess of equity income over dividends received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05"/>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5"/>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Increase in working capital</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05"/>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(904)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Capital expenditure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(449)</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Multiclient seismic data capitalized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05"/>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Stock repurchase program</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05"/>
              <w:spacing w:after="0"/>
              <w:rPr>
                <w:sz w:val="20"/>
                <w:szCs w:val="20"/>
                <w:color w:val="auto"/>
              </w:rPr>
            </w:pPr>
            <w:r>
              <w:rPr>
                <w:rFonts w:ascii="Arial" w:cs="Arial" w:eastAsia="Arial" w:hAnsi="Arial"/>
                <w:sz w:val="18"/>
                <w:szCs w:val="18"/>
                <w:b w:val="1"/>
                <w:bCs w:val="1"/>
                <w:color w:val="auto"/>
              </w:rPr>
              <w:t>(337)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Proceeds from employee stock plans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5"/>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Business acquisitions and minority interest investments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05"/>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Conversion of debentures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5"/>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gridSpan w:val="4"/>
          </w:tcPr>
          <w:p>
            <w:pPr>
              <w:ind w:left="120"/>
              <w:spacing w:after="0"/>
              <w:rPr>
                <w:sz w:val="20"/>
                <w:szCs w:val="20"/>
                <w:color w:val="auto"/>
              </w:rPr>
            </w:pPr>
            <w:r>
              <w:rPr>
                <w:rFonts w:ascii="Arial" w:cs="Arial" w:eastAsia="Arial" w:hAnsi="Arial"/>
                <w:sz w:val="18"/>
                <w:szCs w:val="18"/>
                <w:color w:val="auto"/>
              </w:rPr>
              <w:t>Translation effect on Net Debt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365"/>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40" w:type="dxa"/>
            <w:vAlign w:val="bottom"/>
            <w:gridSpan w:val="5"/>
            <w:vMerge w:val="restart"/>
          </w:tcPr>
          <w:p>
            <w:pPr>
              <w:spacing w:after="0"/>
              <w:rPr>
                <w:sz w:val="20"/>
                <w:szCs w:val="20"/>
                <w:color w:val="auto"/>
              </w:rPr>
            </w:pPr>
            <w:r>
              <w:rPr>
                <w:rFonts w:ascii="Arial" w:cs="Arial" w:eastAsia="Arial" w:hAnsi="Arial"/>
                <w:sz w:val="18"/>
                <w:szCs w:val="18"/>
                <w:color w:val="auto"/>
              </w:rPr>
              <w:t>Net Debt, end of period</w:t>
            </w: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4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  (75</w:t>
            </w:r>
          </w:p>
        </w:tc>
        <w:tc>
          <w:tcPr>
            <w:tcW w:w="4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80" w:type="dxa"/>
            <w:vAlign w:val="bottom"/>
            <w:gridSpan w:val="3"/>
          </w:tcPr>
          <w:p>
            <w:pPr>
              <w:ind w:left="460"/>
              <w:spacing w:after="0"/>
              <w:rPr>
                <w:sz w:val="20"/>
                <w:szCs w:val="20"/>
                <w:color w:val="auto"/>
              </w:rPr>
            </w:pPr>
            <w:r>
              <w:rPr>
                <w:rFonts w:ascii="Arial" w:cs="Arial" w:eastAsia="Arial" w:hAnsi="Arial"/>
                <w:sz w:val="18"/>
                <w:szCs w:val="18"/>
                <w:color w:val="auto"/>
              </w:rPr>
              <w:t>(1)</w:t>
            </w:r>
          </w:p>
        </w:tc>
        <w:tc>
          <w:tcPr>
            <w:tcW w:w="6720" w:type="dxa"/>
            <w:vAlign w:val="bottom"/>
            <w:gridSpan w:val="4"/>
          </w:tcPr>
          <w:p>
            <w:pPr>
              <w:ind w:left="240"/>
              <w:spacing w:after="0"/>
              <w:rPr>
                <w:sz w:val="20"/>
                <w:szCs w:val="20"/>
                <w:color w:val="auto"/>
              </w:rPr>
            </w:pPr>
            <w:r>
              <w:rPr>
                <w:rFonts w:ascii="Arial" w:cs="Arial" w:eastAsia="Arial" w:hAnsi="Arial"/>
                <w:sz w:val="18"/>
                <w:szCs w:val="18"/>
                <w:color w:val="auto"/>
              </w:rPr>
              <w:t>Includes Multiclient seismic data costs.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Mar. 31</w:t>
            </w:r>
          </w:p>
        </w:tc>
        <w:tc>
          <w:tcPr>
            <w:tcW w:w="3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Mar. 31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61"/>
        </w:trPr>
        <w:tc>
          <w:tcPr>
            <w:tcW w:w="7500" w:type="dxa"/>
            <w:vAlign w:val="bottom"/>
            <w:gridSpan w:val="7"/>
          </w:tcPr>
          <w:p>
            <w:pPr>
              <w:spacing w:after="0"/>
              <w:rPr>
                <w:sz w:val="20"/>
                <w:szCs w:val="20"/>
                <w:color w:val="auto"/>
              </w:rPr>
            </w:pPr>
            <w:r>
              <w:rPr>
                <w:rFonts w:ascii="Arial" w:cs="Arial" w:eastAsia="Arial" w:hAnsi="Arial"/>
                <w:sz w:val="14"/>
                <w:szCs w:val="14"/>
                <w:b w:val="1"/>
                <w:bCs w:val="1"/>
                <w:color w:val="auto"/>
              </w:rPr>
              <w:t>Components of Net Debt</w:t>
            </w: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90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10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192</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6"/>
          </w:tcPr>
          <w:p>
            <w:pPr>
              <w:spacing w:after="0"/>
              <w:rPr>
                <w:sz w:val="20"/>
                <w:szCs w:val="20"/>
                <w:color w:val="auto"/>
              </w:rPr>
            </w:pPr>
            <w:r>
              <w:rPr>
                <w:rFonts w:ascii="Arial" w:cs="Arial" w:eastAsia="Arial" w:hAnsi="Arial"/>
                <w:sz w:val="18"/>
                <w:szCs w:val="18"/>
                <w:color w:val="auto"/>
              </w:rPr>
              <w:t>Short-term investments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3,932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6"/>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(635)</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(299)</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5"/>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(4,052)</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(4,254)</w:t>
            </w:r>
          </w:p>
        </w:tc>
        <w:tc>
          <w:tcPr>
            <w:tcW w:w="1200" w:type="dxa"/>
            <w:vAlign w:val="bottom"/>
            <w:gridSpan w:val="6"/>
          </w:tcPr>
          <w:p>
            <w:pPr>
              <w:jc w:val="right"/>
              <w:ind w:right="4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(1,527)</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2010 and 2009 included:</w:t>
      </w:r>
    </w:p>
    <w:p>
      <w:pPr>
        <w:spacing w:after="0" w:line="90" w:lineRule="exact"/>
        <w:rPr>
          <w:sz w:val="20"/>
          <w:szCs w:val="20"/>
          <w:color w:val="auto"/>
        </w:rPr>
      </w:pPr>
    </w:p>
    <w:p>
      <w:pPr>
        <w:ind w:left="900" w:right="1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first quarter of 2009, Schlumberger entered into a €3.0 billion Euro Medium Term Note program. This program provides for the issuance of various types of debt instruments such as fixed or floating rate notes in Euro, US dollar or other currencies.</w:t>
      </w:r>
    </w:p>
    <w:p>
      <w:pPr>
        <w:spacing w:after="0" w:line="50" w:lineRule="exact"/>
        <w:rPr>
          <w:rFonts w:ascii="Arial" w:cs="Arial" w:eastAsia="Arial" w:hAnsi="Arial"/>
          <w:sz w:val="18"/>
          <w:szCs w:val="18"/>
          <w:color w:val="auto"/>
        </w:rPr>
      </w:pPr>
    </w:p>
    <w:p>
      <w:pPr>
        <w:ind w:left="900"/>
        <w:spacing w:after="0" w:line="256" w:lineRule="auto"/>
        <w:rPr>
          <w:rFonts w:ascii="Arial" w:cs="Arial" w:eastAsia="Arial" w:hAnsi="Arial"/>
          <w:sz w:val="18"/>
          <w:szCs w:val="18"/>
          <w:color w:val="auto"/>
        </w:rPr>
      </w:pPr>
      <w:r>
        <w:rPr>
          <w:rFonts w:ascii="Arial" w:cs="Arial" w:eastAsia="Arial" w:hAnsi="Arial"/>
          <w:sz w:val="18"/>
          <w:szCs w:val="18"/>
          <w:color w:val="auto"/>
        </w:rPr>
        <w:t>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 The proceeds from these notes were used to refinance existing debt obligations and for general corporate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0" w:hanging="446"/>
        <w:spacing w:after="0" w:line="35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On April 17, 2008, the Schlumberger Board of Directors approved an $8 billion share repurchase program for shares of Schlumberger common stock, to be acquired in the open market before December 31, 2011, of which $1.77 billion had been repurchased as of March 31, 2010.</w:t>
      </w:r>
    </w:p>
    <w:p>
      <w:pPr>
        <w:ind w:left="900"/>
        <w:spacing w:after="0"/>
        <w:rPr>
          <w:rFonts w:ascii="Arial" w:cs="Arial" w:eastAsia="Arial" w:hAnsi="Arial"/>
          <w:sz w:val="15"/>
          <w:szCs w:val="15"/>
          <w:color w:val="auto"/>
        </w:rPr>
      </w:pPr>
      <w:r>
        <w:rPr>
          <w:rFonts w:ascii="Arial" w:cs="Arial" w:eastAsia="Arial" w:hAnsi="Arial"/>
          <w:sz w:val="18"/>
          <w:szCs w:val="18"/>
          <w:color w:val="auto"/>
        </w:rPr>
        <w:t>The following table summarizes the activity, during the first quarter of 2010, under the April 17, 2008 share repurchase program:</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149"/>
        </w:trPr>
        <w:tc>
          <w:tcPr>
            <w:tcW w:w="46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Total cost of</w:t>
            </w:r>
          </w:p>
        </w:tc>
        <w:tc>
          <w:tcPr>
            <w:tcW w:w="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9"/>
        </w:trPr>
        <w:tc>
          <w:tcPr>
            <w:tcW w:w="46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ind w:right="446"/>
              <w:spacing w:after="0" w:line="149" w:lineRule="exact"/>
              <w:rPr>
                <w:sz w:val="20"/>
                <w:szCs w:val="20"/>
                <w:color w:val="auto"/>
              </w:rPr>
            </w:pPr>
            <w:r>
              <w:rPr>
                <w:rFonts w:ascii="Arial" w:cs="Arial" w:eastAsia="Arial" w:hAnsi="Arial"/>
                <w:sz w:val="14"/>
                <w:szCs w:val="14"/>
                <w:b w:val="1"/>
                <w:bCs w:val="1"/>
                <w:color w:val="auto"/>
              </w:rPr>
              <w:t>Average</w:t>
            </w:r>
          </w:p>
        </w:tc>
      </w:tr>
      <w:tr>
        <w:trPr>
          <w:trHeight w:val="161"/>
        </w:trPr>
        <w:tc>
          <w:tcPr>
            <w:tcW w:w="4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8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w w:val="88"/>
              </w:rPr>
              <w:t>price paid per share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of 2010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$ 337,262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5,292.8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r>
    </w:tbl>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did not repurchase any shares during the first three months of 2009.</w:t>
      </w:r>
    </w:p>
    <w:p>
      <w:pPr>
        <w:spacing w:after="0" w:line="90" w:lineRule="exact"/>
        <w:rPr>
          <w:sz w:val="20"/>
          <w:szCs w:val="20"/>
          <w:color w:val="auto"/>
        </w:rPr>
      </w:pPr>
    </w:p>
    <w:p>
      <w:pPr>
        <w:ind w:left="900" w:right="2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2010 Schlumberger made contributions of $64 million to its defined benefit pension plans as compared to $273 million during the same period last year.</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flow provided by operations was $1.0 billion in the first quarter of 2010 compared to $551 million in the first quarter of 2009. The increase in cash flow from operations in 2010 as compared to 2009 reflected an improvement in working capital requirements combined with a decrease in pension plan contributions which was offset in part by the decrease in net income.</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were $0.4 billion in the first quarter of 2010 compared to $0.7 billion during the first quarter of 2009. Oilfield Services capital expenditures are expected to approach $2.8 billion for the full year of 2010 as compared to $1.9 billion in 2009. WesternGeco capital expenditures are expected to approach $0.3 billion for the full year 2010 as compared to $0.5 billion in 2009.</w:t>
      </w:r>
    </w:p>
    <w:p>
      <w:pPr>
        <w:spacing w:after="0" w:line="59"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2010 approximately, $22 million of the 2.125% Series B Convertible Debentures due June 1, 2023 were converted by holders into 565,000 shares of Schlumberger common stock.</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March 31, 2010 Schlumberger had $4.2 billion of cash and short-term investments on hand. Schlumberger had separate committed debt facility agreements aggregating $3.8 billion with commercial banks, of which $2.9 billion was available and unused as of March 31, 2010. This included $2.3 billion of unused committed facilities which support commercial paper borrowings in the United States and Europe. Schlumberger believes that these amounts are sufficient to meet future business requirements for at least the next twelve months.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Schlumberger’s total outstanding debt at March 31, 2010 was $5.0 billion and included $0.2 billion of commercial paper borrowings. The total outstanding debt decreased $0.5 billion compared to December 31, 2009.</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functional currency of Schlumberger’s operations in Venezuela is the US dollar, a portion of the transactions are denominated in local currency. For financial reporting purposes, such transactions are remeasured into US dollars at the official exchange rate, which until January 2010 was fixed at 2.15 Venezuela bolivares fuertes per US dollars, despite significant inflation in recent periods. In January 2010, Venezuela’s currency was devalued and a new dual exchange rate system was announced. During the first quarter of 2010, Schlumberger began to apply an exchange rate of 4.3 Venezuelan bolivares fuertes per US dollar to its local currency denominated transactions in Venezuela. The devaluation did not have an immediate significant impact to Schlumberger. Further, although this devaluation does result in a reduction in the US dollar reported amount of local currency denominated revenues and expenses, the impact is not material to Schlumberger’s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This Form 10-Q and other statements we make contain “forward-looking statements” within the meaning of the federal securities laws, which include any statements that are not historical facts, such as our forecasts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expectations regarding business outlook; growth for Schlumberger as a whole and for each of Oilfield Services and WesternGeco (and for specified products or geographic areas within each segment); timing of the closing of the Smith merger; the integration of Geoservices into our business; the anticipated benefits of those transactions; oil and natural gas demand and production growth; oil and natural gas prices; operating margins; the Schlumberger effective tax rate;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satisfaction of the closing conditions to the Smith merger; the risk that the contemplated Smith merger does not occur, negative effects from the pendency of the contemplated Smith merger, the ability after the closing of the Smith merger to successfully integrate the merged businesses and to realize expected synergies, the inability to retain key employees; costs and expenses for the merger; and other risks and uncertainties detailed in our first-quarter 2010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2009. Schlumberger’s exposure to market risk has not changed materially since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II.</w:t>
      </w:r>
      <w:r>
        <w:rPr>
          <w:sz w:val="20"/>
          <w:szCs w:val="20"/>
          <w:color w:val="auto"/>
        </w:rPr>
        <w:tab/>
      </w: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2009, except as follows:</w:t>
      </w: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The ability of Smith and Schlumberger to complete the merger is subject to certain closing conditions, including the approval of Smith stockholders and the receipt of consents and approvals from government entities, which may impose conditions that could adversely affect the combined company or cause the merger to be abandoned.</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merger agreement contains closing conditions, including approval of the merger by Smith stockholders, the absence of injunctions or other legal restrictions and no material adverse effect having occurred with respect to either company. In addition, Smith and Schlumberger will be unable to complete the merger until approvals are received from the Antitrust Division of the U.S. Department of Justice, the European Commission and various other governmental entities. 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complete the merger with Smith could negatively impact Schlumberger’s stock price and our future business and financial results.</w:t>
      </w:r>
    </w:p>
    <w:p>
      <w:pPr>
        <w:spacing w:after="0" w:line="11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If the merger with Smith is not completed, the ongoing businesses and the market price of the common stock of Schlumberger may be adversely affected and Schlumberger will be subject to several risks, including being required, under specified circumstances, to pay Smith a termination fee of $615 million; having to pay certain costs relating to the merger; and diverting the focus of management from pursuing other opportunities that could be beneficial to Schlumberger, in each case, without realizing any of the benefits that might have resulted had the merger been completed.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pendency of the merger could adversely affect Schlumberger.</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connection with the pending merger, some of Schlumberger’s customers may delay or defer purchasing decisions, which could negatively impact revenues, earnings and cash flows regardless of whether the merger is completed. Additionally, Schlumberger has agreed in the merger agreement to refrain from taking certain actions with respect to its business and financial affairs during the pendency of the merger. These restrictions could be in place for an extended period of time if completion of the merger is delayed, and could adversely impact Schlumberger’s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stockholders will be diluted by the merger.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merger will dilute the ownership position of Schlumberger’s current stockholders. We currently estimate that, upon completion of the merger, Schlumberger’s stockholders before the merger will own approximately 87% of the combined company and former Smith stockholders will own approximately 13% of the combined company’s outstanding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Following the merger, Schlumberger may be unable to successfully integrate Smith’s and Schlumberger’s businesses and realize the anticipated benefits of the merger.</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merger involves the combination of two companies that currently operate as independent public companies. Schlumberger will be required to devote management attention and resources to integrating the two companies’ business practices and operations. Potential difficulties that Schlumberger may encounter in the integration process include the following:</w:t>
      </w:r>
    </w:p>
    <w:p>
      <w:pPr>
        <w:spacing w:after="0" w:line="59" w:lineRule="exact"/>
        <w:rPr>
          <w:sz w:val="20"/>
          <w:szCs w:val="20"/>
          <w:color w:val="auto"/>
        </w:rPr>
      </w:pPr>
    </w:p>
    <w:p>
      <w:pPr>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integrate the Smith and Schlumberger businesses in a manner that permits Schlumberger to achieve the cost savings and operating synergies anticipated to result from the merger, which would result in the anticipated benefits of the merger not being realized partly or wholly in the time frame currently anticipated or at all;</w:t>
      </w:r>
    </w:p>
    <w:p>
      <w:pPr>
        <w:spacing w:after="0" w:line="59" w:lineRule="exact"/>
        <w:rPr>
          <w:rFonts w:ascii="Arial" w:cs="Arial" w:eastAsia="Arial" w:hAnsi="Arial"/>
          <w:sz w:val="18"/>
          <w:szCs w:val="18"/>
          <w:color w:val="auto"/>
        </w:rPr>
      </w:pPr>
    </w:p>
    <w:p>
      <w:pPr>
        <w:ind w:left="900" w:right="5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integrating personnel from the two companies while maintaining focus on providing consistent, high quality products and customer service;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shortfalls at the combined company as a result of the diversion of management’s attention caused by completing the merger and integrating the companies’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issues currently faced by one company may be imputed to the operations of the other company.</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To the extent that either Schlumberger or Smith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retain key employees and skilled workers could adversely affect Schlumberger following the merger.</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Schlumberger’s performance following the merger could be adversely affected if the combined company is unable to retain certain key employees and skilled workers of Smith. The loss of the services of one or more of these key employees and skilled workers could adversely affect Schlumberger’s future operating results because of their experience and knowledge of Smith’s business. In addition, current and prospective employees of Schlumberger and Smith may experience uncertainty about their future roles with their company until after the merger is completed. This may adversely affect the ability of both Schlumberger and Smith to attract and retain key personnel.</w:t>
      </w:r>
    </w:p>
    <w:p>
      <w:pPr>
        <w:spacing w:after="0" w:line="218"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The required regulatory approvals may not be obtained or may contain materially burdensome conditions that could have an adverse effect on Schlumberger.</w:t>
      </w:r>
    </w:p>
    <w:p>
      <w:pPr>
        <w:spacing w:after="0" w:line="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Completion of the pending merger is conditioned upon the receipt of certain governmental approvals, including the expiration or termination of the applicable waiting period under the Hart-Scott-Rodino Antitrust Improvements Act of 1976, the issuance by the European Commission of a decision under the EC Merger Regulation declaring the merger compatible with the common market and the approval of the merger by the antitrust regulators in other specified jurisdictions. Although Schlumberger and Smith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 Under the terms of the merger agreement, Schlumberger is required to agree to take all actions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If Schlumberger agrees to undertake divestitures or comply with operating restrictions in 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19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A significant portion of the combined company’s revenue will be dependent on the activity level of natural gas exploration and production in North America.</w:t>
      </w:r>
    </w:p>
    <w:p>
      <w:pPr>
        <w:spacing w:after="0" w:line="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Upon consummation of the merger, a larger portion of our revenues will be derived from our North American operations. Because of the current economic environment and related decrease in demand for energy, natural gas exploration and production in North America have decreased significantly from their peak levels in the summer of 2008. Warmer than normal winters in North America, among other factors, may adversely impact demand for natural gas and, therefore, demand for oilfield services. If the economic conditions deteriorate further or do not improve, the decline in natural gas exploration and production could cause a decline in the demand for the services and products of the combined company. Such decline could result in a significant adverse effect on our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Schlumberger common stock could decline if large amounts of its common stock are sold following the merger.</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Following the merger, stockholders of Schlumberger and former stockholders of Smith will own interests in a combined company operating an expanded business with more assets and a different mix of liabilities. Current stockholders of Schlumberger and Smith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Smith common stock is included. If, following the merger, large amounts of Schlumberger common stock are sold, the price of its common stock could decline.</w:t>
      </w:r>
    </w:p>
    <w:p>
      <w:pPr>
        <w:spacing w:after="0" w:line="191"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The merger may be dilutive to Schlumberger’s earnings per share in the near term, which may negatively affect the market price of Schlumberger common stock.</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merger may be dilutive to earnings per share in the near term. Future events and conditions could decrease or delay any accretion, result in dilution or cause greater dilution than is currently expected, including:</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Any dilution of, or decrease or delay of any accretion to, Schlumberger’s earnings per share could cause the price of Schlumberger’s common stock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products and services could be reduced or eliminated by governmental regulation or a change in the law.</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International, national, and state governments and agencies are currently evaluating and promulgating climate-related legislation and regulations that are focused on restricting greenhouse gas (“GHG”) emissions. In the United States, the Environmental Protection Agency (“EPA”) is taking steps to require monitoring and reporting of GHG emissions and to regulate GHGs as pollutants under the Clean Air Act (“CAA”). The EPA’s “Mandatory Reporting of Greenhouse Gases” rule established a comprehensive scheme of regulations that require monitoring and reporting of GHG emissions that began in 2010. Furthermore, the EPA recently proposed additional GHG reporting rules specifically for the oil and gas industry. The EPA has also published a final rule, the “Endangerment Finding”, finding that GHGs in the atmosphere endanger public health and welfare, and that emissions of GHGs from mobile sources cause or contribute to the GHG pollution. Following issuance of the Endangerment Finding, the EPA promulgated final motor vehicle GHG emission standards on April 1, 2010. The EPA has asserted that the final motor vehicle GHG emission standards will trigger construction and operating permit requirements for stationary sources. In addition, climate change legislation is pending in the United States Congress. These developments may curtail production and demand for fossil fuels such as oil and gas in areas of the world where our customers operate and thus adversely affect future demand for our services and products, which may in turn adversely affect future results of operations. Additionally, legislation to reduce greenhouse gases may have an adverse effect on our operations, including payment of additional costs due to carbon emissions. Higher carbon emission activities include transportation, including marine vessels, cement production (by third party suppliers), and electricity generation (by third party suppliers) as well as other activities. Finally, our business could be negatively affected by climate change related physical changes or changes in weather patterns, which could result in damages to or loss of our physical assets, impacts to our ability to conduct operations and/or disruption of our customers’ operations.</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Legislation is pending in the United States Congress that would authorize the EPA to regulate hydraulic fracturing under the Safe Drinking Water Act. The legislation would require the reporting and public disclosure of chemicals that could adversely affect drinking water supplies. In addition a number of states are evaluating the adoption of legislation or regulations governing hydraulic fracturing. Such regulations or legislation could reduce demand for pressure pumping services. If federal and/or state legislation or regulations were enacted, it could adversely affect our financial condition, results of operations and cash flows. We are unable to predict whether the proposed legislation, regulations, or any other proposals will ultimately be enacted.</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During the quarter ended March 31, 2010, Schlumberger issued 565,000 shares of its common stock upon conversion by holders of $22.6 million aggregate principal amount of its 2.125% Series B Convertible Debentures due June 1, 2023. Such shares were issued in transactions exempt from registration under Section 3(a)(9) of the Securities Act of 1933, as amended.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March 31, 2010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00" w:type="dxa"/>
            <w:vAlign w:val="bottom"/>
            <w:gridSpan w:val="6"/>
          </w:tcPr>
          <w:p>
            <w:pPr>
              <w:jc w:val="right"/>
              <w:ind w:right="20"/>
              <w:spacing w:after="0"/>
              <w:rPr>
                <w:sz w:val="20"/>
                <w:szCs w:val="20"/>
                <w:color w:val="auto"/>
              </w:rPr>
            </w:pPr>
            <w:r>
              <w:rPr>
                <w:rFonts w:ascii="Arial" w:cs="Arial" w:eastAsia="Arial" w:hAnsi="Arial"/>
                <w:sz w:val="14"/>
                <w:szCs w:val="14"/>
                <w:b w:val="1"/>
                <w:bCs w:val="1"/>
                <w:i w:val="1"/>
                <w:iCs w:val="1"/>
                <w:color w:val="auto"/>
                <w:w w:val="94"/>
              </w:rPr>
              <w:t>(Stated in thousands, except per share amounts)</w:t>
            </w:r>
          </w:p>
        </w:tc>
      </w:tr>
      <w:tr>
        <w:trPr>
          <w:trHeight w:val="204"/>
        </w:trPr>
        <w:tc>
          <w:tcPr>
            <w:tcW w:w="5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Total number of</w:t>
            </w:r>
          </w:p>
        </w:tc>
        <w:tc>
          <w:tcPr>
            <w:tcW w:w="40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Maximum value of</w:t>
            </w:r>
          </w:p>
        </w:tc>
      </w:tr>
      <w:tr>
        <w:trPr>
          <w:trHeight w:val="149"/>
        </w:trPr>
        <w:tc>
          <w:tcPr>
            <w:tcW w:w="5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7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7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4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shares that may yet</w:t>
            </w:r>
          </w:p>
        </w:tc>
      </w:tr>
      <w:tr>
        <w:trPr>
          <w:trHeight w:val="149"/>
        </w:trPr>
        <w:tc>
          <w:tcPr>
            <w:tcW w:w="5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1"/>
              </w:rPr>
              <w:t>paid per</w:t>
            </w:r>
          </w:p>
        </w:tc>
        <w:tc>
          <w:tcPr>
            <w:tcW w:w="78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as part of publicly</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be purchased</w:t>
            </w:r>
          </w:p>
        </w:tc>
      </w:tr>
      <w:tr>
        <w:trPr>
          <w:trHeight w:val="161"/>
        </w:trPr>
        <w:tc>
          <w:tcPr>
            <w:tcW w:w="5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7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announced program</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under the program</w:t>
            </w:r>
          </w:p>
        </w:tc>
        <w:tc>
          <w:tcPr>
            <w:tcW w:w="20" w:type="dxa"/>
            <w:vAlign w:val="bottom"/>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2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400.0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6,539,339</w:t>
            </w:r>
          </w:p>
        </w:tc>
        <w:tc>
          <w:tcPr>
            <w:tcW w:w="2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February 1 through February 28, 2010</w:t>
            </w:r>
          </w:p>
        </w:tc>
        <w:tc>
          <w:tcPr>
            <w:tcW w:w="800" w:type="dxa"/>
            <w:vAlign w:val="bottom"/>
          </w:tcPr>
          <w:p>
            <w:pPr>
              <w:jc w:val="right"/>
              <w:spacing w:after="0"/>
              <w:rPr>
                <w:sz w:val="20"/>
                <w:szCs w:val="20"/>
                <w:color w:val="auto"/>
              </w:rPr>
            </w:pPr>
            <w:r>
              <w:rPr>
                <w:rFonts w:ascii="Arial" w:cs="Arial" w:eastAsia="Arial" w:hAnsi="Arial"/>
                <w:sz w:val="18"/>
                <w:szCs w:val="18"/>
                <w:color w:val="auto"/>
              </w:rPr>
              <w:t>1,810.8</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64.10</w:t>
            </w:r>
          </w:p>
        </w:tc>
        <w:tc>
          <w:tcPr>
            <w:tcW w:w="2340" w:type="dxa"/>
            <w:vAlign w:val="bottom"/>
            <w:gridSpan w:val="3"/>
          </w:tcPr>
          <w:p>
            <w:pPr>
              <w:jc w:val="right"/>
              <w:ind w:right="380"/>
              <w:spacing w:after="0"/>
              <w:rPr>
                <w:sz w:val="20"/>
                <w:szCs w:val="20"/>
                <w:color w:val="auto"/>
              </w:rPr>
            </w:pPr>
            <w:r>
              <w:rPr>
                <w:rFonts w:ascii="Arial" w:cs="Arial" w:eastAsia="Arial" w:hAnsi="Arial"/>
                <w:sz w:val="18"/>
                <w:szCs w:val="18"/>
                <w:color w:val="auto"/>
              </w:rPr>
              <w:t>1,810.8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6,423,271</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2010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6,228,356</w:t>
            </w:r>
          </w:p>
        </w:tc>
        <w:tc>
          <w:tcPr>
            <w:tcW w:w="20" w:type="dxa"/>
            <w:vAlign w:val="bottom"/>
          </w:tcPr>
          <w:p>
            <w:pPr>
              <w:spacing w:after="0"/>
              <w:rPr>
                <w:sz w:val="18"/>
                <w:szCs w:val="18"/>
                <w:color w:val="auto"/>
              </w:rPr>
            </w:pPr>
          </w:p>
        </w:tc>
      </w:tr>
      <w:tr>
        <w:trPr>
          <w:trHeight w:val="222"/>
        </w:trPr>
        <w:tc>
          <w:tcPr>
            <w:tcW w:w="5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5,292.8</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63.72</w:t>
            </w:r>
          </w:p>
        </w:tc>
        <w:tc>
          <w:tcPr>
            <w:tcW w:w="2340" w:type="dxa"/>
            <w:vAlign w:val="bottom"/>
            <w:gridSpan w:val="3"/>
          </w:tcPr>
          <w:p>
            <w:pPr>
              <w:jc w:val="right"/>
              <w:ind w:right="380"/>
              <w:spacing w:after="0"/>
              <w:rPr>
                <w:sz w:val="20"/>
                <w:szCs w:val="20"/>
                <w:color w:val="auto"/>
              </w:rPr>
            </w:pPr>
            <w:r>
              <w:rPr>
                <w:rFonts w:ascii="Arial" w:cs="Arial" w:eastAsia="Arial" w:hAnsi="Arial"/>
                <w:sz w:val="18"/>
                <w:szCs w:val="18"/>
                <w:color w:val="auto"/>
              </w:rPr>
              <w:t>5,292.8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3.1 to Schlumberger’s Quarterly Report on Form 10-Q for the fiscal quarter ended March 31, 2006).</w:t>
      </w:r>
    </w:p>
    <w:p>
      <w:pPr>
        <w:spacing w:after="0" w:line="5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51"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Exhibit 10.1 - Schlumberger 2010 Stock Incentive Plan (incorporated by reference to Exhibit 10.1 to Schlumberger’s Current Report on Form 8-K filed with the SEC on April 9, 2010).</w:t>
      </w:r>
    </w:p>
    <w:p>
      <w:pPr>
        <w:spacing w:after="0" w:line="51"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Exhibit 10.2 - Schlumberger Discounted Stock Purchase Plan, as amended and restated January 1, 2010 (incorporated by reference to Exhibit 10.2 to Schlumberger’s Current Report on Form 8-K filed with the SEC on April 9, 2010).</w:t>
      </w:r>
    </w:p>
    <w:p>
      <w:pPr>
        <w:spacing w:after="0" w:line="51" w:lineRule="exact"/>
        <w:rPr>
          <w:sz w:val="20"/>
          <w:szCs w:val="20"/>
          <w:color w:val="auto"/>
        </w:rPr>
      </w:pPr>
    </w:p>
    <w:p>
      <w:pPr>
        <w:ind w:left="600" w:hanging="136"/>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Exhibit 10.3 - Employment Agreement dated March 9, 2010 and effective as of February 9, 2010, between Schlumberger Limited and Chakib Sbiti.</w:t>
      </w:r>
    </w:p>
    <w:p>
      <w:pPr>
        <w:spacing w:after="0" w:line="113" w:lineRule="exact"/>
        <w:rPr>
          <w:rFonts w:ascii="Arial" w:cs="Arial" w:eastAsia="Arial" w:hAnsi="Arial"/>
          <w:sz w:val="16"/>
          <w:szCs w:val="16"/>
          <w:color w:val="auto"/>
        </w:rPr>
      </w:pPr>
    </w:p>
    <w:p>
      <w:pPr>
        <w:ind w:left="460" w:right="520" w:firstLine="4"/>
        <w:spacing w:after="0" w:line="268" w:lineRule="auto"/>
        <w:tabs>
          <w:tab w:leader="none" w:pos="5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580" w:firstLine="4"/>
        <w:spacing w:after="0" w:line="268" w:lineRule="auto"/>
        <w:tabs>
          <w:tab w:leader="none" w:pos="5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240" w:firstLine="4"/>
        <w:spacing w:after="0" w:line="268"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
        <w:spacing w:after="0" w:line="268" w:lineRule="auto"/>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firstLine="4"/>
        <w:spacing w:after="0" w:line="306" w:lineRule="auto"/>
        <w:tabs>
          <w:tab w:leader="none" w:pos="6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Exhibit 101 - The following materials from Schlumberger Limited’s Quarterly Report on Form 10-Q for the quarter ended September 30, 2009, formatted in XBRL (Extensible Business Reporting Language): (i) Consolidated Statement of Income, (ii) Consolidated Balance Sheet, (iii) Consolidated Statement of Cash Flows, (iv) Consolidated Statement of Equity and (v) Notes to Consolidated Financial Statements, tagged as blocks of text.</w:t>
      </w:r>
    </w:p>
    <w:p>
      <w:pPr>
        <w:spacing w:after="0" w:line="9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-292735</wp:posOffset>
            </wp:positionV>
            <wp:extent cx="720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8"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April 28, 2010</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Accounting Officer and Duly Authorized Signatory</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459" w:right="7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ind w:right="780"/>
        <w:spacing w:after="0" w:line="339" w:lineRule="auto"/>
        <w:rPr>
          <w:sz w:val="20"/>
          <w:szCs w:val="20"/>
          <w:color w:val="auto"/>
        </w:rPr>
      </w:pPr>
      <w:r>
        <w:rPr>
          <w:rFonts w:ascii="Arial" w:cs="Arial" w:eastAsia="Arial" w:hAnsi="Arial"/>
          <w:sz w:val="16"/>
          <w:szCs w:val="16"/>
          <w:color w:val="auto"/>
        </w:rPr>
        <w:t xml:space="preserve">THIS EMPLOYMENT AGREEMENT (“Agreement”) is effective as of the 9th of February, 2010, by and between </w:t>
      </w:r>
      <w:r>
        <w:rPr>
          <w:rFonts w:ascii="Arial" w:cs="Arial" w:eastAsia="Arial" w:hAnsi="Arial"/>
          <w:sz w:val="16"/>
          <w:szCs w:val="16"/>
          <w:b w:val="1"/>
          <w:bCs w:val="1"/>
          <w:color w:val="auto"/>
        </w:rPr>
        <w:t>SCHLUMBERGER LIMITED</w:t>
      </w:r>
      <w:r>
        <w:rPr>
          <w:rFonts w:ascii="Arial" w:cs="Arial" w:eastAsia="Arial" w:hAnsi="Arial"/>
          <w:sz w:val="16"/>
          <w:szCs w:val="16"/>
          <w:color w:val="auto"/>
        </w:rPr>
        <w:t>, a Netherlands Antilles corporation (the “Company”), and Chakib Sbiti, an individual currently residing in Morocco (“Executive”).</w:t>
      </w:r>
    </w:p>
    <w:p>
      <w:pPr>
        <w:spacing w:after="0" w:line="80" w:lineRule="exact"/>
        <w:rPr>
          <w:sz w:val="20"/>
          <w:szCs w:val="20"/>
          <w:color w:val="auto"/>
        </w:rPr>
      </w:pPr>
    </w:p>
    <w:p>
      <w:pPr>
        <w:ind w:right="280" w:firstLine="8"/>
        <w:spacing w:after="0" w:line="256"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Employment of Executive</w:t>
      </w:r>
      <w:r>
        <w:rPr>
          <w:rFonts w:ascii="Arial" w:cs="Arial" w:eastAsia="Arial" w:hAnsi="Arial"/>
          <w:sz w:val="18"/>
          <w:szCs w:val="18"/>
          <w:color w:val="auto"/>
        </w:rPr>
        <w:t>: In consideration of the mutual covenants and 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base salary and incentive compensation.</w:t>
      </w:r>
    </w:p>
    <w:p>
      <w:pPr>
        <w:spacing w:after="0" w:line="143" w:lineRule="exact"/>
        <w:rPr>
          <w:rFonts w:ascii="Arial" w:cs="Arial" w:eastAsia="Arial" w:hAnsi="Arial"/>
          <w:sz w:val="18"/>
          <w:szCs w:val="18"/>
          <w:color w:val="auto"/>
        </w:rPr>
      </w:pPr>
    </w:p>
    <w:p>
      <w:pPr>
        <w:ind w:right="20" w:firstLine="8"/>
        <w:spacing w:after="0" w:line="288"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 and Extent of Services</w:t>
      </w:r>
      <w:r>
        <w:rPr>
          <w:rFonts w:ascii="Arial" w:cs="Arial" w:eastAsia="Arial" w:hAnsi="Arial"/>
          <w:sz w:val="16"/>
          <w:szCs w:val="16"/>
          <w:color w:val="auto"/>
        </w:rPr>
        <w:t>: During the Term, as defined below, Executive shall be employed as Executive Advisor reporting to Andrew Gould, Chairman &amp; CEO. The term hereof shall commence February 9th, 2010 (the “Effective Date”) and shall continue until the close of business on January 31st, 2014 (the “Term”). The initial term as referenced herein shall commence on the Effective Date and shall continue until December 31st, 2010 (the “Initial Term”). The Secondary Term shall commence January 1st, 2011 and shall continue until January 31st, 2014 (the “Secondary Term”). During the Initial Term, Executive agrees to devote up to 100% of his business time to the business of the Company, as requested, and to perform to the best of his ability and with reasonable diligence the duties and responsibilities assigned to him by the appropriate management of the Company. During the Secondary Term, Executive agrees to devote up to 50% of his time to the business of the Company, as requested, and to perform to the best of his ability and with reasonable diligence the duties and responsibilities assigned to him by the appropriate management of the Company. At the expiration of the Term, Executive agrees to voluntarily retire from the Company and all affiliates. Executive has confirmed that he is no longer an Officer or Executive Officer of the Company.</w:t>
      </w:r>
    </w:p>
    <w:p>
      <w:pPr>
        <w:spacing w:after="0" w:line="120"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Nothing herein shall prohibit Executive, during the Term, from being engaged as a consultant to organizations and businesses, except those described as Unauthorized Competitors in Section 5, provided that Executive’s work as a consultant does not affect his ability to perform the duties and responsibilities assigned to him under this Agreement.</w:t>
      </w:r>
    </w:p>
    <w:p>
      <w:pPr>
        <w:spacing w:after="0" w:line="140"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464"/>
        <w:spacing w:after="0" w:line="332" w:lineRule="auto"/>
        <w:tabs>
          <w:tab w:leader="none" w:pos="695"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During the Initial Term, Executive’s base salary shall be US$ 108,334.00 per month. During the Secondary Term, Executive’s base salary shall be $81,250.00 per month. During the term, Executive’s base salary shall be payable monthly in accordance with the Company’s normal payroll practices.</w:t>
      </w:r>
    </w:p>
    <w:p>
      <w:pPr>
        <w:spacing w:after="0" w:line="85" w:lineRule="exact"/>
        <w:rPr>
          <w:rFonts w:ascii="Arial" w:cs="Arial" w:eastAsia="Arial" w:hAnsi="Arial"/>
          <w:sz w:val="16"/>
          <w:szCs w:val="16"/>
          <w:color w:val="auto"/>
        </w:rPr>
      </w:pPr>
    </w:p>
    <w:p>
      <w:pPr>
        <w:ind w:right="520" w:firstLine="464"/>
        <w:spacing w:after="0" w:line="332" w:lineRule="auto"/>
        <w:tabs>
          <w:tab w:leader="none" w:pos="705"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Welfare Benefits</w:t>
      </w:r>
      <w:r>
        <w:rPr>
          <w:rFonts w:ascii="Arial" w:cs="Arial" w:eastAsia="Arial" w:hAnsi="Arial"/>
          <w:sz w:val="16"/>
          <w:szCs w:val="16"/>
          <w:color w:val="auto"/>
        </w:rPr>
        <w:t>: During the Term, Executive shall be eligible to participate in the Company’s health, welfare and insurance plans (e.g., medical, dental, vision, life insurance, short- and long-term disability, etc.) for International Staff based on an annual salary of US$ 1,300,000.</w:t>
      </w:r>
    </w:p>
    <w:p>
      <w:pPr>
        <w:spacing w:after="0" w:line="85" w:lineRule="exact"/>
        <w:rPr>
          <w:rFonts w:ascii="Arial" w:cs="Arial" w:eastAsia="Arial" w:hAnsi="Arial"/>
          <w:sz w:val="16"/>
          <w:szCs w:val="16"/>
          <w:color w:val="auto"/>
        </w:rPr>
      </w:pPr>
    </w:p>
    <w:p>
      <w:pPr>
        <w:ind w:right="600" w:firstLine="464"/>
        <w:spacing w:after="0" w:line="370" w:lineRule="auto"/>
        <w:tabs>
          <w:tab w:leader="none" w:pos="695" w:val="left"/>
        </w:tabs>
        <w:numPr>
          <w:ilvl w:val="1"/>
          <w:numId w:val="31"/>
        </w:numPr>
        <w:rPr>
          <w:rFonts w:ascii="Arial" w:cs="Arial" w:eastAsia="Arial" w:hAnsi="Arial"/>
          <w:sz w:val="15"/>
          <w:szCs w:val="15"/>
          <w:color w:val="auto"/>
        </w:rPr>
      </w:pPr>
      <w:r>
        <w:rPr>
          <w:rFonts w:ascii="Arial" w:cs="Arial" w:eastAsia="Arial" w:hAnsi="Arial"/>
          <w:sz w:val="15"/>
          <w:szCs w:val="15"/>
          <w:u w:val="single" w:color="auto"/>
          <w:color w:val="auto"/>
        </w:rPr>
        <w:t>Pension and Profit-Sharing</w:t>
      </w:r>
      <w:r>
        <w:rPr>
          <w:rFonts w:ascii="Arial" w:cs="Arial" w:eastAsia="Arial" w:hAnsi="Arial"/>
          <w:sz w:val="15"/>
          <w:szCs w:val="15"/>
          <w:color w:val="auto"/>
        </w:rPr>
        <w:t>: During the Term, or if Executive’s employment is terminated sooner pursuant to Section 4, until such termination, Executive shall be eligible to accrue benefits under the Company’s pension plan and profit-sharing plan based on an annual base salary of US$ 1,300,000.</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Incentive Plans</w:t>
      </w:r>
      <w:r>
        <w:rPr>
          <w:rFonts w:ascii="Arial" w:cs="Arial" w:eastAsia="Arial" w:hAnsi="Arial"/>
          <w:sz w:val="18"/>
          <w:szCs w:val="18"/>
          <w:color w:val="auto"/>
        </w:rPr>
        <w:t>:</w:t>
      </w:r>
    </w:p>
    <w:p>
      <w:pPr>
        <w:spacing w:after="0" w:line="90" w:lineRule="exact"/>
        <w:rPr>
          <w:sz w:val="20"/>
          <w:szCs w:val="20"/>
          <w:color w:val="auto"/>
        </w:rPr>
      </w:pPr>
    </w:p>
    <w:p>
      <w:pPr>
        <w:ind w:left="700" w:right="60" w:firstLine="429"/>
        <w:spacing w:after="0" w:line="268" w:lineRule="auto"/>
        <w:rPr>
          <w:sz w:val="20"/>
          <w:szCs w:val="20"/>
          <w:color w:val="auto"/>
        </w:rPr>
      </w:pPr>
      <w:r>
        <w:rPr>
          <w:rFonts w:ascii="Arial" w:cs="Arial" w:eastAsia="Arial" w:hAnsi="Arial"/>
          <w:sz w:val="18"/>
          <w:szCs w:val="18"/>
          <w:color w:val="auto"/>
        </w:rPr>
        <w:t>During the Initial Term, Executive will participate in the Company’s Performance Incentive Plan at a range level of 100% of base pay. During the Secondary Term, Executive shall not participate in the Company’s Performance Incentive Plan.</w:t>
      </w:r>
    </w:p>
    <w:p>
      <w:pPr>
        <w:spacing w:after="0" w:line="51" w:lineRule="exact"/>
        <w:rPr>
          <w:sz w:val="20"/>
          <w:szCs w:val="20"/>
          <w:color w:val="auto"/>
        </w:rPr>
      </w:pPr>
    </w:p>
    <w:p>
      <w:pPr>
        <w:ind w:left="1360" w:right="160" w:hanging="677"/>
        <w:spacing w:after="0" w:line="268"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Term, or if Executive’s employment is terminated sooner pursuant to Section 4, until such termination, Executive will continue to vest in stock options previously granted to Executive</w:t>
      </w:r>
    </w:p>
    <w:p>
      <w:pPr>
        <w:sectPr>
          <w:pgSz w:w="11900" w:h="16838" w:orient="portrait"/>
          <w:cols w:equalWidth="0" w:num="1">
            <w:col w:w="11420"/>
          </w:cols>
          <w:pgMar w:left="240" w:top="125" w:right="239" w:bottom="1440" w:gutter="0" w:footer="0" w:header="0"/>
        </w:sectPr>
      </w:pPr>
    </w:p>
    <w:bookmarkStart w:id="34" w:name="page35"/>
    <w:bookmarkEnd w:id="34"/>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Company’s stock option plans in accordance with the terms of those plans and any applicable agreements.</w:t>
      </w:r>
    </w:p>
    <w:p>
      <w:pPr>
        <w:spacing w:after="0" w:line="212" w:lineRule="exact"/>
        <w:rPr>
          <w:sz w:val="20"/>
          <w:szCs w:val="20"/>
          <w:color w:val="auto"/>
        </w:rPr>
      </w:pPr>
    </w:p>
    <w:p>
      <w:pPr>
        <w:ind w:left="1360" w:right="120" w:hanging="677"/>
        <w:spacing w:after="0" w:line="256" w:lineRule="auto"/>
        <w:tabs>
          <w:tab w:leader="none" w:pos="13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Upon termination of employment, except for a termination for Cause pursuant to Section 4 (c) or upon Executive’s employment with an Unauthorized Competitor as described in Section 5 (c) (i), Executive shall have the lesser of 5 years or the length of time left on the option term from the date of such termination to exercise any previously granted stock options, to the extent that such options were exercisable as of the date of such termination.</w:t>
      </w:r>
    </w:p>
    <w:p>
      <w:pPr>
        <w:spacing w:after="0" w:line="143" w:lineRule="exact"/>
        <w:rPr>
          <w:rFonts w:ascii="Arial" w:cs="Arial" w:eastAsia="Arial" w:hAnsi="Arial"/>
          <w:sz w:val="18"/>
          <w:szCs w:val="18"/>
          <w:color w:val="auto"/>
        </w:rPr>
      </w:pPr>
    </w:p>
    <w:p>
      <w:pPr>
        <w:ind w:right="320" w:firstLine="464"/>
        <w:spacing w:after="0" w:line="268" w:lineRule="auto"/>
        <w:tabs>
          <w:tab w:leader="none" w:pos="69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Executive shall not be eligible to accrue vacation pay. Within 30 days after the Effective Date, Executive shall be paid a cash amount representing his accrued and unused vacation accumulated as of February 8th, 2010.</w:t>
      </w:r>
    </w:p>
    <w:p>
      <w:pPr>
        <w:spacing w:after="0" w:line="131" w:lineRule="exact"/>
        <w:rPr>
          <w:rFonts w:ascii="Arial" w:cs="Arial" w:eastAsia="Arial" w:hAnsi="Arial"/>
          <w:sz w:val="18"/>
          <w:szCs w:val="18"/>
          <w:color w:val="auto"/>
        </w:rPr>
      </w:pPr>
    </w:p>
    <w:p>
      <w:pPr>
        <w:ind w:right="180" w:firstLine="464"/>
        <w:spacing w:after="0" w:line="268" w:lineRule="auto"/>
        <w:tabs>
          <w:tab w:leader="none" w:pos="67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xml:space="preserve"> Executive shall be reimbursed for any expenses incurred in the normal course of performing his duties, including any travel expenditures necessary to satisfactorily perform his duties.</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Should Executive’s employment terminate prior to the end of the Term, the following provisions of this Section 4 shall govern the rights of Executive under this Agreement:</w:t>
      </w:r>
    </w:p>
    <w:p>
      <w:pPr>
        <w:spacing w:after="0" w:line="50" w:lineRule="exact"/>
        <w:rPr>
          <w:rFonts w:ascii="Arial" w:cs="Arial" w:eastAsia="Arial" w:hAnsi="Arial"/>
          <w:sz w:val="18"/>
          <w:szCs w:val="18"/>
          <w:color w:val="auto"/>
        </w:rPr>
      </w:pPr>
    </w:p>
    <w:p>
      <w:pPr>
        <w:jc w:val="both"/>
        <w:ind w:right="60" w:firstLine="464"/>
        <w:spacing w:after="0" w:line="259" w:lineRule="auto"/>
        <w:tabs>
          <w:tab w:leader="none" w:pos="69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40" w:lineRule="exact"/>
        <w:rPr>
          <w:rFonts w:ascii="Arial" w:cs="Arial" w:eastAsia="Arial" w:hAnsi="Arial"/>
          <w:sz w:val="18"/>
          <w:szCs w:val="18"/>
          <w:color w:val="auto"/>
        </w:rPr>
      </w:pPr>
    </w:p>
    <w:p>
      <w:pPr>
        <w:ind w:right="20" w:firstLine="464"/>
        <w:spacing w:after="0" w:line="256"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143"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the Company terminates Executive’s employment during the Term for Cause, as defined below, he shall be entitled to:</w:t>
      </w:r>
    </w:p>
    <w:p>
      <w:pPr>
        <w:spacing w:after="0" w:line="50" w:lineRule="exact"/>
        <w:rPr>
          <w:rFonts w:ascii="Arial" w:cs="Arial" w:eastAsia="Arial" w:hAnsi="Arial"/>
          <w:sz w:val="18"/>
          <w:szCs w:val="18"/>
          <w:color w:val="auto"/>
        </w:rPr>
      </w:pPr>
    </w:p>
    <w:p>
      <w:pPr>
        <w:ind w:left="1360" w:hanging="677"/>
        <w:spacing w:after="0"/>
        <w:tabs>
          <w:tab w:leader="none" w:pos="13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 for Cause; and</w:t>
      </w:r>
    </w:p>
    <w:p>
      <w:pPr>
        <w:spacing w:after="0" w:line="211" w:lineRule="exact"/>
        <w:rPr>
          <w:rFonts w:ascii="Arial" w:cs="Arial" w:eastAsia="Arial" w:hAnsi="Arial"/>
          <w:sz w:val="18"/>
          <w:szCs w:val="18"/>
          <w:color w:val="auto"/>
        </w:rPr>
      </w:pPr>
    </w:p>
    <w:p>
      <w:pPr>
        <w:ind w:left="1360" w:right="240" w:hanging="677"/>
        <w:spacing w:after="0" w:line="259" w:lineRule="auto"/>
        <w:tabs>
          <w:tab w:leader="none" w:pos="13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other amounts earned, accrued or owing as of the date of termination of employment under the applicable employee benefit plans or programs of the Company, provided, however, that the Executive shall not be able to exercise any stock options that vest during the term of this agreement.</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“Cause” means Executive’s dishonesty, conviction of a crime, willful unauthorized disclosure of confidential information of the Company, or willful refusal to perform the duties of Executive’s position or positions with the Company.</w:t>
      </w:r>
    </w:p>
    <w:p>
      <w:pPr>
        <w:spacing w:after="0" w:line="132" w:lineRule="exact"/>
        <w:rPr>
          <w:sz w:val="20"/>
          <w:szCs w:val="20"/>
          <w:color w:val="auto"/>
        </w:rPr>
      </w:pPr>
    </w:p>
    <w:p>
      <w:pPr>
        <w:ind w:right="100" w:firstLine="464"/>
        <w:spacing w:after="0" w:line="286"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Voluntary Termination</w:t>
      </w:r>
      <w:r>
        <w:rPr>
          <w:rFonts w:ascii="Arial" w:cs="Arial" w:eastAsia="Arial" w:hAnsi="Arial"/>
          <w:sz w:val="16"/>
          <w:szCs w:val="16"/>
          <w:color w:val="auto"/>
        </w:rPr>
        <w:t>: Upon 15 days’ prior written notice to the Company (unless otherwise waived by the Company), Executive may voluntarily terminate his employment with the Company. A voluntary termination pursuant to this Section 4(d) shall not include a termination under Section 4 (a), 4 (b) or 4</w:t>
      </w:r>
    </w:p>
    <w:p>
      <w:pPr>
        <w:ind w:right="340" w:firstLine="8"/>
        <w:spacing w:after="0" w:line="261" w:lineRule="auto"/>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above, and shall not be deemed a breach of this Agreement by Executive (except if Executive accepts employment or other prohibited association with an Unauthorized Competitor, as defined below, during the Term of this Agreement).</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the event Executive voluntarily terminates his employment during the Term, and (I) does not become employed by an Unauthorized Competitor or</w:t>
      </w:r>
    </w:p>
    <w:p>
      <w:pPr>
        <w:spacing w:after="0" w:line="38" w:lineRule="exact"/>
        <w:rPr>
          <w:sz w:val="20"/>
          <w:szCs w:val="20"/>
          <w:color w:val="auto"/>
        </w:rPr>
      </w:pPr>
    </w:p>
    <w:p>
      <w:pPr>
        <w:ind w:left="700" w:right="280" w:hanging="7"/>
        <w:spacing w:after="0" w:line="261" w:lineRule="auto"/>
        <w:tabs>
          <w:tab w:leader="none" w:pos="9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becomes employed by another Oil &amp; Gas related Company with consent of the Chief Executive Officer (which consent will not be unreasonably withheld), he shall be entitled to:</w:t>
      </w:r>
    </w:p>
    <w:p>
      <w:pPr>
        <w:spacing w:after="0" w:line="56" w:lineRule="exact"/>
        <w:rPr>
          <w:rFonts w:ascii="Arial" w:cs="Arial" w:eastAsia="Arial" w:hAnsi="Arial"/>
          <w:sz w:val="18"/>
          <w:szCs w:val="18"/>
          <w:color w:val="auto"/>
        </w:rPr>
      </w:pPr>
    </w:p>
    <w:p>
      <w:pPr>
        <w:ind w:left="1360" w:hanging="677"/>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ectPr>
          <w:pgSz w:w="11900" w:h="16838" w:orient="portrait"/>
          <w:cols w:equalWidth="0" w:num="1">
            <w:col w:w="11400"/>
          </w:cols>
          <w:pgMar w:left="240" w:top="280" w:right="259" w:bottom="1440" w:gutter="0" w:footer="0" w:header="0"/>
        </w:sectPr>
      </w:pPr>
    </w:p>
    <w:bookmarkStart w:id="35" w:name="page36"/>
    <w:bookmarkEnd w:id="35"/>
    <w:p>
      <w:pPr>
        <w:ind w:left="1360" w:hanging="677"/>
        <w:spacing w:after="0"/>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benefits for which he is eligible in accordance with applicable plans or programs of the Company;</w:t>
      </w:r>
    </w:p>
    <w:p>
      <w:pPr>
        <w:spacing w:after="0" w:line="211" w:lineRule="exact"/>
        <w:rPr>
          <w:rFonts w:ascii="Arial" w:cs="Arial" w:eastAsia="Arial" w:hAnsi="Arial"/>
          <w:sz w:val="18"/>
          <w:szCs w:val="18"/>
          <w:color w:val="auto"/>
        </w:rPr>
      </w:pPr>
    </w:p>
    <w:p>
      <w:pPr>
        <w:jc w:val="both"/>
        <w:ind w:left="1360" w:right="200" w:hanging="677"/>
        <w:spacing w:after="0" w:line="259"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140" w:lineRule="exact"/>
        <w:rPr>
          <w:rFonts w:ascii="Arial" w:cs="Arial" w:eastAsia="Arial" w:hAnsi="Arial"/>
          <w:sz w:val="18"/>
          <w:szCs w:val="18"/>
          <w:color w:val="auto"/>
        </w:rPr>
      </w:pPr>
    </w:p>
    <w:p>
      <w:pPr>
        <w:ind w:right="460" w:firstLine="464"/>
        <w:spacing w:after="0" w:line="268"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Due to Mutual Agreement</w:t>
      </w:r>
      <w:r>
        <w:rPr>
          <w:rFonts w:ascii="Arial" w:cs="Arial" w:eastAsia="Arial" w:hAnsi="Arial"/>
          <w:sz w:val="18"/>
          <w:szCs w:val="18"/>
          <w:color w:val="auto"/>
        </w:rPr>
        <w:t>: In the event the Company and the Executive mutually agree to terminate this Agreement, the Executive’s employment will be terminated and he shall be entitled to:</w:t>
      </w:r>
    </w:p>
    <w:p>
      <w:pPr>
        <w:spacing w:after="0" w:line="50" w:lineRule="exact"/>
        <w:rPr>
          <w:rFonts w:ascii="Arial" w:cs="Arial" w:eastAsia="Arial" w:hAnsi="Arial"/>
          <w:sz w:val="18"/>
          <w:szCs w:val="18"/>
          <w:color w:val="auto"/>
        </w:rPr>
      </w:pPr>
    </w:p>
    <w:p>
      <w:pPr>
        <w:ind w:left="1360" w:hanging="677"/>
        <w:spacing w:after="0"/>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pacing w:after="0" w:line="211" w:lineRule="exact"/>
        <w:rPr>
          <w:rFonts w:ascii="Arial" w:cs="Arial" w:eastAsia="Arial" w:hAnsi="Arial"/>
          <w:sz w:val="18"/>
          <w:szCs w:val="18"/>
          <w:color w:val="auto"/>
        </w:rPr>
      </w:pPr>
    </w:p>
    <w:p>
      <w:pPr>
        <w:ind w:left="1360" w:hanging="677"/>
        <w:spacing w:after="0"/>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211" w:lineRule="exact"/>
        <w:rPr>
          <w:rFonts w:ascii="Arial" w:cs="Arial" w:eastAsia="Arial" w:hAnsi="Arial"/>
          <w:sz w:val="18"/>
          <w:szCs w:val="18"/>
          <w:color w:val="auto"/>
        </w:rPr>
      </w:pPr>
    </w:p>
    <w:p>
      <w:pPr>
        <w:jc w:val="both"/>
        <w:ind w:left="1360" w:right="200" w:hanging="677"/>
        <w:spacing w:after="0" w:line="259"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180" w:lineRule="exact"/>
        <w:rPr>
          <w:rFonts w:ascii="Arial" w:cs="Arial" w:eastAsia="Arial" w:hAnsi="Arial"/>
          <w:sz w:val="18"/>
          <w:szCs w:val="18"/>
          <w:color w:val="auto"/>
        </w:rPr>
      </w:pPr>
    </w:p>
    <w:p>
      <w:pPr>
        <w:ind w:left="1360" w:right="400" w:hanging="677"/>
        <w:spacing w:after="0" w:line="268"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during the Initial Term, the sum of US$1,300,000 divided by 12 and multiplied by the number of months remaining in the Initial Term, payable on the date 30 days following the Executive’s termination of employment;</w:t>
      </w:r>
    </w:p>
    <w:p>
      <w:pPr>
        <w:spacing w:after="0" w:line="172" w:lineRule="exact"/>
        <w:rPr>
          <w:rFonts w:ascii="Arial" w:cs="Arial" w:eastAsia="Arial" w:hAnsi="Arial"/>
          <w:sz w:val="18"/>
          <w:szCs w:val="18"/>
          <w:color w:val="auto"/>
        </w:rPr>
      </w:pPr>
    </w:p>
    <w:p>
      <w:pPr>
        <w:ind w:left="1360" w:right="200" w:hanging="677"/>
        <w:spacing w:after="0" w:line="268"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during the Secondary Term, the sum of US$3,006,250 divided by 37 and multiplied by the number of months remaining in the Secondary Term, payable on the date 30 days following the Executive’s termination of employment.</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purposes of this Agreement, an Unauthorized Competitor means those companies as defined in Section 5, involved in the oilfield services and equipment business.</w:t>
      </w:r>
    </w:p>
    <w:p>
      <w:pPr>
        <w:spacing w:after="0" w:line="132"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Confidentiality, Return of Property, and Covenant Not to Compete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64"/>
        <w:spacing w:after="0" w:line="286" w:lineRule="auto"/>
        <w:tabs>
          <w:tab w:leader="none" w:pos="695"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Company agrees that at the time of execution of this Agreement, or shortly thereafter during the Term of this Agreement, the Company will provide Executive with Confidential Information as necessary to perform his duties hereunder. Executive agrees that in return for this and other consideration provided under this Agreement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27" w:lineRule="exact"/>
        <w:rPr>
          <w:rFonts w:ascii="Arial" w:cs="Arial" w:eastAsia="Arial" w:hAnsi="Arial"/>
          <w:sz w:val="16"/>
          <w:szCs w:val="16"/>
          <w:color w:val="auto"/>
        </w:rPr>
      </w:pPr>
    </w:p>
    <w:p>
      <w:pPr>
        <w:ind w:right="560" w:firstLine="464"/>
        <w:spacing w:after="0" w:line="306" w:lineRule="auto"/>
        <w:tabs>
          <w:tab w:leader="none" w:pos="705"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Executive agrees that at the time of leaving the Company’s employ,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w:t>
      </w:r>
    </w:p>
    <w:p>
      <w:pPr>
        <w:sectPr>
          <w:pgSz w:w="11900" w:h="16838" w:orient="portrait"/>
          <w:cols w:equalWidth="0" w:num="1">
            <w:col w:w="11380"/>
          </w:cols>
          <w:pgMar w:left="240" w:top="280" w:right="279" w:bottom="1440" w:gutter="0" w:footer="0" w:header="0"/>
        </w:sectPr>
      </w:pPr>
    </w:p>
    <w:bookmarkStart w:id="36" w:name="page37"/>
    <w:bookmarkEnd w:id="36"/>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documents or property (including all reproductions of the aforementioned items) belonging to the Company or any of its affiliates or ventures, regardless of whether such items were prepared by Executive.</w:t>
      </w:r>
    </w:p>
    <w:p>
      <w:pPr>
        <w:spacing w:after="0" w:line="132" w:lineRule="exact"/>
        <w:rPr>
          <w:sz w:val="20"/>
          <w:szCs w:val="20"/>
          <w:color w:val="auto"/>
        </w:rPr>
      </w:pPr>
    </w:p>
    <w:p>
      <w:pPr>
        <w:ind w:firstLine="464"/>
        <w:spacing w:after="0" w:line="294"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xml:space="preserve">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Executive also acknowledges that the nature of his duties and responsibilities under the Agreement will bring him into close contact with much of the Company’s Confidential Information, and the Company has affirmatively agreed to provide him with Confidential Information. Accordingly, for the consideration provided to Executive in this Agreement, Executive agrees to be bound by the following restrictive covenants:</w:t>
      </w:r>
    </w:p>
    <w:p>
      <w:pPr>
        <w:spacing w:after="0" w:line="34" w:lineRule="exact"/>
        <w:rPr>
          <w:rFonts w:ascii="Arial" w:cs="Arial" w:eastAsia="Arial" w:hAnsi="Arial"/>
          <w:sz w:val="16"/>
          <w:szCs w:val="16"/>
          <w:color w:val="auto"/>
        </w:rPr>
      </w:pPr>
    </w:p>
    <w:p>
      <w:pPr>
        <w:ind w:left="1360" w:right="40" w:hanging="677"/>
        <w:spacing w:after="0" w:line="283" w:lineRule="auto"/>
        <w:tabs>
          <w:tab w:leader="none" w:pos="13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During the Term, Executive shall not accept employment with or render services to any Unauthorized Competitor as a director, officer, agent, employee, independent contractor or consultant, or take any action inconsistent with fiduciary relationship of an employee to his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any where in the world with </w:t>
      </w:r>
      <w:r>
        <w:rPr>
          <w:rFonts w:ascii="Arial" w:cs="Arial" w:eastAsia="Arial" w:hAnsi="Arial"/>
          <w:sz w:val="16"/>
          <w:szCs w:val="16"/>
          <w:b w:val="1"/>
          <w:bCs w:val="1"/>
          <w:color w:val="auto"/>
        </w:rPr>
        <w:t>any company or other enterprise except an Unauthorized Competitor.</w:t>
      </w:r>
    </w:p>
    <w:p>
      <w:pPr>
        <w:spacing w:after="0" w:line="2" w:lineRule="exact"/>
        <w:rPr>
          <w:rFonts w:ascii="Arial" w:cs="Arial" w:eastAsia="Arial" w:hAnsi="Arial"/>
          <w:sz w:val="16"/>
          <w:szCs w:val="16"/>
          <w:color w:val="auto"/>
        </w:rPr>
      </w:pPr>
    </w:p>
    <w:p>
      <w:pPr>
        <w:ind w:left="1360" w:right="420"/>
        <w:spacing w:after="0" w:line="302" w:lineRule="auto"/>
        <w:rPr>
          <w:rFonts w:ascii="Arial" w:cs="Arial" w:eastAsia="Arial" w:hAnsi="Arial"/>
          <w:sz w:val="16"/>
          <w:szCs w:val="16"/>
          <w:color w:val="auto"/>
        </w:rPr>
      </w:pPr>
      <w:r>
        <w:rPr>
          <w:rFonts w:ascii="Arial" w:cs="Arial" w:eastAsia="Arial" w:hAnsi="Arial"/>
          <w:sz w:val="16"/>
          <w:szCs w:val="16"/>
          <w:b w:val="1"/>
          <w:bCs w:val="1"/>
          <w:color w:val="auto"/>
        </w:rPr>
        <w:t>For purposes of this Agreement, an “Unauthorized Competitor” means any major oilfield equipment and services business, more specifically defined as Halliburton Company, Baker Hughes Inc., BJ Services Company, Weatherford International, EXPRO</w:t>
      </w:r>
      <w:r>
        <w:rPr>
          <w:rFonts w:ascii="Arial" w:cs="Arial" w:eastAsia="Arial" w:hAnsi="Arial"/>
          <w:sz w:val="16"/>
          <w:szCs w:val="16"/>
          <w:color w:val="auto"/>
        </w:rPr>
        <w:t>,</w:t>
      </w:r>
      <w:r>
        <w:rPr>
          <w:rFonts w:ascii="Arial" w:cs="Arial" w:eastAsia="Arial" w:hAnsi="Arial"/>
          <w:sz w:val="16"/>
          <w:szCs w:val="16"/>
          <w:b w:val="1"/>
          <w:bCs w:val="1"/>
          <w:color w:val="auto"/>
        </w:rPr>
        <w:t xml:space="preserve"> including any and all of their parents, subsidiaries, affiliates, joint ventures, divisions, successors, or assigns.</w:t>
      </w:r>
    </w:p>
    <w:p>
      <w:pPr>
        <w:spacing w:after="0" w:line="149" w:lineRule="exact"/>
        <w:rPr>
          <w:rFonts w:ascii="Arial" w:cs="Arial" w:eastAsia="Arial" w:hAnsi="Arial"/>
          <w:sz w:val="16"/>
          <w:szCs w:val="16"/>
          <w:color w:val="auto"/>
        </w:rPr>
      </w:pPr>
    </w:p>
    <w:p>
      <w:pPr>
        <w:ind w:left="1360" w:right="340" w:hanging="677"/>
        <w:spacing w:after="0" w:line="259"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further agrees that during the Term,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180" w:lineRule="exact"/>
        <w:rPr>
          <w:rFonts w:ascii="Arial" w:cs="Arial" w:eastAsia="Arial" w:hAnsi="Arial"/>
          <w:sz w:val="18"/>
          <w:szCs w:val="18"/>
          <w:color w:val="auto"/>
        </w:rPr>
      </w:pPr>
    </w:p>
    <w:p>
      <w:pPr>
        <w:ind w:left="1360" w:right="100" w:hanging="677"/>
        <w:spacing w:after="0" w:line="289" w:lineRule="auto"/>
        <w:tabs>
          <w:tab w:leader="none" w:pos="13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Executive acknowledges that this restrictive covenant under Section 5, for which he received consideration from the Company as provided in this Section 5, is ancillary to otherwise enforceable provisions of this 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and proprietary information. Executive acknowledges that in the event of a breach by Executive of these restrictive covenants, the covenants may be enforced by interim and/or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158" w:lineRule="exact"/>
        <w:rPr>
          <w:rFonts w:ascii="Arial" w:cs="Arial" w:eastAsia="Arial" w:hAnsi="Arial"/>
          <w:sz w:val="16"/>
          <w:szCs w:val="16"/>
          <w:color w:val="auto"/>
        </w:rPr>
      </w:pPr>
    </w:p>
    <w:p>
      <w:pPr>
        <w:ind w:left="1360" w:right="20" w:hanging="677"/>
        <w:spacing w:after="0" w:line="268"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further acknowledges that if his employment terminates prior to the Term, pursuant to Section 4 (c), (d) or (e) of this Agreement, the covenant not to compete provisions of this Agreement will extend throughout the remainder of the Term.</w:t>
      </w:r>
    </w:p>
    <w:p>
      <w:pPr>
        <w:spacing w:after="0" w:line="131" w:lineRule="exact"/>
        <w:rPr>
          <w:rFonts w:ascii="Arial" w:cs="Arial" w:eastAsia="Arial" w:hAnsi="Arial"/>
          <w:sz w:val="18"/>
          <w:szCs w:val="18"/>
          <w:color w:val="auto"/>
        </w:rPr>
      </w:pPr>
    </w:p>
    <w:p>
      <w:pPr>
        <w:ind w:right="20" w:firstLine="464"/>
        <w:spacing w:after="0" w:line="254"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Employment by Affiliates</w:t>
      </w:r>
      <w:r>
        <w:rPr>
          <w:rFonts w:ascii="Arial" w:cs="Arial" w:eastAsia="Arial" w:hAnsi="Arial"/>
          <w:sz w:val="18"/>
          <w:szCs w:val="18"/>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Netherlands Antilles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U.S. Internal Revenue Code of 1986, as amended.</w:t>
      </w:r>
    </w:p>
    <w:p>
      <w:pPr>
        <w:sectPr>
          <w:pgSz w:w="11900" w:h="16838" w:orient="portrait"/>
          <w:cols w:equalWidth="0" w:num="1">
            <w:col w:w="11420"/>
          </w:cols>
          <w:pgMar w:left="240" w:top="280" w:right="239" w:bottom="1440" w:gutter="0" w:footer="0" w:header="0"/>
        </w:sectPr>
      </w:pPr>
    </w:p>
    <w:bookmarkStart w:id="37" w:name="page38"/>
    <w:bookmarkEnd w:id="37"/>
    <w:p>
      <w:pPr>
        <w:ind w:right="220" w:firstLine="8"/>
        <w:spacing w:after="0" w:line="259" w:lineRule="auto"/>
        <w:tabs>
          <w:tab w:leader="none" w:pos="17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r>
        <w:rPr>
          <w:rFonts w:ascii="Arial" w:cs="Arial" w:eastAsia="Arial" w:hAnsi="Arial"/>
          <w:sz w:val="18"/>
          <w:szCs w:val="18"/>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40" w:lineRule="exact"/>
        <w:rPr>
          <w:rFonts w:ascii="Arial" w:cs="Arial" w:eastAsia="Arial" w:hAnsi="Arial"/>
          <w:sz w:val="18"/>
          <w:szCs w:val="18"/>
          <w:color w:val="auto"/>
        </w:rPr>
      </w:pPr>
    </w:p>
    <w:p>
      <w:pPr>
        <w:ind w:right="180" w:firstLine="8"/>
        <w:spacing w:after="0" w:line="332" w:lineRule="auto"/>
        <w:tabs>
          <w:tab w:leader="none" w:pos="17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purposes of this Agreement, notices and all other communications provided for herein shall be in writing and shall be deemed to have been duly given when personally delivered or when mailed by registered or certified mail, return receipt requested, postage prepaid, addressed as follows:</w:t>
      </w:r>
    </w:p>
    <w:p>
      <w:pPr>
        <w:sectPr>
          <w:pgSz w:w="11900" w:h="16838" w:orient="portrait"/>
          <w:cols w:equalWidth="0" w:num="1">
            <w:col w:w="11400"/>
          </w:cols>
          <w:pgMar w:left="240" w:top="280" w:right="259" w:bottom="1440" w:gutter="0" w:footer="0" w:header="0"/>
        </w:sectPr>
      </w:pP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 rue Saint Dominique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Paris 75007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Gill Gordon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Executive Compensation</w:t>
      </w:r>
    </w:p>
    <w:p>
      <w:pPr>
        <w:spacing w:after="0" w:line="200" w:lineRule="exact"/>
        <w:rPr>
          <w:sz w:val="20"/>
          <w:szCs w:val="20"/>
          <w:color w:val="auto"/>
        </w:rPr>
      </w:pPr>
    </w:p>
    <w:p>
      <w:pPr>
        <w:sectPr>
          <w:pgSz w:w="11900" w:h="16838" w:orient="portrait"/>
          <w:cols w:equalWidth="0" w:num="2">
            <w:col w:w="2320" w:space="720"/>
            <w:col w:w="8360"/>
          </w:cols>
          <w:pgMar w:left="240" w:top="280" w:right="259" w:bottom="1440" w:gutter="0" w:footer="0" w:header="0"/>
          <w:type w:val="continuous"/>
        </w:sectPr>
      </w:pPr>
    </w:p>
    <w:p>
      <w:pPr>
        <w:spacing w:after="0" w:line="42"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Chakib Sbiti</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[At the most recent address on file at the Company]</w:t>
      </w:r>
    </w:p>
    <w:p>
      <w:pPr>
        <w:spacing w:after="0" w:line="199" w:lineRule="exact"/>
        <w:rPr>
          <w:sz w:val="20"/>
          <w:szCs w:val="20"/>
          <w:color w:val="auto"/>
        </w:rPr>
      </w:pPr>
    </w:p>
    <w:p>
      <w:pPr>
        <w:sectPr>
          <w:pgSz w:w="11900" w:h="16838" w:orient="portrait"/>
          <w:cols w:equalWidth="0" w:num="2">
            <w:col w:w="2320" w:space="720"/>
            <w:col w:w="8360"/>
          </w:cols>
          <w:pgMar w:left="240" w:top="280" w:right="25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or to such other address as either party may furnish to the other in writing in accordance herewith, except that notices of changes of address shall be effective only upon receipt.</w:t>
      </w:r>
    </w:p>
    <w:p>
      <w:pPr>
        <w:spacing w:after="0" w:line="132" w:lineRule="exact"/>
        <w:rPr>
          <w:sz w:val="20"/>
          <w:szCs w:val="20"/>
          <w:color w:val="auto"/>
        </w:rPr>
      </w:pPr>
    </w:p>
    <w:p>
      <w:pPr>
        <w:ind w:right="180" w:firstLine="8"/>
        <w:spacing w:after="0" w:line="259" w:lineRule="auto"/>
        <w:tabs>
          <w:tab w:leader="none" w:pos="17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construction and performance of this Agreement will be governed exclusively by and construed in accordance with the substantive laws of England and Wales, without giving effect to English law principles of conflict of laws. The courts of England and Wales shall have non-exclusive jurisdiction to settle any dispute which may arise out of or in connection with this agreement.</w:t>
      </w:r>
    </w:p>
    <w:p>
      <w:pPr>
        <w:spacing w:after="0" w:line="140" w:lineRule="exact"/>
        <w:rPr>
          <w:rFonts w:ascii="Arial" w:cs="Arial" w:eastAsia="Arial" w:hAnsi="Arial"/>
          <w:sz w:val="18"/>
          <w:szCs w:val="18"/>
          <w:color w:val="auto"/>
        </w:rPr>
      </w:pPr>
    </w:p>
    <w:p>
      <w:pPr>
        <w:ind w:right="900" w:firstLine="8"/>
        <w:spacing w:after="0" w:line="332" w:lineRule="auto"/>
        <w:tabs>
          <w:tab w:leader="none" w:pos="176"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85" w:lineRule="exact"/>
        <w:rPr>
          <w:rFonts w:ascii="Arial" w:cs="Arial" w:eastAsia="Arial" w:hAnsi="Arial"/>
          <w:sz w:val="16"/>
          <w:szCs w:val="16"/>
          <w:color w:val="auto"/>
        </w:rPr>
      </w:pPr>
    </w:p>
    <w:p>
      <w:pPr>
        <w:jc w:val="both"/>
        <w:ind w:right="120" w:firstLine="8"/>
        <w:spacing w:after="0" w:line="259" w:lineRule="auto"/>
        <w:tabs>
          <w:tab w:leader="none" w:pos="26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Tax Liabilities</w:t>
      </w:r>
      <w:r>
        <w:rPr>
          <w:rFonts w:ascii="Arial" w:cs="Arial" w:eastAsia="Arial" w:hAnsi="Arial"/>
          <w:sz w:val="18"/>
          <w:szCs w:val="18"/>
          <w:color w:val="auto"/>
        </w:rPr>
        <w:t>: Any and all liabilities for tax and social charges, in whatever jurisdiction, that may arise from income or benefits (including deferred benefits and stock compensation plans) related to employment with any Schlumberger Company prior to the date of this agreement or income or benefits covered by this agreement, are the sole responsibility of Executive.</w:t>
      </w:r>
    </w:p>
    <w:p>
      <w:pPr>
        <w:spacing w:after="0" w:line="140" w:lineRule="exact"/>
        <w:rPr>
          <w:rFonts w:ascii="Arial" w:cs="Arial" w:eastAsia="Arial" w:hAnsi="Arial"/>
          <w:sz w:val="18"/>
          <w:szCs w:val="18"/>
          <w:color w:val="auto"/>
        </w:rPr>
      </w:pPr>
    </w:p>
    <w:p>
      <w:pPr>
        <w:ind w:right="140" w:firstLine="8"/>
        <w:spacing w:after="0" w:line="294" w:lineRule="auto"/>
        <w:tabs>
          <w:tab w:leader="none" w:pos="25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 Assignment; Successors</w:t>
      </w:r>
      <w:r>
        <w:rPr>
          <w:rFonts w:ascii="Arial" w:cs="Arial" w:eastAsia="Arial" w:hAnsi="Arial"/>
          <w:sz w:val="16"/>
          <w:szCs w:val="16"/>
          <w:color w:val="auto"/>
        </w:rPr>
        <w:t>: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32" w:lineRule="exact"/>
        <w:rPr>
          <w:sz w:val="20"/>
          <w:szCs w:val="20"/>
          <w:color w:val="auto"/>
        </w:rPr>
      </w:pPr>
    </w:p>
    <w:p>
      <w:pPr>
        <w:ind w:right="80" w:firstLine="8"/>
        <w:spacing w:after="0" w:line="306" w:lineRule="auto"/>
        <w:tabs>
          <w:tab w:leader="none" w:pos="26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Effect of Prior Agreements</w:t>
      </w:r>
      <w:r>
        <w:rPr>
          <w:rFonts w:ascii="Arial" w:cs="Arial" w:eastAsia="Arial" w:hAnsi="Arial"/>
          <w:sz w:val="16"/>
          <w:szCs w:val="16"/>
          <w:color w:val="auto"/>
        </w:rPr>
        <w:t>: This Agreement contains the entire understanding between the parties hereto and supersedes any prior employment agreement or severance agreement between the Company or any predecessor of the Company and Executive, except that this Agreement shall not affect or operate to reduce any benefit or compensation enuring to Executive of a kind elsewhere provided and not expressly provided or modified in this Agreement.</w:t>
      </w:r>
    </w:p>
    <w:p>
      <w:pPr>
        <w:spacing w:after="0" w:line="106" w:lineRule="exact"/>
        <w:rPr>
          <w:rFonts w:ascii="Arial" w:cs="Arial" w:eastAsia="Arial" w:hAnsi="Arial"/>
          <w:sz w:val="16"/>
          <w:szCs w:val="16"/>
          <w:color w:val="auto"/>
        </w:rPr>
      </w:pPr>
    </w:p>
    <w:p>
      <w:pPr>
        <w:ind w:right="100" w:firstLine="8"/>
        <w:spacing w:after="0" w:line="370" w:lineRule="auto"/>
        <w:tabs>
          <w:tab w:leader="none" w:pos="263"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Release of Claims</w:t>
      </w:r>
      <w:r>
        <w:rPr>
          <w:rFonts w:ascii="Arial" w:cs="Arial" w:eastAsia="Arial" w:hAnsi="Arial"/>
          <w:sz w:val="15"/>
          <w:szCs w:val="15"/>
          <w:color w:val="auto"/>
        </w:rPr>
        <w:t>: In consideration for the compensation and other benefits provided pursuant to this Agreement, Executive agrees to execute a “Waiver and Release,” a form of which is attached hereto as Exhibit A. Executive acknowledges that he was given copies of this Agreement and the Waiver and Release on</w:t>
      </w:r>
    </w:p>
    <w:p>
      <w:pPr>
        <w:sectPr>
          <w:pgSz w:w="11900" w:h="16838" w:orient="portrait"/>
          <w:cols w:equalWidth="0" w:num="1">
            <w:col w:w="11400"/>
          </w:cols>
          <w:pgMar w:left="240" w:top="280" w:right="259" w:bottom="1440" w:gutter="0" w:footer="0" w:header="0"/>
          <w:type w:val="continuous"/>
        </w:sectPr>
      </w:pPr>
    </w:p>
    <w:bookmarkStart w:id="38" w:name="page39"/>
    <w:bookmarkEnd w:id="3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February 9th, 2010, and was given at least 21 days to consider whether to sign the Agreement and the Waiver and Release. The Company’s obligations under this Agreement are expressly conditioned on the execution of the Waiver and Release contemporaneously with the execution of this Agreement, and Executive’s failure to execute and deliver such Waiver and Release, or Executive’s revocation of the Waiver and Release within the seven day period provided in the Release, will void the Company’s obligations hereunder.</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WITNESS WHEREOF, the parties have caused this Agreement to be executed and delivered the 2nd day of March, 2010, but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93"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ILL</w:t>
      </w:r>
      <w:r>
        <w:rPr>
          <w:rFonts w:ascii="Arial" w:cs="Arial" w:eastAsia="Arial" w:hAnsi="Arial"/>
          <w:sz w:val="18"/>
          <w:szCs w:val="18"/>
          <w:color w:val="auto"/>
        </w:rPr>
        <w:t xml:space="preserve"> G</w:t>
      </w:r>
      <w:r>
        <w:rPr>
          <w:rFonts w:ascii="Arial" w:cs="Arial" w:eastAsia="Arial" w:hAnsi="Arial"/>
          <w:sz w:val="14"/>
          <w:szCs w:val="14"/>
          <w:color w:val="auto"/>
        </w:rPr>
        <w:t>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Director Executive Compensation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HAKIB</w:t>
      </w:r>
      <w:r>
        <w:rPr>
          <w:rFonts w:ascii="Arial" w:cs="Arial" w:eastAsia="Arial" w:hAnsi="Arial"/>
          <w:sz w:val="18"/>
          <w:szCs w:val="18"/>
          <w:color w:val="auto"/>
        </w:rPr>
        <w:t xml:space="preserve"> S</w:t>
      </w:r>
      <w:r>
        <w:rPr>
          <w:rFonts w:ascii="Arial" w:cs="Arial" w:eastAsia="Arial" w:hAnsi="Arial"/>
          <w:sz w:val="14"/>
          <w:szCs w:val="14"/>
          <w:color w:val="auto"/>
        </w:rPr>
        <w:t>BITI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Chakib Sbiti</w:t>
      </w:r>
    </w:p>
    <w:p>
      <w:pPr>
        <w:sectPr>
          <w:pgSz w:w="11900" w:h="16838" w:orient="portrait"/>
          <w:cols w:equalWidth="0" w:num="1">
            <w:col w:w="11340"/>
          </w:cols>
          <w:pgMar w:left="240" w:top="280"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April 28, 2010</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April 28,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2010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April 28,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NDREW</w:t>
      </w:r>
      <w:r>
        <w:rPr>
          <w:rFonts w:ascii="Arial" w:cs="Arial" w:eastAsia="Arial" w:hAnsi="Arial"/>
          <w:sz w:val="16"/>
          <w:szCs w:val="16"/>
          <w:color w:val="auto"/>
        </w:rPr>
        <w:t xml:space="preserve"> G</w:t>
      </w:r>
      <w:r>
        <w:rPr>
          <w:rFonts w:ascii="Arial" w:cs="Arial" w:eastAsia="Arial" w:hAnsi="Arial"/>
          <w:sz w:val="13"/>
          <w:szCs w:val="13"/>
          <w:color w:val="auto"/>
        </w:rPr>
        <w:t>OULD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2010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April 28,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1."/>
      <w:numFmt w:val="decimal"/>
      <w:start w:val="2"/>
    </w:lvl>
  </w:abstractNum>
  <w:abstractNum w:abstractNumId="2">
    <w:nsid w:val="4353D0CD"/>
    <w:multiLevelType w:val="hybridMultilevel"/>
    <w:lvl w:ilvl="0">
      <w:lvlJc w:val="left"/>
      <w:lvlText w:val="%1."/>
      <w:numFmt w:val="decimal"/>
      <w:start w:val="3"/>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4"/>
    </w:lvl>
  </w:abstractNum>
  <w:abstractNum w:abstractNumId="5">
    <w:nsid w:val="54E49EB4"/>
    <w:multiLevelType w:val="hybridMultilevel"/>
    <w:lvl w:ilvl="0">
      <w:lvlJc w:val="left"/>
      <w:lvlText w:val="%1."/>
      <w:numFmt w:val="decimal"/>
      <w:start w:val="5"/>
    </w:lvl>
  </w:abstractNum>
  <w:abstractNum w:abstractNumId="6">
    <w:nsid w:val="71F32454"/>
    <w:multiLevelType w:val="hybridMultilevel"/>
    <w:lvl w:ilvl="0">
      <w:lvlJc w:val="left"/>
      <w:lvlText w:val="%1."/>
      <w:numFmt w:val="decimal"/>
      <w:start w:val="6"/>
    </w:lvl>
  </w:abstractNum>
  <w:abstractNum w:abstractNumId="7">
    <w:nsid w:val="2CA88611"/>
    <w:multiLevelType w:val="hybridMultilevel"/>
    <w:lvl w:ilvl="0">
      <w:lvlJc w:val="left"/>
      <w:lvlText w:val="%1."/>
      <w:numFmt w:val="decimal"/>
      <w:start w:val="7"/>
    </w:lvl>
  </w:abstractNum>
  <w:abstractNum w:abstractNumId="8">
    <w:nsid w:val="836C40E"/>
    <w:multiLevelType w:val="hybridMultilevel"/>
    <w:lvl w:ilvl="0">
      <w:lvlJc w:val="left"/>
      <w:lvlText w:val="%1."/>
      <w:numFmt w:val="decimal"/>
      <w:start w:val="8"/>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decimal"/>
      <w:start w:val="11"/>
    </w:lvl>
  </w:abstractNum>
  <w:abstractNum w:abstractNumId="14">
    <w:nsid w:val="737B8DDC"/>
    <w:multiLevelType w:val="hybridMultilevel"/>
    <w:lvl w:ilvl="0">
      <w:lvlJc w:val="left"/>
      <w:lvlText w:val="\emdash "/>
      <w:numFmt w:val="bullet"/>
      <w:start w:val="1"/>
    </w:lvl>
    <w:lvl w:ilvl="1">
      <w:lvlJc w:val="left"/>
      <w:lvlText w:val="5"/>
      <w:numFmt w:val="bullet"/>
      <w:start w:val="1"/>
    </w:lvl>
  </w:abstractNum>
  <w:abstractNum w:abstractNumId="15">
    <w:nsid w:val="6CEAF087"/>
    <w:multiLevelType w:val="hybridMultilevel"/>
    <w:lvl w:ilvl="0">
      <w:lvlJc w:val="left"/>
      <w:lvlText w:val="%1."/>
      <w:numFmt w:val="decimal"/>
      <w:start w:val="13"/>
    </w:lvl>
  </w:abstractNum>
  <w:abstractNum w:abstractNumId="16">
    <w:nsid w:val="22221A70"/>
    <w:multiLevelType w:val="hybridMultilevel"/>
    <w:lvl w:ilvl="0">
      <w:lvlJc w:val="left"/>
      <w:lvlText w:val="%1."/>
      <w:numFmt w:val="decimal"/>
      <w:start w:val="14"/>
    </w:lvl>
  </w:abstractNum>
  <w:abstractNum w:abstractNumId="17">
    <w:nsid w:val="4516DDE9"/>
    <w:multiLevelType w:val="hybridMultilevel"/>
    <w:lvl w:ilvl="0">
      <w:lvlJc w:val="left"/>
      <w:lvlText w:val="%1."/>
      <w:numFmt w:val="decimal"/>
      <w:start w:val="15"/>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6"/>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lvl w:ilvl="1">
      <w:lvlJc w:val="left"/>
      <w:lvlText w:val="**"/>
      <w:numFmt w:val="bullet"/>
      <w:start w:val="1"/>
    </w:lvl>
  </w:abstractNum>
  <w:abstractNum w:abstractNumId="28">
    <w:nsid w:val="2463B9EA"/>
    <w:multiLevelType w:val="hybridMultilevel"/>
    <w:lvl w:ilvl="0">
      <w:lvlJc w:val="left"/>
      <w:lvlText w:val="**"/>
      <w:numFmt w:val="bullet"/>
      <w:start w:val="1"/>
    </w:lvl>
    <w:lvl w:ilvl="1">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3"/>
    </w:lvl>
    <w:lvl w:ilvl="1">
      <w:lvlJc w:val="left"/>
      <w:lvlText w:val="(%2)"/>
      <w:numFmt w:val="lowerLetter"/>
      <w:start w:val="1"/>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
    <w:nsid w:val="153EA43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4">
    <w:nsid w:val="385558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
    <w:nsid w:val="70A64E2A"/>
    <w:multiLevelType w:val="hybridMultilevel"/>
    <w:lvl w:ilvl="0">
      <w:lvlJc w:val="left"/>
      <w:lvlText w:val="%1"/>
      <w:numFmt w:val="lowerLetter"/>
      <w:start w:val="1"/>
    </w:lvl>
    <w:lvl w:ilvl="1">
      <w:lvlJc w:val="left"/>
      <w:lvlText w:val="(%2)"/>
      <w:numFmt w:val="lowerLetter"/>
      <w:start w:val="4"/>
    </w:lvl>
  </w:abstractNum>
  <w:abstractNum w:abstractNumId="36">
    <w:nsid w:val="6A2342EC"/>
    <w:multiLevelType w:val="hybridMultilevel"/>
    <w:lvl w:ilvl="0">
      <w:lvlJc w:val="left"/>
      <w:lvlText w:val="(%1)"/>
      <w:numFmt w:val="lowerLetter"/>
      <w:start w:val="3"/>
    </w:lvl>
    <w:lvl w:ilvl="1">
      <w:lvlJc w:val="left"/>
      <w:lvlText w:val="%2"/>
      <w:numFmt w:val="lowerLetter"/>
      <w:start w:val="1"/>
    </w:lvl>
  </w:abstractNum>
  <w:abstractNum w:abstractNumId="37">
    <w:nsid w:val="2A487CB0"/>
    <w:multiLevelType w:val="hybridMultilevel"/>
    <w:lvl w:ilvl="0">
      <w:lvlJc w:val="left"/>
      <w:lvlText w:val="%1"/>
      <w:numFmt w:val="lowerRoman"/>
      <w:start w:val="1"/>
    </w:lvl>
    <w:lvl w:ilvl="1">
      <w:lvlJc w:val="left"/>
      <w:lvlText w:val="(%2)"/>
      <w:numFmt w:val="upperLetter"/>
      <w:start w:val="35"/>
    </w:lvl>
  </w:abstractNum>
  <w:abstractNum w:abstractNumId="38">
    <w:nsid w:val="1D4ED43B"/>
    <w:multiLevelType w:val="hybridMultilevel"/>
    <w:lvl w:ilvl="0">
      <w:lvlJc w:val="left"/>
      <w:lvlText w:val="%1."/>
      <w:numFmt w:val="lowerRoman"/>
      <w:start w:val="1"/>
    </w:lvl>
    <w:lvl w:ilvl="1">
      <w:lvlJc w:val="left"/>
      <w:lvlText w:val="%2"/>
      <w:numFmt w:val="upperLetter"/>
      <w:start w:val="1"/>
    </w:lvl>
  </w:abstractNum>
  <w:abstractNum w:abstractNumId="39">
    <w:nsid w:val="725A06FB"/>
    <w:multiLevelType w:val="hybridMultilevel"/>
    <w:lvl w:ilvl="0">
      <w:lvlJc w:val="left"/>
      <w:lvlText w:val="%1"/>
      <w:numFmt w:val="lowerLetter"/>
      <w:start w:val="1"/>
    </w:lvl>
    <w:lvl w:ilvl="1">
      <w:lvlJc w:val="left"/>
      <w:lvlText w:val="%2."/>
      <w:numFmt w:val="lowerRoman"/>
      <w:start w:val="2"/>
    </w:lvl>
  </w:abstractNum>
  <w:abstractNum w:abstractNumId="40">
    <w:nsid w:val="2CD89A32"/>
    <w:multiLevelType w:val="hybridMultilevel"/>
    <w:lvl w:ilvl="0">
      <w:lvlJc w:val="left"/>
      <w:lvlText w:val="(%1)"/>
      <w:numFmt w:val="lowerLetter"/>
      <w:start w:val="5"/>
    </w:lvl>
    <w:lvl w:ilvl="1">
      <w:lvlJc w:val="left"/>
      <w:lvlText w:val="%2."/>
      <w:numFmt w:val="lowerRoman"/>
      <w:start w:val="1"/>
    </w:lvl>
  </w:abstractNum>
  <w:abstractNum w:abstractNumId="41">
    <w:nsid w:val="57E4CCAF"/>
    <w:multiLevelType w:val="hybridMultilevel"/>
    <w:lvl w:ilvl="0">
      <w:lvlJc w:val="left"/>
      <w:lvlText w:val="%1."/>
      <w:numFmt w:val="decimal"/>
      <w:start w:val="5"/>
    </w:lvl>
    <w:lvl w:ilvl="1">
      <w:lvlJc w:val="left"/>
      <w:lvlText w:val="(%2)"/>
      <w:numFmt w:val="lowerLetter"/>
      <w:start w:val="1"/>
    </w:lvl>
  </w:abstractNum>
  <w:abstractNum w:abstractNumId="42">
    <w:nsid w:val="7A6D8D3C"/>
    <w:multiLevelType w:val="hybridMultilevel"/>
    <w:lvl w:ilvl="0">
      <w:lvlJc w:val="left"/>
      <w:lvlText w:val="(%1)"/>
      <w:numFmt w:val="lowerLetter"/>
      <w:start w:val="3"/>
    </w:lvl>
    <w:lvl w:ilvl="1">
      <w:lvlJc w:val="left"/>
      <w:lvlText w:val="%2."/>
      <w:numFmt w:val="lowerRoman"/>
      <w:start w:val="1"/>
    </w:lvl>
  </w:abstractNum>
  <w:abstractNum w:abstractNumId="43">
    <w:nsid w:val="4B588F54"/>
    <w:multiLevelType w:val="hybridMultilevel"/>
    <w:lvl w:ilvl="0">
      <w:lvlJc w:val="left"/>
      <w:lvlText w:val="%1."/>
      <w:numFmt w:val="decimal"/>
      <w:start w:val="6"/>
    </w:lvl>
  </w:abstractNum>
  <w:abstractNum w:abstractNumId="44">
    <w:nsid w:val="542289EC"/>
    <w:multiLevelType w:val="hybridMultilevel"/>
    <w:lvl w:ilvl="0">
      <w:lvlJc w:val="left"/>
      <w:lvlText w:val="%1."/>
      <w:numFmt w:val="decimal"/>
      <w:start w:val="8"/>
    </w:lvl>
  </w:abstractNum>
  <w:abstractNum w:abstractNumId="45">
    <w:nsid w:val="6DE91B18"/>
    <w:multiLevelType w:val="hybridMultilevel"/>
    <w:lvl w:ilvl="0">
      <w:lvlJc w:val="left"/>
      <w:lvlText w:val="%1."/>
      <w:numFmt w:val="decimal"/>
      <w:start w:val="12"/>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2019-12-10T02:51:48Z</dcterms:created>
  <dcterms:modified xsi:type="dcterms:W3CDTF">2019-12-10T02:51:48Z</dcterms:modified>
</cp:coreProperties>
</file>