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824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824103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Orr Stephen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21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05/07/2012</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880" w:type="dxa"/>
            <w:vAlign w:val="bottom"/>
          </w:tcPr>
          <w:p>
            <w:pPr>
              <w:ind w:left="1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5599 SAN FELIPE, 17TH FLOOR</w:t>
            </w: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HOUSTON</w:t>
            </w:r>
          </w:p>
        </w:tc>
        <w:tc>
          <w:tcPr>
            <w:tcW w:w="880" w:type="dxa"/>
            <w:vAlign w:val="bottom"/>
          </w:tcPr>
          <w:p>
            <w:pPr>
              <w:ind w:left="140"/>
              <w:spacing w:after="0"/>
              <w:rPr>
                <w:sz w:val="20"/>
                <w:szCs w:val="20"/>
                <w:color w:val="auto"/>
              </w:rPr>
            </w:pPr>
            <w:r>
              <w:rPr>
                <w:rFonts w:ascii="Arial" w:cs="Arial" w:eastAsia="Arial" w:hAnsi="Arial"/>
                <w:sz w:val="18"/>
                <w:szCs w:val="18"/>
                <w:color w:val="0000FF"/>
              </w:rPr>
              <w:t>TX</w:t>
            </w:r>
          </w:p>
        </w:tc>
        <w:tc>
          <w:tcPr>
            <w:tcW w:w="1380" w:type="dxa"/>
            <w:vAlign w:val="bottom"/>
          </w:tcPr>
          <w:p>
            <w:pPr>
              <w:ind w:left="340"/>
              <w:spacing w:after="0"/>
              <w:rPr>
                <w:sz w:val="20"/>
                <w:szCs w:val="20"/>
                <w:color w:val="auto"/>
              </w:rPr>
            </w:pPr>
            <w:r>
              <w:rPr>
                <w:rFonts w:ascii="Arial" w:cs="Arial" w:eastAsia="Arial" w:hAnsi="Arial"/>
                <w:sz w:val="18"/>
                <w:szCs w:val="18"/>
                <w:color w:val="0000FF"/>
              </w:rPr>
              <w:t>77056</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880" w:type="dxa"/>
            <w:vAlign w:val="bottom"/>
          </w:tcPr>
          <w:p>
            <w:pPr>
              <w:ind w:left="1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SCHLUMBERGER LTD /NV/</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SLB</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8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170"/>
        </w:trPr>
        <w:tc>
          <w:tcPr>
            <w:tcW w:w="4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00" w:type="dxa"/>
            <w:vAlign w:val="bottom"/>
            <w:tcBorders>
              <w:bottom w:val="single" w:sz="8" w:color="2C2C2C"/>
            </w:tcBorders>
          </w:tcPr>
          <w:p>
            <w:pPr>
              <w:spacing w:after="0"/>
              <w:rPr>
                <w:sz w:val="14"/>
                <w:szCs w:val="14"/>
                <w:color w:val="auto"/>
              </w:rPr>
            </w:pPr>
          </w:p>
        </w:tc>
        <w:tc>
          <w:tcPr>
            <w:tcW w:w="2680" w:type="dxa"/>
            <w:vAlign w:val="bottom"/>
            <w:tcBorders>
              <w:bottom w:val="single" w:sz="8" w:color="2C2C2C"/>
            </w:tcBorders>
          </w:tcPr>
          <w:p>
            <w:pPr>
              <w:spacing w:after="0"/>
              <w:rPr>
                <w:sz w:val="14"/>
                <w:szCs w:val="14"/>
                <w:color w:val="auto"/>
              </w:rPr>
            </w:pPr>
          </w:p>
        </w:tc>
      </w:tr>
      <w:tr>
        <w:trPr>
          <w:trHeight w:val="188"/>
        </w:trPr>
        <w:tc>
          <w:tcPr>
            <w:tcW w:w="420" w:type="dxa"/>
            <w:vAlign w:val="bottom"/>
          </w:tcPr>
          <w:p>
            <w:pPr>
              <w:ind w:left="200"/>
              <w:spacing w:after="0" w:line="189" w:lineRule="exact"/>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480" w:type="dxa"/>
            <w:vAlign w:val="bottom"/>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6"/>
        </w:trPr>
        <w:tc>
          <w:tcPr>
            <w:tcW w:w="420" w:type="dxa"/>
            <w:vAlign w:val="bottom"/>
          </w:tcPr>
          <w:p>
            <w:pPr>
              <w:spacing w:after="0"/>
              <w:rPr>
                <w:sz w:val="15"/>
                <w:szCs w:val="15"/>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below)</w:t>
            </w:r>
          </w:p>
        </w:tc>
        <w:tc>
          <w:tcPr>
            <w:tcW w:w="1480" w:type="dxa"/>
            <w:vAlign w:val="bottom"/>
          </w:tcPr>
          <w:p>
            <w:pPr>
              <w:ind w:left="32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r>
        <w:trPr>
          <w:trHeight w:val="242"/>
        </w:trPr>
        <w:tc>
          <w:tcPr>
            <w:tcW w:w="420" w:type="dxa"/>
            <w:vAlign w:val="bottom"/>
          </w:tcPr>
          <w:p>
            <w:pPr>
              <w:spacing w:after="0"/>
              <w:rPr>
                <w:sz w:val="21"/>
                <w:szCs w:val="21"/>
                <w:color w:val="auto"/>
              </w:rPr>
            </w:pPr>
          </w:p>
        </w:tc>
        <w:tc>
          <w:tcPr>
            <w:tcW w:w="2900" w:type="dxa"/>
            <w:vAlign w:val="bottom"/>
            <w:gridSpan w:val="2"/>
          </w:tcPr>
          <w:p>
            <w:pPr>
              <w:ind w:left="340"/>
              <w:spacing w:after="0"/>
              <w:rPr>
                <w:sz w:val="20"/>
                <w:szCs w:val="20"/>
                <w:color w:val="auto"/>
              </w:rPr>
            </w:pPr>
            <w:r>
              <w:rPr>
                <w:rFonts w:ascii="Arial" w:cs="Arial" w:eastAsia="Arial" w:hAnsi="Arial"/>
                <w:sz w:val="18"/>
                <w:szCs w:val="18"/>
                <w:color w:val="0000FF"/>
              </w:rPr>
              <w:t>President Drilling Group</w:t>
            </w: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r>
      <w:tr>
        <w:trPr>
          <w:trHeight w:val="204"/>
        </w:trPr>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Form filed by More than One</w:t>
            </w:r>
          </w:p>
        </w:tc>
      </w:tr>
      <w:tr>
        <w:trPr>
          <w:trHeight w:val="162"/>
        </w:trPr>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Reporting Person</w:t>
            </w:r>
          </w:p>
        </w:tc>
      </w:tr>
    </w:tbl>
    <w:p>
      <w:pPr>
        <w:spacing w:after="0" w:line="495"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000" w:type="dxa"/>
            <w:vAlign w:val="bottom"/>
          </w:tcPr>
          <w:p>
            <w:pPr>
              <w:ind w:left="102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000" w:type="dxa"/>
            <w:vAlign w:val="bottom"/>
          </w:tcPr>
          <w:p>
            <w:pPr>
              <w:ind w:left="102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406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268"/>
        </w:trPr>
        <w:tc>
          <w:tcPr>
            <w:tcW w:w="20" w:type="dxa"/>
            <w:vAlign w:val="bottom"/>
          </w:tcPr>
          <w:p>
            <w:pPr>
              <w:spacing w:after="0"/>
              <w:rPr>
                <w:sz w:val="23"/>
                <w:szCs w:val="23"/>
                <w:color w:val="auto"/>
              </w:rPr>
            </w:pPr>
          </w:p>
        </w:tc>
        <w:tc>
          <w:tcPr>
            <w:tcW w:w="4060" w:type="dxa"/>
            <w:vAlign w:val="bottom"/>
          </w:tcPr>
          <w:p>
            <w:pPr>
              <w:ind w:left="60"/>
              <w:spacing w:after="0"/>
              <w:rPr>
                <w:sz w:val="20"/>
                <w:szCs w:val="20"/>
                <w:color w:val="auto"/>
              </w:rPr>
            </w:pPr>
            <w:r>
              <w:rPr>
                <w:rFonts w:ascii="Arial" w:cs="Arial" w:eastAsia="Arial" w:hAnsi="Arial"/>
                <w:sz w:val="18"/>
                <w:szCs w:val="18"/>
                <w:color w:val="0000FF"/>
              </w:rPr>
              <w:t>Common Stock, $0.01 par value per share</w:t>
            </w:r>
          </w:p>
        </w:tc>
        <w:tc>
          <w:tcPr>
            <w:tcW w:w="3000" w:type="dxa"/>
            <w:vAlign w:val="bottom"/>
          </w:tcPr>
          <w:p>
            <w:pPr>
              <w:jc w:val="right"/>
              <w:ind w:right="686"/>
              <w:spacing w:after="0"/>
              <w:rPr>
                <w:sz w:val="20"/>
                <w:szCs w:val="20"/>
                <w:color w:val="auto"/>
              </w:rPr>
            </w:pPr>
            <w:r>
              <w:rPr>
                <w:rFonts w:ascii="Arial" w:cs="Arial" w:eastAsia="Arial" w:hAnsi="Arial"/>
                <w:sz w:val="18"/>
                <w:szCs w:val="18"/>
                <w:color w:val="0000FF"/>
              </w:rPr>
              <w:t>7,579</w:t>
            </w:r>
          </w:p>
        </w:tc>
        <w:tc>
          <w:tcPr>
            <w:tcW w:w="1320" w:type="dxa"/>
            <w:vAlign w:val="bottom"/>
          </w:tcPr>
          <w:p>
            <w:pPr>
              <w:ind w:left="680"/>
              <w:spacing w:after="0"/>
              <w:rPr>
                <w:sz w:val="20"/>
                <w:szCs w:val="20"/>
                <w:color w:val="auto"/>
              </w:rPr>
            </w:pPr>
            <w:r>
              <w:rPr>
                <w:rFonts w:ascii="Arial" w:cs="Arial" w:eastAsia="Arial" w:hAnsi="Arial"/>
                <w:sz w:val="18"/>
                <w:szCs w:val="18"/>
                <w:color w:val="0000FF"/>
              </w:rPr>
              <w:t>D</w:t>
            </w:r>
          </w:p>
        </w:tc>
        <w:tc>
          <w:tcPr>
            <w:tcW w:w="30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4060" w:type="dxa"/>
            <w:vAlign w:val="bottom"/>
            <w:tcBorders>
              <w:bottom w:val="single" w:sz="8" w:color="2C2C2C"/>
            </w:tcBorders>
          </w:tcPr>
          <w:p>
            <w:pPr>
              <w:spacing w:after="0"/>
              <w:rPr>
                <w:sz w:val="7"/>
                <w:szCs w:val="7"/>
                <w:color w:val="auto"/>
              </w:rPr>
            </w:pPr>
          </w:p>
        </w:tc>
        <w:tc>
          <w:tcPr>
            <w:tcW w:w="300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tcPr>
          <w:p>
            <w:pPr>
              <w:spacing w:after="0"/>
              <w:rPr>
                <w:sz w:val="7"/>
                <w:szCs w:val="7"/>
                <w:color w:val="auto"/>
              </w:rPr>
            </w:pPr>
          </w:p>
        </w:tc>
        <w:tc>
          <w:tcPr>
            <w:tcW w:w="30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406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ectPr>
          <w:pgSz w:w="11900" w:h="16838" w:orient="portrait"/>
          <w:cols w:equalWidth="0" w:num="1">
            <w:col w:w="11420"/>
          </w:cols>
          <w:pgMar w:left="240" w:top="226" w:right="239" w:bottom="0" w:gutter="0" w:footer="0" w:header="0"/>
          <w:type w:val="continuous"/>
        </w:sectPr>
      </w:pP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46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74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r>
      <w:tr>
        <w:trPr>
          <w:trHeight w:val="149"/>
        </w:trPr>
        <w:tc>
          <w:tcPr>
            <w:tcW w:w="3460" w:type="dxa"/>
            <w:vAlign w:val="bottom"/>
          </w:tcPr>
          <w:p>
            <w:pPr>
              <w:spacing w:after="0"/>
              <w:rPr>
                <w:sz w:val="12"/>
                <w:szCs w:val="12"/>
                <w:color w:val="auto"/>
              </w:rPr>
            </w:pPr>
          </w:p>
        </w:tc>
        <w:tc>
          <w:tcPr>
            <w:tcW w:w="17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r>
      <w:tr>
        <w:trPr>
          <w:trHeight w:val="178"/>
        </w:trPr>
        <w:tc>
          <w:tcPr>
            <w:tcW w:w="3460" w:type="dxa"/>
            <w:vAlign w:val="bottom"/>
          </w:tcPr>
          <w:p>
            <w:pPr>
              <w:spacing w:after="0"/>
              <w:rPr>
                <w:sz w:val="15"/>
                <w:szCs w:val="15"/>
                <w:color w:val="auto"/>
              </w:rPr>
            </w:pPr>
          </w:p>
        </w:tc>
        <w:tc>
          <w:tcPr>
            <w:tcW w:w="1740" w:type="dxa"/>
            <w:vAlign w:val="bottom"/>
            <w:gridSpan w:val="2"/>
          </w:tcPr>
          <w:p>
            <w:pPr>
              <w:ind w:left="80"/>
              <w:spacing w:after="0"/>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48"/>
        </w:trPr>
        <w:tc>
          <w:tcPr>
            <w:tcW w:w="3460" w:type="dxa"/>
            <w:vAlign w:val="bottom"/>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r>
      <w:tr>
        <w:trPr>
          <w:trHeight w:val="186"/>
        </w:trPr>
        <w:tc>
          <w:tcPr>
            <w:tcW w:w="3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20" w:type="dxa"/>
            <w:vAlign w:val="bottom"/>
          </w:tcPr>
          <w:p>
            <w:pPr>
              <w:ind w:left="900"/>
              <w:spacing w:after="0"/>
              <w:rPr>
                <w:sz w:val="20"/>
                <w:szCs w:val="20"/>
                <w:color w:val="auto"/>
              </w:rPr>
            </w:pPr>
            <w:r>
              <w:rPr>
                <w:rFonts w:ascii="Arial" w:cs="Arial" w:eastAsia="Arial" w:hAnsi="Arial"/>
                <w:sz w:val="14"/>
                <w:szCs w:val="14"/>
                <w:b w:val="1"/>
                <w:bCs w:val="1"/>
                <w:color w:val="auto"/>
              </w:rPr>
              <w:t>Amount</w:t>
            </w:r>
          </w:p>
        </w:tc>
      </w:tr>
      <w:tr>
        <w:trPr>
          <w:trHeight w:val="149"/>
        </w:trPr>
        <w:tc>
          <w:tcPr>
            <w:tcW w:w="3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20" w:type="dxa"/>
            <w:vAlign w:val="bottom"/>
          </w:tcPr>
          <w:p>
            <w:pPr>
              <w:ind w:left="900"/>
              <w:spacing w:after="0" w:line="149" w:lineRule="exact"/>
              <w:rPr>
                <w:sz w:val="20"/>
                <w:szCs w:val="20"/>
                <w:color w:val="auto"/>
              </w:rPr>
            </w:pPr>
            <w:r>
              <w:rPr>
                <w:rFonts w:ascii="Arial" w:cs="Arial" w:eastAsia="Arial" w:hAnsi="Arial"/>
                <w:sz w:val="14"/>
                <w:szCs w:val="14"/>
                <w:b w:val="1"/>
                <w:bCs w:val="1"/>
                <w:color w:val="auto"/>
              </w:rPr>
              <w:t>or</w:t>
            </w:r>
          </w:p>
        </w:tc>
      </w:tr>
      <w:tr>
        <w:trPr>
          <w:trHeight w:val="149"/>
        </w:trPr>
        <w:tc>
          <w:tcPr>
            <w:tcW w:w="3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20" w:type="dxa"/>
            <w:vAlign w:val="bottom"/>
          </w:tcPr>
          <w:p>
            <w:pPr>
              <w:ind w:left="900"/>
              <w:spacing w:after="0" w:line="149" w:lineRule="exact"/>
              <w:rPr>
                <w:sz w:val="20"/>
                <w:szCs w:val="20"/>
                <w:color w:val="auto"/>
              </w:rPr>
            </w:pPr>
            <w:r>
              <w:rPr>
                <w:rFonts w:ascii="Arial" w:cs="Arial" w:eastAsia="Arial" w:hAnsi="Arial"/>
                <w:sz w:val="14"/>
                <w:szCs w:val="14"/>
                <w:b w:val="1"/>
                <w:bCs w:val="1"/>
                <w:color w:val="auto"/>
              </w:rPr>
              <w:t>Number</w:t>
            </w:r>
          </w:p>
        </w:tc>
      </w:tr>
      <w:tr>
        <w:trPr>
          <w:trHeight w:val="149"/>
        </w:trPr>
        <w:tc>
          <w:tcPr>
            <w:tcW w:w="3460" w:type="dxa"/>
            <w:vAlign w:val="bottom"/>
          </w:tcPr>
          <w:p>
            <w:pPr>
              <w:spacing w:after="0"/>
              <w:rPr>
                <w:sz w:val="12"/>
                <w:szCs w:val="12"/>
                <w:color w:val="auto"/>
              </w:rPr>
            </w:pPr>
          </w:p>
        </w:tc>
        <w:tc>
          <w:tcPr>
            <w:tcW w:w="9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520" w:type="dxa"/>
            <w:vAlign w:val="bottom"/>
          </w:tcPr>
          <w:p>
            <w:pPr>
              <w:ind w:left="900"/>
              <w:spacing w:after="0" w:line="149" w:lineRule="exact"/>
              <w:rPr>
                <w:sz w:val="20"/>
                <w:szCs w:val="20"/>
                <w:color w:val="auto"/>
              </w:rPr>
            </w:pPr>
            <w:r>
              <w:rPr>
                <w:rFonts w:ascii="Arial" w:cs="Arial" w:eastAsia="Arial" w:hAnsi="Arial"/>
                <w:sz w:val="14"/>
                <w:szCs w:val="14"/>
                <w:b w:val="1"/>
                <w:bCs w:val="1"/>
                <w:color w:val="auto"/>
              </w:rPr>
              <w:t>of</w:t>
            </w:r>
          </w:p>
        </w:tc>
      </w:tr>
      <w:tr>
        <w:trPr>
          <w:trHeight w:val="178"/>
        </w:trPr>
        <w:tc>
          <w:tcPr>
            <w:tcW w:w="3460" w:type="dxa"/>
            <w:vAlign w:val="bottom"/>
          </w:tcPr>
          <w:p>
            <w:pPr>
              <w:spacing w:after="0"/>
              <w:rPr>
                <w:sz w:val="15"/>
                <w:szCs w:val="15"/>
                <w:color w:val="auto"/>
              </w:rPr>
            </w:pPr>
          </w:p>
        </w:tc>
        <w:tc>
          <w:tcPr>
            <w:tcW w:w="92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20" w:type="dxa"/>
            <w:vAlign w:val="bottom"/>
          </w:tcPr>
          <w:p>
            <w:pPr>
              <w:ind w:left="10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520" w:type="dxa"/>
            <w:vAlign w:val="bottom"/>
          </w:tcPr>
          <w:p>
            <w:pPr>
              <w:ind w:left="900"/>
              <w:spacing w:after="0"/>
              <w:rPr>
                <w:sz w:val="20"/>
                <w:szCs w:val="20"/>
                <w:color w:val="auto"/>
              </w:rPr>
            </w:pPr>
            <w:r>
              <w:rPr>
                <w:rFonts w:ascii="Arial" w:cs="Arial" w:eastAsia="Arial" w:hAnsi="Arial"/>
                <w:sz w:val="14"/>
                <w:szCs w:val="14"/>
                <w:b w:val="1"/>
                <w:bCs w:val="1"/>
                <w:color w:val="auto"/>
              </w:rPr>
              <w:t>Shares</w:t>
            </w:r>
          </w:p>
        </w:tc>
      </w:tr>
    </w:tbl>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ind w:left="882" w:hanging="882"/>
        <w:spacing w:after="0"/>
        <w:tabs>
          <w:tab w:leader="none" w:pos="882" w:val="left"/>
        </w:tabs>
        <w:numPr>
          <w:ilvl w:val="0"/>
          <w:numId w:val="1"/>
        </w:numPr>
        <w:rPr>
          <w:rFonts w:ascii="Arial" w:cs="Arial" w:eastAsia="Arial" w:hAnsi="Arial"/>
          <w:sz w:val="14"/>
          <w:szCs w:val="14"/>
          <w:b w:val="1"/>
          <w:bCs w:val="1"/>
          <w:color w:val="auto"/>
        </w:rPr>
      </w:pPr>
      <w:r>
        <w:rPr>
          <w:rFonts w:ascii="Arial" w:cs="Arial" w:eastAsia="Arial" w:hAnsi="Arial"/>
          <w:sz w:val="14"/>
          <w:szCs w:val="14"/>
          <w:b w:val="1"/>
          <w:bCs w:val="1"/>
          <w:color w:val="auto"/>
        </w:rPr>
        <w:t>5.</w:t>
      </w:r>
      <w:r>
        <w:rPr>
          <w:rFonts w:ascii="Arial" w:cs="Arial" w:eastAsia="Arial" w:hAnsi="Arial"/>
          <w:sz w:val="12"/>
          <w:szCs w:val="12"/>
          <w:b w:val="1"/>
          <w:bCs w:val="1"/>
          <w:color w:val="auto"/>
        </w:rPr>
        <w:t>6. Nature of Indirect</w:t>
      </w:r>
    </w:p>
    <w:tbl>
      <w:tblPr>
        <w:tblLayout w:type="fixed"/>
        <w:tblInd w:w="2" w:type="dxa"/>
        <w:tblCellMar>
          <w:top w:w="0" w:type="dxa"/>
          <w:left w:w="0" w:type="dxa"/>
          <w:bottom w:w="0" w:type="dxa"/>
          <w:right w:w="0" w:type="dxa"/>
        </w:tblCellMar>
      </w:tblPr>
      <w:tr>
        <w:trPr>
          <w:trHeight w:val="136"/>
        </w:trPr>
        <w:tc>
          <w:tcPr>
            <w:tcW w:w="820" w:type="dxa"/>
            <w:vAlign w:val="bottom"/>
          </w:tcPr>
          <w:p>
            <w:pPr>
              <w:spacing w:after="0" w:line="136"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36" w:lineRule="exact"/>
              <w:rPr>
                <w:sz w:val="20"/>
                <w:szCs w:val="20"/>
                <w:color w:val="auto"/>
              </w:rPr>
            </w:pPr>
            <w:r>
              <w:rPr>
                <w:rFonts w:ascii="Arial" w:cs="Arial" w:eastAsia="Arial" w:hAnsi="Arial"/>
                <w:sz w:val="14"/>
                <w:szCs w:val="14"/>
                <w:b w:val="1"/>
                <w:bCs w:val="1"/>
                <w:color w:val="auto"/>
              </w:rPr>
              <w:t>Ownership</w:t>
            </w:r>
          </w:p>
        </w:tc>
        <w:tc>
          <w:tcPr>
            <w:tcW w:w="1460" w:type="dxa"/>
            <w:vAlign w:val="bottom"/>
          </w:tcPr>
          <w:p>
            <w:pPr>
              <w:ind w:left="100"/>
              <w:spacing w:after="0" w:line="136" w:lineRule="exact"/>
              <w:rPr>
                <w:sz w:val="20"/>
                <w:szCs w:val="20"/>
                <w:color w:val="auto"/>
              </w:rPr>
            </w:pPr>
            <w:r>
              <w:rPr>
                <w:rFonts w:ascii="Arial" w:cs="Arial" w:eastAsia="Arial" w:hAnsi="Arial"/>
                <w:sz w:val="14"/>
                <w:szCs w:val="14"/>
                <w:b w:val="1"/>
                <w:bCs w:val="1"/>
                <w:color w:val="auto"/>
                <w:w w:val="94"/>
              </w:rPr>
              <w:t>Beneficial Ownership</w:t>
            </w:r>
          </w:p>
        </w:tc>
      </w:tr>
      <w:tr>
        <w:trPr>
          <w:trHeight w:val="149"/>
        </w:trPr>
        <w:tc>
          <w:tcPr>
            <w:tcW w:w="820" w:type="dxa"/>
            <w:vAlign w:val="bottom"/>
          </w:tcPr>
          <w:p>
            <w:pPr>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46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820" w:type="dxa"/>
            <w:vAlign w:val="bottom"/>
          </w:tcPr>
          <w:p>
            <w:pPr>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460" w:type="dxa"/>
            <w:vAlign w:val="bottom"/>
          </w:tcPr>
          <w:p>
            <w:pPr>
              <w:spacing w:after="0"/>
              <w:rPr>
                <w:sz w:val="12"/>
                <w:szCs w:val="12"/>
                <w:color w:val="auto"/>
              </w:rPr>
            </w:pPr>
          </w:p>
        </w:tc>
      </w:tr>
      <w:tr>
        <w:trPr>
          <w:trHeight w:val="149"/>
        </w:trPr>
        <w:tc>
          <w:tcPr>
            <w:tcW w:w="820" w:type="dxa"/>
            <w:vAlign w:val="bottom"/>
          </w:tcPr>
          <w:p>
            <w:pPr>
              <w:spacing w:after="0" w:line="14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Indirect</w:t>
            </w:r>
          </w:p>
        </w:tc>
        <w:tc>
          <w:tcPr>
            <w:tcW w:w="1460" w:type="dxa"/>
            <w:vAlign w:val="bottom"/>
          </w:tcPr>
          <w:p>
            <w:pPr>
              <w:spacing w:after="0"/>
              <w:rPr>
                <w:sz w:val="12"/>
                <w:szCs w:val="12"/>
                <w:color w:val="auto"/>
              </w:rPr>
            </w:pPr>
          </w:p>
        </w:tc>
      </w:tr>
      <w:tr>
        <w:trPr>
          <w:trHeight w:val="178"/>
        </w:trPr>
        <w:tc>
          <w:tcPr>
            <w:tcW w:w="820" w:type="dxa"/>
            <w:vAlign w:val="bottom"/>
          </w:tcPr>
          <w:p>
            <w:pPr>
              <w:spacing w:after="0"/>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(I) (Instr. 5)</w:t>
            </w:r>
          </w:p>
        </w:tc>
        <w:tc>
          <w:tcPr>
            <w:tcW w:w="1460" w:type="dxa"/>
            <w:vAlign w:val="bottom"/>
          </w:tcPr>
          <w:p>
            <w:pPr>
              <w:spacing w:after="0"/>
              <w:rPr>
                <w:sz w:val="15"/>
                <w:szCs w:val="15"/>
                <w:color w:val="auto"/>
              </w:rPr>
            </w:pPr>
          </w:p>
        </w:tc>
      </w:tr>
    </w:tbl>
    <w:p>
      <w:pPr>
        <w:spacing w:after="0" w:line="546" w:lineRule="exact"/>
        <w:rPr>
          <w:sz w:val="24"/>
          <w:szCs w:val="24"/>
          <w:color w:val="auto"/>
        </w:rPr>
      </w:pPr>
    </w:p>
    <w:p>
      <w:pPr>
        <w:sectPr>
          <w:pgSz w:w="11900" w:h="16838" w:orient="portrait"/>
          <w:cols w:equalWidth="0" w:num="2">
            <w:col w:w="8040" w:space="58"/>
            <w:col w:w="3322"/>
          </w:cols>
          <w:pgMar w:left="240" w:top="226" w:right="239" w:bottom="0" w:gutter="0" w:footer="0" w:header="0"/>
          <w:type w:val="continuous"/>
        </w:sectPr>
      </w:pPr>
    </w:p>
    <w:tbl>
      <w:tblPr>
        <w:tblLayout w:type="fixed"/>
        <w:tblInd w:w="20" w:type="dxa"/>
        <w:tblCellMar>
          <w:top w:w="0" w:type="dxa"/>
          <w:left w:w="0" w:type="dxa"/>
          <w:bottom w:w="0" w:type="dxa"/>
          <w:right w:w="0" w:type="dxa"/>
        </w:tblCellMar>
      </w:tblPr>
      <w:tr>
        <w:trPr>
          <w:trHeight w:val="216"/>
        </w:trPr>
        <w:tc>
          <w:tcPr>
            <w:tcW w:w="3480" w:type="dxa"/>
            <w:vAlign w:val="bottom"/>
          </w:tcPr>
          <w:p>
            <w:pPr>
              <w:ind w:left="60"/>
              <w:spacing w:after="0"/>
              <w:rPr>
                <w:sz w:val="20"/>
                <w:szCs w:val="20"/>
                <w:color w:val="auto"/>
              </w:rPr>
            </w:pPr>
            <w:r>
              <w:rPr>
                <w:rFonts w:ascii="Arial" w:cs="Arial" w:eastAsia="Arial" w:hAnsi="Arial"/>
                <w:sz w:val="18"/>
                <w:szCs w:val="18"/>
                <w:color w:val="0000FF"/>
                <w:w w:val="93"/>
              </w:rPr>
              <w:t>NQ Stock Option (right to buy) w/ tandem Tax</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0000FF"/>
                <w:w w:val="86"/>
              </w:rPr>
              <w:t>04/19/2007</w:t>
            </w:r>
            <w:r>
              <w:rPr>
                <w:rFonts w:ascii="Arial" w:cs="Arial" w:eastAsia="Arial" w:hAnsi="Arial"/>
                <w:sz w:val="22"/>
                <w:szCs w:val="22"/>
                <w:color w:val="008000"/>
                <w:w w:val="86"/>
                <w:vertAlign w:val="superscript"/>
              </w:rPr>
              <w:t>(1)</w:t>
            </w:r>
          </w:p>
        </w:tc>
        <w:tc>
          <w:tcPr>
            <w:tcW w:w="800" w:type="dxa"/>
            <w:vAlign w:val="bottom"/>
            <w:vMerge w:val="restart"/>
          </w:tcPr>
          <w:p>
            <w:pPr>
              <w:jc w:val="right"/>
              <w:ind w:right="32"/>
              <w:spacing w:after="0"/>
              <w:rPr>
                <w:sz w:val="20"/>
                <w:szCs w:val="20"/>
                <w:color w:val="auto"/>
              </w:rPr>
            </w:pPr>
            <w:r>
              <w:rPr>
                <w:rFonts w:ascii="Arial" w:cs="Arial" w:eastAsia="Arial" w:hAnsi="Arial"/>
                <w:sz w:val="14"/>
                <w:szCs w:val="14"/>
                <w:color w:val="0000FF"/>
                <w:w w:val="96"/>
              </w:rPr>
              <w:t>04/19/2016</w:t>
            </w:r>
          </w:p>
        </w:tc>
        <w:tc>
          <w:tcPr>
            <w:tcW w:w="204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8"/>
              </w:rPr>
              <w:t>1,000</w:t>
            </w:r>
          </w:p>
        </w:tc>
        <w:tc>
          <w:tcPr>
            <w:tcW w:w="900" w:type="dxa"/>
            <w:vAlign w:val="bottom"/>
            <w:vMerge w:val="restart"/>
          </w:tcPr>
          <w:p>
            <w:pPr>
              <w:jc w:val="center"/>
              <w:ind w:right="52"/>
              <w:spacing w:after="0"/>
              <w:rPr>
                <w:sz w:val="20"/>
                <w:szCs w:val="20"/>
                <w:color w:val="auto"/>
              </w:rPr>
            </w:pPr>
            <w:r>
              <w:rPr>
                <w:rFonts w:ascii="Arial" w:cs="Arial" w:eastAsia="Arial" w:hAnsi="Arial"/>
                <w:sz w:val="18"/>
                <w:szCs w:val="18"/>
                <w:color w:val="0000FF"/>
                <w:w w:val="88"/>
              </w:rPr>
              <w:t>66.03</w:t>
            </w:r>
          </w:p>
        </w:tc>
        <w:tc>
          <w:tcPr>
            <w:tcW w:w="2400" w:type="dxa"/>
            <w:vAlign w:val="bottom"/>
            <w:vMerge w:val="restart"/>
          </w:tcPr>
          <w:p>
            <w:pPr>
              <w:ind w:left="320"/>
              <w:spacing w:after="0"/>
              <w:rPr>
                <w:sz w:val="20"/>
                <w:szCs w:val="20"/>
                <w:color w:val="auto"/>
              </w:rPr>
            </w:pPr>
            <w:r>
              <w:rPr>
                <w:rFonts w:ascii="Arial" w:cs="Arial" w:eastAsia="Arial" w:hAnsi="Arial"/>
                <w:sz w:val="18"/>
                <w:szCs w:val="18"/>
                <w:color w:val="0000FF"/>
              </w:rPr>
              <w:t>D</w:t>
            </w:r>
          </w:p>
        </w:tc>
        <w:tc>
          <w:tcPr>
            <w:tcW w:w="0" w:type="dxa"/>
            <w:vAlign w:val="bottom"/>
          </w:tcPr>
          <w:p>
            <w:pPr>
              <w:spacing w:after="0"/>
              <w:rPr>
                <w:sz w:val="1"/>
                <w:szCs w:val="1"/>
                <w:color w:val="auto"/>
              </w:rPr>
            </w:pPr>
          </w:p>
        </w:tc>
      </w:tr>
      <w:tr>
        <w:trPr>
          <w:trHeight w:val="170"/>
        </w:trPr>
        <w:tc>
          <w:tcPr>
            <w:tcW w:w="348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10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348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4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348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4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480" w:type="dxa"/>
            <w:vAlign w:val="bottom"/>
          </w:tcPr>
          <w:p>
            <w:pPr>
              <w:ind w:left="60"/>
              <w:spacing w:after="0"/>
              <w:rPr>
                <w:sz w:val="20"/>
                <w:szCs w:val="20"/>
                <w:color w:val="auto"/>
              </w:rPr>
            </w:pPr>
            <w:r>
              <w:rPr>
                <w:rFonts w:ascii="Arial" w:cs="Arial" w:eastAsia="Arial" w:hAnsi="Arial"/>
                <w:sz w:val="18"/>
                <w:szCs w:val="18"/>
                <w:color w:val="0000FF"/>
                <w:w w:val="93"/>
              </w:rPr>
              <w:t>NQ Stock Option (right to buy) w/ tandem Tax</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0000FF"/>
                <w:w w:val="86"/>
              </w:rPr>
              <w:t>01/17/2012</w:t>
            </w:r>
            <w:r>
              <w:rPr>
                <w:rFonts w:ascii="Arial" w:cs="Arial" w:eastAsia="Arial" w:hAnsi="Arial"/>
                <w:sz w:val="22"/>
                <w:szCs w:val="22"/>
                <w:color w:val="008000"/>
                <w:w w:val="86"/>
                <w:vertAlign w:val="superscript"/>
              </w:rPr>
              <w:t>(2)</w:t>
            </w:r>
          </w:p>
        </w:tc>
        <w:tc>
          <w:tcPr>
            <w:tcW w:w="800" w:type="dxa"/>
            <w:vAlign w:val="bottom"/>
            <w:vMerge w:val="restart"/>
          </w:tcPr>
          <w:p>
            <w:pPr>
              <w:jc w:val="right"/>
              <w:ind w:right="32"/>
              <w:spacing w:after="0"/>
              <w:rPr>
                <w:sz w:val="20"/>
                <w:szCs w:val="20"/>
                <w:color w:val="auto"/>
              </w:rPr>
            </w:pPr>
            <w:r>
              <w:rPr>
                <w:rFonts w:ascii="Arial" w:cs="Arial" w:eastAsia="Arial" w:hAnsi="Arial"/>
                <w:sz w:val="14"/>
                <w:szCs w:val="14"/>
                <w:color w:val="0000FF"/>
                <w:w w:val="96"/>
              </w:rPr>
              <w:t>01/17/2018</w:t>
            </w:r>
          </w:p>
        </w:tc>
        <w:tc>
          <w:tcPr>
            <w:tcW w:w="204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8"/>
              </w:rPr>
              <w:t>5,000</w:t>
            </w:r>
          </w:p>
        </w:tc>
        <w:tc>
          <w:tcPr>
            <w:tcW w:w="900" w:type="dxa"/>
            <w:vAlign w:val="bottom"/>
            <w:vMerge w:val="restart"/>
          </w:tcPr>
          <w:p>
            <w:pPr>
              <w:jc w:val="center"/>
              <w:ind w:right="52"/>
              <w:spacing w:after="0"/>
              <w:rPr>
                <w:sz w:val="20"/>
                <w:szCs w:val="20"/>
                <w:color w:val="auto"/>
              </w:rPr>
            </w:pPr>
            <w:r>
              <w:rPr>
                <w:rFonts w:ascii="Arial" w:cs="Arial" w:eastAsia="Arial" w:hAnsi="Arial"/>
                <w:sz w:val="18"/>
                <w:szCs w:val="18"/>
                <w:color w:val="0000FF"/>
                <w:w w:val="88"/>
              </w:rPr>
              <w:t>84.93</w:t>
            </w:r>
          </w:p>
        </w:tc>
        <w:tc>
          <w:tcPr>
            <w:tcW w:w="2400" w:type="dxa"/>
            <w:vAlign w:val="bottom"/>
            <w:vMerge w:val="restart"/>
          </w:tcPr>
          <w:p>
            <w:pPr>
              <w:ind w:left="320"/>
              <w:spacing w:after="0"/>
              <w:rPr>
                <w:sz w:val="20"/>
                <w:szCs w:val="20"/>
                <w:color w:val="auto"/>
              </w:rPr>
            </w:pPr>
            <w:r>
              <w:rPr>
                <w:rFonts w:ascii="Arial" w:cs="Arial" w:eastAsia="Arial" w:hAnsi="Arial"/>
                <w:sz w:val="18"/>
                <w:szCs w:val="18"/>
                <w:color w:val="0000FF"/>
              </w:rPr>
              <w:t>D</w:t>
            </w:r>
          </w:p>
        </w:tc>
        <w:tc>
          <w:tcPr>
            <w:tcW w:w="0" w:type="dxa"/>
            <w:vAlign w:val="bottom"/>
          </w:tcPr>
          <w:p>
            <w:pPr>
              <w:spacing w:after="0"/>
              <w:rPr>
                <w:sz w:val="1"/>
                <w:szCs w:val="1"/>
                <w:color w:val="auto"/>
              </w:rPr>
            </w:pPr>
          </w:p>
        </w:tc>
      </w:tr>
      <w:tr>
        <w:trPr>
          <w:trHeight w:val="170"/>
        </w:trPr>
        <w:tc>
          <w:tcPr>
            <w:tcW w:w="348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10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348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4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348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4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480" w:type="dxa"/>
            <w:vAlign w:val="bottom"/>
          </w:tcPr>
          <w:p>
            <w:pPr>
              <w:ind w:left="60"/>
              <w:spacing w:after="0"/>
              <w:rPr>
                <w:sz w:val="20"/>
                <w:szCs w:val="20"/>
                <w:color w:val="auto"/>
              </w:rPr>
            </w:pPr>
            <w:r>
              <w:rPr>
                <w:rFonts w:ascii="Arial" w:cs="Arial" w:eastAsia="Arial" w:hAnsi="Arial"/>
                <w:sz w:val="18"/>
                <w:szCs w:val="18"/>
                <w:color w:val="0000FF"/>
                <w:w w:val="93"/>
              </w:rPr>
              <w:t>NQ Stock Option (right to buy) w/ tandem Tax</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0000FF"/>
                <w:w w:val="86"/>
              </w:rPr>
              <w:t>04/17/2012</w:t>
            </w:r>
            <w:r>
              <w:rPr>
                <w:rFonts w:ascii="Arial" w:cs="Arial" w:eastAsia="Arial" w:hAnsi="Arial"/>
                <w:sz w:val="22"/>
                <w:szCs w:val="22"/>
                <w:color w:val="008000"/>
                <w:w w:val="86"/>
                <w:vertAlign w:val="superscript"/>
              </w:rPr>
              <w:t>(3)</w:t>
            </w:r>
          </w:p>
        </w:tc>
        <w:tc>
          <w:tcPr>
            <w:tcW w:w="800" w:type="dxa"/>
            <w:vAlign w:val="bottom"/>
            <w:vMerge w:val="restart"/>
          </w:tcPr>
          <w:p>
            <w:pPr>
              <w:jc w:val="right"/>
              <w:ind w:right="32"/>
              <w:spacing w:after="0"/>
              <w:rPr>
                <w:sz w:val="20"/>
                <w:szCs w:val="20"/>
                <w:color w:val="auto"/>
              </w:rPr>
            </w:pPr>
            <w:r>
              <w:rPr>
                <w:rFonts w:ascii="Arial" w:cs="Arial" w:eastAsia="Arial" w:hAnsi="Arial"/>
                <w:sz w:val="14"/>
                <w:szCs w:val="14"/>
                <w:color w:val="0000FF"/>
                <w:w w:val="96"/>
              </w:rPr>
              <w:t>04/17/2018</w:t>
            </w:r>
          </w:p>
        </w:tc>
        <w:tc>
          <w:tcPr>
            <w:tcW w:w="204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7"/>
              </w:rPr>
              <w:t>15,000</w:t>
            </w:r>
          </w:p>
        </w:tc>
        <w:tc>
          <w:tcPr>
            <w:tcW w:w="900" w:type="dxa"/>
            <w:vAlign w:val="bottom"/>
            <w:vMerge w:val="restart"/>
          </w:tcPr>
          <w:p>
            <w:pPr>
              <w:jc w:val="center"/>
              <w:ind w:right="52"/>
              <w:spacing w:after="0"/>
              <w:rPr>
                <w:sz w:val="20"/>
                <w:szCs w:val="20"/>
                <w:color w:val="auto"/>
              </w:rPr>
            </w:pPr>
            <w:r>
              <w:rPr>
                <w:rFonts w:ascii="Arial" w:cs="Arial" w:eastAsia="Arial" w:hAnsi="Arial"/>
                <w:sz w:val="18"/>
                <w:szCs w:val="18"/>
                <w:color w:val="0000FF"/>
                <w:w w:val="88"/>
              </w:rPr>
              <w:t>93.97</w:t>
            </w:r>
          </w:p>
        </w:tc>
        <w:tc>
          <w:tcPr>
            <w:tcW w:w="2400" w:type="dxa"/>
            <w:vAlign w:val="bottom"/>
            <w:vMerge w:val="restart"/>
          </w:tcPr>
          <w:p>
            <w:pPr>
              <w:ind w:left="320"/>
              <w:spacing w:after="0"/>
              <w:rPr>
                <w:sz w:val="20"/>
                <w:szCs w:val="20"/>
                <w:color w:val="auto"/>
              </w:rPr>
            </w:pPr>
            <w:r>
              <w:rPr>
                <w:rFonts w:ascii="Arial" w:cs="Arial" w:eastAsia="Arial" w:hAnsi="Arial"/>
                <w:sz w:val="18"/>
                <w:szCs w:val="18"/>
                <w:color w:val="0000FF"/>
              </w:rPr>
              <w:t>D</w:t>
            </w:r>
          </w:p>
        </w:tc>
        <w:tc>
          <w:tcPr>
            <w:tcW w:w="0" w:type="dxa"/>
            <w:vAlign w:val="bottom"/>
          </w:tcPr>
          <w:p>
            <w:pPr>
              <w:spacing w:after="0"/>
              <w:rPr>
                <w:sz w:val="1"/>
                <w:szCs w:val="1"/>
                <w:color w:val="auto"/>
              </w:rPr>
            </w:pPr>
          </w:p>
        </w:tc>
      </w:tr>
      <w:tr>
        <w:trPr>
          <w:trHeight w:val="170"/>
        </w:trPr>
        <w:tc>
          <w:tcPr>
            <w:tcW w:w="348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10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348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4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348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4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48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0000FF"/>
                <w:w w:val="86"/>
              </w:rPr>
              <w:t>01/22/2010</w:t>
            </w:r>
            <w:r>
              <w:rPr>
                <w:rFonts w:ascii="Arial" w:cs="Arial" w:eastAsia="Arial" w:hAnsi="Arial"/>
                <w:sz w:val="22"/>
                <w:szCs w:val="22"/>
                <w:color w:val="008000"/>
                <w:w w:val="86"/>
                <w:vertAlign w:val="superscript"/>
              </w:rPr>
              <w:t>(4)</w:t>
            </w:r>
          </w:p>
        </w:tc>
        <w:tc>
          <w:tcPr>
            <w:tcW w:w="800" w:type="dxa"/>
            <w:vAlign w:val="bottom"/>
            <w:vMerge w:val="restart"/>
          </w:tcPr>
          <w:p>
            <w:pPr>
              <w:jc w:val="right"/>
              <w:ind w:right="32"/>
              <w:spacing w:after="0"/>
              <w:rPr>
                <w:sz w:val="20"/>
                <w:szCs w:val="20"/>
                <w:color w:val="auto"/>
              </w:rPr>
            </w:pPr>
            <w:r>
              <w:rPr>
                <w:rFonts w:ascii="Arial" w:cs="Arial" w:eastAsia="Arial" w:hAnsi="Arial"/>
                <w:sz w:val="14"/>
                <w:szCs w:val="14"/>
                <w:color w:val="0000FF"/>
                <w:w w:val="96"/>
              </w:rPr>
              <w:t>01/22/2019</w:t>
            </w:r>
          </w:p>
        </w:tc>
        <w:tc>
          <w:tcPr>
            <w:tcW w:w="204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8"/>
              </w:rPr>
              <w:t>7,926</w:t>
            </w:r>
          </w:p>
        </w:tc>
        <w:tc>
          <w:tcPr>
            <w:tcW w:w="900" w:type="dxa"/>
            <w:vAlign w:val="bottom"/>
            <w:vMerge w:val="restart"/>
          </w:tcPr>
          <w:p>
            <w:pPr>
              <w:jc w:val="center"/>
              <w:ind w:right="52"/>
              <w:spacing w:after="0"/>
              <w:rPr>
                <w:sz w:val="20"/>
                <w:szCs w:val="20"/>
                <w:color w:val="auto"/>
              </w:rPr>
            </w:pPr>
            <w:r>
              <w:rPr>
                <w:rFonts w:ascii="Arial" w:cs="Arial" w:eastAsia="Arial" w:hAnsi="Arial"/>
                <w:sz w:val="18"/>
                <w:szCs w:val="18"/>
                <w:color w:val="0000FF"/>
                <w:w w:val="88"/>
              </w:rPr>
              <w:t>37.85</w:t>
            </w:r>
          </w:p>
        </w:tc>
        <w:tc>
          <w:tcPr>
            <w:tcW w:w="2400" w:type="dxa"/>
            <w:vAlign w:val="bottom"/>
            <w:vMerge w:val="restart"/>
          </w:tcPr>
          <w:p>
            <w:pPr>
              <w:ind w:left="320"/>
              <w:spacing w:after="0"/>
              <w:rPr>
                <w:sz w:val="20"/>
                <w:szCs w:val="20"/>
                <w:color w:val="auto"/>
              </w:rPr>
            </w:pPr>
            <w:r>
              <w:rPr>
                <w:rFonts w:ascii="Arial" w:cs="Arial" w:eastAsia="Arial" w:hAnsi="Arial"/>
                <w:sz w:val="18"/>
                <w:szCs w:val="18"/>
                <w:color w:val="0000FF"/>
              </w:rPr>
              <w:t>D</w:t>
            </w:r>
          </w:p>
        </w:tc>
        <w:tc>
          <w:tcPr>
            <w:tcW w:w="0" w:type="dxa"/>
            <w:vAlign w:val="bottom"/>
          </w:tcPr>
          <w:p>
            <w:pPr>
              <w:spacing w:after="0"/>
              <w:rPr>
                <w:sz w:val="1"/>
                <w:szCs w:val="1"/>
                <w:color w:val="auto"/>
              </w:rPr>
            </w:pPr>
          </w:p>
        </w:tc>
      </w:tr>
      <w:tr>
        <w:trPr>
          <w:trHeight w:val="170"/>
        </w:trPr>
        <w:tc>
          <w:tcPr>
            <w:tcW w:w="34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34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4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348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4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480" w:type="dxa"/>
            <w:vAlign w:val="bottom"/>
          </w:tcPr>
          <w:p>
            <w:pPr>
              <w:ind w:left="60"/>
              <w:spacing w:after="0"/>
              <w:rPr>
                <w:sz w:val="20"/>
                <w:szCs w:val="20"/>
                <w:color w:val="auto"/>
              </w:rPr>
            </w:pPr>
            <w:r>
              <w:rPr>
                <w:rFonts w:ascii="Arial" w:cs="Arial" w:eastAsia="Arial" w:hAnsi="Arial"/>
                <w:sz w:val="18"/>
                <w:szCs w:val="18"/>
                <w:color w:val="0000FF"/>
                <w:w w:val="93"/>
              </w:rPr>
              <w:t>NQ Stock Option (right to buy) w/ tandem Tax</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0000FF"/>
                <w:w w:val="86"/>
              </w:rPr>
              <w:t>01/22/2010</w:t>
            </w:r>
            <w:r>
              <w:rPr>
                <w:rFonts w:ascii="Arial" w:cs="Arial" w:eastAsia="Arial" w:hAnsi="Arial"/>
                <w:sz w:val="22"/>
                <w:szCs w:val="22"/>
                <w:color w:val="008000"/>
                <w:w w:val="86"/>
                <w:vertAlign w:val="superscript"/>
              </w:rPr>
              <w:t>(5)</w:t>
            </w:r>
          </w:p>
        </w:tc>
        <w:tc>
          <w:tcPr>
            <w:tcW w:w="800" w:type="dxa"/>
            <w:vAlign w:val="bottom"/>
            <w:vMerge w:val="restart"/>
          </w:tcPr>
          <w:p>
            <w:pPr>
              <w:jc w:val="right"/>
              <w:ind w:right="32"/>
              <w:spacing w:after="0"/>
              <w:rPr>
                <w:sz w:val="20"/>
                <w:szCs w:val="20"/>
                <w:color w:val="auto"/>
              </w:rPr>
            </w:pPr>
            <w:r>
              <w:rPr>
                <w:rFonts w:ascii="Arial" w:cs="Arial" w:eastAsia="Arial" w:hAnsi="Arial"/>
                <w:sz w:val="14"/>
                <w:szCs w:val="14"/>
                <w:color w:val="0000FF"/>
                <w:w w:val="96"/>
              </w:rPr>
              <w:t>01/22/2019</w:t>
            </w:r>
          </w:p>
        </w:tc>
        <w:tc>
          <w:tcPr>
            <w:tcW w:w="204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8"/>
              </w:rPr>
              <w:t>4,074</w:t>
            </w:r>
          </w:p>
        </w:tc>
        <w:tc>
          <w:tcPr>
            <w:tcW w:w="900" w:type="dxa"/>
            <w:vAlign w:val="bottom"/>
            <w:vMerge w:val="restart"/>
          </w:tcPr>
          <w:p>
            <w:pPr>
              <w:jc w:val="center"/>
              <w:ind w:right="52"/>
              <w:spacing w:after="0"/>
              <w:rPr>
                <w:sz w:val="20"/>
                <w:szCs w:val="20"/>
                <w:color w:val="auto"/>
              </w:rPr>
            </w:pPr>
            <w:r>
              <w:rPr>
                <w:rFonts w:ascii="Arial" w:cs="Arial" w:eastAsia="Arial" w:hAnsi="Arial"/>
                <w:sz w:val="18"/>
                <w:szCs w:val="18"/>
                <w:color w:val="0000FF"/>
                <w:w w:val="88"/>
              </w:rPr>
              <w:t>37.85</w:t>
            </w:r>
          </w:p>
        </w:tc>
        <w:tc>
          <w:tcPr>
            <w:tcW w:w="2400" w:type="dxa"/>
            <w:vAlign w:val="bottom"/>
            <w:vMerge w:val="restart"/>
          </w:tcPr>
          <w:p>
            <w:pPr>
              <w:ind w:left="320"/>
              <w:spacing w:after="0"/>
              <w:rPr>
                <w:sz w:val="20"/>
                <w:szCs w:val="20"/>
                <w:color w:val="auto"/>
              </w:rPr>
            </w:pPr>
            <w:r>
              <w:rPr>
                <w:rFonts w:ascii="Arial" w:cs="Arial" w:eastAsia="Arial" w:hAnsi="Arial"/>
                <w:sz w:val="18"/>
                <w:szCs w:val="18"/>
                <w:color w:val="0000FF"/>
              </w:rPr>
              <w:t>D</w:t>
            </w:r>
          </w:p>
        </w:tc>
        <w:tc>
          <w:tcPr>
            <w:tcW w:w="0" w:type="dxa"/>
            <w:vAlign w:val="bottom"/>
          </w:tcPr>
          <w:p>
            <w:pPr>
              <w:spacing w:after="0"/>
              <w:rPr>
                <w:sz w:val="1"/>
                <w:szCs w:val="1"/>
                <w:color w:val="auto"/>
              </w:rPr>
            </w:pPr>
          </w:p>
        </w:tc>
      </w:tr>
      <w:tr>
        <w:trPr>
          <w:trHeight w:val="170"/>
        </w:trPr>
        <w:tc>
          <w:tcPr>
            <w:tcW w:w="348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10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348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4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348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4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48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0000FF"/>
                <w:w w:val="84"/>
              </w:rPr>
              <w:t>01/21/2011</w:t>
            </w:r>
            <w:r>
              <w:rPr>
                <w:rFonts w:ascii="Arial" w:cs="Arial" w:eastAsia="Arial" w:hAnsi="Arial"/>
                <w:sz w:val="22"/>
                <w:szCs w:val="22"/>
                <w:color w:val="008000"/>
                <w:w w:val="84"/>
                <w:vertAlign w:val="superscript"/>
              </w:rPr>
              <w:t>(6)</w:t>
            </w:r>
          </w:p>
        </w:tc>
        <w:tc>
          <w:tcPr>
            <w:tcW w:w="800" w:type="dxa"/>
            <w:vAlign w:val="bottom"/>
            <w:vMerge w:val="restart"/>
          </w:tcPr>
          <w:p>
            <w:pPr>
              <w:jc w:val="right"/>
              <w:ind w:right="32"/>
              <w:spacing w:after="0"/>
              <w:rPr>
                <w:sz w:val="20"/>
                <w:szCs w:val="20"/>
                <w:color w:val="auto"/>
              </w:rPr>
            </w:pPr>
            <w:r>
              <w:rPr>
                <w:rFonts w:ascii="Arial" w:cs="Arial" w:eastAsia="Arial" w:hAnsi="Arial"/>
                <w:sz w:val="14"/>
                <w:szCs w:val="14"/>
                <w:color w:val="0000FF"/>
                <w:w w:val="96"/>
              </w:rPr>
              <w:t>01/21/2020</w:t>
            </w:r>
          </w:p>
        </w:tc>
        <w:tc>
          <w:tcPr>
            <w:tcW w:w="204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8"/>
              </w:rPr>
              <w:t>1,459</w:t>
            </w:r>
          </w:p>
        </w:tc>
        <w:tc>
          <w:tcPr>
            <w:tcW w:w="900" w:type="dxa"/>
            <w:vAlign w:val="bottom"/>
            <w:vMerge w:val="restart"/>
          </w:tcPr>
          <w:p>
            <w:pPr>
              <w:jc w:val="center"/>
              <w:ind w:right="52"/>
              <w:spacing w:after="0"/>
              <w:rPr>
                <w:sz w:val="20"/>
                <w:szCs w:val="20"/>
                <w:color w:val="auto"/>
              </w:rPr>
            </w:pPr>
            <w:r>
              <w:rPr>
                <w:rFonts w:ascii="Arial" w:cs="Arial" w:eastAsia="Arial" w:hAnsi="Arial"/>
                <w:sz w:val="18"/>
                <w:szCs w:val="18"/>
                <w:color w:val="0000FF"/>
                <w:w w:val="88"/>
              </w:rPr>
              <w:t>68.51</w:t>
            </w:r>
          </w:p>
        </w:tc>
        <w:tc>
          <w:tcPr>
            <w:tcW w:w="2400" w:type="dxa"/>
            <w:vAlign w:val="bottom"/>
            <w:vMerge w:val="restart"/>
          </w:tcPr>
          <w:p>
            <w:pPr>
              <w:ind w:left="320"/>
              <w:spacing w:after="0"/>
              <w:rPr>
                <w:sz w:val="20"/>
                <w:szCs w:val="20"/>
                <w:color w:val="auto"/>
              </w:rPr>
            </w:pPr>
            <w:r>
              <w:rPr>
                <w:rFonts w:ascii="Arial" w:cs="Arial" w:eastAsia="Arial" w:hAnsi="Arial"/>
                <w:sz w:val="18"/>
                <w:szCs w:val="18"/>
                <w:color w:val="0000FF"/>
              </w:rPr>
              <w:t>D</w:t>
            </w:r>
          </w:p>
        </w:tc>
        <w:tc>
          <w:tcPr>
            <w:tcW w:w="0" w:type="dxa"/>
            <w:vAlign w:val="bottom"/>
          </w:tcPr>
          <w:p>
            <w:pPr>
              <w:spacing w:after="0"/>
              <w:rPr>
                <w:sz w:val="1"/>
                <w:szCs w:val="1"/>
                <w:color w:val="auto"/>
              </w:rPr>
            </w:pPr>
          </w:p>
        </w:tc>
      </w:tr>
      <w:tr>
        <w:trPr>
          <w:trHeight w:val="170"/>
        </w:trPr>
        <w:tc>
          <w:tcPr>
            <w:tcW w:w="34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34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4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348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4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480" w:type="dxa"/>
            <w:vAlign w:val="bottom"/>
          </w:tcPr>
          <w:p>
            <w:pPr>
              <w:ind w:left="60"/>
              <w:spacing w:after="0"/>
              <w:rPr>
                <w:sz w:val="20"/>
                <w:szCs w:val="20"/>
                <w:color w:val="auto"/>
              </w:rPr>
            </w:pPr>
            <w:r>
              <w:rPr>
                <w:rFonts w:ascii="Arial" w:cs="Arial" w:eastAsia="Arial" w:hAnsi="Arial"/>
                <w:sz w:val="18"/>
                <w:szCs w:val="18"/>
                <w:color w:val="0000FF"/>
                <w:w w:val="93"/>
              </w:rPr>
              <w:t>NQ Stock Option (right to buy) w/ tandem Tax</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0000FF"/>
                <w:w w:val="84"/>
              </w:rPr>
              <w:t>01/21/2011</w:t>
            </w:r>
            <w:r>
              <w:rPr>
                <w:rFonts w:ascii="Arial" w:cs="Arial" w:eastAsia="Arial" w:hAnsi="Arial"/>
                <w:sz w:val="22"/>
                <w:szCs w:val="22"/>
                <w:color w:val="008000"/>
                <w:w w:val="84"/>
                <w:vertAlign w:val="superscript"/>
              </w:rPr>
              <w:t>(6)</w:t>
            </w:r>
          </w:p>
        </w:tc>
        <w:tc>
          <w:tcPr>
            <w:tcW w:w="800" w:type="dxa"/>
            <w:vAlign w:val="bottom"/>
            <w:vMerge w:val="restart"/>
          </w:tcPr>
          <w:p>
            <w:pPr>
              <w:jc w:val="right"/>
              <w:ind w:right="32"/>
              <w:spacing w:after="0"/>
              <w:rPr>
                <w:sz w:val="20"/>
                <w:szCs w:val="20"/>
                <w:color w:val="auto"/>
              </w:rPr>
            </w:pPr>
            <w:r>
              <w:rPr>
                <w:rFonts w:ascii="Arial" w:cs="Arial" w:eastAsia="Arial" w:hAnsi="Arial"/>
                <w:sz w:val="14"/>
                <w:szCs w:val="14"/>
                <w:color w:val="0000FF"/>
                <w:w w:val="96"/>
              </w:rPr>
              <w:t>01/21/2020</w:t>
            </w:r>
          </w:p>
        </w:tc>
        <w:tc>
          <w:tcPr>
            <w:tcW w:w="204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7"/>
              </w:rPr>
              <w:t>22,541</w:t>
            </w:r>
          </w:p>
        </w:tc>
        <w:tc>
          <w:tcPr>
            <w:tcW w:w="900" w:type="dxa"/>
            <w:vAlign w:val="bottom"/>
            <w:vMerge w:val="restart"/>
          </w:tcPr>
          <w:p>
            <w:pPr>
              <w:jc w:val="center"/>
              <w:ind w:right="52"/>
              <w:spacing w:after="0"/>
              <w:rPr>
                <w:sz w:val="20"/>
                <w:szCs w:val="20"/>
                <w:color w:val="auto"/>
              </w:rPr>
            </w:pPr>
            <w:r>
              <w:rPr>
                <w:rFonts w:ascii="Arial" w:cs="Arial" w:eastAsia="Arial" w:hAnsi="Arial"/>
                <w:sz w:val="18"/>
                <w:szCs w:val="18"/>
                <w:color w:val="0000FF"/>
                <w:w w:val="88"/>
              </w:rPr>
              <w:t>68.51</w:t>
            </w:r>
          </w:p>
        </w:tc>
        <w:tc>
          <w:tcPr>
            <w:tcW w:w="2400" w:type="dxa"/>
            <w:vAlign w:val="bottom"/>
            <w:vMerge w:val="restart"/>
          </w:tcPr>
          <w:p>
            <w:pPr>
              <w:ind w:left="320"/>
              <w:spacing w:after="0"/>
              <w:rPr>
                <w:sz w:val="20"/>
                <w:szCs w:val="20"/>
                <w:color w:val="auto"/>
              </w:rPr>
            </w:pPr>
            <w:r>
              <w:rPr>
                <w:rFonts w:ascii="Arial" w:cs="Arial" w:eastAsia="Arial" w:hAnsi="Arial"/>
                <w:sz w:val="18"/>
                <w:szCs w:val="18"/>
                <w:color w:val="0000FF"/>
              </w:rPr>
              <w:t>D</w:t>
            </w:r>
          </w:p>
        </w:tc>
        <w:tc>
          <w:tcPr>
            <w:tcW w:w="0" w:type="dxa"/>
            <w:vAlign w:val="bottom"/>
          </w:tcPr>
          <w:p>
            <w:pPr>
              <w:spacing w:after="0"/>
              <w:rPr>
                <w:sz w:val="1"/>
                <w:szCs w:val="1"/>
                <w:color w:val="auto"/>
              </w:rPr>
            </w:pPr>
          </w:p>
        </w:tc>
      </w:tr>
      <w:tr>
        <w:trPr>
          <w:trHeight w:val="170"/>
        </w:trPr>
        <w:tc>
          <w:tcPr>
            <w:tcW w:w="348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10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348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4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348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4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480" w:type="dxa"/>
            <w:vAlign w:val="bottom"/>
          </w:tcPr>
          <w:p>
            <w:pPr>
              <w:ind w:left="60"/>
              <w:spacing w:after="0"/>
              <w:rPr>
                <w:sz w:val="20"/>
                <w:szCs w:val="20"/>
                <w:color w:val="auto"/>
              </w:rPr>
            </w:pPr>
            <w:r>
              <w:rPr>
                <w:rFonts w:ascii="Arial" w:cs="Arial" w:eastAsia="Arial" w:hAnsi="Arial"/>
                <w:sz w:val="18"/>
                <w:szCs w:val="18"/>
                <w:color w:val="0000FF"/>
                <w:w w:val="93"/>
              </w:rPr>
              <w:t>NQ Stock Option (right to buy) w/ tandem Tax</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0000FF"/>
                <w:w w:val="84"/>
              </w:rPr>
              <w:t>10/21/2011</w:t>
            </w:r>
            <w:r>
              <w:rPr>
                <w:rFonts w:ascii="Arial" w:cs="Arial" w:eastAsia="Arial" w:hAnsi="Arial"/>
                <w:sz w:val="22"/>
                <w:szCs w:val="22"/>
                <w:color w:val="008000"/>
                <w:w w:val="84"/>
                <w:vertAlign w:val="superscript"/>
              </w:rPr>
              <w:t>(7)</w:t>
            </w:r>
          </w:p>
        </w:tc>
        <w:tc>
          <w:tcPr>
            <w:tcW w:w="800" w:type="dxa"/>
            <w:vAlign w:val="bottom"/>
            <w:vMerge w:val="restart"/>
          </w:tcPr>
          <w:p>
            <w:pPr>
              <w:jc w:val="right"/>
              <w:ind w:right="32"/>
              <w:spacing w:after="0"/>
              <w:rPr>
                <w:sz w:val="20"/>
                <w:szCs w:val="20"/>
                <w:color w:val="auto"/>
              </w:rPr>
            </w:pPr>
            <w:r>
              <w:rPr>
                <w:rFonts w:ascii="Arial" w:cs="Arial" w:eastAsia="Arial" w:hAnsi="Arial"/>
                <w:sz w:val="14"/>
                <w:szCs w:val="14"/>
                <w:color w:val="0000FF"/>
                <w:w w:val="96"/>
              </w:rPr>
              <w:t>10/21/2020</w:t>
            </w:r>
          </w:p>
        </w:tc>
        <w:tc>
          <w:tcPr>
            <w:tcW w:w="204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7"/>
              </w:rPr>
              <w:t>30,000</w:t>
            </w:r>
          </w:p>
        </w:tc>
        <w:tc>
          <w:tcPr>
            <w:tcW w:w="900" w:type="dxa"/>
            <w:vAlign w:val="bottom"/>
            <w:vMerge w:val="restart"/>
          </w:tcPr>
          <w:p>
            <w:pPr>
              <w:jc w:val="center"/>
              <w:ind w:right="52"/>
              <w:spacing w:after="0"/>
              <w:rPr>
                <w:sz w:val="20"/>
                <w:szCs w:val="20"/>
                <w:color w:val="auto"/>
              </w:rPr>
            </w:pPr>
            <w:r>
              <w:rPr>
                <w:rFonts w:ascii="Arial" w:cs="Arial" w:eastAsia="Arial" w:hAnsi="Arial"/>
                <w:sz w:val="18"/>
                <w:szCs w:val="18"/>
                <w:color w:val="0000FF"/>
                <w:w w:val="88"/>
              </w:rPr>
              <w:t>64.23</w:t>
            </w:r>
          </w:p>
        </w:tc>
        <w:tc>
          <w:tcPr>
            <w:tcW w:w="2400" w:type="dxa"/>
            <w:vAlign w:val="bottom"/>
            <w:vMerge w:val="restart"/>
          </w:tcPr>
          <w:p>
            <w:pPr>
              <w:ind w:left="320"/>
              <w:spacing w:after="0"/>
              <w:rPr>
                <w:sz w:val="20"/>
                <w:szCs w:val="20"/>
                <w:color w:val="auto"/>
              </w:rPr>
            </w:pPr>
            <w:r>
              <w:rPr>
                <w:rFonts w:ascii="Arial" w:cs="Arial" w:eastAsia="Arial" w:hAnsi="Arial"/>
                <w:sz w:val="18"/>
                <w:szCs w:val="18"/>
                <w:color w:val="0000FF"/>
              </w:rPr>
              <w:t>D</w:t>
            </w:r>
          </w:p>
        </w:tc>
        <w:tc>
          <w:tcPr>
            <w:tcW w:w="0" w:type="dxa"/>
            <w:vAlign w:val="bottom"/>
          </w:tcPr>
          <w:p>
            <w:pPr>
              <w:spacing w:after="0"/>
              <w:rPr>
                <w:sz w:val="1"/>
                <w:szCs w:val="1"/>
                <w:color w:val="auto"/>
              </w:rPr>
            </w:pPr>
          </w:p>
        </w:tc>
      </w:tr>
      <w:tr>
        <w:trPr>
          <w:trHeight w:val="170"/>
        </w:trPr>
        <w:tc>
          <w:tcPr>
            <w:tcW w:w="348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10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348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4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348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4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48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0000FF"/>
                <w:w w:val="86"/>
              </w:rPr>
              <w:t>01/19/2013</w:t>
            </w:r>
            <w:r>
              <w:rPr>
                <w:rFonts w:ascii="Arial" w:cs="Arial" w:eastAsia="Arial" w:hAnsi="Arial"/>
                <w:sz w:val="22"/>
                <w:szCs w:val="22"/>
                <w:color w:val="008000"/>
                <w:w w:val="86"/>
                <w:vertAlign w:val="superscript"/>
              </w:rPr>
              <w:t>(8)</w:t>
            </w:r>
          </w:p>
        </w:tc>
        <w:tc>
          <w:tcPr>
            <w:tcW w:w="800" w:type="dxa"/>
            <w:vAlign w:val="bottom"/>
            <w:vMerge w:val="restart"/>
          </w:tcPr>
          <w:p>
            <w:pPr>
              <w:jc w:val="right"/>
              <w:ind w:right="32"/>
              <w:spacing w:after="0"/>
              <w:rPr>
                <w:sz w:val="20"/>
                <w:szCs w:val="20"/>
                <w:color w:val="auto"/>
              </w:rPr>
            </w:pPr>
            <w:r>
              <w:rPr>
                <w:rFonts w:ascii="Arial" w:cs="Arial" w:eastAsia="Arial" w:hAnsi="Arial"/>
                <w:sz w:val="14"/>
                <w:szCs w:val="14"/>
                <w:color w:val="0000FF"/>
                <w:w w:val="96"/>
              </w:rPr>
              <w:t>01/19/2022</w:t>
            </w:r>
          </w:p>
        </w:tc>
        <w:tc>
          <w:tcPr>
            <w:tcW w:w="204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8"/>
              </w:rPr>
              <w:t>2,772</w:t>
            </w:r>
          </w:p>
        </w:tc>
        <w:tc>
          <w:tcPr>
            <w:tcW w:w="900" w:type="dxa"/>
            <w:vAlign w:val="bottom"/>
            <w:vMerge w:val="restart"/>
          </w:tcPr>
          <w:p>
            <w:pPr>
              <w:jc w:val="center"/>
              <w:ind w:right="52"/>
              <w:spacing w:after="0"/>
              <w:rPr>
                <w:sz w:val="20"/>
                <w:szCs w:val="20"/>
                <w:color w:val="auto"/>
              </w:rPr>
            </w:pPr>
            <w:r>
              <w:rPr>
                <w:rFonts w:ascii="Arial" w:cs="Arial" w:eastAsia="Arial" w:hAnsi="Arial"/>
                <w:sz w:val="18"/>
                <w:szCs w:val="18"/>
                <w:color w:val="0000FF"/>
                <w:w w:val="88"/>
              </w:rPr>
              <w:t>72.11</w:t>
            </w:r>
          </w:p>
        </w:tc>
        <w:tc>
          <w:tcPr>
            <w:tcW w:w="2400" w:type="dxa"/>
            <w:vAlign w:val="bottom"/>
            <w:vMerge w:val="restart"/>
          </w:tcPr>
          <w:p>
            <w:pPr>
              <w:ind w:left="320"/>
              <w:spacing w:after="0"/>
              <w:rPr>
                <w:sz w:val="20"/>
                <w:szCs w:val="20"/>
                <w:color w:val="auto"/>
              </w:rPr>
            </w:pPr>
            <w:r>
              <w:rPr>
                <w:rFonts w:ascii="Arial" w:cs="Arial" w:eastAsia="Arial" w:hAnsi="Arial"/>
                <w:sz w:val="18"/>
                <w:szCs w:val="18"/>
                <w:color w:val="0000FF"/>
              </w:rPr>
              <w:t>D</w:t>
            </w:r>
          </w:p>
        </w:tc>
        <w:tc>
          <w:tcPr>
            <w:tcW w:w="0" w:type="dxa"/>
            <w:vAlign w:val="bottom"/>
          </w:tcPr>
          <w:p>
            <w:pPr>
              <w:spacing w:after="0"/>
              <w:rPr>
                <w:sz w:val="1"/>
                <w:szCs w:val="1"/>
                <w:color w:val="auto"/>
              </w:rPr>
            </w:pPr>
          </w:p>
        </w:tc>
      </w:tr>
      <w:tr>
        <w:trPr>
          <w:trHeight w:val="170"/>
        </w:trPr>
        <w:tc>
          <w:tcPr>
            <w:tcW w:w="34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34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4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348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4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480" w:type="dxa"/>
            <w:vAlign w:val="bottom"/>
          </w:tcPr>
          <w:p>
            <w:pPr>
              <w:ind w:left="60"/>
              <w:spacing w:after="0"/>
              <w:rPr>
                <w:sz w:val="20"/>
                <w:szCs w:val="20"/>
                <w:color w:val="auto"/>
              </w:rPr>
            </w:pPr>
            <w:r>
              <w:rPr>
                <w:rFonts w:ascii="Arial" w:cs="Arial" w:eastAsia="Arial" w:hAnsi="Arial"/>
                <w:sz w:val="18"/>
                <w:szCs w:val="18"/>
                <w:color w:val="0000FF"/>
                <w:w w:val="93"/>
              </w:rPr>
              <w:t>NQ Stock Option (right to buy) w/ tandem Tax</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0000FF"/>
                <w:w w:val="86"/>
              </w:rPr>
              <w:t>01/19/2013</w:t>
            </w:r>
            <w:r>
              <w:rPr>
                <w:rFonts w:ascii="Arial" w:cs="Arial" w:eastAsia="Arial" w:hAnsi="Arial"/>
                <w:sz w:val="22"/>
                <w:szCs w:val="22"/>
                <w:color w:val="008000"/>
                <w:w w:val="86"/>
                <w:vertAlign w:val="superscript"/>
              </w:rPr>
              <w:t>(9)</w:t>
            </w:r>
          </w:p>
        </w:tc>
        <w:tc>
          <w:tcPr>
            <w:tcW w:w="800" w:type="dxa"/>
            <w:vAlign w:val="bottom"/>
            <w:vMerge w:val="restart"/>
          </w:tcPr>
          <w:p>
            <w:pPr>
              <w:jc w:val="right"/>
              <w:ind w:right="32"/>
              <w:spacing w:after="0"/>
              <w:rPr>
                <w:sz w:val="20"/>
                <w:szCs w:val="20"/>
                <w:color w:val="auto"/>
              </w:rPr>
            </w:pPr>
            <w:r>
              <w:rPr>
                <w:rFonts w:ascii="Arial" w:cs="Arial" w:eastAsia="Arial" w:hAnsi="Arial"/>
                <w:sz w:val="14"/>
                <w:szCs w:val="14"/>
                <w:color w:val="0000FF"/>
                <w:w w:val="96"/>
              </w:rPr>
              <w:t>01/19/2022</w:t>
            </w:r>
          </w:p>
        </w:tc>
        <w:tc>
          <w:tcPr>
            <w:tcW w:w="204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7"/>
              </w:rPr>
              <w:t>22,228</w:t>
            </w:r>
          </w:p>
        </w:tc>
        <w:tc>
          <w:tcPr>
            <w:tcW w:w="900" w:type="dxa"/>
            <w:vAlign w:val="bottom"/>
            <w:vMerge w:val="restart"/>
          </w:tcPr>
          <w:p>
            <w:pPr>
              <w:jc w:val="center"/>
              <w:ind w:right="52"/>
              <w:spacing w:after="0"/>
              <w:rPr>
                <w:sz w:val="20"/>
                <w:szCs w:val="20"/>
                <w:color w:val="auto"/>
              </w:rPr>
            </w:pPr>
            <w:r>
              <w:rPr>
                <w:rFonts w:ascii="Arial" w:cs="Arial" w:eastAsia="Arial" w:hAnsi="Arial"/>
                <w:sz w:val="18"/>
                <w:szCs w:val="18"/>
                <w:color w:val="0000FF"/>
                <w:w w:val="88"/>
              </w:rPr>
              <w:t>72.11</w:t>
            </w:r>
          </w:p>
        </w:tc>
        <w:tc>
          <w:tcPr>
            <w:tcW w:w="2400" w:type="dxa"/>
            <w:vAlign w:val="bottom"/>
            <w:vMerge w:val="restart"/>
          </w:tcPr>
          <w:p>
            <w:pPr>
              <w:ind w:left="320"/>
              <w:spacing w:after="0"/>
              <w:rPr>
                <w:sz w:val="20"/>
                <w:szCs w:val="20"/>
                <w:color w:val="auto"/>
              </w:rPr>
            </w:pPr>
            <w:r>
              <w:rPr>
                <w:rFonts w:ascii="Arial" w:cs="Arial" w:eastAsia="Arial" w:hAnsi="Arial"/>
                <w:sz w:val="18"/>
                <w:szCs w:val="18"/>
                <w:color w:val="0000FF"/>
              </w:rPr>
              <w:t>D</w:t>
            </w:r>
          </w:p>
        </w:tc>
        <w:tc>
          <w:tcPr>
            <w:tcW w:w="0" w:type="dxa"/>
            <w:vAlign w:val="bottom"/>
          </w:tcPr>
          <w:p>
            <w:pPr>
              <w:spacing w:after="0"/>
              <w:rPr>
                <w:sz w:val="1"/>
                <w:szCs w:val="1"/>
                <w:color w:val="auto"/>
              </w:rPr>
            </w:pPr>
          </w:p>
        </w:tc>
      </w:tr>
      <w:tr>
        <w:trPr>
          <w:trHeight w:val="170"/>
        </w:trPr>
        <w:tc>
          <w:tcPr>
            <w:tcW w:w="348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10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348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4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348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4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480" w:type="dxa"/>
            <w:vAlign w:val="bottom"/>
            <w:vMerge w:val="restart"/>
          </w:tcPr>
          <w:p>
            <w:pPr>
              <w:ind w:left="60"/>
              <w:spacing w:after="0"/>
              <w:rPr>
                <w:sz w:val="20"/>
                <w:szCs w:val="20"/>
                <w:color w:val="auto"/>
              </w:rPr>
            </w:pPr>
            <w:r>
              <w:rPr>
                <w:rFonts w:ascii="Arial" w:cs="Arial" w:eastAsia="Arial" w:hAnsi="Arial"/>
                <w:sz w:val="18"/>
                <w:szCs w:val="18"/>
                <w:color w:val="0000FF"/>
              </w:rPr>
              <w:t>RSU (restricted stock unit)</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0000FF"/>
                <w:w w:val="83"/>
              </w:rPr>
              <w:t>02/04/2013</w:t>
            </w:r>
            <w:r>
              <w:rPr>
                <w:rFonts w:ascii="Arial" w:cs="Arial" w:eastAsia="Arial" w:hAnsi="Arial"/>
                <w:sz w:val="22"/>
                <w:szCs w:val="22"/>
                <w:color w:val="008000"/>
                <w:w w:val="83"/>
                <w:vertAlign w:val="superscript"/>
              </w:rPr>
              <w:t>(10)</w:t>
            </w:r>
          </w:p>
        </w:tc>
        <w:tc>
          <w:tcPr>
            <w:tcW w:w="800" w:type="dxa"/>
            <w:vAlign w:val="bottom"/>
            <w:vMerge w:val="restart"/>
          </w:tcPr>
          <w:p>
            <w:pPr>
              <w:jc w:val="right"/>
              <w:ind w:right="32"/>
              <w:spacing w:after="0"/>
              <w:rPr>
                <w:sz w:val="20"/>
                <w:szCs w:val="20"/>
                <w:color w:val="auto"/>
              </w:rPr>
            </w:pPr>
            <w:r>
              <w:rPr>
                <w:rFonts w:ascii="Arial" w:cs="Arial" w:eastAsia="Arial" w:hAnsi="Arial"/>
                <w:sz w:val="14"/>
                <w:szCs w:val="14"/>
                <w:color w:val="0000FF"/>
                <w:w w:val="96"/>
              </w:rPr>
              <w:t>04/04/2020</w:t>
            </w:r>
          </w:p>
        </w:tc>
        <w:tc>
          <w:tcPr>
            <w:tcW w:w="204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8"/>
              </w:rPr>
              <w:t>8,000</w:t>
            </w:r>
          </w:p>
        </w:tc>
        <w:tc>
          <w:tcPr>
            <w:tcW w:w="900" w:type="dxa"/>
            <w:vAlign w:val="bottom"/>
            <w:vMerge w:val="restart"/>
          </w:tcPr>
          <w:p>
            <w:pPr>
              <w:jc w:val="center"/>
              <w:ind w:right="52"/>
              <w:spacing w:after="0"/>
              <w:rPr>
                <w:sz w:val="20"/>
                <w:szCs w:val="20"/>
                <w:color w:val="auto"/>
              </w:rPr>
            </w:pPr>
            <w:r>
              <w:rPr>
                <w:rFonts w:ascii="Arial" w:cs="Arial" w:eastAsia="Arial" w:hAnsi="Arial"/>
                <w:sz w:val="18"/>
                <w:szCs w:val="18"/>
                <w:color w:val="0000FF"/>
                <w:w w:val="79"/>
              </w:rPr>
              <w:t>0</w:t>
            </w:r>
          </w:p>
        </w:tc>
        <w:tc>
          <w:tcPr>
            <w:tcW w:w="2400" w:type="dxa"/>
            <w:vAlign w:val="bottom"/>
            <w:vMerge w:val="restart"/>
          </w:tcPr>
          <w:p>
            <w:pPr>
              <w:ind w:left="320"/>
              <w:spacing w:after="0"/>
              <w:rPr>
                <w:sz w:val="20"/>
                <w:szCs w:val="20"/>
                <w:color w:val="auto"/>
              </w:rPr>
            </w:pPr>
            <w:r>
              <w:rPr>
                <w:rFonts w:ascii="Arial" w:cs="Arial" w:eastAsia="Arial" w:hAnsi="Arial"/>
                <w:sz w:val="18"/>
                <w:szCs w:val="18"/>
                <w:color w:val="0000FF"/>
              </w:rPr>
              <w:t>D</w:t>
            </w:r>
          </w:p>
        </w:tc>
        <w:tc>
          <w:tcPr>
            <w:tcW w:w="0" w:type="dxa"/>
            <w:vAlign w:val="bottom"/>
          </w:tcPr>
          <w:p>
            <w:pPr>
              <w:spacing w:after="0"/>
              <w:rPr>
                <w:sz w:val="1"/>
                <w:szCs w:val="1"/>
                <w:color w:val="auto"/>
              </w:rPr>
            </w:pPr>
          </w:p>
        </w:tc>
      </w:tr>
      <w:tr>
        <w:trPr>
          <w:trHeight w:val="170"/>
        </w:trPr>
        <w:tc>
          <w:tcPr>
            <w:tcW w:w="34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34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4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348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4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480" w:type="dxa"/>
            <w:vAlign w:val="bottom"/>
            <w:vMerge w:val="restart"/>
          </w:tcPr>
          <w:p>
            <w:pPr>
              <w:ind w:left="60"/>
              <w:spacing w:after="0"/>
              <w:rPr>
                <w:sz w:val="20"/>
                <w:szCs w:val="20"/>
                <w:color w:val="auto"/>
              </w:rPr>
            </w:pPr>
            <w:r>
              <w:rPr>
                <w:rFonts w:ascii="Arial" w:cs="Arial" w:eastAsia="Arial" w:hAnsi="Arial"/>
                <w:sz w:val="18"/>
                <w:szCs w:val="18"/>
                <w:color w:val="0000FF"/>
              </w:rPr>
              <w:t>RSU (restricted stock unit)</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0000FF"/>
                <w:w w:val="83"/>
              </w:rPr>
              <w:t>04/19/2015</w:t>
            </w:r>
            <w:r>
              <w:rPr>
                <w:rFonts w:ascii="Arial" w:cs="Arial" w:eastAsia="Arial" w:hAnsi="Arial"/>
                <w:sz w:val="22"/>
                <w:szCs w:val="22"/>
                <w:color w:val="008000"/>
                <w:w w:val="83"/>
                <w:vertAlign w:val="superscript"/>
              </w:rPr>
              <w:t>(11)</w:t>
            </w:r>
          </w:p>
        </w:tc>
        <w:tc>
          <w:tcPr>
            <w:tcW w:w="800" w:type="dxa"/>
            <w:vAlign w:val="bottom"/>
            <w:vMerge w:val="restart"/>
          </w:tcPr>
          <w:p>
            <w:pPr>
              <w:jc w:val="right"/>
              <w:ind w:right="32"/>
              <w:spacing w:after="0"/>
              <w:rPr>
                <w:sz w:val="20"/>
                <w:szCs w:val="20"/>
                <w:color w:val="auto"/>
              </w:rPr>
            </w:pPr>
            <w:r>
              <w:rPr>
                <w:rFonts w:ascii="Arial" w:cs="Arial" w:eastAsia="Arial" w:hAnsi="Arial"/>
                <w:sz w:val="14"/>
                <w:szCs w:val="14"/>
                <w:color w:val="0000FF"/>
                <w:w w:val="96"/>
              </w:rPr>
              <w:t>04/19/2022</w:t>
            </w:r>
          </w:p>
        </w:tc>
        <w:tc>
          <w:tcPr>
            <w:tcW w:w="204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7"/>
              </w:rPr>
              <w:t>10,000</w:t>
            </w:r>
          </w:p>
        </w:tc>
        <w:tc>
          <w:tcPr>
            <w:tcW w:w="900" w:type="dxa"/>
            <w:vAlign w:val="bottom"/>
            <w:vMerge w:val="restart"/>
          </w:tcPr>
          <w:p>
            <w:pPr>
              <w:jc w:val="center"/>
              <w:ind w:right="52"/>
              <w:spacing w:after="0"/>
              <w:rPr>
                <w:sz w:val="20"/>
                <w:szCs w:val="20"/>
                <w:color w:val="auto"/>
              </w:rPr>
            </w:pPr>
            <w:r>
              <w:rPr>
                <w:rFonts w:ascii="Arial" w:cs="Arial" w:eastAsia="Arial" w:hAnsi="Arial"/>
                <w:sz w:val="18"/>
                <w:szCs w:val="18"/>
                <w:color w:val="0000FF"/>
                <w:w w:val="79"/>
              </w:rPr>
              <w:t>0</w:t>
            </w:r>
          </w:p>
        </w:tc>
        <w:tc>
          <w:tcPr>
            <w:tcW w:w="2400" w:type="dxa"/>
            <w:vAlign w:val="bottom"/>
            <w:vMerge w:val="restart"/>
          </w:tcPr>
          <w:p>
            <w:pPr>
              <w:ind w:left="320"/>
              <w:spacing w:after="0"/>
              <w:rPr>
                <w:sz w:val="20"/>
                <w:szCs w:val="20"/>
                <w:color w:val="auto"/>
              </w:rPr>
            </w:pPr>
            <w:r>
              <w:rPr>
                <w:rFonts w:ascii="Arial" w:cs="Arial" w:eastAsia="Arial" w:hAnsi="Arial"/>
                <w:sz w:val="18"/>
                <w:szCs w:val="18"/>
                <w:color w:val="0000FF"/>
              </w:rPr>
              <w:t>D</w:t>
            </w:r>
          </w:p>
        </w:tc>
        <w:tc>
          <w:tcPr>
            <w:tcW w:w="0" w:type="dxa"/>
            <w:vAlign w:val="bottom"/>
          </w:tcPr>
          <w:p>
            <w:pPr>
              <w:spacing w:after="0"/>
              <w:rPr>
                <w:sz w:val="1"/>
                <w:szCs w:val="1"/>
                <w:color w:val="auto"/>
              </w:rPr>
            </w:pPr>
          </w:p>
        </w:tc>
      </w:tr>
      <w:tr>
        <w:trPr>
          <w:trHeight w:val="170"/>
        </w:trPr>
        <w:tc>
          <w:tcPr>
            <w:tcW w:w="34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34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4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Became exercisable in five equal annual installments beginning April 19, 2007.</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Subject to 4-year cliff vesting and became fully exercisable on January 17, 2012.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Subject to 4-year cliff vesting and became fully exercisable on April 17, 2012.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Becomes exercisable in five equal annual installments beginning January 22, 2010.</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Becomes exercisable in five equal annual installments beginning January 22, 2010.</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Becomes exercisable in five equal annual installments beginning January 21, 2011.</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140" w:hanging="131"/>
        <w:spacing w:after="0"/>
        <w:tabs>
          <w:tab w:leader="none" w:pos="14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Becomes exercisable in five equal annual installments beginning October 21, 2011.</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Becomes exercisable in five equal annual installments beginning January 19, 2013.</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Becomes exercisable in five equal annual installments beginning January 19, 2013.</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Subject to 3-year cliff vesting and fully vests on February 4, 2013.</w:t>
      </w:r>
    </w:p>
    <w:p>
      <w:pPr>
        <w:spacing w:after="0" w:line="41" w:lineRule="exact"/>
        <w:rPr>
          <w:rFonts w:ascii="Arial" w:cs="Arial" w:eastAsia="Arial" w:hAnsi="Arial"/>
          <w:sz w:val="14"/>
          <w:szCs w:val="14"/>
          <w:color w:val="008000"/>
        </w:rPr>
      </w:pPr>
    </w:p>
    <w:p>
      <w:pPr>
        <w:ind w:left="200" w:hanging="191"/>
        <w:spacing w:after="0"/>
        <w:tabs>
          <w:tab w:leader="none" w:pos="20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Subject to 3-year cliff vesting and fully vests on April 19, 2015.</w:t>
      </w:r>
    </w:p>
    <w:p>
      <w:pPr>
        <w:spacing w:after="0" w:line="51" w:lineRule="exact"/>
        <w:rPr>
          <w:sz w:val="20"/>
          <w:szCs w:val="20"/>
          <w:color w:val="auto"/>
        </w:rPr>
      </w:pPr>
    </w:p>
    <w:tbl>
      <w:tblPr>
        <w:tblLayout w:type="fixed"/>
        <w:tblInd w:w="682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Saul R. Laureles,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05/15/2012</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90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320"/>
          </w:cols>
          <w:pgMar w:left="280" w:top="129" w:right="129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SCHLUMBERGER LIMITED</w:t>
      </w:r>
    </w:p>
    <w:p>
      <w:pPr>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firstLine="843"/>
        <w:spacing w:after="0" w:line="269" w:lineRule="auto"/>
        <w:rPr>
          <w:sz w:val="20"/>
          <w:szCs w:val="20"/>
          <w:color w:val="auto"/>
        </w:rPr>
      </w:pPr>
      <w:r>
        <w:rPr>
          <w:rFonts w:ascii="Courier New" w:cs="Courier New" w:eastAsia="Courier New" w:hAnsi="Courier New"/>
          <w:sz w:val="16"/>
          <w:szCs w:val="16"/>
          <w:color w:val="auto"/>
        </w:rPr>
        <w:t>The undersigned, in his capacity as a director or officer, or both, of Schlumberger Limited, a Curacao corporation (the ?Company?), does hereby appoint each of Saul R. Laureles and Lynda M. Quagliara, or either of them acting singly, his/her true and lawful attorney-in fact with full power of substitution, to (a) prepare, execute in the undersigned?s name and on the undersigned?s behalf, and submit to the U.S. Securities and Exchange Commission (the ?SEC?) a Form ID, including amendments thereto, and any other documents necessary or appropriate to obtain codes, passwords and passphrases enabling the undersigned to make electronic filings with the SEC of reports required by Section 16(a) of the Securities Exchange Act of 1934, as amended (the ?Exchange Act?), or any rule or regulation of the SEC; and (b) execute for and on behalf of the undersigned, in the undersigned?s capacity as a director or officer, or both, of the Company, Forms 3, 4 and 5 in accordance with Section 16 of the Exchange Act, as well as Forms 144, and complete and execute any amendment or amendments thereto, and to file the same or cause the same to be filed with the SEC.</w:t>
      </w:r>
    </w:p>
    <w:p>
      <w:pPr>
        <w:spacing w:after="0" w:line="200" w:lineRule="exact"/>
        <w:rPr>
          <w:sz w:val="20"/>
          <w:szCs w:val="20"/>
          <w:color w:val="auto"/>
        </w:rPr>
      </w:pPr>
    </w:p>
    <w:p>
      <w:pPr>
        <w:spacing w:after="0" w:line="397" w:lineRule="exact"/>
        <w:rPr>
          <w:sz w:val="20"/>
          <w:szCs w:val="20"/>
          <w:color w:val="auto"/>
        </w:rPr>
      </w:pPr>
    </w:p>
    <w:p>
      <w:pPr>
        <w:ind w:right="3579" w:firstLine="843"/>
        <w:spacing w:after="0" w:line="271" w:lineRule="auto"/>
        <w:rPr>
          <w:sz w:val="20"/>
          <w:szCs w:val="20"/>
          <w:color w:val="auto"/>
        </w:rPr>
      </w:pPr>
      <w:r>
        <w:rPr>
          <w:rFonts w:ascii="Courier New" w:cs="Courier New" w:eastAsia="Courier New" w:hAnsi="Courier New"/>
          <w:sz w:val="16"/>
          <w:szCs w:val="16"/>
          <w:color w:val="auto"/>
        </w:rPr>
        <w:t>This Power of Attorney supersedes any and all prior and existing powers of attorney signed by the undersigned with respect to the subject matter hereof, and shall remain in full force and effect until the undersigned is no longer required to file Forms 3, 4, 5 or 144 with respect to the undersigned?s holdings of and transactions in securities issued by the Company, unless earlier revoked by the undersigned in a signed writing delivered to the foregoing attorneys-in-fact.</w:t>
      </w:r>
    </w:p>
    <w:p>
      <w:pPr>
        <w:spacing w:after="0" w:line="186" w:lineRule="exact"/>
        <w:rPr>
          <w:sz w:val="20"/>
          <w:szCs w:val="20"/>
          <w:color w:val="auto"/>
        </w:rPr>
      </w:pPr>
    </w:p>
    <w:p>
      <w:pPr>
        <w:ind w:left="3380" w:right="4839" w:hanging="4213"/>
        <w:spacing w:after="0" w:line="235" w:lineRule="auto"/>
        <w:tabs>
          <w:tab w:leader="none" w:pos="3360" w:val="left"/>
        </w:tabs>
        <w:rPr>
          <w:sz w:val="20"/>
          <w:szCs w:val="20"/>
          <w:color w:val="auto"/>
        </w:rPr>
      </w:pPr>
      <w:r>
        <w:rPr>
          <w:rFonts w:ascii="Courier New" w:cs="Courier New" w:eastAsia="Courier New" w:hAnsi="Courier New"/>
          <w:sz w:val="18"/>
          <w:szCs w:val="18"/>
          <w:color w:val="auto"/>
        </w:rPr>
        <w:t>May 8, 2012</w:t>
      </w:r>
      <w:r>
        <w:rPr>
          <w:sz w:val="20"/>
          <w:szCs w:val="20"/>
          <w:color w:val="auto"/>
        </w:rPr>
        <w:tab/>
      </w:r>
      <w:r>
        <w:rPr>
          <w:rFonts w:ascii="Courier New" w:cs="Courier New" w:eastAsia="Courier New" w:hAnsi="Courier New"/>
          <w:sz w:val="18"/>
          <w:szCs w:val="18"/>
          <w:color w:val="auto"/>
        </w:rPr>
        <w:t>\s\ Stephen Orr Stephen Orr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7"/>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49758" TargetMode="External"/><Relationship Id="rId12"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2019-12-18T10:24:20Z</dcterms:created>
  <dcterms:modified xsi:type="dcterms:W3CDTF">2019-12-18T10:24:20Z</dcterms:modified>
</cp:coreProperties>
</file>