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6"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341"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20" w:space="720"/>
            <w:col w:w="224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49"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3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6"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125" w:lineRule="exact"/>
        <w:rPr>
          <w:sz w:val="24"/>
          <w:szCs w:val="24"/>
          <w:color w:val="auto"/>
        </w:rPr>
      </w:pPr>
    </w:p>
    <w:p>
      <w:pPr>
        <w:jc w:val="both"/>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6" w:lineRule="exact"/>
        <w:rPr>
          <w:sz w:val="20"/>
          <w:szCs w:val="20"/>
          <w:color w:val="auto"/>
        </w:rPr>
      </w:pPr>
    </w:p>
    <w:p>
      <w:pPr>
        <w:jc w:val="both"/>
        <w:ind w:right="280" w:firstLine="440"/>
        <w:spacing w:after="0" w:line="261" w:lineRule="auto"/>
        <w:rPr>
          <w:sz w:val="20"/>
          <w:szCs w:val="20"/>
          <w:color w:val="auto"/>
        </w:rPr>
      </w:pPr>
      <w:r>
        <w:rPr>
          <w:rFonts w:ascii="Arial" w:cs="Arial" w:eastAsia="Arial" w:hAnsi="Arial"/>
          <w:sz w:val="17"/>
          <w:szCs w:val="17"/>
          <w:color w:val="auto"/>
        </w:rPr>
        <w:t>On November 3, 2022, Stephane Biguet, chief financial officer of Schlumberger Limited (“SLB” or the “Company”), addressed the Company’s 2022 Investors Conference, in person in New York, New York, and simultaneously via virtual webcast, where he discussed, among other things, SLB’s capital allocation plans. Mr. Biguet’s discussion included announcements of the Company’s intent to:</w:t>
      </w:r>
    </w:p>
    <w:p>
      <w:pPr>
        <w:spacing w:after="0" w:line="91" w:lineRule="exact"/>
        <w:rPr>
          <w:sz w:val="20"/>
          <w:szCs w:val="20"/>
          <w:color w:val="auto"/>
        </w:rPr>
      </w:pPr>
    </w:p>
    <w:p>
      <w:pPr>
        <w:ind w:left="960" w:right="120" w:hanging="532"/>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SLB’s quarterly cash dividend by 43% to $0.25 per share of outstanding common stock, beginning with the dividend payment in April 2023, as and when declared by SLB’s board of directors (the “Board”); and</w:t>
      </w:r>
    </w:p>
    <w:p>
      <w:pPr>
        <w:spacing w:after="0" w:line="102"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resume repurchases under SLB’s existing share repurchase program, commencing in the first quarter of 2023.</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plans to formally declare future dividends each quarter, in line with this announcement.</w:t>
      </w:r>
    </w:p>
    <w:p>
      <w:pPr>
        <w:spacing w:after="0" w:line="212" w:lineRule="exact"/>
        <w:rPr>
          <w:sz w:val="20"/>
          <w:szCs w:val="20"/>
          <w:color w:val="auto"/>
        </w:rPr>
      </w:pPr>
    </w:p>
    <w:p>
      <w:pPr>
        <w:ind w:right="180" w:firstLine="440"/>
        <w:spacing w:after="0"/>
        <w:rPr>
          <w:sz w:val="20"/>
          <w:szCs w:val="20"/>
          <w:color w:val="auto"/>
        </w:rPr>
      </w:pPr>
      <w:r>
        <w:rPr>
          <w:rFonts w:ascii="Arial" w:cs="Arial" w:eastAsia="Arial" w:hAnsi="Arial"/>
          <w:sz w:val="18"/>
          <w:szCs w:val="18"/>
          <w:color w:val="auto"/>
        </w:rPr>
        <w:t>On October 20, 2022, the Board approved a quarterly cash dividend of $0.175 per share of outstanding common stock, payable on January 12, 2023, to stockholders of record on December 7, 2022. Today’s announcement does not affect this previously declared dividend.</w:t>
      </w:r>
    </w:p>
    <w:p>
      <w:pPr>
        <w:spacing w:after="0" w:line="203" w:lineRule="exact"/>
        <w:rPr>
          <w:sz w:val="20"/>
          <w:szCs w:val="20"/>
          <w:color w:val="auto"/>
        </w:rPr>
      </w:pPr>
    </w:p>
    <w:p>
      <w:pPr>
        <w:ind w:right="120" w:firstLine="440"/>
        <w:spacing w:after="0"/>
        <w:rPr>
          <w:sz w:val="20"/>
          <w:szCs w:val="20"/>
          <w:color w:val="auto"/>
        </w:rPr>
      </w:pPr>
      <w:r>
        <w:rPr>
          <w:rFonts w:ascii="Arial" w:cs="Arial" w:eastAsia="Arial" w:hAnsi="Arial"/>
          <w:sz w:val="18"/>
          <w:szCs w:val="18"/>
          <w:color w:val="auto"/>
        </w:rPr>
        <w:t>In accordance with General Instructions B.2. of Form 8-K, the information in this Item 7.01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6"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This Form 8-K contains “forward-looking statements” within the meaning of the federal securities laws, which include any statements that are not historical facts. Forward-looking statements address matters that are, to varying degrees, uncertain, such as statements about SLB’s capital allocation plans, including planned dividend increases, planned share repurchases, and the timing and payment of dividends that have not been declared by the Board. These statements are subject to risks and uncertainties, including, but not limited to, declaration and approval by the Board, with respect to any undeclared dividends;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 If one or more of these or other risks or uncertainties materialize (or the consequences of any such development changes), or should SLB’s underlying assumptions prove incorrect, actual results or outcomes may vary materially from those reflected in the forward-looking statements. Forward-looking and other statements in the presentations regarding SLB’s environmental, social and other sustainability plans and goals are not an indication that these statements are necessarily material to investors or required to be disclosed in SLB’s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November 3, 2022,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92"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34" w:lineRule="exact"/>
        <w:rPr>
          <w:sz w:val="20"/>
          <w:szCs w:val="20"/>
          <w:color w:val="auto"/>
        </w:rPr>
      </w:pPr>
    </w:p>
    <w:p>
      <w:pPr>
        <w:ind w:firstLine="99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Dianne B. Ralston</w:t>
      </w:r>
    </w:p>
    <w:p>
      <w:pPr>
        <w:spacing w:after="0"/>
        <w:rPr>
          <w:sz w:val="20"/>
          <w:szCs w:val="20"/>
          <w:color w:val="auto"/>
        </w:rPr>
      </w:pPr>
      <w:r>
        <w:rPr>
          <w:rFonts w:ascii="Arial" w:cs="Arial" w:eastAsia="Arial" w:hAnsi="Arial"/>
          <w:sz w:val="18"/>
          <w:szCs w:val="18"/>
          <w:color w:val="auto"/>
        </w:rPr>
        <w:t>Chief Legal Officer and 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sectPr>
      <w:pgSz w:w="11900" w:h="16838" w:orient="portrait"/>
      <w:cols w:equalWidth="0" w:num="1">
        <w:col w:w="10900"/>
      </w:cols>
      <w:pgMar w:left="440" w:top="29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2022-11-03T17:12:39Z</dcterms:created>
  <dcterms:modified xsi:type="dcterms:W3CDTF">2022-11-03T17:12:39Z</dcterms:modified>
</cp:coreProperties>
</file>