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40" w:type="dxa"/>
            <w:vAlign w:val="bottom"/>
            <w:gridSpan w:val="11"/>
          </w:tcPr>
          <w:p>
            <w:pPr>
              <w:jc w:val="center"/>
              <w:ind w:left="175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648"/>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vMerge w:val="restart"/>
          </w:tcPr>
          <w:p>
            <w:pPr>
              <w:ind w:left="32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40" w:type="dxa"/>
            <w:vAlign w:val="bottom"/>
            <w:gridSpan w:val="11"/>
            <w:vMerge w:val="restart"/>
          </w:tcPr>
          <w:p>
            <w:pPr>
              <w:jc w:val="center"/>
              <w:ind w:left="1752"/>
              <w:spacing w:after="0"/>
              <w:rPr>
                <w:sz w:val="20"/>
                <w:szCs w:val="20"/>
                <w:color w:val="auto"/>
              </w:rPr>
            </w:pPr>
            <w:r>
              <w:rPr>
                <w:rFonts w:ascii="Arial" w:cs="Arial" w:eastAsia="Arial" w:hAnsi="Arial"/>
                <w:sz w:val="14"/>
                <w:szCs w:val="14"/>
                <w:b w:val="1"/>
                <w:bCs w:val="1"/>
                <w:color w:val="auto"/>
              </w:rPr>
              <w:t>NOTICE OF PROPOSED SALE OF SECURITIES</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766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2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3380" w:type="dxa"/>
            <w:vAlign w:val="bottom"/>
            <w:gridSpan w:val="6"/>
          </w:tcPr>
          <w:p>
            <w:pPr>
              <w:ind w:left="2160"/>
              <w:spacing w:after="0" w:line="114" w:lineRule="exact"/>
              <w:rPr>
                <w:sz w:val="20"/>
                <w:szCs w:val="20"/>
                <w:color w:val="auto"/>
              </w:rPr>
            </w:pPr>
            <w:r>
              <w:rPr>
                <w:rFonts w:ascii="Arial" w:cs="Arial" w:eastAsia="Arial" w:hAnsi="Arial"/>
                <w:sz w:val="13"/>
                <w:szCs w:val="13"/>
                <w:color w:val="auto"/>
              </w:rPr>
              <w:t>STREET</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3"/>
          </w:tcPr>
          <w:p>
            <w:pPr>
              <w:jc w:val="center"/>
              <w:ind w:right="86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ISSUER</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Borders>
              <w:left w:val="single" w:sz="8" w:color="auto"/>
            </w:tcBorders>
          </w:tcPr>
          <w:p>
            <w:pPr>
              <w:spacing w:after="0"/>
              <w:rPr>
                <w:sz w:val="8"/>
                <w:szCs w:val="8"/>
                <w:color w:val="auto"/>
              </w:rPr>
            </w:pPr>
          </w:p>
        </w:tc>
        <w:tc>
          <w:tcPr>
            <w:tcW w:w="2560" w:type="dxa"/>
            <w:vAlign w:val="bottom"/>
            <w:gridSpan w:val="4"/>
            <w:vMerge w:val="restart"/>
          </w:tcPr>
          <w:p>
            <w:pPr>
              <w:ind w:left="820"/>
              <w:spacing w:after="0"/>
              <w:rPr>
                <w:sz w:val="20"/>
                <w:szCs w:val="20"/>
                <w:color w:val="auto"/>
              </w:rPr>
            </w:pPr>
            <w:r>
              <w:rPr>
                <w:rFonts w:ascii="Arial" w:cs="Arial" w:eastAsia="Arial" w:hAnsi="Arial"/>
                <w:sz w:val="14"/>
                <w:szCs w:val="14"/>
                <w:color w:val="auto"/>
                <w:w w:val="99"/>
              </w:rPr>
              <w:t>5599 San Felipe, 17th Floor</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5"/>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40" w:type="dxa"/>
            <w:vAlign w:val="bottom"/>
            <w:tcBorders>
              <w:left w:val="single" w:sz="8" w:color="auto"/>
            </w:tcBorders>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4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0" w:type="dxa"/>
            <w:vAlign w:val="bottom"/>
            <w:tcBorders>
              <w:left w:val="single" w:sz="8" w:color="auto"/>
              <w:righ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40" w:type="dxa"/>
            <w:vAlign w:val="bottom"/>
          </w:tcPr>
          <w:p>
            <w:pPr>
              <w:spacing w:after="0"/>
              <w:rPr>
                <w:sz w:val="9"/>
                <w:szCs w:val="9"/>
                <w:color w:val="auto"/>
              </w:rPr>
            </w:pPr>
          </w:p>
        </w:tc>
        <w:tc>
          <w:tcPr>
            <w:tcW w:w="104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40" w:type="dxa"/>
            <w:vAlign w:val="bottom"/>
          </w:tcPr>
          <w:p>
            <w:pPr>
              <w:spacing w:after="0"/>
              <w:rPr>
                <w:sz w:val="9"/>
                <w:szCs w:val="9"/>
                <w:color w:val="auto"/>
              </w:rPr>
            </w:pPr>
          </w:p>
        </w:tc>
        <w:tc>
          <w:tcPr>
            <w:tcW w:w="160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4"/>
          </w:tcPr>
          <w:p>
            <w:pP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3"/>
                <w:szCs w:val="13"/>
                <w:color w:val="auto"/>
              </w:rPr>
              <w:t>SECURITIES ARE TO BE SOLD</w:t>
            </w:r>
          </w:p>
        </w:tc>
        <w:tc>
          <w:tcPr>
            <w:tcW w:w="4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3"/>
                <w:szCs w:val="13"/>
                <w:color w:val="auto"/>
                <w:w w:val="94"/>
              </w:rPr>
              <w:t>NO.</w:t>
            </w: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5"/>
            <w:vMerge w:val="restart"/>
          </w:tcPr>
          <w:p>
            <w:pPr>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Borders>
              <w:left w:val="single" w:sz="8" w:color="auto"/>
            </w:tcBorders>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Simon Ayat</w:t>
            </w:r>
          </w:p>
        </w:tc>
        <w:tc>
          <w:tcPr>
            <w:tcW w:w="22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Officer</w:t>
            </w: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77"/>
              <w:spacing w:after="0"/>
              <w:rPr>
                <w:sz w:val="20"/>
                <w:szCs w:val="20"/>
                <w:color w:val="auto"/>
              </w:rPr>
            </w:pPr>
            <w:r>
              <w:rPr>
                <w:rFonts w:ascii="Arial" w:cs="Arial" w:eastAsia="Arial" w:hAnsi="Arial"/>
                <w:sz w:val="14"/>
                <w:szCs w:val="14"/>
                <w:color w:val="auto"/>
                <w:w w:val="91"/>
              </w:rPr>
              <w:t>Houston</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1140" w:type="dxa"/>
            <w:vAlign w:val="bottom"/>
            <w:tcBorders>
              <w:left w:val="single" w:sz="8" w:color="auto"/>
              <w:righ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230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(b)</w:t>
            </w:r>
          </w:p>
        </w:tc>
        <w:tc>
          <w:tcPr>
            <w:tcW w:w="16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3"/>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right w:val="single" w:sz="8" w:color="auto"/>
            </w:tcBorders>
            <w:gridSpan w:val="3"/>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4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w w:val="91"/>
              </w:rPr>
              <w:t>(a)</w:t>
            </w:r>
            <w:r>
              <w:rPr>
                <w:rFonts w:ascii="Arial" w:cs="Arial" w:eastAsia="Arial" w:hAnsi="Arial"/>
                <w:sz w:val="13"/>
                <w:szCs w:val="13"/>
                <w:b w:val="1"/>
                <w:bCs w:val="1"/>
                <w:color w:val="auto"/>
                <w:w w:val="91"/>
              </w:rPr>
              <w:t>Title of the</w:t>
            </w:r>
          </w:p>
        </w:tc>
        <w:tc>
          <w:tcPr>
            <w:tcW w:w="2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780" w:type="dxa"/>
            <w:vAlign w:val="bottom"/>
            <w:tcBorders>
              <w:bottom w:val="single" w:sz="8" w:color="auto"/>
              <w:right w:val="single" w:sz="8" w:color="BFBFBF"/>
            </w:tcBorders>
            <w:shd w:val="clear" w:color="auto" w:fill="BFBFBF"/>
          </w:tcPr>
          <w:p>
            <w:pPr>
              <w:spacing w:after="0"/>
              <w:rPr>
                <w:sz w:val="6"/>
                <w:szCs w:val="6"/>
                <w:color w:val="auto"/>
              </w:rPr>
            </w:pPr>
          </w:p>
        </w:tc>
        <w:tc>
          <w:tcPr>
            <w:tcW w:w="40" w:type="dxa"/>
            <w:vAlign w:val="bottom"/>
            <w:tcBorders>
              <w:bottom w:val="single" w:sz="8" w:color="auto"/>
            </w:tcBorders>
            <w:shd w:val="clear" w:color="auto" w:fill="BFBFBF"/>
          </w:tcPr>
          <w:p>
            <w:pPr>
              <w:spacing w:after="0"/>
              <w:rPr>
                <w:sz w:val="6"/>
                <w:szCs w:val="6"/>
                <w:color w:val="auto"/>
              </w:rPr>
            </w:pPr>
          </w:p>
        </w:tc>
        <w:tc>
          <w:tcPr>
            <w:tcW w:w="26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Borders>
              <w:right w:val="single" w:sz="8" w:color="auto"/>
            </w:tcBorders>
            <w:gridSpan w:val="2"/>
            <w:vMerge w:val="restart"/>
          </w:tcPr>
          <w:p>
            <w:pPr>
              <w:jc w:val="center"/>
              <w:ind w:left="95"/>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left w:val="single" w:sz="8" w:color="auto"/>
              <w:right w:val="single" w:sz="8" w:color="auto"/>
            </w:tcBorders>
          </w:tcPr>
          <w:p>
            <w:pPr>
              <w:jc w:val="center"/>
              <w:ind w:left="260"/>
              <w:spacing w:after="0" w:line="135" w:lineRule="exact"/>
              <w:rPr>
                <w:sz w:val="20"/>
                <w:szCs w:val="20"/>
                <w:color w:val="auto"/>
              </w:rPr>
            </w:pPr>
            <w:r>
              <w:rPr>
                <w:rFonts w:ascii="Arial" w:cs="Arial" w:eastAsia="Arial" w:hAnsi="Arial"/>
                <w:sz w:val="13"/>
                <w:szCs w:val="13"/>
                <w:b w:val="1"/>
                <w:bCs w:val="1"/>
                <w:color w:val="auto"/>
                <w:w w:val="82"/>
              </w:rPr>
              <w:t>Class of</w:t>
            </w:r>
          </w:p>
        </w:tc>
        <w:tc>
          <w:tcPr>
            <w:tcW w:w="2300" w:type="dxa"/>
            <w:vAlign w:val="bottom"/>
            <w:gridSpan w:val="2"/>
          </w:tcPr>
          <w:p>
            <w:pPr>
              <w:jc w:val="center"/>
              <w:ind w:left="35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60" w:type="dxa"/>
            <w:vAlign w:val="bottom"/>
            <w:tcBorders>
              <w:right w:val="single" w:sz="8" w:color="auto"/>
            </w:tcBorders>
          </w:tcPr>
          <w:p>
            <w:pPr>
              <w:spacing w:after="0"/>
              <w:rPr>
                <w:sz w:val="11"/>
                <w:szCs w:val="11"/>
                <w:color w:val="auto"/>
              </w:rPr>
            </w:pP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3"/>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jc w:val="center"/>
              <w:ind w:left="95"/>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restart"/>
          </w:tcPr>
          <w:p>
            <w:pPr>
              <w:jc w:val="center"/>
              <w:ind w:lef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3"/>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820" w:type="dxa"/>
            <w:vAlign w:val="bottom"/>
            <w:gridSpan w:val="2"/>
            <w:vMerge w:val="restart"/>
            <w:shd w:val="clear" w:color="auto" w:fill="BFBFBF"/>
          </w:tcPr>
          <w:p>
            <w:pPr>
              <w:jc w:val="center"/>
              <w:ind w:left="67"/>
              <w:spacing w:after="0"/>
              <w:rPr>
                <w:sz w:val="20"/>
                <w:szCs w:val="20"/>
                <w:color w:val="auto"/>
              </w:rPr>
            </w:pPr>
            <w:r>
              <w:rPr>
                <w:rFonts w:ascii="Arial" w:cs="Arial" w:eastAsia="Arial" w:hAnsi="Arial"/>
                <w:sz w:val="13"/>
                <w:szCs w:val="13"/>
                <w:b w:val="1"/>
                <w:bCs w:val="1"/>
                <w:color w:val="auto"/>
                <w:w w:val="90"/>
              </w:rPr>
              <w:t>File Number</w:t>
            </w:r>
          </w:p>
        </w:tc>
        <w:tc>
          <w:tcPr>
            <w:tcW w:w="260" w:type="dxa"/>
            <w:vAlign w:val="bottom"/>
            <w:tcBorders>
              <w:right w:val="single" w:sz="8" w:color="auto"/>
            </w:tcBorders>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tcBorders>
              <w:left w:val="single" w:sz="8" w:color="auto"/>
              <w:right w:val="single" w:sz="8" w:color="auto"/>
            </w:tcBorders>
            <w:vMerge w:val="restart"/>
          </w:tcPr>
          <w:p>
            <w:pPr>
              <w:jc w:val="center"/>
              <w:ind w:left="26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gridSpan w:val="2"/>
            <w:vMerge w:val="restart"/>
          </w:tcPr>
          <w:p>
            <w:pPr>
              <w:jc w:val="center"/>
              <w:ind w:left="33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60" w:type="dxa"/>
            <w:vAlign w:val="bottom"/>
            <w:tcBorders>
              <w:right w:val="single" w:sz="8" w:color="auto"/>
            </w:tcBorders>
          </w:tcPr>
          <w:p>
            <w:pPr>
              <w:spacing w:after="0"/>
              <w:rPr>
                <w:sz w:val="8"/>
                <w:szCs w:val="8"/>
                <w:color w:val="auto"/>
              </w:rPr>
            </w:pPr>
          </w:p>
        </w:tc>
        <w:tc>
          <w:tcPr>
            <w:tcW w:w="100" w:type="dxa"/>
            <w:vAlign w:val="bottom"/>
            <w:shd w:val="clear" w:color="auto" w:fill="BFBFBF"/>
          </w:tcPr>
          <w:p>
            <w:pPr>
              <w:spacing w:after="0"/>
              <w:rPr>
                <w:sz w:val="8"/>
                <w:szCs w:val="8"/>
                <w:color w:val="auto"/>
              </w:rPr>
            </w:pPr>
          </w:p>
        </w:tc>
        <w:tc>
          <w:tcPr>
            <w:tcW w:w="820" w:type="dxa"/>
            <w:vAlign w:val="bottom"/>
            <w:gridSpan w:val="2"/>
            <w:vMerge w:val="continue"/>
            <w:shd w:val="clear" w:color="auto" w:fill="BFBFBF"/>
          </w:tcPr>
          <w:p>
            <w:pPr>
              <w:spacing w:after="0"/>
              <w:rPr>
                <w:sz w:val="8"/>
                <w:szCs w:val="8"/>
                <w:color w:val="auto"/>
              </w:rPr>
            </w:pPr>
          </w:p>
        </w:tc>
        <w:tc>
          <w:tcPr>
            <w:tcW w:w="260" w:type="dxa"/>
            <w:vAlign w:val="bottom"/>
            <w:tcBorders>
              <w:right w:val="single" w:sz="8" w:color="auto"/>
            </w:tcBorders>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140" w:type="dxa"/>
            <w:vAlign w:val="bottom"/>
            <w:tcBorders>
              <w:left w:val="single" w:sz="8" w:color="auto"/>
              <w:bottom w:val="single" w:sz="8" w:color="auto"/>
              <w:right w:val="single" w:sz="8" w:color="auto"/>
            </w:tcBorders>
          </w:tcPr>
          <w:p>
            <w:pPr>
              <w:spacing w:after="0"/>
              <w:rPr>
                <w:sz w:val="13"/>
                <w:szCs w:val="13"/>
                <w:color w:val="auto"/>
              </w:rPr>
            </w:pPr>
          </w:p>
        </w:tc>
        <w:tc>
          <w:tcPr>
            <w:tcW w:w="230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3"/>
                <w:szCs w:val="13"/>
                <w:b w:val="1"/>
                <w:bCs w:val="1"/>
                <w:color w:val="auto"/>
                <w:w w:val="86"/>
              </w:rPr>
              <w:t>who is Acquiring the Securities</w:t>
            </w:r>
          </w:p>
        </w:tc>
        <w:tc>
          <w:tcPr>
            <w:tcW w:w="1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tcPr>
          <w:p>
            <w:pPr>
              <w:spacing w:after="0"/>
              <w:rPr>
                <w:sz w:val="13"/>
                <w:szCs w:val="13"/>
                <w:color w:val="auto"/>
              </w:rPr>
            </w:pPr>
          </w:p>
        </w:tc>
        <w:tc>
          <w:tcPr>
            <w:tcW w:w="23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Merrill Lynch</w:t>
            </w:r>
          </w:p>
        </w:tc>
        <w:tc>
          <w:tcPr>
            <w:tcW w:w="16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780" w:type="dxa"/>
            <w:vAlign w:val="bottom"/>
            <w:tcBorders>
              <w:right w:val="single" w:sz="8" w:color="BFBFBF"/>
            </w:tcBorders>
            <w:shd w:val="clear" w:color="auto" w:fill="BFBFBF"/>
          </w:tcPr>
          <w:p>
            <w:pPr>
              <w:spacing w:after="0"/>
              <w:rPr>
                <w:sz w:val="13"/>
                <w:szCs w:val="13"/>
                <w:color w:val="auto"/>
              </w:rPr>
            </w:pPr>
          </w:p>
        </w:tc>
        <w:tc>
          <w:tcPr>
            <w:tcW w:w="40" w:type="dxa"/>
            <w:vAlign w:val="bottom"/>
            <w:shd w:val="clear" w:color="auto" w:fill="BFBFBF"/>
          </w:tcPr>
          <w:p>
            <w:pPr>
              <w:spacing w:after="0"/>
              <w:rPr>
                <w:sz w:val="13"/>
                <w:szCs w:val="13"/>
                <w:color w:val="auto"/>
              </w:rPr>
            </w:pPr>
          </w:p>
        </w:tc>
        <w:tc>
          <w:tcPr>
            <w:tcW w:w="26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13135 S. Dairy Ashford-Suite 450</w:t>
            </w:r>
          </w:p>
        </w:tc>
        <w:tc>
          <w:tcPr>
            <w:tcW w:w="16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780" w:type="dxa"/>
            <w:vAlign w:val="bottom"/>
            <w:tcBorders>
              <w:right w:val="single" w:sz="8" w:color="BFBFBF"/>
            </w:tcBorders>
            <w:shd w:val="clear" w:color="auto" w:fill="BFBFBF"/>
          </w:tcPr>
          <w:p>
            <w:pPr>
              <w:spacing w:after="0"/>
              <w:rPr>
                <w:sz w:val="12"/>
                <w:szCs w:val="12"/>
                <w:color w:val="auto"/>
              </w:rPr>
            </w:pPr>
          </w:p>
        </w:tc>
        <w:tc>
          <w:tcPr>
            <w:tcW w:w="40" w:type="dxa"/>
            <w:vAlign w:val="bottom"/>
            <w:shd w:val="clear" w:color="auto" w:fill="BFBFBF"/>
          </w:tcPr>
          <w:p>
            <w:pPr>
              <w:spacing w:after="0"/>
              <w:rPr>
                <w:sz w:val="12"/>
                <w:szCs w:val="12"/>
                <w:color w:val="auto"/>
              </w:rPr>
            </w:pPr>
          </w:p>
        </w:tc>
        <w:tc>
          <w:tcPr>
            <w:tcW w:w="26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ind w:right="435"/>
              <w:spacing w:after="0" w:line="149" w:lineRule="exact"/>
              <w:rPr>
                <w:sz w:val="20"/>
                <w:szCs w:val="20"/>
                <w:color w:val="auto"/>
              </w:rPr>
            </w:pPr>
            <w:r>
              <w:rPr>
                <w:rFonts w:ascii="Arial" w:cs="Arial" w:eastAsia="Arial" w:hAnsi="Arial"/>
                <w:sz w:val="14"/>
                <w:szCs w:val="14"/>
                <w:color w:val="auto"/>
              </w:rPr>
              <w:t>7,092</w:t>
            </w: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294"/>
              <w:spacing w:after="0" w:line="149" w:lineRule="exact"/>
              <w:rPr>
                <w:sz w:val="20"/>
                <w:szCs w:val="20"/>
                <w:color w:val="auto"/>
              </w:rPr>
            </w:pPr>
            <w:r>
              <w:rPr>
                <w:rFonts w:ascii="Arial" w:cs="Arial" w:eastAsia="Arial" w:hAnsi="Arial"/>
                <w:sz w:val="14"/>
                <w:szCs w:val="14"/>
                <w:color w:val="auto"/>
              </w:rPr>
              <w:t>$709,200</w:t>
            </w:r>
          </w:p>
        </w:tc>
        <w:tc>
          <w:tcPr>
            <w:tcW w:w="40" w:type="dxa"/>
            <w:vAlign w:val="bottom"/>
          </w:tcPr>
          <w:p>
            <w:pPr>
              <w:spacing w:after="0"/>
              <w:rPr>
                <w:sz w:val="12"/>
                <w:szCs w:val="12"/>
                <w:color w:val="auto"/>
              </w:rPr>
            </w:pPr>
          </w:p>
        </w:tc>
        <w:tc>
          <w:tcPr>
            <w:tcW w:w="132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1,193,670,155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17"/>
              <w:spacing w:after="0" w:line="149" w:lineRule="exact"/>
              <w:rPr>
                <w:sz w:val="20"/>
                <w:szCs w:val="20"/>
                <w:color w:val="auto"/>
              </w:rPr>
            </w:pPr>
            <w:r>
              <w:rPr>
                <w:rFonts w:ascii="Arial" w:cs="Arial" w:eastAsia="Arial" w:hAnsi="Arial"/>
                <w:sz w:val="14"/>
                <w:szCs w:val="14"/>
                <w:color w:val="auto"/>
              </w:rPr>
              <w:t>09/13/2007</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jc w:val="right"/>
              <w:ind w:right="435"/>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Borders>
              <w:left w:val="single" w:sz="8" w:color="auto"/>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Sugar Land, TX 77478-3680</w:t>
            </w:r>
          </w:p>
        </w:tc>
        <w:tc>
          <w:tcPr>
            <w:tcW w:w="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shd w:val="clear" w:color="auto" w:fill="BFBFBF"/>
          </w:tcPr>
          <w:p>
            <w:pPr>
              <w:spacing w:after="0"/>
              <w:rPr>
                <w:sz w:val="16"/>
                <w:szCs w:val="16"/>
                <w:color w:val="auto"/>
              </w:rPr>
            </w:pPr>
          </w:p>
        </w:tc>
        <w:tc>
          <w:tcPr>
            <w:tcW w:w="780" w:type="dxa"/>
            <w:vAlign w:val="bottom"/>
            <w:tcBorders>
              <w:bottom w:val="single" w:sz="8" w:color="auto"/>
              <w:right w:val="single" w:sz="8" w:color="BFBFBF"/>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260" w:type="dxa"/>
            <w:vAlign w:val="bottom"/>
            <w:tcBorders>
              <w:bottom w:val="single" w:sz="8" w:color="auto"/>
              <w:right w:val="single" w:sz="8" w:color="auto"/>
            </w:tcBorders>
            <w:shd w:val="clear" w:color="auto" w:fill="BFBFBF"/>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right"/>
              <w:ind w:right="93"/>
              <w:spacing w:after="0"/>
              <w:rPr>
                <w:sz w:val="20"/>
                <w:szCs w:val="20"/>
                <w:color w:val="auto"/>
              </w:rPr>
            </w:pPr>
            <w:r>
              <w:rPr>
                <w:rFonts w:ascii="Arial" w:cs="Arial" w:eastAsia="Arial" w:hAnsi="Arial"/>
                <w:sz w:val="13"/>
                <w:szCs w:val="13"/>
                <w:b w:val="1"/>
                <w:bCs w:val="1"/>
                <w:color w:val="auto"/>
                <w:w w:val="99"/>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533"/>
              <w:spacing w:after="0" w:line="142" w:lineRule="exact"/>
              <w:rPr>
                <w:sz w:val="20"/>
                <w:szCs w:val="20"/>
                <w:color w:val="auto"/>
              </w:rPr>
            </w:pPr>
            <w:r>
              <w:rPr>
                <w:rFonts w:ascii="Arial" w:cs="Arial" w:eastAsia="Arial" w:hAnsi="Arial"/>
                <w:sz w:val="14"/>
                <w:szCs w:val="14"/>
                <w:color w:val="auto"/>
                <w:w w:val="99"/>
              </w:rPr>
              <w:t>09/13/2007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7,092</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09/13/2007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b w:val="1"/>
          <w:bCs w:val="1"/>
          <w:color w:val="auto"/>
        </w:rPr>
        <w:t>NONE</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See the definition of “person” in paragraph (a) of Rule 144. Information 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The person for whose account the securities to which this notice relates are</w:t>
      </w:r>
    </w:p>
    <w:p>
      <w:pPr>
        <w:sectPr>
          <w:pgSz w:w="11900" w:h="16838" w:orient="portrait"/>
          <w:cols w:equalWidth="0" w:num="2">
            <w:col w:w="5420" w:space="480"/>
            <w:col w:w="5520"/>
          </w:cols>
          <w:pgMar w:left="240" w:top="228" w:right="239" w:bottom="0" w:gutter="0" w:footer="0" w:header="0"/>
          <w:type w:val="continuous"/>
        </w:sectPr>
      </w:pPr>
    </w:p>
    <w:bookmarkStart w:id="1" w:name="page2"/>
    <w:bookmarkEnd w:id="1"/>
    <w:p>
      <w:pPr>
        <w:ind w:left="80"/>
        <w:spacing w:after="0" w:line="276" w:lineRule="auto"/>
        <w:rPr>
          <w:sz w:val="20"/>
          <w:szCs w:val="20"/>
          <w:color w:val="auto"/>
        </w:rPr>
      </w:pPr>
      <w:r>
        <w:rPr>
          <w:rFonts w:ascii="Arial" w:cs="Arial" w:eastAsia="Arial" w:hAnsi="Arial"/>
          <w:sz w:val="17"/>
          <w:szCs w:val="17"/>
          <w:color w:val="auto"/>
        </w:rPr>
        <w:t>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i w:val="1"/>
          <w:iCs w:val="1"/>
          <w:color w:val="auto"/>
        </w:rPr>
        <w:t>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8"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9/13/2007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/s/ Simon Ayat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2019-12-13T06:40:15Z</dcterms:created>
  <dcterms:modified xsi:type="dcterms:W3CDTF">2019-12-13T06:40:15Z</dcterms:modified>
</cp:coreProperties>
</file>