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443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4385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BELANI ASHOK</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SCHLUMBERGER LIMITED/NV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SLB</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2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74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3100" w:type="dxa"/>
            <w:vAlign w:val="bottom"/>
            <w:gridSpan w:val="4"/>
            <w:vMerge w:val="restart"/>
          </w:tcPr>
          <w:p>
            <w:pPr>
              <w:ind w:left="160"/>
              <w:spacing w:after="0" w:line="169" w:lineRule="exact"/>
              <w:rPr>
                <w:sz w:val="20"/>
                <w:szCs w:val="20"/>
                <w:color w:val="auto"/>
              </w:rPr>
            </w:pPr>
            <w:r>
              <w:rPr>
                <w:rFonts w:ascii="Arial" w:cs="Arial" w:eastAsia="Arial" w:hAnsi="Arial"/>
                <w:sz w:val="17"/>
                <w:szCs w:val="17"/>
                <w:color w:val="0000FF"/>
              </w:rPr>
              <w:t>01/19/2022</w:t>
            </w: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10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5599 SAN FELIPE, 17TH FLOOR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center"/>
        <w:ind w:right="183"/>
        <w:spacing w:after="0"/>
        <w:rPr>
          <w:sz w:val="20"/>
          <w:szCs w:val="20"/>
          <w:color w:val="auto"/>
        </w:rPr>
      </w:pPr>
      <w:r>
        <w:rPr>
          <w:rFonts w:ascii="Arial" w:cs="Arial" w:eastAsia="Arial" w:hAnsi="Arial"/>
          <w:sz w:val="17"/>
          <w:szCs w:val="17"/>
          <w:color w:val="0000FF"/>
        </w:rPr>
        <w:t>EVP New Energy</w:t>
      </w:r>
    </w:p>
    <w:p>
      <w:pPr>
        <w:spacing w:after="0" w:line="30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9" w:lineRule="exact"/>
        <w:rPr>
          <w:sz w:val="20"/>
          <w:szCs w:val="20"/>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64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 $0.01 Par Value Per Share</w:t>
            </w: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right="221"/>
              <w:spacing w:after="0"/>
              <w:rPr>
                <w:sz w:val="20"/>
                <w:szCs w:val="20"/>
                <w:color w:val="auto"/>
              </w:rPr>
            </w:pPr>
            <w:r>
              <w:rPr>
                <w:rFonts w:ascii="Arial" w:cs="Arial" w:eastAsia="Arial" w:hAnsi="Arial"/>
                <w:sz w:val="17"/>
                <w:szCs w:val="17"/>
                <w:color w:val="0000FF"/>
              </w:rPr>
              <w:t>253,395</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 $0.01 Par Value Per Share</w:t>
            </w: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60" w:type="dxa"/>
            <w:vAlign w:val="bottom"/>
            <w:gridSpan w:val="3"/>
            <w:vMerge w:val="restart"/>
          </w:tcPr>
          <w:p>
            <w:pPr>
              <w:jc w:val="right"/>
              <w:ind w:right="381"/>
              <w:spacing w:after="0"/>
              <w:rPr>
                <w:sz w:val="20"/>
                <w:szCs w:val="20"/>
                <w:color w:val="auto"/>
              </w:rPr>
            </w:pPr>
            <w:r>
              <w:rPr>
                <w:rFonts w:ascii="Arial" w:cs="Arial" w:eastAsia="Arial" w:hAnsi="Arial"/>
                <w:sz w:val="17"/>
                <w:szCs w:val="17"/>
                <w:color w:val="0000FF"/>
              </w:rPr>
              <w:t>4,519</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SL Int'l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P/S Plan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RSU</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ind w:right="20"/>
              <w:spacing w:after="0" w:line="142" w:lineRule="exact"/>
              <w:rPr>
                <w:sz w:val="20"/>
                <w:szCs w:val="20"/>
                <w:color w:val="auto"/>
              </w:rPr>
            </w:pPr>
            <w:r>
              <w:rPr>
                <w:rFonts w:ascii="Arial" w:cs="Arial" w:eastAsia="Arial" w:hAnsi="Arial"/>
                <w:sz w:val="13"/>
                <w:szCs w:val="13"/>
                <w:color w:val="0000FF"/>
                <w:w w:val="88"/>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$0.01</w:t>
            </w: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8"/>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80" w:type="dxa"/>
            <w:vAlign w:val="bottom"/>
            <w:vMerge w:val="continue"/>
          </w:tcPr>
          <w:p>
            <w:pPr>
              <w:spacing w:after="0"/>
              <w:rPr>
                <w:sz w:val="6"/>
                <w:szCs w:val="6"/>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25,112</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right"/>
              <w:ind w:right="140"/>
              <w:spacing w:after="0"/>
              <w:rPr>
                <w:sz w:val="20"/>
                <w:szCs w:val="20"/>
                <w:color w:val="auto"/>
              </w:rPr>
            </w:pPr>
            <w:r>
              <w:rPr>
                <w:rFonts w:ascii="Arial" w:cs="Arial" w:eastAsia="Arial" w:hAnsi="Arial"/>
                <w:sz w:val="13"/>
                <w:szCs w:val="13"/>
                <w:color w:val="0000FF"/>
              </w:rPr>
              <w:t>01/19/2022</w:t>
            </w:r>
          </w:p>
        </w:tc>
        <w:tc>
          <w:tcPr>
            <w:tcW w:w="114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25,112</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8"/>
              </w:rPr>
              <w:t>Par</w:t>
            </w:r>
          </w:p>
        </w:tc>
        <w:tc>
          <w:tcPr>
            <w:tcW w:w="520" w:type="dxa"/>
            <w:vAlign w:val="bottom"/>
            <w:vMerge w:val="continue"/>
          </w:tcPr>
          <w:p>
            <w:pPr>
              <w:spacing w:after="0"/>
              <w:rPr>
                <w:sz w:val="5"/>
                <w:szCs w:val="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20"/>
              <w:spacing w:after="0"/>
              <w:rPr>
                <w:sz w:val="20"/>
                <w:szCs w:val="20"/>
                <w:color w:val="auto"/>
              </w:rPr>
            </w:pPr>
            <w:r>
              <w:rPr>
                <w:rFonts w:ascii="Arial" w:cs="Arial" w:eastAsia="Arial" w:hAnsi="Arial"/>
                <w:sz w:val="13"/>
                <w:szCs w:val="13"/>
                <w:color w:val="0000FF"/>
                <w:w w:val="85"/>
              </w:rPr>
              <w:t>25,112</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Pr>
          <w:p>
            <w:pPr>
              <w:ind w:left="60"/>
              <w:spacing w:after="0" w:line="88" w:lineRule="exact"/>
              <w:rPr>
                <w:sz w:val="20"/>
                <w:szCs w:val="20"/>
                <w:color w:val="auto"/>
              </w:rPr>
            </w:pPr>
            <w:r>
              <w:rPr>
                <w:rFonts w:ascii="Arial" w:cs="Arial" w:eastAsia="Arial" w:hAnsi="Arial"/>
                <w:sz w:val="10"/>
                <w:szCs w:val="10"/>
                <w:color w:val="0000FF"/>
              </w:rPr>
              <w:t>Stock</w:t>
            </w:r>
          </w:p>
        </w:tc>
        <w:tc>
          <w:tcPr>
            <w:tcW w:w="7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32"/>
        </w:trPr>
        <w:tc>
          <w:tcPr>
            <w:tcW w:w="3560" w:type="dxa"/>
            <w:vAlign w:val="bottom"/>
            <w:vMerge w:val="restart"/>
          </w:tcPr>
          <w:p>
            <w:pPr>
              <w:spacing w:after="0"/>
              <w:rPr>
                <w:sz w:val="20"/>
                <w:szCs w:val="20"/>
                <w:color w:val="auto"/>
              </w:rPr>
            </w:pPr>
            <w:r>
              <w:rPr>
                <w:rFonts w:ascii="Arial" w:cs="Arial" w:eastAsia="Arial" w:hAnsi="Arial"/>
                <w:sz w:val="13"/>
                <w:szCs w:val="13"/>
                <w:color w:val="0000FF"/>
              </w:rPr>
              <w:t>Unit)</w:t>
            </w:r>
          </w:p>
        </w:tc>
        <w:tc>
          <w:tcPr>
            <w:tcW w:w="3580" w:type="dxa"/>
            <w:vAlign w:val="bottom"/>
          </w:tcPr>
          <w:p>
            <w:pPr>
              <w:jc w:val="center"/>
              <w:ind w:left="3215"/>
              <w:spacing w:after="0" w:line="132" w:lineRule="exact"/>
              <w:rPr>
                <w:sz w:val="20"/>
                <w:szCs w:val="20"/>
                <w:color w:val="auto"/>
              </w:rPr>
            </w:pPr>
            <w:r>
              <w:rPr>
                <w:rFonts w:ascii="Arial" w:cs="Arial" w:eastAsia="Arial" w:hAnsi="Arial"/>
                <w:sz w:val="13"/>
                <w:szCs w:val="13"/>
                <w:color w:val="0000FF"/>
                <w:w w:val="90"/>
              </w:rPr>
              <w:t>Value</w:t>
            </w:r>
          </w:p>
        </w:tc>
        <w:tc>
          <w:tcPr>
            <w:tcW w:w="0" w:type="dxa"/>
            <w:vAlign w:val="bottom"/>
          </w:tcPr>
          <w:p>
            <w:pPr>
              <w:spacing w:after="0"/>
              <w:rPr>
                <w:sz w:val="1"/>
                <w:szCs w:val="1"/>
                <w:color w:val="auto"/>
              </w:rPr>
            </w:pPr>
          </w:p>
        </w:tc>
      </w:tr>
      <w:tr>
        <w:trPr>
          <w:trHeight w:val="86"/>
        </w:trPr>
        <w:tc>
          <w:tcPr>
            <w:tcW w:w="3560" w:type="dxa"/>
            <w:vAlign w:val="bottom"/>
            <w:vMerge w:val="continue"/>
          </w:tcPr>
          <w:p>
            <w:pPr>
              <w:spacing w:after="0"/>
              <w:rPr>
                <w:sz w:val="7"/>
                <w:szCs w:val="7"/>
                <w:color w:val="auto"/>
              </w:rPr>
            </w:pPr>
          </w:p>
        </w:tc>
        <w:tc>
          <w:tcPr>
            <w:tcW w:w="3580" w:type="dxa"/>
            <w:vAlign w:val="bottom"/>
            <w:vMerge w:val="restart"/>
          </w:tcPr>
          <w:p>
            <w:pPr>
              <w:jc w:val="center"/>
              <w:ind w:left="3215"/>
              <w:spacing w:after="0" w:line="142" w:lineRule="exact"/>
              <w:rPr>
                <w:sz w:val="20"/>
                <w:szCs w:val="20"/>
                <w:color w:val="auto"/>
              </w:rPr>
            </w:pPr>
            <w:r>
              <w:rPr>
                <w:rFonts w:ascii="Arial" w:cs="Arial" w:eastAsia="Arial" w:hAnsi="Arial"/>
                <w:sz w:val="13"/>
                <w:szCs w:val="13"/>
                <w:color w:val="0000FF"/>
                <w:w w:val="88"/>
              </w:rPr>
              <w:t>Per</w:t>
            </w:r>
          </w:p>
        </w:tc>
        <w:tc>
          <w:tcPr>
            <w:tcW w:w="0" w:type="dxa"/>
            <w:vAlign w:val="bottom"/>
          </w:tcPr>
          <w:p>
            <w:pPr>
              <w:spacing w:after="0"/>
              <w:rPr>
                <w:sz w:val="1"/>
                <w:szCs w:val="1"/>
                <w:color w:val="auto"/>
              </w:rPr>
            </w:pPr>
          </w:p>
        </w:tc>
      </w:tr>
      <w:tr>
        <w:trPr>
          <w:trHeight w:val="56"/>
        </w:trPr>
        <w:tc>
          <w:tcPr>
            <w:tcW w:w="356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3580" w:type="dxa"/>
            <w:vAlign w:val="bottom"/>
          </w:tcPr>
          <w:p>
            <w:pPr>
              <w:jc w:val="center"/>
              <w:ind w:left="3215"/>
              <w:spacing w:after="0"/>
              <w:rPr>
                <w:sz w:val="20"/>
                <w:szCs w:val="20"/>
                <w:color w:val="auto"/>
              </w:rPr>
            </w:pPr>
            <w:r>
              <w:rPr>
                <w:rFonts w:ascii="Arial" w:cs="Arial" w:eastAsia="Arial" w:hAnsi="Arial"/>
                <w:sz w:val="13"/>
                <w:szCs w:val="13"/>
                <w:color w:val="0000FF"/>
                <w:w w:val="86"/>
              </w:rPr>
              <w:t>Share</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568 shares for the period ended June 30, 2021, and 376 shares for the period ended December 31, 2021, that were acquired under the Schlumberger discounted stock purchase plan.</w:t>
      </w:r>
    </w:p>
    <w:p>
      <w:pPr>
        <w:spacing w:after="0" w:line="55"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at settlement, one (1) share of common stock.</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 award was granted January 19, 2022 and vests 100% on January 19, 2025.</w:t>
      </w:r>
    </w:p>
    <w:p>
      <w:pPr>
        <w:spacing w:after="0" w:line="31"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Samantha Blons,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01/21/2022</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Arial" w:cs="Arial" w:eastAsia="Arial" w:hAnsi="Arial"/>
                <w:sz w:val="17"/>
                <w:szCs w:val="17"/>
                <w:color w:val="0000FF"/>
                <w:w w:val="88"/>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SCHLUMBERGER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4259" w:firstLine="705"/>
        <w:spacing w:after="0" w:line="256"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Dianne B. Ralston,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4" w:lineRule="exact"/>
        <w:rPr>
          <w:sz w:val="20"/>
          <w:szCs w:val="20"/>
          <w:color w:val="auto"/>
        </w:rPr>
      </w:pPr>
    </w:p>
    <w:p>
      <w:pPr>
        <w:ind w:right="4059"/>
        <w:spacing w:after="0"/>
        <w:rPr>
          <w:sz w:val="20"/>
          <w:szCs w:val="20"/>
          <w:color w:val="auto"/>
        </w:rPr>
      </w:pPr>
      <w:r>
        <w:rPr>
          <w:rFonts w:ascii="Courier New" w:cs="Courier New" w:eastAsia="Courier New" w:hAnsi="Courier New"/>
          <w:sz w:val="17"/>
          <w:szCs w:val="17"/>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203" w:lineRule="exact"/>
        <w:rPr>
          <w:sz w:val="20"/>
          <w:szCs w:val="20"/>
          <w:color w:val="auto"/>
        </w:rPr>
      </w:pPr>
    </w:p>
    <w:p>
      <w:pPr>
        <w:ind w:right="4059" w:firstLine="705"/>
        <w:spacing w:after="0"/>
        <w:rPr>
          <w:sz w:val="20"/>
          <w:szCs w:val="20"/>
          <w:color w:val="auto"/>
        </w:rPr>
      </w:pPr>
      <w:r>
        <w:rPr>
          <w:rFonts w:ascii="Courier New" w:cs="Courier New" w:eastAsia="Courier New" w:hAnsi="Courier New"/>
          <w:sz w:val="17"/>
          <w:szCs w:val="17"/>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4, 2021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Ashok Belani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Ashok Belani</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997"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2022-01-21T19:25:00Z</dcterms:created>
  <dcterms:modified xsi:type="dcterms:W3CDTF">2022-01-21T19:25:00Z</dcterms:modified>
</cp:coreProperties>
</file>